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4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June 30, 2018 there were 800,093,285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2018</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 of Operations for the quarters ended June 30, 2018 and 2017</w:t>
              </w:r>
            </w:hyperlink>
          </w:p>
        </w:tc>
        <w:tc>
          <w:tcPr>
            <w:tcW w:w="33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Operations for the six months ended June 30, 2018 and 2017</w:t>
              </w:r>
            </w:hyperlink>
          </w:p>
        </w:tc>
        <w:tc>
          <w:tcPr>
            <w:tcW w:w="31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for the quarter</w:t>
              </w:r>
            </w:hyperlink>
            <w:r>
              <w:rPr>
                <w:rFonts w:ascii="Arial" w:cs="Arial" w:eastAsia="Arial" w:hAnsi="Arial"/>
                <w:sz w:val="18"/>
                <w:szCs w:val="18"/>
                <w:color w:val="0000FF"/>
              </w:rPr>
              <w:t>s</w:t>
            </w:r>
            <w:r>
              <w:rPr>
                <w:rFonts w:ascii="Arial" w:cs="Arial" w:eastAsia="Arial" w:hAnsi="Arial"/>
                <w:sz w:val="18"/>
                <w:szCs w:val="18"/>
                <w:color w:val="0000EE"/>
              </w:rPr>
              <w:t xml:space="preserve"> </w:t>
            </w:r>
            <w:r>
              <w:rPr>
                <w:rFonts w:ascii="Arial" w:cs="Arial" w:eastAsia="Arial" w:hAnsi="Arial"/>
                <w:sz w:val="18"/>
                <w:szCs w:val="18"/>
                <w:color w:val="0000FF"/>
              </w:rPr>
              <w:t>ended June 30, 2018 and 2017</w:t>
            </w:r>
          </w:p>
        </w:tc>
        <w:tc>
          <w:tcPr>
            <w:tcW w:w="6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Balance Sheet at </w:t>
              </w:r>
            </w:hyperlink>
            <w:r>
              <w:rPr>
                <w:rFonts w:ascii="Arial" w:cs="Arial" w:eastAsia="Arial" w:hAnsi="Arial"/>
                <w:sz w:val="18"/>
                <w:szCs w:val="18"/>
                <w:color w:val="0000FF"/>
              </w:rPr>
              <w:t>June</w:t>
            </w:r>
            <w:r>
              <w:rPr>
                <w:rFonts w:ascii="Arial" w:cs="Arial" w:eastAsia="Arial" w:hAnsi="Arial"/>
                <w:sz w:val="18"/>
                <w:szCs w:val="18"/>
                <w:color w:val="0000EE"/>
              </w:rPr>
              <w:t xml:space="preserve"> </w:t>
            </w:r>
            <w:r>
              <w:rPr>
                <w:rFonts w:ascii="Arial" w:cs="Arial" w:eastAsia="Arial" w:hAnsi="Arial"/>
                <w:sz w:val="18"/>
                <w:szCs w:val="18"/>
                <w:color w:val="0000FF"/>
              </w:rPr>
              <w:t>30, 2018 and December 31, 2017</w:t>
            </w:r>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 xml:space="preserve">Condensed Consolidated Statement of Cash Flows for the </w:t>
              </w:r>
            </w:hyperlink>
            <w:r>
              <w:rPr>
                <w:rFonts w:ascii="Arial" w:cs="Arial" w:eastAsia="Arial" w:hAnsi="Arial"/>
                <w:sz w:val="18"/>
                <w:szCs w:val="18"/>
                <w:color w:val="0000FF"/>
              </w:rPr>
              <w:t>quarters</w:t>
            </w:r>
            <w:r>
              <w:rPr>
                <w:rFonts w:ascii="Arial" w:cs="Arial" w:eastAsia="Arial" w:hAnsi="Arial"/>
                <w:sz w:val="18"/>
                <w:szCs w:val="18"/>
                <w:color w:val="0000EE"/>
              </w:rPr>
              <w:t xml:space="preserve"> </w:t>
            </w:r>
            <w:r>
              <w:rPr>
                <w:rFonts w:ascii="Arial" w:cs="Arial" w:eastAsia="Arial" w:hAnsi="Arial"/>
                <w:sz w:val="18"/>
                <w:szCs w:val="18"/>
                <w:color w:val="0000FF"/>
              </w:rPr>
              <w:t>ended June 30, 2018 and 2017</w:t>
            </w:r>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tcBorders>
              <w:top w:val="single" w:sz="8" w:color="0000EE"/>
            </w:tcBorders>
            <w:gridSpan w:val="12"/>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Notes to Condensed Consolidated Financial Statements</w:t>
              </w:r>
            </w:hyperlink>
          </w:p>
        </w:tc>
        <w:tc>
          <w:tcPr>
            <w:tcW w:w="2800" w:type="dxa"/>
            <w:vAlign w:val="bottom"/>
            <w:tcBorders>
              <w:top w:val="single" w:sz="8" w:color="0000FF"/>
            </w:tcBorders>
            <w:gridSpan w:val="6"/>
          </w:tcPr>
          <w:p>
            <w:pPr>
              <w:spacing w:after="0"/>
              <w:rPr>
                <w:sz w:val="24"/>
                <w:szCs w:val="24"/>
                <w:color w:val="auto"/>
              </w:rPr>
            </w:pPr>
          </w:p>
        </w:tc>
        <w:tc>
          <w:tcPr>
            <w:tcW w:w="33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6"/>
            <w:shd w:val="clear" w:color="auto" w:fill="0000FF"/>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50">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4"/>
                <w:szCs w:val="24"/>
                <w:color w:val="auto"/>
              </w:rPr>
            </w:pPr>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PART II – OTHER INFORMATION</w:t>
              </w:r>
            </w:hyperlink>
          </w:p>
        </w:tc>
        <w:tc>
          <w:tcPr>
            <w:tcW w:w="804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2.</w:t>
              </w:r>
            </w:hyperlink>
          </w:p>
        </w:tc>
        <w:tc>
          <w:tcPr>
            <w:tcW w:w="4380" w:type="dxa"/>
            <w:vAlign w:val="bottom"/>
            <w:gridSpan w:val="12"/>
          </w:tcPr>
          <w:p>
            <w:pPr>
              <w:ind w:lef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Unregistered Sales of Equity Securities and Use of Proceeds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Item 6.</w:t>
              </w:r>
            </w:hyperlink>
          </w:p>
        </w:tc>
        <w:tc>
          <w:tcPr>
            <w:tcW w:w="4380" w:type="dxa"/>
            <w:vAlign w:val="bottom"/>
            <w:gridSpan w:val="12"/>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SIGNATURES</w:t>
              </w:r>
            </w:hyperlink>
          </w:p>
        </w:tc>
        <w:tc>
          <w:tcPr>
            <w:tcW w:w="9600" w:type="dxa"/>
            <w:vAlign w:val="bottom"/>
            <w:gridSpan w:val="1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Quarter Ended June 30,</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1,439</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21,778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31,947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2,825</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Reclassification adjustments for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and prior service credit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(loss) arising during period</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loss included in 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ASU 2016-01 adoption impact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Unrealized cash flow hedging (loss) gain arising during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(Gain) loss reclassified into Product sales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Tax benefit (expense)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CCEEFF"/>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11,068</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8,985</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12,595</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Contract assets,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9,881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1,397</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32,858</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2,763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2,372</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1,723</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21,597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21,364</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(11,178)</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10,115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10,186</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27,699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27,910</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15,883</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5,988</w:t>
            </w: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6"/>
          </w:tcPr>
          <w:p>
            <w:pPr>
              <w:ind w:left="340"/>
              <w:spacing w:after="0"/>
              <w:rPr>
                <w:sz w:val="20"/>
                <w:szCs w:val="20"/>
                <w:color w:val="auto"/>
              </w:rPr>
            </w:pPr>
            <w:r>
              <w:rPr>
                <w:rFonts w:ascii="Arial" w:cs="Arial" w:eastAsia="Arial" w:hAnsi="Arial"/>
                <w:sz w:val="17"/>
                <w:szCs w:val="17"/>
                <w:color w:val="auto"/>
              </w:rPr>
              <w:t>Total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101,569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96,920</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w w:val="94"/>
              </w:rPr>
              <w:t>Liabilities and Equity</w:t>
            </w:r>
          </w:p>
        </w:tc>
        <w:tc>
          <w:tcPr>
            <w:tcW w:w="3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Short-term borrowings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392</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9,579</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12,316</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Contract liabilities, current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2,104</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24,391</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27,246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24,989</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3,036</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13,190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12,952</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65,368</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17,574</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(35,596)</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55,242</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(7,525)</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31,364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29,610</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1,811</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33,346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31,421</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101,569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96,920</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Adjustments to reconcile net income from operations to 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Gain on sale of Taylor Company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Contract assets,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Contract liabilities, current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of investments in Watsco, Inc.</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Receipts (payments) from settlements of derivative contracts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Issuance of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short-term borrowings,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Restricted cash, included in 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567"/>
        <w:spacing w:after="0" w:line="297" w:lineRule="auto"/>
        <w:rPr>
          <w:sz w:val="20"/>
          <w:szCs w:val="20"/>
          <w:color w:val="auto"/>
        </w:rPr>
      </w:pPr>
      <w:r>
        <w:rPr>
          <w:rFonts w:ascii="Arial" w:cs="Arial" w:eastAsia="Arial" w:hAnsi="Arial"/>
          <w:sz w:val="16"/>
          <w:szCs w:val="16"/>
          <w:color w:val="auto"/>
        </w:rPr>
        <w:t>The Condensed Consolidated Financial Statements at June 30, 2018 and for the quarter and six months ended June 30, 2018 and 2017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(2017 Annual Report) incorporated by reference in our Annual Report on Form 10-K for calendar year 2017 (2017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six months ended June 30, 2018, our investment in business acquisitions was $134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consisted of an acquisition at Pratt &amp; Whitney. On June 21, 2018, UTC Climate, Controls &amp; Security completed its sale of Taylor Company for proceeds of $1.0 billion resulting in a pre-tax gain of $795 million ($588 million after tax).</w:t>
      </w:r>
    </w:p>
    <w:p>
      <w:pPr>
        <w:spacing w:after="0" w:line="180"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On September 4, 2017, we announced that we had entered into a merger agreement with Rockwell Collins, Inc. (Rockwell Collins), under which we agreed to acquire Rockwell Collins. Under the terms of the merger agreement, each Rockwell Collins shareowner will receive $93.33 per share in cash and a fraction of a share of UTC common stock equal to the quotient obtained by dividing $46.67 by the average of the volume-weighted average prices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 (ii) 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 Exchange Ratio will be fixed at 0.43613 and the value of the Stock Consideration will be less than $46.67. On January 11, 2018, the merger was approved by Rockwell Collins' shareowners. We currently expect that the merger will be completed in the third quarter of 2018, subject to customary closing conditions, including the receipt of required regulatory approvals.</w:t>
      </w:r>
    </w:p>
    <w:p>
      <w:pPr>
        <w:spacing w:after="0" w:line="172"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We anticipate that approximately $15 billion will be required to pay the aggregate cash portion of the Merger Consideration. We expect to fund the cash portion of the Merger Consideration through debt issuances and cash on hand. Additionally, we have entered into a $6.5 billion 364-day unsecured bridge loan credit agreement that would be funded only to the extent certain anticipated debt issuances are not completed prior to the completion of the merger. We expect to assume approximately $7 billion of Rockwell Collins' outstanding debt upon completion of the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2018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14"/>
                <w:szCs w:val="14"/>
                <w:color w:val="auto"/>
              </w:rPr>
            </w:pPr>
          </w:p>
        </w:tc>
        <w:tc>
          <w:tcPr>
            <w:tcW w:w="13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2018</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27,910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$274 million net reduction in goodwill within Foreign Currency Translation and Other includes a $150 million reduction of goodwill attributable to UTC Climate, Controls &amp; Security's sale of Taylor Company.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38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20,270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59"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Amortization of intangible assets for the quarter and six months ended June 30, 2018 was $232 million and $455 million, respectively, compared with $210 million and $415 million for the same periods of 2017. The following is the expected amortization of intangible assets for the years 2018 through 2023, which reflects the pattern of expected economic benefit on certain aerospace intangible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2018</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918</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and interim periods therein. We adopted the New Revenue Standard effective January 1, 2018 and elected the modified retrospective approach. The results for periods before 2018 were not adjusted for the new standard and the cumulative effect of the change in accounting was recognized through retained earnings at the date of adoption.</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Revenue Recognition Accounting Policy Summary. </w:t>
      </w:r>
      <w:r>
        <w:rPr>
          <w:rFonts w:ascii="Arial" w:cs="Arial" w:eastAsia="Arial" w:hAnsi="Arial"/>
          <w:sz w:val="18"/>
          <w:szCs w:val="18"/>
          <w:color w:val="auto"/>
        </w:rPr>
        <w:t>We account for revenue in accordance with Accounting Standards Codification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Topic 606, a performance obligation is a promise in a contract with a customer to transfer a distinct good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the customer. Some of 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9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consider the contractual consideration payable by the customer and assess variable consideration that may affect the total transaction price, including contractual discounts, contract incentive payments, estimates of award fees, and other sources of variable consideration, when determining the transaction price of each contract. We include variable consideration in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Point in time revenue recognition. </w:t>
      </w:r>
      <w:r>
        <w:rPr>
          <w:rFonts w:ascii="Arial" w:cs="Arial" w:eastAsia="Arial" w:hAnsi="Arial"/>
          <w:sz w:val="17"/>
          <w:szCs w:val="17"/>
          <w:color w:val="auto"/>
        </w:rPr>
        <w:t>Timing of the satisfaction of performance obligations varies across our businesses due to our diverse product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mix, customer base, and contractual terms. Performance obligations are satisfied as of a point in time for heating, ventilating, air-conditioning and refrigeration systems, certain alarm and fire detection and suppression systems, and certain aerospace components, engines, and spare parts. Revenue is recognized when control of the product transfers to the customer, generally upon product shipment.</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Over-time revenue recognition. </w:t>
      </w:r>
      <w:r>
        <w:rPr>
          <w:rFonts w:ascii="Arial" w:cs="Arial" w:eastAsia="Arial" w:hAnsi="Arial"/>
          <w:sz w:val="17"/>
          <w:szCs w:val="17"/>
          <w:color w:val="auto"/>
        </w:rPr>
        <w:t>Performance obligations are satisfied over-time if the customer receives the benefits as we perform work, if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asset as it is being produced, or if the product being produced for the customer has no alternative use and we have a contractual right to payment. Revenue is recognized for our construction-type and certain production-type contracts on an over-time basis. We recognize revenue on an over-time basis on certain long-term aerospace aftermarket contracts and aftermarket service work; development, fixed price, and other cost reimbursement contracts in our aerospace businesses; and elevator and escalator sales, installation, service, modernization and other construction contracts in our commercial businesses. For construction and installation contracts within our commercial businesses and aerospace performance obligations satisfied over time, revenue is recognized using costs incurred to date relative to total estimated costs at completion to measure progress. Incurred costs represent work performed, which correspond with and best depict transfer of control to the customer. Contract costs include labor, materials, and subcontractors' costs, or other direct costs, and where applicable on government and commercial contracts, indirect costs.</w:t>
      </w:r>
    </w:p>
    <w:p>
      <w:pPr>
        <w:spacing w:after="0" w:line="182"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For certain of our long-term aftermarket contracts, revenue is recognized over the contract period. In the commercial businesses, revenue is primarily recognized on a straight-line basis over the contract period. In the aerospace businesses, we generally account for such contracts as a series of daily obligations to stand ready to provide product maintenance and aftermarket services. Revenue is primarily recognized in proportion to cost as sufficient historical evidence indicates that the cost of performing services under the contract is incurred on an other than straight-line basis. Aerospace contract modifications are routine and contracts are often modified to account for changes in contract specifications or requirements. Contract modifications that are for goods or services that are not distinct are accounted for as part of the existing contract.</w:t>
      </w:r>
    </w:p>
    <w:p>
      <w:pPr>
        <w:spacing w:after="0" w:line="178"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We incur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original equipment (OEM) products are delivered to the customer. In instances where intellectual property does not transfer to the customer, we defer the customer funding of OEM product engineering and development and recognize revenue when the OEM products are delivered to the customer. Costs to obtain contracts are not material.</w:t>
      </w:r>
    </w:p>
    <w:p>
      <w:pPr>
        <w:spacing w:after="0" w:line="15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Loss provisions on OEM contracts are recognized to the extent that estimated contract costs exceed the estimated consideration from the products contemplated under the contractual arrangement. For new commitments, we generally record loss provisions at the earlier of contract announcement or contract signing except for certain contracts under which losses are recorded upon receipt of the purchase order that obligates us to perform. For existing commitments, anticipated losses on contractual arrangements are recognized in the period in which losses become evident. Products contemplated under contractual arrangements include firm quantities of product sold under contract and, in the large commercial engine and wheels and brakes businesses, future highly probable sales of replacement parts required by regulation that are expected to be sold subsequently for incorporation into the original equipment. In the large commercial engine and wheels and brakes businesses, when the combined original equipment and aftermarket arrangement for each individual sales campaign are profitable, we record original equipment product losses, as applicable, at the time of delivery.</w:t>
      </w:r>
    </w:p>
    <w:p>
      <w:pPr>
        <w:spacing w:after="0" w:line="16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review our cost estimates on significant contracts on a quarterly basis and for others, no less frequently than annually or when circumstances change and warrant a modification to a previous estimate. We record changes in contract estimates using the cumulative catch-up method.</w:t>
      </w:r>
    </w:p>
    <w:p>
      <w:pPr>
        <w:spacing w:after="0" w:line="14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The New Revenue Standard </w:t>
      </w:r>
      <w:r>
        <w:rPr>
          <w:rFonts w:ascii="Arial" w:cs="Arial" w:eastAsia="Arial" w:hAnsi="Arial"/>
          <w:sz w:val="17"/>
          <w:szCs w:val="17"/>
          <w:color w:val="auto"/>
        </w:rPr>
        <w:t>changed the revenue recognition practices for a number of revenue streams across our businesses, although the most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impacts are concentrated in our aerospace units. Several businesses, which previously accounted for revenue on a point in time basis are now required to use an over-time model when their contracts meet one or more of the mandatory criteria established in the New Revenue Standard. Revenue is now recognized based on percentage-of-completion for repair contracts within Otis and UTC Climate, Controls &amp; Security; certain U.S. Government and commercial aerospace equipment contracts; and aerospace aftermarket service work. For these businesses, unrecognized sales related to the satisfied portion of the performance obligations of contracts in process as of the date of adoption of approximately $220 million</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were recorded through retained earnings. The ongoing effect of recording revenue on a percentage-of-completion basis within these businesses is not expected to be materially different than the previous revenue recognition method.</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addition to the foregoing, our aerospace businesses, in certain cases, also changed the timing of manufacturing cost recognition and certain engineering and development costs. In most circumstances, our commercial aerospace businesses identify the performance obligation as the individual OEM unit; revenue and cost to manufacture each unit are recognized upon OEM unit delivery. Under the prior accounting, the unit of accounting was the contract and early-contract OEM unit costs in excess of the average unit costs expected over the contract were capitalized and amortized over lower-cost units later in the contract. With the adoption of the New Revenue Standard, deferred unit costs in excess of the contract average of $438 million as of January 1, 2018 were eliminated through retained earnings, and as such, will not be amortized into future earnings.</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New Revenue Standard, costs incurred for engineering and development of aerospace products under contracts with customers must be capitalized as contract fulfillment costs, to the extent recoverable from the associated contract margin, and subsequently amortized as the OEM products are delivered to the customer. Under prior accounting, we generally expensed costs of engineering and development of aerospace products. The new standard also requires that customer funding of OEM product engineering and development be deferred in instances where economic benefit does not transfer to the customer and recognized as revenue when the OEM products are delivered. Engineering and development costs which do not qualify for capitalization as contract fulfillment costs are expensed as incurred. Prior to the New Revenue Standard, any customer funding received for such development efforts was recognized when earned, with the corresponding costs recognized as cost of sales.</w:t>
      </w:r>
    </w:p>
    <w:p>
      <w:pPr>
        <w:spacing w:after="0" w:line="17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With the adoption of the New Revenue Standard, we capitalized engineering and development costs of approximately $700 million as contract fulfillment cost assets through retained earnings as of January 1, 2018. We also established previously recognized customer funding of approximately $850 million as a contract liability through retained earnings as of the adoption date.</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expect the New Revenue Standard will have an immaterial impact on our 2018 net income. Adoption of the New Revenue Standard has resulted in Statement of Operations classification changes between Net Sales, Cost of sales, Research &amp; development, and Other income. The New Revenue Standard also resulted in the establishment of Contract asset and Contract liability balance sheet accounts, and in the reclassification of balances to these new accounts from Accounts receivable, Inventories and contracts in progress, net, and Accrued liabilities. In addition to the following disclosures, Note 16 provides incremental disclosures required by the New Revenue Standard, including disaggregation of revenue into categories that depict how the nature, amount, timing and uncertainty of revenue and cash flows are affected by economic factors.</w:t>
      </w:r>
    </w:p>
    <w:p>
      <w:pPr>
        <w:spacing w:after="0" w:line="178"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following schedules quantify the impact of the New Revenue Standard on the statement of operations for the quarter and six months ended June 30, 2018. The effect of the new standard represents the increase (decrease) in the line item based on the adoption of the New Revenue Standard.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54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Quarter Ended June</w:t>
            </w: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Quarter Ended June</w:t>
            </w:r>
          </w:p>
        </w:tc>
        <w:tc>
          <w:tcPr>
            <w:tcW w:w="0" w:type="dxa"/>
            <w:vAlign w:val="bottom"/>
          </w:tcPr>
          <w:p>
            <w:pPr>
              <w:spacing w:after="0"/>
              <w:rPr>
                <w:sz w:val="1"/>
                <w:szCs w:val="1"/>
                <w:color w:val="auto"/>
              </w:rPr>
            </w:pPr>
          </w:p>
        </w:tc>
      </w:tr>
      <w:tr>
        <w:trPr>
          <w:trHeight w:val="149"/>
        </w:trPr>
        <w:tc>
          <w:tcPr>
            <w:tcW w:w="5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30, 2018, under</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20" w:type="dxa"/>
            <w:vAlign w:val="bottom"/>
            <w:gridSpan w:val="4"/>
            <w:vMerge w:val="continue"/>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previous standard</w:t>
            </w: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13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w w:val="95"/>
              </w:rPr>
              <w:t>30, 2018 as 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Product sales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11,406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Service sales</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Cost of products sold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7"/>
        </w:trPr>
        <w:tc>
          <w:tcPr>
            <w:tcW w:w="5420" w:type="dxa"/>
            <w:vAlign w:val="bottom"/>
            <w:gridSpan w:val="4"/>
          </w:tcPr>
          <w:p>
            <w:pPr>
              <w:ind w:left="40"/>
              <w:spacing w:after="0"/>
              <w:rPr>
                <w:sz w:val="20"/>
                <w:szCs w:val="20"/>
                <w:color w:val="auto"/>
              </w:rPr>
            </w:pPr>
            <w:r>
              <w:rPr>
                <w:rFonts w:ascii="Arial" w:cs="Arial" w:eastAsia="Arial" w:hAnsi="Arial"/>
                <w:sz w:val="18"/>
                <w:szCs w:val="18"/>
                <w:color w:val="auto"/>
              </w:rPr>
              <w:t>Operating profit</w:t>
            </w: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Non-service pension (benefit)</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w w:val="94"/>
              </w:rPr>
              <w:t>Less: Noncontrolling interest in subsidiaries' earnings from operations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 2018, under</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40" w:type="dxa"/>
            <w:vAlign w:val="bottom"/>
          </w:tcPr>
          <w:p>
            <w:pPr>
              <w:spacing w:after="0"/>
              <w:rPr>
                <w:sz w:val="12"/>
                <w:szCs w:val="12"/>
                <w:color w:val="auto"/>
              </w:rPr>
            </w:pPr>
          </w:p>
        </w:tc>
        <w:tc>
          <w:tcPr>
            <w:tcW w:w="122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90"/>
              </w:rPr>
              <w:t>June 30, 2018 as</w:t>
            </w:r>
          </w:p>
        </w:tc>
        <w:tc>
          <w:tcPr>
            <w:tcW w:w="0" w:type="dxa"/>
            <w:vAlign w:val="bottom"/>
          </w:tcPr>
          <w:p>
            <w:pPr>
              <w:spacing w:after="0"/>
              <w:rPr>
                <w:sz w:val="1"/>
                <w:szCs w:val="1"/>
                <w:color w:val="auto"/>
              </w:rPr>
            </w:pPr>
          </w:p>
        </w:tc>
      </w:tr>
      <w:tr>
        <w:trPr>
          <w:trHeight w:val="149"/>
        </w:trPr>
        <w:tc>
          <w:tcPr>
            <w:tcW w:w="5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previous standard</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91"/>
              </w:rPr>
              <w:t>reported</w:t>
            </w:r>
          </w:p>
        </w:tc>
        <w:tc>
          <w:tcPr>
            <w:tcW w:w="0" w:type="dxa"/>
            <w:vAlign w:val="bottom"/>
          </w:tcPr>
          <w:p>
            <w:pPr>
              <w:spacing w:after="0"/>
              <w:rPr>
                <w:sz w:val="1"/>
                <w:szCs w:val="1"/>
                <w:color w:val="auto"/>
              </w:rPr>
            </w:pPr>
          </w:p>
        </w:tc>
      </w:tr>
      <w:tr>
        <w:trPr>
          <w:trHeight w:val="158"/>
        </w:trPr>
        <w:tc>
          <w:tcPr>
            <w:tcW w:w="5420" w:type="dxa"/>
            <w:vAlign w:val="bottom"/>
            <w:gridSpan w:val="4"/>
            <w:vMerge w:val="continue"/>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Product sales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21,573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Service sales</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Cost of products sold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27,907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7"/>
        </w:trPr>
        <w:tc>
          <w:tcPr>
            <w:tcW w:w="5420" w:type="dxa"/>
            <w:vAlign w:val="bottom"/>
            <w:gridSpan w:val="4"/>
          </w:tcPr>
          <w:p>
            <w:pPr>
              <w:ind w:left="40"/>
              <w:spacing w:after="0"/>
              <w:rPr>
                <w:sz w:val="20"/>
                <w:szCs w:val="20"/>
                <w:color w:val="auto"/>
              </w:rPr>
            </w:pPr>
            <w:r>
              <w:rPr>
                <w:rFonts w:ascii="Arial" w:cs="Arial" w:eastAsia="Arial" w:hAnsi="Arial"/>
                <w:sz w:val="18"/>
                <w:szCs w:val="18"/>
                <w:color w:val="auto"/>
              </w:rPr>
              <w:t>Operating profit</w:t>
            </w: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Non-service pension (benefit)</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w w:val="94"/>
              </w:rPr>
              <w:t>Less: Noncontrolling interest in subsidiaries' earnings from operations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New Revenue Standard resulted in an increase to Product and Service sales and Cost of products and services sold primarily due to the change to a percentage-of-completion revenue model for certain U.S Government and commercial aerospace equipment contracts, and aerospace aftermarket service work at Pratt &amp; Whitney and UTC Aerospace Systems. The New Revenue Standard also resulted in an increase in Cost of products sold related to the timing of manufacturing cost recognition on early-contract OEM units sold, with costs in excess of the contract average unit costs recorded through Cost of products sold.</w:t>
      </w:r>
    </w:p>
    <w:p>
      <w:pPr>
        <w:spacing w:after="0" w:line="18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lower amounts of research and development expense recognized under the New Revenue Standard reflect the capitalization of costs of engineering and development of aerospace products as contract fulfillment costs under contracts with customers.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quantifies the impact of the New Revenue Standard on our balance sheet as of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2018 under</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4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June 30, 2018 as</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previous standard</w:t>
            </w: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140" w:type="dxa"/>
            <w:vAlign w:val="bottom"/>
          </w:tcPr>
          <w:p>
            <w:pPr>
              <w:spacing w:after="0"/>
              <w:rPr>
                <w:sz w:val="13"/>
                <w:szCs w:val="13"/>
                <w:color w:val="auto"/>
              </w:rPr>
            </w:pPr>
          </w:p>
        </w:tc>
        <w:tc>
          <w:tcPr>
            <w:tcW w:w="1220" w:type="dxa"/>
            <w:vAlign w:val="bottom"/>
          </w:tcPr>
          <w:p>
            <w:pPr>
              <w:jc w:val="right"/>
              <w:ind w:right="333"/>
              <w:spacing w:after="0" w:line="158" w:lineRule="exact"/>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13,432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11,973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Contract assets, current</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 current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Future income tax benefits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Contract liabilities, current</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 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57,517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57,027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The decrease in Retained earnings of $490 million in the table above reflects $480 million of adjustments to the balance sheet as of January 1, 2018, resulting from the adoption of the New Revenue Standard and $10 million lower reported net income under the New Revenue Standard during 2018. The declines in Accounts receivable, net, Inventories, Other assets, current, and Intangible assets, net, reflect reclassifications to contract assets, and specifically for Inventories, earlier recognition of costs of products sold for contracts requiring an over-time method of revenue recognition. The increase in Other assets reflects the establishment of non-current contract assets and contract fulfillment cost assets.</w:t>
      </w:r>
    </w:p>
    <w:p>
      <w:pPr>
        <w:spacing w:after="0" w:line="173"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decline in accrued liabilities is primarily due to the reclassification of payments from customers in advance of work performed as contract liabilities. The Other long term liabilities increase primarily reflects the establishment of non-current contract liabilities for certain customer funding of OEM product engineering and development, which will be recognized as revenue when the OEM products are delivered to the customer.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Contract Assets and Liabilities. </w:t>
      </w:r>
      <w:r>
        <w:rPr>
          <w:rFonts w:ascii="Arial" w:cs="Arial" w:eastAsia="Arial" w:hAnsi="Arial"/>
          <w:sz w:val="17"/>
          <w:szCs w:val="17"/>
          <w:color w:val="auto"/>
        </w:rPr>
        <w:t>Contract assets reflect revenue recognized and performance obligations satisfied in advance of customer billing.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relate to payments received in advance of the satisfaction of performance under the contract. We receive payments from customers based on the terms established in our contracts. Total contract assets and contract liabilities as of June 30, 2018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June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Contract assets, noncurrent (included within Other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0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contract 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4,288</w:t>
            </w:r>
          </w:p>
        </w:tc>
      </w:tr>
      <w:tr>
        <w:trPr>
          <w:trHeight w:val="23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Contract liabilities, current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liabilities, noncurrent (included within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(4,838)</w:t>
            </w:r>
          </w:p>
        </w:tc>
      </w:tr>
      <w:tr>
        <w:trPr>
          <w:trHeight w:val="237"/>
        </w:trPr>
        <w:tc>
          <w:tcPr>
            <w:tcW w:w="40" w:type="dxa"/>
            <w:vAlign w:val="bottom"/>
          </w:tcPr>
          <w:p>
            <w:pPr>
              <w:spacing w:after="0"/>
              <w:rPr>
                <w:sz w:val="20"/>
                <w:szCs w:val="20"/>
                <w:color w:val="auto"/>
              </w:rPr>
            </w:pPr>
          </w:p>
        </w:tc>
        <w:tc>
          <w:tcPr>
            <w:tcW w:w="10020" w:type="dxa"/>
            <w:vAlign w:val="bottom"/>
            <w:gridSpan w:val="2"/>
          </w:tcPr>
          <w:p>
            <w:pPr>
              <w:ind w:left="160"/>
              <w:spacing w:after="0"/>
              <w:rPr>
                <w:sz w:val="20"/>
                <w:szCs w:val="20"/>
                <w:color w:val="auto"/>
              </w:rPr>
            </w:pPr>
            <w:r>
              <w:rPr>
                <w:rFonts w:ascii="Arial" w:cs="Arial" w:eastAsia="Arial" w:hAnsi="Arial"/>
                <w:sz w:val="18"/>
                <w:szCs w:val="18"/>
                <w:color w:val="auto"/>
              </w:rPr>
              <w:t>Total contract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Under the New Revenue Standard, during the six months ended June 30, 2018, net contract liabilities increased to $6,202 million. This reflects the establishment of $6,365 million of net contract liabilities upon the adoption, and $14,401 million of advance payments from customers and reclassifications of contract assets to receivables upon billing during the period. These increases were partially offset by the liquidation of beginning of period contract liabilities of $1,728 million as a result of revenue recognition, and by $12,701 million of revenue recognition within the period. The remaining change is primarily attributable to the impact of foreign currency exchange rate changes on the balance of contract assets and liabilities.</w:t>
      </w:r>
    </w:p>
    <w:p>
      <w:pPr>
        <w:spacing w:after="0" w:line="169"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Remaining performance obligations </w:t>
      </w:r>
      <w:r>
        <w:rPr>
          <w:rFonts w:ascii="Arial" w:cs="Arial" w:eastAsia="Arial" w:hAnsi="Arial"/>
          <w:sz w:val="16"/>
          <w:szCs w:val="16"/>
          <w:color w:val="auto"/>
        </w:rPr>
        <w:t>("RPO") are the aggregate amount of total contract transaction price that is unsatisfied or partially unsatisfied.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2018, our total RPO is $103.4 billion. Of this total, we expect approximately 45% will be recognized as sales over the following 24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0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6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9"/>
                <w:szCs w:val="19"/>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98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2,825</w:t>
            </w: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791.1</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awards and equity units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r>
      <w:tr>
        <w:trPr>
          <w:trHeight w:val="297"/>
        </w:trPr>
        <w:tc>
          <w:tcPr>
            <w:tcW w:w="4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3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800.4</w:t>
            </w:r>
          </w:p>
        </w:tc>
      </w:tr>
      <w:tr>
        <w:trPr>
          <w:trHeight w:val="237"/>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3.57</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r>
      <w:tr>
        <w:trPr>
          <w:trHeight w:val="27"/>
        </w:trPr>
        <w:tc>
          <w:tcPr>
            <w:tcW w:w="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both the quarter and six months ended June 30, 2018, the number of stock awards excluded from the computation was approximately 5.1 million. For the quarter and six months ended June 30, 2017, the number of stock awards excluded from the computation was approximately 5.8 million and 6.4 million,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3,366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10,205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19,454</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6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Inventories as of December 31, 2017 include capitalized contract development costs of $127 million related to certain aerospace programs at UTC Aerospace Systems. Upon adoption of the New Revenue Standard, these costs are recorded as contract fulfillment costs included in Other assets.</w:t>
      </w:r>
    </w:p>
    <w:p>
      <w:pPr>
        <w:spacing w:after="0" w:line="12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Prior to the adoption of the New Revenue Standard, within our commercial aerospace business, inventory costs attributable to new engine offerings were recognized based on the average cost per unit expected over the life of each contract using the units-of-delivery method of percentage of completion accounting. Under this method, costs of initial engine deliveries in excess of the projected contract per unit average cost were capitalized and these capitalized amounts were subsequently expensed as additional engines are delivered for engines with costs below the projected contract per unit average cost over the life of the contract. As of December 31, 2017, inventory included $438 million of such capitalized amounts. Upon adoption of the New Revenue Standard, these amounts are no longer included in inventory. In addition, amounts previously reported as Contracts in progress have been reclassified as contract assets in accordance with the New Revenue Standard.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At June 30, 2018, we had revolving credit agreements with various banks permitting aggregate borrowings of up to $4.35 billion, pursuant to a $2.20 billion revolving credit agreement and a $2.15 billion multicurrency revolving credit agreement, both of which expire in August 2021. As of June 30, 2018, there were no borrowings under either of these agreements. The undrawn portions of these revolving credit agreements are also available to serve as backup facilities for the issuance of commercial paper. As of June 30, 2018, our maximum commercial paper borrowing limit was $4.35 billion. Commercial paper borrowings at June 30, 2018 include approximately €750 million ($876 million) of euro-denominated commercial paper. We use our commercial paper borrowings for general corporate purposes, including the funding of potential acquisitions,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7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On May 18, 2018, we issued €750 million aggregate principal amount of 1.150% senior notes due 2024, €500 million aggregate principal amount of 2.150% senior notes maturing 2030 and €750 million aggregate principal amount of senior floating rate notes maturing 2020. The net proceeds received from these debt issuances were used for general corporate purposes.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4, 2018, we repaid at maturity approximately $1.1 billion aggregate principal amount of 1.778% junior subordinated notes.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February 1, 2018, we repaid at maturity the $99 million 6.80% notes due in 2018 and on February 22, 2018, we repaid at maturity the €750 million EURIBOR plus 0.80% floating rate notes due in 2018.</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connection with the merger agreement with Rockwell Collins announced on September 4, 2017, we have entered into a $6.5 billion 364-day unsecured bridge loan credit agreement that would be funded only to the extent certain anticipated debt issuances are not completed prior to the completion of the merger. See Note 1 for additional discussion.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6.800% notes due 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EURIBOR plus 0.15% floating rate notes due 2019 (€750 million principal value)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0.20% floating rate notes due 2020 (€750 million principal value)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8.750% notes due 2021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1,127</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7.000% notes due 2038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Project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(including capitalized leases)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principal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2,104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24,989</w:t>
            </w:r>
          </w:p>
        </w:tc>
      </w:tr>
    </w:tbl>
    <w:p>
      <w:pPr>
        <w:spacing w:after="0" w:line="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340" w:right="52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three-month EURIBOR rate as of June 30, 2018 was approximately -0.321%.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three-month LIBOR rate as of June 30, 2018 was approximately 2.336%.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average maturity of our long-term debt at June 30, 2018 is approximately 11 years. The average interest expense rate on our total borrowings for the quarter and six months ended June 30, 2018 and 2017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43"/>
        </w:trPr>
        <w:tc>
          <w:tcPr>
            <w:tcW w:w="6380" w:type="dxa"/>
            <w:vAlign w:val="bottom"/>
            <w:gridSpan w:val="2"/>
            <w:shd w:val="clear" w:color="auto" w:fill="CCEEFF"/>
          </w:tcPr>
          <w:p>
            <w:pPr>
              <w:jc w:val="right"/>
              <w:ind w:right="4168"/>
              <w:spacing w:after="0"/>
              <w:rPr>
                <w:sz w:val="20"/>
                <w:szCs w:val="20"/>
                <w:color w:val="auto"/>
              </w:rPr>
            </w:pPr>
            <w:r>
              <w:rPr>
                <w:rFonts w:ascii="Arial" w:cs="Arial" w:eastAsia="Arial" w:hAnsi="Arial"/>
                <w:sz w:val="18"/>
                <w:szCs w:val="18"/>
                <w:color w:val="auto"/>
                <w:w w:val="88"/>
              </w:rPr>
              <w:t>Average interest expense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issuances,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420" w:firstLine="405"/>
        <w:spacing w:after="0" w:line="297" w:lineRule="auto"/>
        <w:rPr>
          <w:sz w:val="20"/>
          <w:szCs w:val="20"/>
          <w:color w:val="auto"/>
        </w:rPr>
      </w:pPr>
      <w:r>
        <w:rPr>
          <w:rFonts w:ascii="Arial" w:cs="Arial" w:eastAsia="Arial" w:hAnsi="Arial"/>
          <w:sz w:val="16"/>
          <w:szCs w:val="16"/>
          <w:color w:val="auto"/>
        </w:rPr>
        <w:t>On December 22, 2017 Public Law 115-97 “An Act to Provide for Reconciliation Pursuant to Titles II and V of the Concurrent Resolution on the Budget for Fiscal Year 2018” was enacted. This law is commonly referred to as the Tax Cuts and Jobs Act of 2017 (TCJA). In accordance with Staff Accounting Bulletin 118 (SAB 118) issued on December 22, 2017, the U.S. income tax amounts recorded attributable to the TCJA’s deemed repatriation provision, the revaluation of U.S. deferred taxes and the tax consequences relating to states with current conformity to the Internal Revenue Code are provisional amounts. Due to the enactment date and tax complexities of the TCJA, the Company has not completed its accounting related to these items.</w:t>
      </w:r>
    </w:p>
    <w:p>
      <w:pPr>
        <w:spacing w:after="0" w:line="1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as provided for by SAB 118 this evaluation has not yet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will continue to accumulate and refine the relevant data and computational elements needed to finalize its accounting for the effects of the TCJA by December 22, 2018.</w:t>
      </w:r>
    </w:p>
    <w:p>
      <w:pPr>
        <w:spacing w:after="0" w:line="6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2006.</w:t>
      </w:r>
    </w:p>
    <w:p>
      <w:pPr>
        <w:spacing w:after="0" w:line="18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$50 million to $625 million of unrecognized tax benefits may occur within the next 12 months as a result of additional worldwide uncertain tax positions, the closure of tax statutes, or the revaluation of current uncertain tax positions arising from the issuance of legislation, regulatory or other guidance or developments in examinations, in appeals, or in the courts. The range of potential change includes provisional amounts related to the TCJA based on currently available information. See Note 15, Contingent Liabilities, for discussion regarding uncertain tax positions, included in the above range, related to pending litigation with respect to certain deductions claimed in Germany.</w:t>
      </w:r>
    </w:p>
    <w:p>
      <w:pPr>
        <w:spacing w:after="0" w:line="16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Examination Division of the Internal Revenue Service is currently auditing UTC tax years 2014, 2015 and 2016, and the audit is expected to continue beyond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Compensation-Retirement Benefits (Topic 715), 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Postretirement Benefit Cost</w:t>
      </w:r>
      <w:r>
        <w:rPr>
          <w:rFonts w:ascii="Arial" w:cs="Arial" w:eastAsia="Arial" w:hAnsi="Arial"/>
          <w:sz w:val="18"/>
          <w:szCs w:val="18"/>
          <w:color w:val="auto"/>
        </w:rPr>
        <w:t>. This ASU requires an employer to report the service cost component of net periodic pension benefit cost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line item or items as other compensation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This ASU was effective for years beginning after December 15, 2017. The Company adopted this standard on January 1, 2018 applying the presentation requirements retrospectively. We elected to apply the practical expedient, which allows us to reclassify amounts disclosed previously in the employee benefit plans note as the basis for applying retrospective presentation for comparative periods as it is impracticable to determine the disaggregation of the cost components for amounts capitalized and amortized in those periods. Provisions related to presentation of the service cost component eligibility for capitalization were applied prospectively.</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effect of the retrospective presentation change related to the net periodic benefit cost of our defined benefit pension and postretirement plans on our condensed consolidated statement of operations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4"/>
              </w:rPr>
              <w:t>Quarter Ended June 30, 2017</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Previously Reported</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280" w:type="dxa"/>
            <w:vAlign w:val="bottom"/>
          </w:tcPr>
          <w:p>
            <w:pPr>
              <w:spacing w:after="0"/>
              <w:rPr>
                <w:sz w:val="13"/>
                <w:szCs w:val="13"/>
                <w:color w:val="auto"/>
              </w:rPr>
            </w:pPr>
          </w:p>
        </w:tc>
        <w:tc>
          <w:tcPr>
            <w:tcW w:w="10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0"/>
              </w:rPr>
              <w:t>As Revised</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Higher/(Lower)</w:t>
            </w: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Cost of services sold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2"/>
              </w:rPr>
              <w:t>Six Months Ended June 30, 2017</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Previously Reported</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280" w:type="dxa"/>
            <w:vAlign w:val="bottom"/>
          </w:tcPr>
          <w:p>
            <w:pPr>
              <w:spacing w:after="0"/>
              <w:rPr>
                <w:sz w:val="13"/>
                <w:szCs w:val="13"/>
                <w:color w:val="auto"/>
              </w:rPr>
            </w:pPr>
          </w:p>
        </w:tc>
        <w:tc>
          <w:tcPr>
            <w:tcW w:w="10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0"/>
              </w:rPr>
              <w:t>As Revised</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Higher/(Lower)</w:t>
            </w: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15,268</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Cost of services sold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580" w:type="dxa"/>
            <w:vAlign w:val="bottom"/>
            <w:gridSpan w:val="2"/>
          </w:tcPr>
          <w:p>
            <w:pPr>
              <w:ind w:left="400"/>
              <w:spacing w:after="0"/>
              <w:rPr>
                <w:sz w:val="20"/>
                <w:szCs w:val="20"/>
                <w:color w:val="auto"/>
              </w:rPr>
            </w:pPr>
            <w:r>
              <w:rPr>
                <w:rFonts w:ascii="Arial" w:cs="Arial" w:eastAsia="Arial" w:hAnsi="Arial"/>
                <w:sz w:val="18"/>
                <w:szCs w:val="18"/>
                <w:color w:val="auto"/>
              </w:rPr>
              <w:t>Contributions to our plans were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6"/>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Pr>
          <w:p>
            <w:pPr>
              <w:spacing w:after="0"/>
              <w:rPr>
                <w:sz w:val="24"/>
                <w:szCs w:val="24"/>
                <w:color w:val="auto"/>
              </w:rPr>
            </w:pPr>
          </w:p>
        </w:tc>
        <w:tc>
          <w:tcPr>
            <w:tcW w:w="27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There were no contributions to our domestic defined benefit pension plans in the quarter and six months ended June 30, 2018 and 2017. The following table illustrates the components of net periodic benefit cost for our defined pension and other postretirement benefit plans: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320" w:type="dxa"/>
            <w:vAlign w:val="bottom"/>
          </w:tcPr>
          <w:p>
            <w:pPr>
              <w:spacing w:after="0"/>
              <w:rPr>
                <w:sz w:val="16"/>
                <w:szCs w:val="16"/>
                <w:color w:val="auto"/>
              </w:rPr>
            </w:pPr>
          </w:p>
        </w:tc>
        <w:tc>
          <w:tcPr>
            <w:tcW w:w="25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Quarter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gain</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gain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As approved in 2016, effective January 1, 2017, a voluntary lump-sum option is available for the frozen final average earnings benefits of certain U.S. salaried employees upon termination of employment after 2016. This option provides participants with the choice of electing to receive a lump-sum payment in lieu of receiving a future monthly pension benefit. This plan change reduced the projected benefit obligation by $170 million as of December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six months ended June 30, 2018, we recorded net pre-tax restructuring costs totaling $149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Restructuring charges incurred during the six months ended June 30, 2018 primarily relate to actions initiated during 2018 and 2017,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2018 Actions. </w:t>
      </w:r>
      <w:r>
        <w:rPr>
          <w:rFonts w:ascii="Arial" w:cs="Arial" w:eastAsia="Arial" w:hAnsi="Arial"/>
          <w:sz w:val="18"/>
          <w:szCs w:val="18"/>
          <w:color w:val="auto"/>
        </w:rPr>
        <w:t>During the six months ended June 30, 2018, we recorded net pre-tax restructuring costs of $73 million, comprised of $38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$37 million in selling, general and administrative expenses, and $2 million in non-service pension benefit. The 2018 actions relate to ongoing cost reduction efforts, including workforce reductions and the consolidation of field and manufacturing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2018 and 2019. No specific plans for other significant actions have been finalized at this time. The following table summarizes the accrual balance and utilization for the 2018 restructuring actions for the quarter and six months ended June 30,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March 31,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June 30, 2018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2018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w w:val="98"/>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2017 Actions. </w:t>
      </w:r>
      <w:r>
        <w:rPr>
          <w:rFonts w:ascii="Arial" w:cs="Arial" w:eastAsia="Arial" w:hAnsi="Arial"/>
          <w:sz w:val="17"/>
          <w:szCs w:val="17"/>
          <w:color w:val="auto"/>
        </w:rPr>
        <w:t>During the six months ended June 30, 2018, we recorded net pre-tax restructuring costs totaling $67 million for restructuring actions initiated</w:t>
      </w:r>
      <w:r>
        <w:rPr>
          <w:rFonts w:ascii="Arial" w:cs="Arial" w:eastAsia="Arial" w:hAnsi="Arial"/>
          <w:sz w:val="17"/>
          <w:szCs w:val="17"/>
          <w:b w:val="1"/>
          <w:bCs w:val="1"/>
          <w:color w:val="auto"/>
        </w:rPr>
        <w:t xml:space="preserve"> </w:t>
      </w:r>
      <w:r>
        <w:rPr>
          <w:rFonts w:ascii="Arial" w:cs="Arial" w:eastAsia="Arial" w:hAnsi="Arial"/>
          <w:sz w:val="17"/>
          <w:szCs w:val="17"/>
          <w:color w:val="auto"/>
        </w:rPr>
        <w:t>in 2017, including $42 million in cost of sales and $25 million in selling, general and administrative expenses. The 2017 actions relate to ongoing cost reduction efforts, including workforce reductions, consolidation of field operations, and costs to exit legacy programs. The following table summarizes the accrual balances and utilization for the 2017 restructuring actions for the quarter and six months ended June 30,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2018</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March 31, 2018</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December 31, 2017</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2017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w w:val="98"/>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00"/>
        <w:spacing w:after="0" w:line="347" w:lineRule="auto"/>
        <w:rPr>
          <w:sz w:val="20"/>
          <w:szCs w:val="20"/>
          <w:color w:val="auto"/>
        </w:rPr>
      </w:pPr>
      <w:r>
        <w:rPr>
          <w:rFonts w:ascii="Arial" w:cs="Arial" w:eastAsia="Arial" w:hAnsi="Arial"/>
          <w:sz w:val="16"/>
          <w:szCs w:val="16"/>
          <w:b w:val="1"/>
          <w:bCs w:val="1"/>
          <w:color w:val="auto"/>
        </w:rPr>
        <w:t xml:space="preserve">2016 and Prior Actions. </w:t>
      </w:r>
      <w:r>
        <w:rPr>
          <w:rFonts w:ascii="Arial" w:cs="Arial" w:eastAsia="Arial" w:hAnsi="Arial"/>
          <w:sz w:val="16"/>
          <w:szCs w:val="16"/>
          <w:color w:val="auto"/>
        </w:rPr>
        <w:t>During the six months ended June 30, 2018, we recorded net pre-tax restructuring costs totaling $9 million for restructuring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2016 and prior. As of June 30, 2018, we have approximately $91 million of accrual balances remaining related to 2016 and prior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$20.5 billion and $19.1 billion at June 30, 2018 and December 31, 2017, respectively.</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 instruments as of June 30, 2018 and December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60" w:type="dxa"/>
            <w:vAlign w:val="bottom"/>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4"/>
                <w:szCs w:val="14"/>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00" w:type="dxa"/>
            <w:vAlign w:val="bottom"/>
            <w:gridSpan w:val="3"/>
            <w:vMerge w:val="continue"/>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 current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asset derivatives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liability derivatives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Pr>
          <w:p>
            <w:pPr>
              <w:ind w:left="20"/>
              <w:spacing w:after="0"/>
              <w:rPr>
                <w:sz w:val="20"/>
                <w:szCs w:val="20"/>
                <w:color w:val="auto"/>
              </w:rPr>
            </w:pPr>
            <w:r>
              <w:rPr>
                <w:rFonts w:ascii="Arial" w:cs="Arial" w:eastAsia="Arial" w:hAnsi="Arial"/>
                <w:sz w:val="18"/>
                <w:szCs w:val="18"/>
                <w:color w:val="auto"/>
              </w:rPr>
              <w:t>Asset Derivatives: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 derivatives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Liability Derivatives: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effect of cash flow hedging relationships on accumulated other comprehensive income for the quarter and six months ended June 30, 2018 and 2017 are presented in the table below. The amounts of gain or (loss) are attributable to foreign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exchange contract activity and are recorded as a component of Product sales when reclassified from accumulated other comprehensive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Quarter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w:t>
            </w:r>
          </w:p>
        </w:tc>
      </w:tr>
      <w:tr>
        <w:trPr>
          <w:trHeight w:val="229"/>
        </w:trPr>
        <w:tc>
          <w:tcPr>
            <w:tcW w:w="5600" w:type="dxa"/>
            <w:vAlign w:val="bottom"/>
            <w:gridSpan w:val="3"/>
          </w:tcPr>
          <w:p>
            <w:pPr>
              <w:ind w:left="40"/>
              <w:spacing w:after="0"/>
              <w:rPr>
                <w:sz w:val="20"/>
                <w:szCs w:val="20"/>
                <w:color w:val="auto"/>
              </w:rPr>
            </w:pPr>
            <w:r>
              <w:rPr>
                <w:rFonts w:ascii="Arial" w:cs="Arial" w:eastAsia="Arial" w:hAnsi="Arial"/>
                <w:sz w:val="18"/>
                <w:szCs w:val="18"/>
                <w:color w:val="auto"/>
                <w:w w:val="96"/>
              </w:rPr>
              <w:t>(Gain) loss reclassified from Accumulated other comprehensive loss into</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Product sales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w:t>
            </w:r>
          </w:p>
        </w:tc>
      </w:tr>
    </w:tbl>
    <w:p>
      <w:pPr>
        <w:spacing w:after="0" w:line="12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table above reflects the effect of cash flow hedging relationships on the Condensed Consolidated Statements of Operations for the quarter and six months ended June 30, 2018 and 2017. The Company utilizes the critical terms match method in assessing derivatives for hedge effectiveness. Accordingly, the hedged items and derivatives designated as hedging instruments are highly effective.</w:t>
      </w:r>
    </w:p>
    <w:p>
      <w:pPr>
        <w:spacing w:after="0" w:line="73"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We have approximately €4.95 billion of euro-denominated long-term debt and €750 million of euro-denominated commercial paper borrowings outstanding,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June 30, 2018, the net investment hedge is deemed to be effective.</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$33 million pre-tax loss is expected to be reclassified from Accumulated other comprehensive loss into Product sales to reflect the fixed prices obtained from foreign exchange hedging within the next 12 months. At June 30, 2018, all derivative contracts accounted for as cash flow hedges will mature by July 2022.</w:t>
      </w:r>
    </w:p>
    <w:p>
      <w:pPr>
        <w:spacing w:after="0" w:line="7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effect of derivatives not designated as hedging instruments that is included below within Other income, net, on the Condensed Consolidated Statement of Operations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Quarter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June 30, 2018 and 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2018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Valuation Techniques. </w:t>
      </w:r>
      <w:r>
        <w:rPr>
          <w:rFonts w:ascii="Arial" w:cs="Arial" w:eastAsia="Arial" w:hAnsi="Arial"/>
          <w:sz w:val="17"/>
          <w:szCs w:val="17"/>
          <w:color w:val="auto"/>
        </w:rPr>
        <w:t>Our available-for-sale securities include equity investments that are traded in active markets, either domestically or internationally,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 As of June 30, 2018, there were no significant transfers in or out of Level 1 and Level 2.</w:t>
      </w:r>
    </w:p>
    <w:p>
      <w:pPr>
        <w:spacing w:after="0" w:line="169"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June 30, 2018,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June 30,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4"/>
              </w:rPr>
              <w:t>June 30, 2018</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0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$15.2 billion and $15.3 billion as of June 30, 2018 and December 31, 2017, respectively, related to commercial aircraft and certain contractual rights to provide product on new aircraft platforms. Associated risks on these commitments from changes in interest rates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notes receivable, and leases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Prior to the adoption of the New Revenue Standard, long-term trade accounts receivable, including unbilled receivables related to long-term aftermarket contracts, were principally amounts arising from the sale of goods and the delivery of services with a contract maturity date or realization period of greater than one year and were recognized as "Other assets" in our Condensed Consolidated Balance Sheet. With the adoption of the New Revenue Standard, these unbilled receivables are classified as non-current contract assets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June 30, 2018 and December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79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615"/>
        </w:trPr>
        <w:tc>
          <w:tcPr>
            <w:tcW w:w="790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4"/>
                <w:szCs w:val="2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r>
      <w:tr>
        <w:trPr>
          <w:trHeight w:val="243"/>
        </w:trPr>
        <w:tc>
          <w:tcPr>
            <w:tcW w:w="7900" w:type="dxa"/>
            <w:vAlign w:val="bottom"/>
            <w:gridSpan w:val="4"/>
          </w:tcPr>
          <w:p>
            <w:pPr>
              <w:ind w:left="40"/>
              <w:spacing w:after="0"/>
              <w:rPr>
                <w:sz w:val="20"/>
                <w:szCs w:val="20"/>
                <w:color w:val="auto"/>
              </w:rPr>
            </w:pPr>
            <w:r>
              <w:rPr>
                <w:rFonts w:ascii="Arial" w:cs="Arial" w:eastAsia="Arial" w:hAnsi="Arial"/>
                <w:sz w:val="18"/>
                <w:szCs w:val="18"/>
                <w:color w:val="auto"/>
              </w:rPr>
              <w:t>Notes and leases receivable</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424</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40"/>
        <w:spacing w:after="0" w:line="293"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receivables are in default. There can be no assurance that actual results will not differ from estimates or that consideration of these factors in the future will not result in an increase or decrease to the allowance for credit losses on long-term receivables. The decrease in Long-term trade accounts receivable from December 31, 2017 is primarily driven by the reclassification of unbilled receivables related to long-term aftermarket contracts to contract assets in accordance with the New Revenue Standard as described above. Based upon the customer credit ratings, approximately $140 million and $170 million of our total long-term receivables were considered to bear high credit risk as of June 30, 2018 and December 31, 2017, respectively.</w:t>
      </w:r>
    </w:p>
    <w:p>
      <w:pPr>
        <w:spacing w:after="0" w:line="165" w:lineRule="exact"/>
        <w:rPr>
          <w:sz w:val="20"/>
          <w:szCs w:val="20"/>
          <w:color w:val="auto"/>
        </w:rPr>
      </w:pPr>
    </w:p>
    <w:p>
      <w:pPr>
        <w:ind w:right="240" w:firstLine="540"/>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 reserves of $17 million as of both June 30, 2018 and December 31, 2017, are individually evaluated for impairment. At June 30, 2018 and December 31, 2017, we did not have any significant balances that are considered to be delinquent, on non-accrual status, past due 90 days or more, or are considered to be unrecoverable.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 and six months ended June 30, 2018 and 2017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9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(loss)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Capital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6"/>
              </w:rPr>
              <w:t>Purchase of subsidiary shares from noncontrolling interest,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Comprehensive (loss)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Capital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w w:val="96"/>
              </w:rPr>
              <w:t>Purchase of subsidiary shares from noncontrolling interest,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New Revenue Standard adoption impact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(loss) income, net of tax for the quarter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is provided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ASU 2016-01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This ASU modifies how entities measure equity investments and present changes in the fair value of financial liabilities. Upon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$380 million of previously unrealized gains reclassified to other income as a result of sales of significant investments in available-for-sale securities in the six months ended June 30, 2017, including UTC Climate, Controls &amp; Security's sale of investments in Watsco, Inc.</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right="20" w:firstLine="540"/>
        <w:spacing w:after="0" w:line="253" w:lineRule="auto"/>
        <w:rPr>
          <w:sz w:val="20"/>
          <w:szCs w:val="20"/>
          <w:color w:val="auto"/>
        </w:rPr>
      </w:pPr>
      <w:r>
        <w:rPr>
          <w:rFonts w:ascii="Arial" w:cs="Arial" w:eastAsia="Arial" w:hAnsi="Arial"/>
          <w:sz w:val="18"/>
          <w:szCs w:val="18"/>
          <w:color w:val="auto"/>
        </w:rPr>
        <w:t>Pratt &amp; Whitney holds a net 61% interest in the IAE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81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15"/>
        </w:trPr>
        <w:tc>
          <w:tcPr>
            <w:tcW w:w="81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w:t>
            </w: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1,534</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3,601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2,086</w:t>
            </w:r>
          </w:p>
        </w:tc>
      </w:tr>
      <w:tr>
        <w:trPr>
          <w:trHeight w:val="257"/>
        </w:trPr>
        <w:tc>
          <w:tcPr>
            <w:tcW w:w="40" w:type="dxa"/>
            <w:vAlign w:val="bottom"/>
          </w:tcPr>
          <w:p>
            <w:pPr>
              <w:spacing w:after="0"/>
              <w:rPr>
                <w:sz w:val="22"/>
                <w:szCs w:val="22"/>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5,687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2017. The changes in the carrying amount of service and product warranties and product performance guarantees for the six months ended June 30, 2018 and 2017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1,234</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2017 Annual Report, incorporated by reference in our 2017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2017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2017 Annual Report.</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anti-bribery,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also void any contracts found to be tainted by fraud.</w:t>
      </w:r>
    </w:p>
    <w:p>
      <w:pPr>
        <w:spacing w:after="0" w:line="178" w:lineRule="exact"/>
        <w:rPr>
          <w:sz w:val="20"/>
          <w:szCs w:val="20"/>
          <w:color w:val="auto"/>
        </w:rPr>
      </w:pPr>
    </w:p>
    <w:p>
      <w:pPr>
        <w:ind w:right="180" w:firstLine="540"/>
        <w:spacing w:after="0" w:line="259"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w:t>
      </w:r>
    </w:p>
    <w:p>
      <w:pPr>
        <w:sectPr>
          <w:pgSz w:w="11900" w:h="16838" w:orient="portrait"/>
          <w:cols w:equalWidth="0" w:num="1">
            <w:col w:w="11420"/>
          </w:cols>
          <w:pgMar w:left="240" w:top="114"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4" w:right="239" w:bottom="1440" w:gutter="0" w:footer="0" w:header="0"/>
          <w:type w:val="continuous"/>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involved substantial amounts. We have made voluntary refunds in those cases we believe appropriate, have settled some allegations and continue to litigate or challenge certain matters.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previously disclosed, in December 2013, a Divisional Administrative Contracting Officer of the United States Defense Contract Management Agency asserted a claim against Pratt &amp; Whitney to recover overpayments of approximately $177 million plus interest (approximately $76.5 million through June 30, 2018).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previously disclosed, UTC has been involved in administrative review proceedings with the German Tax Office, which concern approximately €215 million (approximately $252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$138 million). On August 3, 2012, we filed suit in the local German Tax Court (Berlin-Brandenburg). In March 2016, the local German Tax Court dismissed our suit, and we appealed this decision to the German Federal Tax Court (FTC). The FTC held a hearing on our appeal on July 24, 2018, and we expect it to issue a decision during the third quarter of 2018. In 2015, UTC made tax and interest payments to German tax authorities of €275 million (approximately $300 million) in order to avoid additional interest accruals pending final resolution of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ind w:right="120" w:firstLine="567"/>
        <w:spacing w:after="0" w:line="27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approximately $333 million and is principally recorded in Other long-term liabilities on our Condensed Consolidated Balance Sheet as of June 30, 2018.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$146 million, which is included primarily in Other assets on our Condensed Consolidated Balance Sheet as of June 30, 2018.</w:t>
      </w:r>
    </w:p>
    <w:p>
      <w:pPr>
        <w:spacing w:after="0" w:line="64"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least annually, the Company evaluates all of these factors and, with input from an outside actuarial expert, makes any necessary adjustments to both our estimated asbestos liabilities and insurance recoveries.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7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described in Note 14 of this Form 10-Q and Note 17 to the Consolidated Financial Statements in our 2017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 As discussed in Note 7, 2017 amounts have been recast based on the adoption of ASU 2017-07.</w:t>
      </w:r>
    </w:p>
    <w:p>
      <w:pPr>
        <w:spacing w:after="0" w:line="18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Total sales by segment include inter-segment sales, which are generally made at prices approximating those that the selling entity is able to obtain on external sales. Results for the quarters ended June 30, 2018 and 2017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15,280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six months ended June 30,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31,947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29,095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Geographic sales are attributed to the geographic regions based on their location of origin. Segment information for the quarter ended June 30, 2018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2"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UTC Climate,</w:t>
            </w:r>
          </w:p>
        </w:tc>
        <w:tc>
          <w:tcPr>
            <w:tcW w:w="180" w:type="dxa"/>
            <w:vAlign w:val="bottom"/>
          </w:tcPr>
          <w:p>
            <w:pPr>
              <w:spacing w:after="0"/>
              <w:rPr>
                <w:sz w:val="14"/>
                <w:szCs w:val="1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Pratt &amp;</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UTC</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Otis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Aerospace</w:t>
            </w:r>
          </w:p>
        </w:tc>
        <w:tc>
          <w:tcPr>
            <w:tcW w:w="22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Whitney</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3"/>
              </w:rPr>
              <w:t>Systems</w:t>
            </w: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3"/>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for the six months ended June 30, 2018 is as follows: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UTC Climate,</w:t>
            </w:r>
          </w:p>
        </w:tc>
        <w:tc>
          <w:tcPr>
            <w:tcW w:w="180" w:type="dxa"/>
            <w:vAlign w:val="bottom"/>
          </w:tcPr>
          <w:p>
            <w:pPr>
              <w:spacing w:after="0"/>
              <w:rPr>
                <w:sz w:val="14"/>
                <w:szCs w:val="1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Pratt &amp;</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UTC</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Otis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Aerospace</w:t>
            </w:r>
          </w:p>
        </w:tc>
        <w:tc>
          <w:tcPr>
            <w:tcW w:w="22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Whitney</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3"/>
              </w:rPr>
              <w:t>Systems</w:t>
            </w: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43"/>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32,636</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Segment sales disaggregated by product type and product versus service for the quarter ended June 30, 2018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UTC Climate,</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Pratt &amp;</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UTC</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Otis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Aerospace</w:t>
            </w: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9"/>
              </w:rPr>
              <w:t>Whitney</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non aerospace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Military aerospace</w:t>
            </w:r>
          </w:p>
        </w:tc>
        <w:tc>
          <w:tcPr>
            <w:tcW w:w="2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line="20" w:lineRule="exact"/>
              <w:rPr>
                <w:sz w:val="1"/>
                <w:szCs w:val="1"/>
                <w:color w:val="auto"/>
              </w:rPr>
            </w:pPr>
          </w:p>
        </w:tc>
      </w:tr>
      <w:tr>
        <w:trPr>
          <w:trHeight w:val="230"/>
        </w:trPr>
        <w:tc>
          <w:tcPr>
            <w:tcW w:w="39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11,853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sales disaggregated by product type and product versus service for the six months ended June 30,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UTC Climate,</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Pratt &amp;</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UTC</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Otis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Aerospace</w:t>
            </w: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9"/>
              </w:rPr>
              <w:t>Whitney</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non aerospace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Military aerospace</w:t>
            </w:r>
          </w:p>
        </w:tc>
        <w:tc>
          <w:tcPr>
            <w:tcW w:w="2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32,636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22,395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32,636</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31,947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Accounting Pronouncements</w:t>
      </w:r>
    </w:p>
    <w:p>
      <w:pPr>
        <w:spacing w:after="0" w:line="229"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A modified retrospective transition approach is required for lessees for capital and operating leases and lessors for sales-type, direct financing, and operating leases existing at, or entered into after, the beginning of the earliest comparative period presented in the financial statements, with certain practical expedients available. We expect that upon adoption we will recognize ROU assets and lease liabilities and that the amounts could be material. We do not expect the ASU to have a material impact on our cash flows or results of operations.</w:t>
      </w:r>
    </w:p>
    <w:p>
      <w:pPr>
        <w:spacing w:after="0" w:line="188"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w:t>
      </w:r>
      <w:r>
        <w:rPr>
          <w:rFonts w:ascii="Arial" w:cs="Arial" w:eastAsia="Arial" w:hAnsi="Arial"/>
          <w:sz w:val="17"/>
          <w:szCs w:val="17"/>
          <w:color w:val="auto"/>
        </w:rPr>
        <w:t>. The new standard allows companies to reclassify to retained earnings the stranded tax effects in accumulated other comprehensive income (AOCI)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newly-enacted US Tax Cuts and Jobs Act. The new standard is effective for fiscal years beginning after December 15, 2018, including interim periods within those fiscal years, with early adoption permitted. We are still evaluating the impact of our pending adoption of the new standard on our consolidated financial statements. However, we expect that upon adoption we will recognize a reclassification from AOCI to retained earnings that could be material. We do not expect this ASU to have a material impact on our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 and six months ended June 30, 2018 and 2017, PricewaterhouseCoopers LLP (PricewaterhouseCoopers) reported that it has applied limited procedures in accordance with professional standards for a review of such information. However, its report dated July 27, 2018,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Financial Information</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reviewed the accompanying condensed consolidated balance sheet of United Technologies Corporation and its subsidiaries as of June 30, 2018, and the related condensed consolidated statements of operations and of comprehensive income for the three-month and six-month periods ended June 30, 2018 and 2017 and the condensed consolidated statement of cash flows for the six-month periods ended June 30, 2018 and 2017,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Corporation as of December 31, 2017, and the related consolidated statements of operations, of comprehensive income, of changes in equity and of cash flows for the year then ended (not presented herein), and in our report dated February 8, 2018, we expressed an unqualified opinion on those consolidated financial statements.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interim financial information is the responsibility of the Corporation’s management.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2018 is discussed below. For additional discussion, refer to the "Business Overview" section in Management's Discussion and Analysis of Financial Condition and Results of Operations in our 2017 Annual Report, which is incorporated by reference in our 2017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18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Total sales to the U.S. Government were $1.8 billion and $1.4 billion for the quarters ended June 30, 2018 and 2017, 11% and 9% of total UTC sales for those periods, respectively. The defense portion of our aerospace business is affected by changes in market demand and the global political environment. Our participation in long-term production, development and sustainment programs for the U.S. Government has and is expected to contribute positively to our results in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six months ended June 30, 2018, our investment in business acquisitions was $134 million, which primarily reflects an acquisition at Pratt &amp; Whitney. On September 4, 2017, we announced that we had entered into a merger agreement with Rockwell Collins, under which we agreed to acquire Rockwell Collins. See Note 1: Acquisitions, Dispositions, Goodwill and Other Intangible Assets for additional discussion. We do not expect to have additional significant acquisition spend, other than the pending acquisition of Rockwell Collins. However, actual acquisition spending may vary depending upon the timing, availability and value of acquisition opportunities. To help manage the cash flow and liquidity resulting from the pending acquisition, we have suspended share repurchases, excluding activity relating to our equity award programs and employee savings plans.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2018. See Part I, Item 1A, "Risk Factors" in our 2017 Form 10-K for further discussion.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Note 1 to the Consolidated Financial Statements in our 2017 Annual Report, incorporated by reference in our 2017 Form 10-K, describe the significant accounting estimates and policies used in preparation of the Consolidated Financial Statements. Actual results in these areas could differ from management's estimates.</w:t>
      </w:r>
    </w:p>
    <w:p>
      <w:pPr>
        <w:spacing w:after="0" w:line="7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Effective January 1, 2018, we adopted ASU 2014-09 and its related amendments (collectively, the New Revenue Standard) and elected the modified retrospective approach.</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Revenue Recognition Accounting Policy Summary. </w:t>
      </w:r>
      <w:r>
        <w:rPr>
          <w:rFonts w:ascii="Arial" w:cs="Arial" w:eastAsia="Arial" w:hAnsi="Arial"/>
          <w:sz w:val="18"/>
          <w:szCs w:val="18"/>
          <w:color w:val="auto"/>
        </w:rPr>
        <w:t>We account for revenue in accordance with Accounting Standards Codification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Topic 606, a performance obligation is a promise in a contract with a customer to transfer a distinct good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the customer. Some of 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93"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consider the contractual consideration payable by the customer and assess variable consideration that may affect the total transaction price, including contractual discounts, contract incentive payments, estimates of award fees, and other sources of variable consideration, when determining the transaction price of each contract. We include variable consideration in the 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Point in time revenue recognition. </w:t>
      </w:r>
      <w:r>
        <w:rPr>
          <w:rFonts w:ascii="Arial" w:cs="Arial" w:eastAsia="Arial" w:hAnsi="Arial"/>
          <w:sz w:val="17"/>
          <w:szCs w:val="17"/>
          <w:color w:val="auto"/>
        </w:rPr>
        <w:t>Timing of the satisfaction of performance obligations varies across our businesses due to our diverse product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mix, customer base, and contractual terms. Performance obligations are satisfied as of a point in time for heating, ventilating, air-conditioning and refrigeration systems, certain alarm and fire detection and suppression systems, and certain aerospace components, engines, and spare parts. Revenue is recognized when control of the product transfers to the customer, generally upon product shipment.</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Over-time revenue recognition. </w:t>
      </w:r>
      <w:r>
        <w:rPr>
          <w:rFonts w:ascii="Arial" w:cs="Arial" w:eastAsia="Arial" w:hAnsi="Arial"/>
          <w:sz w:val="17"/>
          <w:szCs w:val="17"/>
          <w:color w:val="auto"/>
        </w:rPr>
        <w:t>Performance obligations are satisfied over-time if the customer receives the benefits as we perform work, if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asset as it is being produced, or if the product being produced for the customer has no alternative use and we have a contractual right to payment. Revenue is recognized for our construction-type and certain production-type contracts on an over-time basis. We recognize revenue on an over-time basis on certain long-term aerospace aftermarket contracts and aftermarket service work; development, fixed price, and other cost reimbursement contracts in our aerospace businesses; and elevator and escalator sales, installation, service, modernization and other construction contracts in our commercial businesses. For construction and installation contracts within our commercial businesses and aerospace performance obligations satisfied over time, revenue is recognized using costs incurred to date relative to total estimated costs at completion to measure progress. Incurred costs represent work performed, which correspond with and best depict transfer of control to the customer. Contract costs include labor, materials, and subcontractors' costs, or other direct costs, and where applicable on government and commercial contracts, indirect costs.</w:t>
      </w:r>
    </w:p>
    <w:p>
      <w:pPr>
        <w:spacing w:after="0" w:line="182"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For certain of our long-term aftermarket contracts, revenue is recognized over the contract period. In the commercial businesses, revenue is primarily recognized on a straight-line basis over the contract period. In the aerospace businesses, we generally account for such contracts as a series of daily obligations to stand ready to provide product maintenance and aftermarket services. Revenue is primarily recognized in proportion to cost as sufficient historical evidence indicates that the cost of performing services under the contract is incurred on an other than straight-line basis. Aerospace contract modifications are routine and contracts are often modified to account for changes in contract specifications or requirements. Contract modifications that are for goods or services that are not distinct are accounted for as part of the existing contract.</w:t>
      </w:r>
    </w:p>
    <w:p>
      <w:pPr>
        <w:spacing w:after="0" w:line="178"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We incur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original equipment (OEM) products are delivered to the customer. In instances where intellectual property does not transfer to the customer, we defer the customer funding of OEM product engineering and development and recognize revenue when the OEM products are delivered to the customer. Costs to obtain contracts are not material.</w:t>
      </w:r>
    </w:p>
    <w:p>
      <w:pPr>
        <w:spacing w:after="0" w:line="158" w:lineRule="exact"/>
        <w:rPr>
          <w:sz w:val="20"/>
          <w:szCs w:val="20"/>
          <w:color w:val="auto"/>
        </w:rPr>
      </w:pPr>
    </w:p>
    <w:p>
      <w:pPr>
        <w:ind w:right="380" w:firstLine="405"/>
        <w:spacing w:after="0" w:line="257" w:lineRule="auto"/>
        <w:rPr>
          <w:sz w:val="20"/>
          <w:szCs w:val="20"/>
          <w:color w:val="auto"/>
        </w:rPr>
      </w:pPr>
      <w:r>
        <w:rPr>
          <w:rFonts w:ascii="Arial" w:cs="Arial" w:eastAsia="Arial" w:hAnsi="Arial"/>
          <w:sz w:val="18"/>
          <w:szCs w:val="18"/>
          <w:color w:val="auto"/>
        </w:rPr>
        <w:t>Loss provisions on OEM contracts are recognized to the extent that estimated contract costs exceed the estimated consideration from the products contemplated under the contractual arrangement. For new commitments, we generally record loss provisions at the earlier of contract announcement or contract signing except for certain contracts under which losses are recorded upon receipt of the purchase order that obligates us to perform. For existing commitments, anticipated losses on contractual arrangements are recognized in the period in which losses become evident. Products contemplated under contractual</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arrangements include firm quantities of product sold under contract and, in the large commercial engine and wheels and brakes businesses, future highly probable sales of replacement parts required by regulation that are expected to be sold subsequently for incorporation into the original equipment. In the large commercial engine and wheels and brakes businesses, when the combined original equipment and aftermarket arrangement for each individual sales campaign are profitable, we record original equipment product losses, as applicable, at the time of delivery.</w:t>
      </w:r>
    </w:p>
    <w:p>
      <w:pPr>
        <w:spacing w:after="0" w:line="171"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We review our cost estimates on significant contracts on a quarterly basis and for others, no less frequently than annually or when circumstances change and warrant a modification to a previous estimate. We record changes in contract estimates using the cumulative catch-up method.</w:t>
      </w:r>
    </w:p>
    <w:p>
      <w:pPr>
        <w:spacing w:after="0" w:line="14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Note 2 of the condensed consolidated financial statements contains further detail regarding the adoption of the New Revenue Standard and its impact on the statement of operations for the quarter and six months ended June 30, 2018 and the balance sheet as of June 30,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16,705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15,280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31,947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29,095</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six months ended June 30, 2018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40" w:type="dxa"/>
            <w:vAlign w:val="bottom"/>
            <w:gridSpan w:val="2"/>
          </w:tcPr>
          <w:p>
            <w:pPr>
              <w:ind w:left="260"/>
              <w:spacing w:after="0"/>
              <w:rPr>
                <w:sz w:val="20"/>
                <w:szCs w:val="20"/>
                <w:color w:val="auto"/>
              </w:rPr>
            </w:pPr>
            <w:r>
              <w:rPr>
                <w:rFonts w:ascii="Arial" w:cs="Arial" w:eastAsia="Arial" w:hAnsi="Arial"/>
                <w:sz w:val="14"/>
                <w:szCs w:val="14"/>
                <w:b w:val="1"/>
                <w:bCs w:val="1"/>
                <w:color w:val="auto"/>
              </w:rPr>
              <w:t>Quarter Ended June 30, 2018</w:t>
            </w:r>
          </w:p>
        </w:tc>
        <w:tc>
          <w:tcPr>
            <w:tcW w:w="234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Six Months Ended June 30, 2018</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6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All four segments experienced organic sales growth for both the quarter and six months ended June 30, 2018. During the quarter ended June 30, 2018, Pratt &amp; Whitney sales grew 12% organically, driven by higher commercial aftermarket sales, higher commercial OEM sales and higher military sales, partially offset by lower Pratt &amp; Whitney Canada OEM sales. UTC Aerospace Systems grew 8% organically primarily driven by higher commercial aftermarket and military sales and higher commercial aerospace OEM sales. Organic sales growth of 4% at Climate, Controls &amp; Security was driven by growth in residential HVAC, global commercial HVAC, and transport refrigeration. Otis sales grew 3% organically, reflecting higher service sales, driven by growth in North America and Asia, and higher new equipment sales. The increase in new equipment sales was driven by higher sales in Europe, partially offset by a decline in China.</w:t>
      </w:r>
    </w:p>
    <w:p>
      <w:pPr>
        <w:spacing w:after="0" w:line="18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six months ended June 30, 2018, Pratt &amp; Whitney sales grew 11% organically, reflecting growth across all major businesses. UTC Aerospace Systems grew 7% organically, driven by higher commercial aftermarket and military sales. Organic sales growth of 5% at Climate, Controls &amp; Security was driven by growth in residential HVAC, global commercial HVAC, and transport refrigeration. Otis sales grew 2% organically, reflecting higher service sales, driven by growth in North America and Asia. Otis new equipment sales were consistent with the prior year as growth in Europe was offset by a decline in China.</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Quarter Ended June 30,</w:t>
            </w: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9"/>
                <w:szCs w:val="19"/>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2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12,422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23,702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21,300</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2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48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six months ended June 30, 2018 in total cost of products and services sold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40" w:type="dxa"/>
            <w:vAlign w:val="bottom"/>
            <w:gridSpan w:val="2"/>
          </w:tcPr>
          <w:p>
            <w:pPr>
              <w:ind w:left="260"/>
              <w:spacing w:after="0"/>
              <w:rPr>
                <w:sz w:val="20"/>
                <w:szCs w:val="20"/>
                <w:color w:val="auto"/>
              </w:rPr>
            </w:pPr>
            <w:r>
              <w:rPr>
                <w:rFonts w:ascii="Arial" w:cs="Arial" w:eastAsia="Arial" w:hAnsi="Arial"/>
                <w:sz w:val="14"/>
                <w:szCs w:val="14"/>
                <w:b w:val="1"/>
                <w:bCs w:val="1"/>
                <w:color w:val="auto"/>
              </w:rPr>
              <w:t>Quarter Ended June 30, 2018</w:t>
            </w:r>
          </w:p>
        </w:tc>
        <w:tc>
          <w:tcPr>
            <w:tcW w:w="234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Six Months Ended June 30, 2018</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6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6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organic increase in total cost of products and services sold for the quarter and six months ended June 30, 2018 was primarily driven by the organic sales increases noted above.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7,795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w:t>
            </w:r>
          </w:p>
        </w:tc>
      </w:tr>
    </w:tbl>
    <w:p>
      <w:pPr>
        <w:spacing w:after="0" w:line="12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decrease in gross margin as a percentage of sales for the quarter ended June 30, 2018 includes a 190 basis point decline in Pratt &amp; Whitney's gross margin driven by higher negative engine margin in the large commercial engine business and adverse mix at Pratt &amp; Whitney Canada and in the military business. Otis gross margin declined 190 basis points primarily driven by unfavorable pricing. Gross margin at UTC Climate, Controls &amp; Security declined 10 basis points. These declines were offset by a 20 basis point improvement at UTC Aerospace Systems reflecting higher commercial aftermarket volumes and cost reduction.</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decrease in gross margin as a percentage of sales for the six months ended June 30, 2018 includes a 190 basis point decline in Pratt &amp; Whitney's gross margin driven by higher negative engine margin in the large commercial engine business and adverse mix at Pratt &amp; Whitney Canada and in the military business. Otis gross margin declined 150 basis points primarily driven by unfavorable pricing. Gross margin at UTC Climate, Controls &amp; Security declined 10 basis points. These declines were offset by a 60 basis point improvement at UTC Aerospace Systems reflecting higher commercial aftermarket volumes and cost reduction.</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1,205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(5%) in company-funded research and development for the quarter ended June 30, 2018 was driven by declines at Pratt &amp; Whitney (5%) and at UTC Aerospace Systems (3%) reflecting lower expenses across various commercial programs and the capitalization of certain development costs in accordance with the New Revenue Standard. These declines were partially offset by an increase at UTC Climate, Controls &amp; Security (2%) to support the continued investment in new products. For the six months ended June 30, 2018 company-funded research and development declined 5%, driven by declines at Pratt &amp; Whitney (4%) and at UTC Aerospace Systems (4%) reflecting lower expenses across various commercial programs and the capitalization of certain development costs in accordance with the New Revenue Standard. These declines were partially offset by an increase at UTC Climate, Controls &amp; Security (2%) to support the continued investment in new products.</w:t>
      </w:r>
    </w:p>
    <w:p>
      <w:pPr>
        <w:spacing w:after="0" w:line="74"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The decrease (8%) in customer-funded research and development for the quarter ended June 30, 2018 reflects a decline at UTC Aerospace Systems (10%) primarily driven by the deferral of certain development costs in accordance with the New Revenue Standard and lower expenses across various programs, partially offset by an increase at Pratt &amp; Whitney (4%),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primarily driven by higher research and development expenses on military development programs. The decline (6%) in customer-funded research and development for the six months ended June 30, 2018 reflects a decrease at UTC Aerospace Systems (7%), primarily driven by the deferral of certain development costs in accordance with the New Revenue Standard, partially offset by an increase at Pratt &amp; Whitney (3%), primarily driven by higher research and development expenses on military development programs.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3,127</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Selling, general and administrative expenses increased 11% in the quarter ended June 30, 2018, including the impact of foreign exchange (2%) and transaction costs related to the pending acquisition of Rockwell Collins (1%). The growth in Selling, general and administrative expenses also includes higher expenses at UTC Aerospace Systems (3%), reflecting increased headcount and employee compensation related expenses, higher expenses at UTC Climate, Controls &amp; Security (1%), including the impact of costs associated with a product recall program, higher spending at Otis (1%) driven primarily by increased information technology costs, and an increase at Pratt &amp; Whitney (1%) driven by increased headcount and employee compensation related expenses and costs to support higher volumes.</w:t>
      </w:r>
    </w:p>
    <w:p>
      <w:pPr>
        <w:spacing w:after="0" w:line="19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Selling, general and administrative expenses increased 11% in the six months ended June 30, 2018, including the impact of foreign exchange (3%) and transaction costs related to the pending acquisition of Rockwell Collins (1%). The growth in Selling, general and administrative expenses also includes higher expenses at UTC Aerospace Systems (2%), reflecting increased headcount and employee compensation related expenses, higher expenses at UTC Climate, Controls &amp; Security (1%), including the impact of costs associated with a product recall program, higher spending at Otis (1%) driven by increased information technology costs and increased labor costs, and an increase at Pratt &amp; Whitney (1%) driven by increased headcount and employee compensation related expenses and costs to support higher volumes.</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8: Restructuring Costs and the Restructuring Costs section of Management's Discussion and Analysis of Financial Condition and Results of Operations for further discussion.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845</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increase in Other income, net ($684 million, 266%) for the quarter ended June 30, 2018 primarily reflects the gain on the sale of Taylor Company ($795 million, 309%), partially offset by an impairment of assets related to a previously acquired UTC Aerospace Systems business (19%) and the absence of a prior year gain on the sale of an investment in a UTC Climate, Controls &amp; Security joint venture (9%).</w:t>
      </w:r>
    </w:p>
    <w:p>
      <w:pPr>
        <w:spacing w:after="0" w:line="15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year-over-year increase in Other income, net ($327 million, 39%) for the six months ended June 30, 2018 primarily reflects the gain on the sale of Taylor Company ($795 million, 94%), the year-over-year impact of favorable insurance settlements (3%) and a gain on a divestiture at Pratt &amp; Whitney (2%), partially offset by the absence of a prior year gain from the sale of UTC Climate, Controls &amp; Security's investments in Watsco, Inc (45%), an impairment of assets related to a previously acquired UTC Aerospace Systems business (6%) and the absence of a prior year gain on the sale of an investment in a UTC Climate, Controls &amp; Security joint venture (3%).</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487</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439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Interest expense, net increased 4% and 5% for the quarter and six months ended June 30, 2018, respectively. The increase in interest expense reflects the impact of the May 4, 2017 issuance of notes representing $4 billion in aggregate principal and the May 18, 2018 issuance of Euro-denominated notes representing €2 billion in aggregate principal, partially offset by the favorable impact of the repayment at maturity of the following: 1.8% notes in June 2017 representing $1.5 billion in aggregate principal; the 6.8% notes in February 2018 representing $99 million of aggregate principal; the Euro-denominated floating rate notes in February 2018 representing €750 million in aggregate principal; and the 1.778% notes in May 2018 representing $1.1 billion of aggregate principal. The average maturity of our long-term debt at June 30, 2018 is approximately 11 years.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43"/>
        </w:trPr>
        <w:tc>
          <w:tcPr>
            <w:tcW w:w="6320" w:type="dxa"/>
            <w:vAlign w:val="bottom"/>
            <w:gridSpan w:val="2"/>
            <w:shd w:val="clear" w:color="auto" w:fill="CCEEFF"/>
          </w:tcPr>
          <w:p>
            <w:pPr>
              <w:jc w:val="right"/>
              <w:ind w:right="496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firstLine="405"/>
        <w:spacing w:after="0" w:line="297" w:lineRule="auto"/>
        <w:rPr>
          <w:sz w:val="20"/>
          <w:szCs w:val="20"/>
          <w:color w:val="auto"/>
        </w:rPr>
      </w:pPr>
      <w:r>
        <w:rPr>
          <w:rFonts w:ascii="Arial" w:cs="Arial" w:eastAsia="Arial" w:hAnsi="Arial"/>
          <w:sz w:val="16"/>
          <w:szCs w:val="16"/>
          <w:color w:val="auto"/>
        </w:rPr>
        <w:t>On December 22, 2017 Public Law 115-97 “An Act to Provide for Reconciliation Pursuant to Titles II and V of the Concurrent Resolution on the Budget for Fiscal Year 2018” was enacted. This law is commonly referred to as the Tax Cuts and Jobs Act of 2017 (TCJA). In accordance with Staff Accounting Bulletin 118 (SAB 118) issued on December 22, 2017, the U.S. income tax amounts recorded attributable to the TCJA’s deemed repatriation provision, the revaluation of U.S. deferred taxes and the tax consequences relating to states with current conformity to the Internal Revenue Code are provisional amounts. Due to the enactment date and tax complexities of the TCJA, the Company has not completed its accounting related to these items.</w:t>
      </w:r>
    </w:p>
    <w:p>
      <w:pPr>
        <w:spacing w:after="0" w:line="1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as provided for by SAB 118 this evaluation has not yet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18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will continue to accumulate and refine the relevant data and computational elements needed to finalize its accounting for the effects of the TCJA by December 22, 2018.</w:t>
      </w:r>
    </w:p>
    <w:p>
      <w:pPr>
        <w:spacing w:after="0" w:line="1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decrease in the effective tax rate for the quarter ended June 30, 2018 is primarily due to a reduction of the estimated full year forecasted effective tax rate as a result of the enactment of TCJA. This is partially offset by a decrease in tax benefits associated with equity compensation and the absence of incremental tax benefits related to a claim based on the outcome of a favorable Federal Court decision of another taxpayer reported in the quarter ended June 30, 2017.</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decrease in the effective tax rate for the six months ended June 30, 2018 and 2017 is primarily related to the tax benefits described above as well as impacts of the previous quarter TCJA provisional adjustment and absence of the gain on the sale of UTC Climate, Controls &amp; Security's investments in Watsco, Inc. in the first quarter of 2017.</w:t>
      </w:r>
    </w:p>
    <w:p>
      <w:pPr>
        <w:spacing w:after="0" w:line="181"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As shown in the table above, the effective tax rate for the six months ended June 30, 2018 is 25.8%; the effective income tax rate for the same period, excluding restructuring, non-operational nonrecurring items, is 24.4%. We estimate our full year 2018 annual effective income tax rate to be approximately 24.5%, excluding restructuring, non-operational nonrecurring items and adjustments related to the TCJA.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operations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3.53</w:t>
            </w:r>
          </w:p>
        </w:tc>
      </w:tr>
    </w:tbl>
    <w:p>
      <w:pPr>
        <w:spacing w:after="0" w:line="12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Net income attributable to common shareowners for the quarter ended June 30, 2018 includes restructuring charges, net of tax benefit, of $59 million as well as a net gain for significant non-operational and/or nonrecurring items, including the impact of taxes, of $531 million. The effect of restructuring charges and significant non-operational and/or nonrecurring items on diluted earnings per share for the quarter ended June 30, 2018 was a gain of $0.59 per share while the effect of foreign currency translation and Pratt &amp;Whitney Canada hedging generated a favorable impact of $0.01 per diluted share.</w:t>
      </w:r>
    </w:p>
    <w:p>
      <w:pPr>
        <w:spacing w:after="0" w:line="15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Net income from continuing operations attributable to common shareowners for the quarter ended June 30, 2017 includes restructuring charges, net of tax benefit, of $40 million. The effect of restructuring charges on diluted earnings per share for the quarter ended June 30, 2017 was $0.05 per share while the effect of foreign currency translation and Pratt &amp;Whitney Canada hedging generated a favorable impact of $0.03 per diluted share.</w:t>
      </w:r>
    </w:p>
    <w:p>
      <w:pPr>
        <w:spacing w:after="0" w:line="166"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Net income attributable to common shareowners for the six months ended June 30, 2018 includes restructuring charges, net of tax benefit, of $111 million as well as a net gain for significant non-operational and/or nonrecurring items, including the impact of taxes, of $459 million. The effect of restructuring charges and nonrecurring items on diluted earnings per share for the six months ended June 30, 2018 was a gain of $0.44 per share while the effect of foreign currency translation and Pratt &amp;Whitney Canada hedging generated a favorable impact of $0.06 per diluted share.</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Net income from continuing operations attributable to common shareowners for the six months ended June 30, 2017 includes restructuring charges, net of tax benefit, of $74 million as well as the net favorable impact of significant non-operational and/or nonrecurring items, net of tax, of $238 million. The effect of restructuring charges and nonrecurring items on diluted earnings per share for the six months ended June 30, 2017 was $0.20 per share while the effect of foreign currency translation and Pratt &amp;Whitney Canada hedging generated a favorable impact of $0.06 per diluted share.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expect restructuring costs in 2018 to be consistent with 2017,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5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color w:val="auto"/>
        </w:rPr>
        <w:t xml:space="preserve">2018 Actions. </w:t>
      </w:r>
      <w:r>
        <w:rPr>
          <w:rFonts w:ascii="Arial" w:cs="Arial" w:eastAsia="Arial" w:hAnsi="Arial"/>
          <w:sz w:val="16"/>
          <w:szCs w:val="16"/>
          <w:color w:val="auto"/>
        </w:rPr>
        <w:t>During the six months ended June 30, 2018, we recorded net pre-tax restructuring charges of $73 million relating to ongoing cost reduction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initiated in 2018. We expect to incur additional restructuring charges of $62 million to complete these actions. We are targeting to complete in 2018 and 2019 the majority of the remaining workforce and facility related cost reduction actions initiated in 2018. We expect recurring pre-tax savings in continuing operations to increase to approximately $60 million annually over the two-year period subsequent to initiating the actions. Approximately 83% of the total expected pre-tax charges will require cash payments, which we have funded and expect to continue to fund with cash generated from operations. During the six months ended June 30, 2018, we had cash outflows of approximately $27 million related to the 2018 actions.</w:t>
      </w:r>
    </w:p>
    <w:p>
      <w:pPr>
        <w:spacing w:after="0" w:line="15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2017 Actions. </w:t>
      </w:r>
      <w:r>
        <w:rPr>
          <w:rFonts w:ascii="Arial" w:cs="Arial" w:eastAsia="Arial" w:hAnsi="Arial"/>
          <w:sz w:val="16"/>
          <w:szCs w:val="16"/>
          <w:color w:val="auto"/>
        </w:rPr>
        <w:t>During the six months ended June 30, 2018 and 2017, we recorded net pre-tax restructuring charges of $67 million and $63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for actions initiated in 2017. We expect to incur additional restructuring charges of $82 million to complete these actions. We are targeting to complete in 2018 the majority of the remaining workforce and facility related cost reduction actions initiated in 2017. We expect recurring pre-tax savings in continuing operations to increase over the two-year period subsequent to initiating the actions to approximately $211 million annually, of which, approximately $90 million was realized during the six months ended June 30, 2018. Approximately 87% of the total expected pre-tax charge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will require cash payments, which we have and expect to continue to fund with cash generated from operations. During the six months ended June 30, 2018, we had cash outflows of approximately $63 million related to the 2017 actions.</w:t>
      </w:r>
    </w:p>
    <w:p>
      <w:pPr>
        <w:spacing w:after="0" w:line="1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during the six months ended June 30, 2018, we recorded net pre-tax restructuring costs totaling $9 million for restructuring actions initiated in 2016 and prior. For additional discussion of restructuring, see Note 8 to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 and six months ended June 30, 2018 and 2017 are included in "Eliminations and other",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equipment orders in the quarter ended June 30, 2018 increased 8% in comparison to the same period of the prior year, driven by increases in transport refrigeration (27%), residential equipment (8%) and commercial HVAC (6%). At constant currency, and excluding the impact of the New Revenue Standard, Otis new equipment orders in the quarter increased 10% in comparison to the prior year, driven by increased orders in North America (17%), Asia, excluding China (14%), the Middle East (58%) and China (8%).</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June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17.2%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17.8%</w:t>
            </w:r>
          </w:p>
        </w:tc>
        <w:tc>
          <w:tcPr>
            <w:tcW w:w="10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six months ended June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728"/>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4,118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6,051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831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Operating Profit Margins</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14.7%</w:t>
            </w:r>
          </w:p>
        </w:tc>
        <w:tc>
          <w:tcPr>
            <w:tcW w:w="1300" w:type="dxa"/>
            <w:vAlign w:val="bottom"/>
          </w:tcPr>
          <w:p>
            <w:pPr>
              <w:jc w:val="right"/>
              <w:ind w:right="11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80" w:type="dxa"/>
            <w:vAlign w:val="bottom"/>
            <w:gridSpan w:val="3"/>
          </w:tcPr>
          <w:p>
            <w:pPr>
              <w:jc w:val="right"/>
              <w:ind w:right="308"/>
              <w:spacing w:after="0"/>
              <w:rPr>
                <w:sz w:val="20"/>
                <w:szCs w:val="20"/>
                <w:color w:val="auto"/>
              </w:rPr>
            </w:pPr>
            <w:r>
              <w:rPr>
                <w:rFonts w:ascii="Arial" w:cs="Arial" w:eastAsia="Arial" w:hAnsi="Arial"/>
                <w:sz w:val="18"/>
                <w:szCs w:val="18"/>
                <w:color w:val="auto"/>
              </w:rPr>
              <w:t>23.8%</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Otis –</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Quarter Ended June 30, 2018 Compared with Quarter Ended June 30, 2017</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right"/>
              <w:ind w:right="528"/>
              <w:spacing w:after="0"/>
              <w:rPr>
                <w:sz w:val="20"/>
                <w:szCs w:val="20"/>
                <w:color w:val="auto"/>
              </w:rPr>
            </w:pPr>
            <w:r>
              <w:rPr>
                <w:rFonts w:ascii="Arial" w:cs="Arial" w:eastAsia="Arial" w:hAnsi="Arial"/>
                <w:sz w:val="14"/>
                <w:szCs w:val="14"/>
                <w:b w:val="1"/>
                <w:bCs w:val="1"/>
                <w:color w:val="auto"/>
              </w:rPr>
              <w:t>Factors Contributing to Total % Change</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FX</w:t>
            </w:r>
          </w:p>
        </w:tc>
        <w:tc>
          <w:tcPr>
            <w:tcW w:w="122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center"/>
              <w:ind w:right="5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87"/>
              </w:rPr>
              <w:t>Costs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organic sales increase of 3% reflects higher service sales (2%), primarily driven by growth in North America and Asia, and higher new equipment sales (1%) driven by higher sales in Europe (2%), partially offset by a decline in China (1%).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8% was driven by:</w:t>
      </w:r>
    </w:p>
    <w:p>
      <w:pPr>
        <w:spacing w:after="0" w:line="23"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price and mix (6%), primarily driven by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commodities impact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(2%)</w:t>
      </w:r>
    </w:p>
    <w:p>
      <w:pPr>
        <w:spacing w:after="0" w:line="9" w:lineRule="exact"/>
        <w:rPr>
          <w:rFonts w:ascii="Arial" w:cs="Arial" w:eastAsia="Arial" w:hAnsi="Arial"/>
          <w:sz w:val="18"/>
          <w:szCs w:val="18"/>
          <w:color w:val="auto"/>
        </w:rPr>
      </w:pPr>
    </w:p>
    <w:p>
      <w:pPr>
        <w:ind w:left="900" w:right="300" w:hanging="244"/>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transactional foreign exchange gains from mark-to-market adjustments and embedded foreign currency derivatives within certain new equipment contracts (1%)</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profit contribution from the higher sales volumes noted above (5%)</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 decrease in "Other" primarily represents the unfavorable impact of legal matters.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organic sales increase of 2% reflects higher service sales (2%), primarily driven by growth in North America and Asia. New equipment sales were consistent with the prior year as growth in Europe (1%) was offset by a decline in China (1%).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5% was driven by:</w:t>
      </w:r>
    </w:p>
    <w:p>
      <w:pPr>
        <w:spacing w:after="0" w:line="23"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price and mix (9%), primarily driven by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commodities impact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jc w:val="right"/>
        <w:ind w:left="5620" w:right="5620" w:hanging="4964"/>
        <w:spacing w:after="0" w:line="640" w:lineRule="auto"/>
        <w:tabs>
          <w:tab w:leader="none" w:pos="896"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profit contribution from the higher sales volumes noted above (6%) 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productivity (1%)</w:t>
      </w:r>
    </w:p>
    <w:p>
      <w:pPr>
        <w:spacing w:after="0" w:line="23" w:lineRule="exact"/>
        <w:rPr>
          <w:rFonts w:ascii="Arial" w:cs="Arial" w:eastAsia="Arial" w:hAnsi="Arial"/>
          <w:sz w:val="18"/>
          <w:szCs w:val="18"/>
          <w:color w:val="auto"/>
        </w:rPr>
      </w:pPr>
    </w:p>
    <w:p>
      <w:pPr>
        <w:ind w:left="900" w:right="140" w:hanging="244"/>
        <w:spacing w:after="0" w:line="26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transactional foreign exchange gains from mark-to-market adjustments and embedded foreign currency derivatives within certain new equipment contracts (1%)</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 decrease in "Other" primarily represents the unfavorable impact of legal matters.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2018 Compared with Quarter Ended June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4"/>
              </w:rPr>
              <w:t>91%</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organic sales increase of 4% was primarily driven by growth in residential HVAC (1%), global commercial HVAC (1%), and transport refrigeration (1%) primarily driven by strong performance in the container division.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5% was driven by:</w:t>
      </w:r>
    </w:p>
    <w:p>
      <w:pPr>
        <w:spacing w:after="0" w:line="23"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net of unfavorable mix (4%)</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year-over-year impact of a prior year unfavorable contract adjustment related to a large commercial project (5%)</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logistics costs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research and development costs (1%)</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91% increase in “Other” primarily reflects a gain on the sale of Taylor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12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organic sales increase of 5% was driven by growth in residential HVAC (1%), global commercial HVAC (1%), and transport refrigeration (2%) primarily driven by strong performance in the container division.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5% was driven by:</w:t>
      </w:r>
    </w:p>
    <w:p>
      <w:pPr>
        <w:spacing w:after="0" w:line="23"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net of unfavorable mix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year-over-year impact of a prior year unfavorable contract adjustment related to a large commercial project (4%)</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increased logistics costs (1%)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commodity cost, net of price (1%)</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research and development costs (1%)</w:t>
      </w:r>
    </w:p>
    <w:p>
      <w:pPr>
        <w:spacing w:after="0" w:line="21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19% increase in “Other” reflects a gain on the sale of Taylor Company (45%), partially offset by the absence of gains on the sale of investments in the prior year (23%), primarily Watsco, Inc., and the 2018 impact of period costs associated with a product recall program (1%).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lower airfares, and stronger economic conditions. Airline traffic, as measured by RPMs, grew approximately 7% in the first five months of 2018.</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commercial aftermarket businesses continue to evolve as an increasing proportion of our aerospace businesses' customers are covered under Fleet Management Programs (FMPs) at Pratt &amp; Whitney and long-term aftermarket service agreements at UTC Aerospace Systems. FMPs are comprehensive long-term spare part and service agreements with our customers. We expect a continued shift to FMPs and long-term aftermarket service agreements in lieu of transactional spare part sales as new aerospace product offerings enter our customers' fleets under long-term service agreements and legacy fleets are retired. For the first six months of 2018, as compared with 2017, total commercial aerospace aftermarket sales increased 15% at Pratt &amp; Whitney and 14% at UTC Aerospace Systems.</w:t>
      </w:r>
    </w:p>
    <w:p>
      <w:pPr>
        <w:spacing w:after="0" w:line="19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Operating profit in the quarter and six months ended June 30, 2018 included significant net unfavorable changes in aerospace contract estimates totaling $41 million and $82 million, respectively, primarily reflecting unfavorable net contract adjustments recorded at Pratt &amp; Whitney. Operating profit in the quarter ended June 30, 2017 included significant changes in aerospace contract estimates totaling $1 million, as favorable net contract adjustments recorded at UTC Aerospace Systems, were largely offset by unfavorable net contract adjustments recorded at Pratt &amp; Whitney. Operating profit in the six months ended June 30, 2017 included significant net unfavorable changes in aerospace contract estimates of $29 million, primarily representing unfavorable contract adjustments recorded at Pratt &amp; Whitney.</w:t>
      </w:r>
    </w:p>
    <w:p>
      <w:pPr>
        <w:spacing w:after="0" w:line="193"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As previously disclosed, Pratt &amp; Whitney's PurePower PW1500G engine models have been selected to power the Airbus A220 passenger aircraft (formerly Bombardier CSeries) which entered into service on July 15, 2016. There have been multi-year delays in the development of the aircraft. Notwithstanding these delays, Bombardier reports that they have received over 300 orders for the aircraft and that both the A220-100 and A220-300 aircraft models have been certified and have entered into revenue service. We have made various investments in support of the production and delivery of our PW1500G engines and systems for the A220 program, which we currently expect to recover through future deliveries of PW1500G powered A220 aircraft. On October 16, 2017, Bombardier and Airbus announced an agreement to become partners on the CSeries aircraft program. On July 1, 2018 the transaction was completed with Airbus acquiring a majority stake in the partnership. We will continue to monitor the progress of the program and our ability to recover our investments, which we believe is strengthened by this partnership.</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June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Pratt &amp; Whitney</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UTC Aerospace Systems</w:t>
            </w:r>
          </w:p>
        </w:tc>
        <w:tc>
          <w:tcPr>
            <w:tcW w:w="960" w:type="dxa"/>
            <w:vAlign w:val="bottom"/>
            <w:tcBorders>
              <w:bottom w:val="single" w:sz="8" w:color="auto"/>
            </w:tcBorders>
          </w:tcPr>
          <w:p>
            <w:pPr>
              <w:spacing w:after="0"/>
              <w:rPr>
                <w:sz w:val="16"/>
                <w:szCs w:val="16"/>
                <w:color w:val="auto"/>
              </w:rPr>
            </w:pP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six months ended June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Pratt &amp; Whitney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UTC Aerospace Systems</w:t>
            </w:r>
          </w:p>
        </w:tc>
        <w:tc>
          <w:tcPr>
            <w:tcW w:w="960" w:type="dxa"/>
            <w:vAlign w:val="bottom"/>
            <w:tcBorders>
              <w:bottom w:val="single" w:sz="8" w:color="auto"/>
            </w:tcBorders>
          </w:tcPr>
          <w:p>
            <w:pPr>
              <w:spacing w:after="0"/>
              <w:rPr>
                <w:sz w:val="16"/>
                <w:szCs w:val="16"/>
                <w:color w:val="auto"/>
              </w:rPr>
            </w:pP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6,253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Profit Margins</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8.9%</w:t>
            </w:r>
          </w:p>
        </w:tc>
        <w:tc>
          <w:tcPr>
            <w:tcW w:w="1500" w:type="dxa"/>
            <w:vAlign w:val="bottom"/>
          </w:tcPr>
          <w:p>
            <w:pPr>
              <w:jc w:val="right"/>
              <w:ind w:right="298"/>
              <w:spacing w:after="0"/>
              <w:rPr>
                <w:sz w:val="20"/>
                <w:szCs w:val="20"/>
                <w:color w:val="auto"/>
              </w:rPr>
            </w:pPr>
            <w:r>
              <w:rPr>
                <w:rFonts w:ascii="Arial" w:cs="Arial" w:eastAsia="Arial" w:hAnsi="Arial"/>
                <w:sz w:val="18"/>
                <w:szCs w:val="18"/>
                <w:color w:val="auto"/>
              </w:rPr>
              <w:t>9.2%</w:t>
            </w:r>
          </w:p>
        </w:tc>
        <w:tc>
          <w:tcPr>
            <w:tcW w:w="1180" w:type="dxa"/>
            <w:vAlign w:val="bottom"/>
          </w:tcPr>
          <w:p>
            <w:pPr>
              <w:spacing w:after="0"/>
              <w:rPr>
                <w:sz w:val="20"/>
                <w:szCs w:val="20"/>
                <w:color w:val="auto"/>
              </w:rPr>
            </w:pPr>
          </w:p>
        </w:tc>
        <w:tc>
          <w:tcPr>
            <w:tcW w:w="1380" w:type="dxa"/>
            <w:vAlign w:val="bottom"/>
          </w:tcPr>
          <w:p>
            <w:pPr>
              <w:jc w:val="right"/>
              <w:ind w:right="336"/>
              <w:spacing w:after="0"/>
              <w:rPr>
                <w:sz w:val="20"/>
                <w:szCs w:val="20"/>
                <w:color w:val="auto"/>
              </w:rPr>
            </w:pPr>
            <w:r>
              <w:rPr>
                <w:rFonts w:ascii="Arial" w:cs="Arial" w:eastAsia="Arial" w:hAnsi="Arial"/>
                <w:sz w:val="18"/>
                <w:szCs w:val="18"/>
                <w:color w:val="auto"/>
              </w:rPr>
              <w:t>14.9%</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Pratt &amp; Whitney –</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Quarter Ended June 30, 2018 Compared with Quarter Ended June 30, 2017</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center"/>
              <w:ind w:left="198"/>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ind w:right="778"/>
              <w:spacing w:after="0" w:line="153" w:lineRule="exact"/>
              <w:rPr>
                <w:sz w:val="20"/>
                <w:szCs w:val="20"/>
                <w:color w:val="auto"/>
              </w:rPr>
            </w:pPr>
            <w:r>
              <w:rPr>
                <w:rFonts w:ascii="Arial" w:cs="Arial" w:eastAsia="Arial" w:hAnsi="Arial"/>
                <w:sz w:val="14"/>
                <w:szCs w:val="14"/>
                <w:b w:val="1"/>
                <w:bCs w:val="1"/>
                <w:color w:val="auto"/>
              </w:rPr>
              <w:t>FX</w:t>
            </w:r>
          </w:p>
        </w:tc>
        <w:tc>
          <w:tcPr>
            <w:tcW w:w="118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400" w:type="dxa"/>
            <w:vAlign w:val="bottom"/>
            <w:gridSpan w:val="2"/>
          </w:tcPr>
          <w:p>
            <w:pPr>
              <w:jc w:val="center"/>
              <w:ind w:right="13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Translation*</w:t>
            </w:r>
          </w:p>
        </w:tc>
        <w:tc>
          <w:tcPr>
            <w:tcW w:w="11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1"/>
              </w:rPr>
              <w:t>Divestitures, net</w:t>
            </w:r>
          </w:p>
        </w:tc>
        <w:tc>
          <w:tcPr>
            <w:tcW w:w="1380" w:type="dxa"/>
            <w:vAlign w:val="bottom"/>
            <w:tcBorders>
              <w:bottom w:val="single" w:sz="8" w:color="auto"/>
            </w:tcBorders>
          </w:tcPr>
          <w:p>
            <w:pPr>
              <w:jc w:val="center"/>
              <w:ind w:left="716"/>
              <w:spacing w:after="0"/>
              <w:rPr>
                <w:sz w:val="20"/>
                <w:szCs w:val="20"/>
                <w:color w:val="auto"/>
              </w:rPr>
            </w:pPr>
            <w:r>
              <w:rPr>
                <w:rFonts w:ascii="Arial" w:cs="Arial" w:eastAsia="Arial" w:hAnsi="Arial"/>
                <w:sz w:val="14"/>
                <w:szCs w:val="14"/>
                <w:b w:val="1"/>
                <w:bCs w:val="1"/>
                <w:color w:val="auto"/>
                <w:w w:val="87"/>
              </w:rPr>
              <w:t>Costs</w:t>
            </w:r>
          </w:p>
        </w:tc>
        <w:tc>
          <w:tcPr>
            <w:tcW w:w="10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18"/>
              <w:spacing w:after="0"/>
              <w:rPr>
                <w:sz w:val="20"/>
                <w:szCs w:val="20"/>
                <w:color w:val="auto"/>
              </w:rPr>
            </w:pPr>
            <w:r>
              <w:rPr>
                <w:rFonts w:ascii="Arial" w:cs="Arial" w:eastAsia="Arial" w:hAnsi="Arial"/>
                <w:sz w:val="18"/>
                <w:szCs w:val="18"/>
                <w:color w:val="auto"/>
              </w:rPr>
              <w:t>1 %</w:t>
            </w:r>
          </w:p>
        </w:tc>
        <w:tc>
          <w:tcPr>
            <w:tcW w:w="11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spacing w:after="0"/>
              <w:rPr>
                <w:sz w:val="21"/>
                <w:szCs w:val="21"/>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140" w:firstLine="8"/>
        <w:spacing w:after="0" w:line="273" w:lineRule="auto"/>
        <w:tabs>
          <w:tab w:leader="none" w:pos="1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7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organic sales increase of 12% primarily reflects higher commercial aftermarket sales (6%), increased commercial OEM sales (3%) and higher military sales (3%). The 4% increase in "Other" reflects the sales impact of adopting the New Revenue Standard.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21% was primarily driven by:</w:t>
      </w:r>
    </w:p>
    <w:p>
      <w:pPr>
        <w:spacing w:after="0" w:line="117"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higher commercial aftermarket profit contribution (27%), driven by the sales increase noted above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increase was partially offset by:</w:t>
      </w:r>
    </w:p>
    <w:p>
      <w:pPr>
        <w:spacing w:after="0" w:line="117"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military profit contribution (3%), driven by adverse mix</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lower commercial OEM profit contribution (1%), primarily driven by adverse mix at Pratt &amp; Whitney Canada and higher negative engine margin</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other ramp-related costs (2%)</w:t>
      </w:r>
    </w:p>
    <w:p>
      <w:pPr>
        <w:spacing w:after="0" w:line="10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12% decrease in "Other" primarily reflects the operating profit impact of adopting the New Revenue Standard (7%) and the absence of prior year licensing income (5%).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ind w:right="739"/>
              <w:spacing w:after="0" w:line="153" w:lineRule="exact"/>
              <w:rPr>
                <w:sz w:val="20"/>
                <w:szCs w:val="20"/>
                <w:color w:val="auto"/>
              </w:rPr>
            </w:pPr>
            <w:r>
              <w:rPr>
                <w:rFonts w:ascii="Arial" w:cs="Arial" w:eastAsia="Arial" w:hAnsi="Arial"/>
                <w:sz w:val="14"/>
                <w:szCs w:val="14"/>
                <w:b w:val="1"/>
                <w:bCs w:val="1"/>
                <w:color w:val="auto"/>
              </w:rPr>
              <w:t>FX</w:t>
            </w:r>
          </w:p>
        </w:tc>
        <w:tc>
          <w:tcPr>
            <w:tcW w:w="162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720" w:type="dxa"/>
            <w:vAlign w:val="bottom"/>
          </w:tcPr>
          <w:p>
            <w:pPr>
              <w:jc w:val="center"/>
              <w:ind w:right="337"/>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3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Translation*</w:t>
            </w: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Divestitures, net</w:t>
            </w:r>
          </w:p>
        </w:tc>
        <w:tc>
          <w:tcPr>
            <w:tcW w:w="17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87"/>
              </w:rPr>
              <w:t>Costs</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1"/>
                <w:szCs w:val="21"/>
                <w:color w:val="auto"/>
              </w:rPr>
            </w:pPr>
          </w:p>
        </w:tc>
        <w:tc>
          <w:tcPr>
            <w:tcW w:w="1680" w:type="dxa"/>
            <w:vAlign w:val="bottom"/>
          </w:tcPr>
          <w:p>
            <w:pPr>
              <w:jc w:val="right"/>
              <w:ind w:right="99"/>
              <w:spacing w:after="0"/>
              <w:rPr>
                <w:sz w:val="20"/>
                <w:szCs w:val="20"/>
                <w:color w:val="auto"/>
              </w:rPr>
            </w:pPr>
            <w:r>
              <w:rPr>
                <w:rFonts w:ascii="Arial" w:cs="Arial" w:eastAsia="Arial" w:hAnsi="Arial"/>
                <w:sz w:val="18"/>
                <w:szCs w:val="18"/>
                <w:color w:val="auto"/>
              </w:rPr>
              <w:t>1%</w:t>
            </w:r>
          </w:p>
        </w:tc>
        <w:tc>
          <w:tcPr>
            <w:tcW w:w="1620" w:type="dxa"/>
            <w:vAlign w:val="bottom"/>
          </w:tcPr>
          <w:p>
            <w:pPr>
              <w:ind w:left="1220"/>
              <w:spacing w:after="0"/>
              <w:rPr>
                <w:sz w:val="20"/>
                <w:szCs w:val="20"/>
                <w:color w:val="auto"/>
              </w:rPr>
            </w:pPr>
            <w:r>
              <w:rPr>
                <w:rFonts w:ascii="Arial" w:cs="Arial" w:eastAsia="Arial" w:hAnsi="Arial"/>
                <w:sz w:val="18"/>
                <w:szCs w:val="18"/>
                <w:color w:val="auto"/>
              </w:rPr>
              <w:t>—</w:t>
            </w:r>
          </w:p>
        </w:tc>
        <w:tc>
          <w:tcPr>
            <w:tcW w:w="172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w:t>
            </w:r>
          </w:p>
        </w:tc>
        <w:tc>
          <w:tcPr>
            <w:tcW w:w="16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organic sales increase of 11% primarily reflects higher commercial aftermarket sales (7%), increased commercial OEM sales (2%), and higher military sales (3%). The 5% increase in "Other" reflects the sales impact of adopting the New Revenue Standard.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13% was primarily driven by:</w:t>
      </w:r>
    </w:p>
    <w:p>
      <w:pPr>
        <w:spacing w:after="0" w:line="117"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commercial aftermarket profit contribution (21%), driven by the sales increase noted above</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military profit contribution (3%), driven by the sales increase noted above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lower commercial OEM profit contribution (11%), primarily driven by higher negative engine margin and customer support costs</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2% decrease in "Other" primarily reflects the absence of prior year licensing income (3%), and the operating profit impact of adopting the New Revenue Standard (2%), partially offset by a gain on a divestiture (3%).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2018 Compared with Quarter Ended June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176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8"/>
                <w:szCs w:val="18"/>
                <w:color w:val="auto"/>
              </w:rPr>
              <w:t>1 %</w:t>
            </w:r>
          </w:p>
        </w:tc>
        <w:tc>
          <w:tcPr>
            <w:tcW w:w="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60" w:type="dxa"/>
            <w:vAlign w:val="bottom"/>
          </w:tcPr>
          <w:p>
            <w:pPr>
              <w:jc w:val="right"/>
              <w:ind w:right="1319"/>
              <w:spacing w:after="0"/>
              <w:rPr>
                <w:sz w:val="20"/>
                <w:szCs w:val="20"/>
                <w:color w:val="auto"/>
              </w:rPr>
            </w:pPr>
            <w:r>
              <w:rPr>
                <w:rFonts w:ascii="Arial" w:cs="Arial" w:eastAsia="Arial" w:hAnsi="Arial"/>
                <w:sz w:val="18"/>
                <w:szCs w:val="18"/>
                <w:color w:val="auto"/>
              </w:rPr>
              <w:t>1 %</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w w:val="94"/>
              </w:rPr>
              <w:t>(2)%</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organic sales increase of 8% primarily reflects higher commercial aftermarket and military sales (combined, 5%) and higher commercial aerospace OEM sales (4%).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17% primarily reflects:</w:t>
      </w:r>
    </w:p>
    <w:p>
      <w:pPr>
        <w:spacing w:after="0" w:line="117"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commercial aftermarket and military profit contribution driven by the sales growth noted above (combined, 16%)</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commercial OEM profit contribution driven by the sales growth noted above (10%)</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higher selling, general and administrative expenses (8%)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6% decrease in "Other" primarily reflects an impairment of assets related to a previously acquired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176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8"/>
                <w:szCs w:val="18"/>
                <w:color w:val="auto"/>
              </w:rPr>
              <w:t>1 %</w:t>
            </w:r>
          </w:p>
        </w:tc>
        <w:tc>
          <w:tcPr>
            <w:tcW w:w="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60" w:type="dxa"/>
            <w:vAlign w:val="bottom"/>
          </w:tcPr>
          <w:p>
            <w:pPr>
              <w:jc w:val="right"/>
              <w:ind w:right="1319"/>
              <w:spacing w:after="0"/>
              <w:rPr>
                <w:sz w:val="20"/>
                <w:szCs w:val="20"/>
                <w:color w:val="auto"/>
              </w:rPr>
            </w:pPr>
            <w:r>
              <w:rPr>
                <w:rFonts w:ascii="Arial" w:cs="Arial" w:eastAsia="Arial" w:hAnsi="Arial"/>
                <w:sz w:val="18"/>
                <w:szCs w:val="18"/>
                <w:color w:val="auto"/>
              </w:rPr>
              <w:t>1 %</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w w:val="94"/>
              </w:rPr>
              <w:t>(3)%</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organic sales increase of 7% primarily reflects higher commercial aftermarket and military sales (combined, 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16% primarily reflects:</w:t>
      </w:r>
    </w:p>
    <w:p>
      <w:pPr>
        <w:spacing w:after="0" w:line="117" w:lineRule="exact"/>
        <w:rPr>
          <w:sz w:val="20"/>
          <w:szCs w:val="20"/>
          <w:color w:val="auto"/>
        </w:rPr>
      </w:pPr>
    </w:p>
    <w:p>
      <w:pPr>
        <w:ind w:left="420" w:right="1840" w:firstLine="236"/>
        <w:spacing w:after="0" w:line="375" w:lineRule="auto"/>
        <w:tabs>
          <w:tab w:leader="none" w:pos="9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commercial aftermarket and military profit contribution driven by the sales growth noted above (combined, 23%) These increases were partially offset by:</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 decrease in "Other" primarily reflects an impairment of assets related to a previously acquired business.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4"/>
              </w:rPr>
              <w:t>Quarter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82"/>
              <w:spacing w:after="0"/>
              <w:rPr>
                <w:sz w:val="20"/>
                <w:szCs w:val="20"/>
                <w:color w:val="auto"/>
              </w:rPr>
            </w:pPr>
            <w:r>
              <w:rPr>
                <w:rFonts w:ascii="Arial" w:cs="Arial" w:eastAsia="Arial" w:hAnsi="Arial"/>
                <w:sz w:val="14"/>
                <w:szCs w:val="14"/>
                <w:b w:val="1"/>
                <w:bCs w:val="1"/>
                <w:color w:val="auto"/>
                <w:w w:val="95"/>
              </w:rPr>
              <w:t>Quarter Ended June 30,</w:t>
            </w:r>
          </w:p>
        </w:tc>
        <w:tc>
          <w:tcPr>
            <w:tcW w:w="52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2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12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The year-over-year increase in sales eliminations for the quarter and six months ended June 30, 2018, as compared to the same periods of 2017, reflects an increase in the amount of inter-segment eliminations, principally between our aerospace businesses. The decrease in operating profits for the quarter ended June 30, 2018, is driven by higher inter-segment profit eliminations resulting from increased inter-segment activity amongst our aerospace businesses, transaction costs related to the pending acquisition of Rockwell Collins, and lower year-over-year gains on sales of securities. The decrease in operating profits for the six months ended June 30, 2018, is primarily driven by higher inter-segment profit eliminations resulting from increased inter-segment activity amongst our aerospace businesses, and transaction costs related to the pending acquisition of Rockwell Collins.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4"/>
                <w:szCs w:val="14"/>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9,345</w:t>
            </w: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28,309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26,626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17,281</w:t>
            </w: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33,346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30,155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(total debt plus total equity)</w:t>
            </w: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56,781</w:t>
            </w: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w w:val="90"/>
              </w:rPr>
              <w:t>Net capitalization (total debt plus total equity less cash and cash equivalents)</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50,587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49,921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47,436</w:t>
            </w:r>
          </w:p>
        </w:tc>
      </w:tr>
      <w:tr>
        <w:trPr>
          <w:trHeight w:val="48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0" w:type="dxa"/>
            <w:vAlign w:val="bottom"/>
          </w:tcPr>
          <w:p>
            <w:pPr>
              <w:jc w:val="right"/>
              <w:ind w:right="510"/>
              <w:spacing w:after="0"/>
              <w:rPr>
                <w:sz w:val="20"/>
                <w:szCs w:val="20"/>
                <w:color w:val="auto"/>
              </w:rPr>
            </w:pPr>
            <w:r>
              <w:rPr>
                <w:rFonts w:ascii="Arial" w:cs="Arial" w:eastAsia="Arial" w:hAnsi="Arial"/>
                <w:sz w:val="18"/>
                <w:szCs w:val="18"/>
                <w:color w:val="auto"/>
                <w:w w:val="89"/>
              </w:rPr>
              <w:t>46</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 to total capitalization</w:t>
            </w:r>
          </w:p>
        </w:tc>
        <w:tc>
          <w:tcPr>
            <w:tcW w:w="36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46%</w:t>
            </w:r>
          </w:p>
        </w:tc>
        <w:tc>
          <w:tcPr>
            <w:tcW w:w="17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Net debt to net capitalization</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1760" w:type="dxa"/>
            <w:vAlign w:val="bottom"/>
          </w:tcPr>
          <w:p>
            <w:pPr>
              <w:jc w:val="right"/>
              <w:ind w:right="630"/>
              <w:spacing w:after="0"/>
              <w:rPr>
                <w:sz w:val="20"/>
                <w:szCs w:val="20"/>
                <w:color w:val="auto"/>
              </w:rPr>
            </w:pPr>
            <w:r>
              <w:rPr>
                <w:rFonts w:ascii="Arial" w:cs="Arial" w:eastAsia="Arial" w:hAnsi="Arial"/>
                <w:sz w:val="18"/>
                <w:szCs w:val="18"/>
                <w:color w:val="auto"/>
              </w:rPr>
              <w:t>37%</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21"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from continuing operations. For 2018, we expect cash flows from continuing operations, net of capital expenditures, to approximate $4.5 billion to $5.0 billion.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58"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At June 30, 2018, we had cash and cash equivalents of $11,068 million, of which approximately 36% was held by UTC's foreign subsidiaries. We manage our worldwide cash requirements by reviewing available funds among the many subsidiaries through which we conduct our business and the cost effectiveness with which those funds can be accessed. As previously discussed, on December 22, 2017, the TCJA was enacted. 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in accordance with SAB 118, this evaluation has not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167"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June 30, 2018 and December 31, 2017, the amount of such restricted cash was approximately $38 million and $33 million, respectively.</w:t>
      </w:r>
    </w:p>
    <w:p>
      <w:pPr>
        <w:spacing w:after="0" w:line="18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of 46% at June 30, 2018, remained relatively consistent with the prior year. We use our commercial paper borrowings for general corporate purposes, including the funding of potential acquisitions, pension contributions, debt refinancing, dividend payments and repurchases of our common stock. The need for commercial paper borrowing arises when the use of domestic cash for general corporate purposes exceeds the sum of domestic cash generation and foreign cash repatriated to the U.S.</w:t>
      </w:r>
    </w:p>
    <w:p>
      <w:pPr>
        <w:spacing w:after="0" w:line="193" w:lineRule="exact"/>
        <w:rPr>
          <w:sz w:val="20"/>
          <w:szCs w:val="20"/>
          <w:color w:val="auto"/>
        </w:rPr>
      </w:pPr>
    </w:p>
    <w:p>
      <w:pPr>
        <w:jc w:val="both"/>
        <w:ind w:right="160" w:firstLine="567"/>
        <w:spacing w:after="0" w:line="302" w:lineRule="auto"/>
        <w:rPr>
          <w:sz w:val="20"/>
          <w:szCs w:val="20"/>
          <w:color w:val="auto"/>
        </w:rPr>
      </w:pPr>
      <w:r>
        <w:rPr>
          <w:rFonts w:ascii="Arial" w:cs="Arial" w:eastAsia="Arial" w:hAnsi="Arial"/>
          <w:sz w:val="16"/>
          <w:szCs w:val="16"/>
          <w:color w:val="auto"/>
        </w:rPr>
        <w:t>At June 30, 2018, we had revolving credit agreements with various banks permitting aggregate borrowings of up to $4.35 billion pursuant to a $2.20 billion revolving credit agreement and a $2.15 billion multicurrency revolving credit agreement, both of which expire in August 2021. As of June 30, 2018, there were no borrowings under these revolving credit agreements. The undrawn portions of these revolving credit agreements are also available to serve as backup facilities for the issuance of commercial paper. As of June 30, 2018, our maximum commercial paper borrowing limit was $4.35 billion.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Commercial paper borrowings at June 30, 2018 include approximately €750 million ($876 million) of euro-denominated commercial paper.</w:t>
      </w:r>
    </w:p>
    <w:p>
      <w:pPr>
        <w:spacing w:after="0" w:line="1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 May 18, 2018, we issued €750 million aggregate principal amount of 1.150% senior notes due 2024, €500 million aggregate principal amount of 2.150% senior notes due 2030 and €750 million aggregate principal amount of senior floating rate notes due 2020. The net proceeds received from these debt issuances were used for general corporate purposes.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4, 2018, we repaid at maturity approximately $1.1 billion aggregate principal amount of 1.778% junior subordinated notes.</w:t>
      </w:r>
    </w:p>
    <w:p>
      <w:pPr>
        <w:spacing w:after="0" w:line="117" w:lineRule="exact"/>
        <w:rPr>
          <w:sz w:val="20"/>
          <w:szCs w:val="20"/>
          <w:color w:val="auto"/>
        </w:rPr>
      </w:pPr>
    </w:p>
    <w:p>
      <w:pPr>
        <w:ind w:right="560" w:firstLine="567"/>
        <w:spacing w:after="0" w:line="277" w:lineRule="auto"/>
        <w:rPr>
          <w:sz w:val="20"/>
          <w:szCs w:val="20"/>
          <w:color w:val="auto"/>
        </w:rPr>
      </w:pPr>
      <w:r>
        <w:rPr>
          <w:rFonts w:ascii="Arial" w:cs="Arial" w:eastAsia="Arial" w:hAnsi="Arial"/>
          <w:sz w:val="18"/>
          <w:szCs w:val="18"/>
          <w:color w:val="auto"/>
        </w:rPr>
        <w:t>On February 1, 2018, we repaid at maturity the $99 million 6.80% notes due in 2018 and on February 22, 2018, we repaid at maturity the €750 million EURIBOR plus 0.80% floating rate notes due in 2018.</w:t>
      </w:r>
    </w:p>
    <w:p>
      <w:pPr>
        <w:spacing w:after="0" w:line="62"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On November 13, 2017, we issued €750 million aggregate principal amount of floating rate notes due 2019. The net proceeds from this debt issuance were used to fund the repayment of commercial paper and for other general corporate purposes.</w:t>
      </w:r>
    </w:p>
    <w:p>
      <w:pPr>
        <w:spacing w:after="0" w:line="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and other general corporate purposes.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Within the Business Overview of Management's Discussion and Analysis, we have described the pending acquisition of Rockwell Collins. The purchase consideration will be a combination of UTC shares and cash. We anticipate that approximately $15 billion will be required to pay the aggregate cash portion of the Merger Consideration. We expect to fund the cash portion of the Merger Consideration through debt issuances and cash on hand. Additionally, we have entered into a $6.5 billion 364-day unsecured bridge loan credit agreement that would be funded only to the extent certain anticipated debt issuances are not completed prior to the completion of the merger. We expect to assume approximately $7 billion of Rockwell Collins’ outstanding debt. To help manage the cash flow and liquidity impact resulting from the pending acquisition, we have suspended share repurchases, excluding activity relating to our equity award programs and employee savings plans. As we continue to assess the impacts of the TCJA, future opportunities for repatriation of our non-U.S. earnings, and accelerated de-leveraging, we may consider, in addition to investments in our operations, limited additional share repurchases to offset the effects of dilution related to our stock-based compensation programs. We have repatriated $5.1 billion of overseas cash for the six months ended June 30, 2018. Available cash on hand will be used to reduce the debt funding requirements for the transaction.</w:t>
      </w:r>
    </w:p>
    <w:p>
      <w:pPr>
        <w:spacing w:after="0" w:line="169" w:lineRule="exact"/>
        <w:rPr>
          <w:sz w:val="20"/>
          <w:szCs w:val="20"/>
          <w:color w:val="auto"/>
        </w:rPr>
      </w:pPr>
    </w:p>
    <w:p>
      <w:pPr>
        <w:ind w:right="400" w:firstLine="567"/>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2,555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3,139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Cash generated from operating activities in the six months ended June 30, 2018 was $584 million lower than the same period in 2017. Cash outflows for working capital improved $65 million in the six months ended June 30, 2018 over the prior period. Factoring activity provided an increase in cash generated from operating activities of approximately $350 million in the six months ended June 30, 2018, as compared to the prior year. This increase in factoring was driven largely by Pratt &amp; Whitney's temporary extension of contractual payment terms with certain commercial aerospace customers. This increase does not reflect the factoring of certain aerospace receivables performed at customer request for which we are compensated by the customer for the extended payment cycle.</w:t>
      </w:r>
    </w:p>
    <w:p>
      <w:pPr>
        <w:spacing w:after="0" w:line="193" w:lineRule="exact"/>
        <w:rPr>
          <w:sz w:val="20"/>
          <w:szCs w:val="20"/>
          <w:color w:val="auto"/>
        </w:rPr>
      </w:pPr>
    </w:p>
    <w:p>
      <w:pPr>
        <w:ind w:right="20" w:firstLine="567"/>
        <w:spacing w:after="0" w:line="285" w:lineRule="auto"/>
        <w:rPr>
          <w:sz w:val="20"/>
          <w:szCs w:val="20"/>
          <w:color w:val="auto"/>
        </w:rPr>
      </w:pPr>
      <w:r>
        <w:rPr>
          <w:rFonts w:ascii="Arial" w:cs="Arial" w:eastAsia="Arial" w:hAnsi="Arial"/>
          <w:sz w:val="16"/>
          <w:szCs w:val="16"/>
          <w:color w:val="auto"/>
        </w:rPr>
        <w:t>In the six months ended June 30, 2018, cash outflows from working capital were $489 million, excluding the adoption impact of the New Revenue Standard. Accounts receivables increased from an increase in sales volume driven by UTC Climate, Controls &amp; Security Residential &amp; Commercial HVAC businesses, UTC Aerospace Systems and Pratt &amp; Whitney. Contract assets increased due to costs in excess of billings primarily at Pratt &amp; Whitney driven by military engines, at Otis due to progression on major projects, and at UTC Climate, Controls &amp; Security in Commercial HVAC. Inventory increased in the quarter primarily driven by UTC Climate, Controls &amp; Security seasonal build and an increase in production work in process for the Geared Turbo Fan at Pratt</w:t>
      </w:r>
    </w:p>
    <w:p>
      <w:pPr>
        <w:spacing w:after="0" w:line="2" w:lineRule="exact"/>
        <w:rPr>
          <w:sz w:val="20"/>
          <w:szCs w:val="20"/>
          <w:color w:val="auto"/>
        </w:rPr>
      </w:pPr>
    </w:p>
    <w:p>
      <w:pPr>
        <w:ind w:right="20" w:firstLine="8"/>
        <w:spacing w:after="0" w:line="255" w:lineRule="auto"/>
        <w:tabs>
          <w:tab w:leader="none" w:pos="1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Whitney. These increases were partially offset by increases in accounts payable and accrued liabilities, driven by the higher inventory purchasing activity and customer advances at Pratt &amp; Whitney as well as an increase in current contract liabilities driven by seasonal advanced billings and progress payments on major contracts at Otis and the timing of billings on aftermarket contracts at Pratt &amp; Whitney.</w:t>
      </w:r>
    </w:p>
    <w:p>
      <w:pPr>
        <w:spacing w:after="0" w:line="190"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In the six months ended June 30, 2017, cash outflows from working capital were $554 million. Inventories increased approximately $1.1 billion, primarily in our aerospace businesses supporting an increase in forecasted OEM deliveries and related aftermarket demand, and in our commercial businesses primarily driven by seasonal demand in our North American HVAC business and installation projects in process in our refrigeration businesses. These increases were largely offset by increases in accounts payable and accrued liabilities, primarily at Pratt &amp; Whitney, with other increases at UTC Climate, Controls &amp; Security attributable to higher seasonal demand in our North American HVAC business. Accounts receivable increased primarily in our aerospace businesses, and were partially offset by increased customer advances at Pratt &amp; Whitney and Otis. Factoring activity provided an increase of approximately $400 million in cash generated from operating activities of continuing operations in the six months ended June 30, 2017, as compared to the prior year period. This increase in factoring was driven largely by Pratt &amp; Whitney's temporary extension of contractual payment terms with certain commercial aerospace customers.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six months ended June 30, 2018 and 2017 were approximately $59 million and $79 million, respectively. Although our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domestic pension plans are approximately 103% funded on a projected benefit obligation basis as of June 30, 2018, and we are not required to make additional contributions through the end of 2028, we may elect to make discretionary contributions in 2018. We expect to make total contributions of approximately $100 million to our global defined benefit pension plans in 2018. Contributions to our global defined benefit pension plans in 2018 are expected to meet or exceed the current funding requirements.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Cash flows used in investing activities of continuing operations for the six months ended June 30, 2018 and 2017 primarily reflect capital expenditures, cash investments in customer financing assets, investments/dispositions of businesses, payments related to our collaboration intangible assets and contractual rights to provide product on new aircraft platforms, and settlements of derivative contracts. The $752 million decrease in cash flows used in investing activities in the six months ended June 30, 2018 compared to June 30, 2017 primarily relates to the $1 billion in proceeds from the sale of Taylor Company in June 2018 by UTC Climate, Controls &amp; Security, $376 million in receipts from settlements of derivative contracts, partially offset by the absence of $596 million in net proceeds received from UTC Climate, Controls &amp; Security's sale of investments in Watsco, Inc. in the quarter ended March 31, 2017.</w:t>
      </w:r>
    </w:p>
    <w:p>
      <w:pPr>
        <w:spacing w:after="0" w:line="165"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Capital expenditures for the six months ended June 30, 2018 ($709 million) primarily relate to investments in production capacity at Pratt &amp; Whitney, several small projects at UTC Aerospace Systems, and new facilities at UTC Climate, Controls &amp; Security.</w:t>
      </w:r>
    </w:p>
    <w:p>
      <w:pPr>
        <w:spacing w:after="0" w:line="170"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Cash investments in businesses in the six months ended June 30, 2018 ($134 million) primarily consisted of an acquisition at Pratt &amp; Whitney. We do not expect to have additional significant acquisition spend, other than the pending acquisition of Rockwell Collins. However, actual acquisition spending may vary depending upon the timing, availability and appropriate value of acquisition opportunities. Dispositions of businesses in the six months ended June 30, 2018 of $1.1 billion primarily relate to the sale of Taylor Company.</w:t>
      </w:r>
    </w:p>
    <w:p>
      <w:pPr>
        <w:spacing w:after="0" w:line="187"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Customer financing activities in the six months ended June 30, 2018 were a net use of cash of $344 million, primarily driven by additional Geared Turbofan engines to support customer fleets. While we expect that 2018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$15.2 billion at June 30, 2018 related to commercial aircraft and certain contractual rights to provide product on new aircraft platforms, of which up to $0.6 billion may be required to be disbursed during the remainder of 2018. We had commercial aerospace financing and other contractual commitments of approximately $15.3 billion at December 31, 2017.</w:t>
      </w:r>
    </w:p>
    <w:p>
      <w:pPr>
        <w:spacing w:after="0" w:line="189"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During the six months ended June 30, 2018, our collaboration intangible assets increased by approximately $181 million, which primarily relates to payments made under our 2012 agreement to acquire Rolls-Royce's collaboration interest in IAE.</w:t>
      </w:r>
    </w:p>
    <w:p>
      <w:pPr>
        <w:spacing w:after="0" w:line="17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inflow of approximately $82 million during the six months ended June 30, 2018 and a net cash outflow of $294 million during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4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4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49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Our financing activities primarily include the issuance and repayment of short term and long term debt, payment of dividends and stock repurchases. Net cash used in financing activities decreased $159 million in the six months ended June 30, 2018 compared to the six months ended June 30, 2017 primarily due to a reduction in debt issuances of $1.6 billion and an increase in debt repayments of $481 million, partially offset by an increase in short-term borrowings of $610 million and a reduction in common stock repurchase of $1.3 billion.</w:t>
      </w:r>
    </w:p>
    <w:p>
      <w:pPr>
        <w:spacing w:after="0" w:line="187"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$0.9 billion of outstanding commercial paper at June 30, 2018.</w:t>
      </w:r>
    </w:p>
    <w:p>
      <w:pPr>
        <w:spacing w:after="0" w:line="181"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At June 30, 2018, management had remaining authority to repurchase approximately $2.2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We made cash payments of approximately $52 million to repurchase approximately 402 thousand shares of our common stock during the six months ended June 30, 2018. In connection with the merger agreement with Rockwell Collins announced on September 4, 2017, we have suspended share repurchases, excluding activity required under our equity award programs and employee savings plans. As we continue to assess the impacts of the TCJA, future opportunities for repatriation of our non-U.S. earnings, and accelerated de-leveraging, we may consider, in addition to investments in our operations, limited additional share repurchases to offset the effects of dilution related to our stock-based compensation programs.</w:t>
      </w:r>
    </w:p>
    <w:p>
      <w:pPr>
        <w:spacing w:after="0" w:line="167"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We paid dividends on common stock of $0.70 per share in both the first quarter and second quarter of 2018, totaling approximately $1,070 million in the aggregate for the six months ended June 30, 2018. On June 13, 2018, the Board of Directors declared a dividend of $0.70 per share payable September 10, 2018 to shareowners of record at the close of business on August 17, 2018.</w:t>
      </w:r>
    </w:p>
    <w:p>
      <w:pPr>
        <w:spacing w:after="0" w:line="181"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our 2017 Annual Report, incorporated by reference in our 2017 Form 10-K, we disclosed our off-balance sheet arrangements and contractual obligations. As of June 30, 2018,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2018. For discussion of our exposure to market risk, refer to Part II, Item 7A, "Quantitative and Qualitative Disclosures About Market Risk," contained in our 2017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June 30, 2018.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2018,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 months ended June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122" w:right="39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combined company following United Technologies’ pending acquisition of Rockwell Collins, the anticipated benefits of the pending acquisition, including estimated synergies, the expected timing of financing and completion of the transaction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80" w:lineRule="exact"/>
        <w:rPr>
          <w:sz w:val="20"/>
          <w:szCs w:val="20"/>
          <w:color w:val="auto"/>
        </w:rPr>
      </w:pPr>
    </w:p>
    <w:p>
      <w:pPr>
        <w:ind w:left="740" w:right="60" w:hanging="327"/>
        <w:spacing w:after="0" w:line="302"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and Rockwell Collins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140" w:hanging="327"/>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62" w:lineRule="exact"/>
        <w:rPr>
          <w:rFonts w:ascii="Arial" w:cs="Arial" w:eastAsia="Arial" w:hAnsi="Arial"/>
          <w:sz w:val="18"/>
          <w:szCs w:val="18"/>
          <w:color w:val="auto"/>
        </w:rPr>
      </w:pPr>
    </w:p>
    <w:p>
      <w:pPr>
        <w:ind w:left="740" w:right="2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nature, impact or timing of the pending Rockwell Collins acquisition and other acquisition and divestiture or restructuring activity, including among other things integration of acquired businesses into UTC's existing businesses and realization of synergies and opportunities for growth and innovation;</w:t>
      </w:r>
    </w:p>
    <w:p>
      <w:pPr>
        <w:spacing w:after="0" w:line="73" w:lineRule="exact"/>
        <w:rPr>
          <w:rFonts w:ascii="Arial" w:cs="Arial" w:eastAsia="Arial" w:hAnsi="Arial"/>
          <w:sz w:val="18"/>
          <w:szCs w:val="18"/>
          <w:color w:val="auto"/>
        </w:rPr>
      </w:pPr>
    </w:p>
    <w:p>
      <w:pPr>
        <w:jc w:val="both"/>
        <w:ind w:left="740" w:right="120" w:hanging="327"/>
        <w:spacing w:after="0" w:line="342"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future timing and levels of indebtedness, including indebtedness expected to be incurred by UTC in connection with the pending Rockwell Collins acquisition, and capital spending and research and development spending, including in connection with the pending Rockwell Collins acquisition;</w:t>
      </w:r>
    </w:p>
    <w:p>
      <w:pPr>
        <w:spacing w:after="0" w:line="15" w:lineRule="exact"/>
        <w:rPr>
          <w:rFonts w:ascii="Arial" w:cs="Arial" w:eastAsia="Arial" w:hAnsi="Arial"/>
          <w:sz w:val="16"/>
          <w:szCs w:val="16"/>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320" w:hanging="327"/>
        <w:spacing w:after="0" w:line="342"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scope of future repurchases of our common stoc</w:t>
      </w:r>
      <w:r>
        <w:rPr>
          <w:rFonts w:ascii="Arial" w:cs="Arial" w:eastAsia="Arial" w:hAnsi="Arial"/>
          <w:sz w:val="14"/>
          <w:szCs w:val="14"/>
          <w:color w:val="auto"/>
        </w:rPr>
        <w:t>k,</w:t>
      </w:r>
      <w:r>
        <w:rPr>
          <w:rFonts w:ascii="Arial" w:cs="Arial" w:eastAsia="Arial" w:hAnsi="Arial"/>
          <w:sz w:val="16"/>
          <w:szCs w:val="16"/>
          <w:color w:val="auto"/>
        </w:rPr>
        <w:t xml:space="preserve"> which may be suspended at any time due to various factors, including market conditions and the level of other investing activities and uses of cash, including in connection with the pending acquisition of Rockwell Collins;</w:t>
      </w:r>
    </w:p>
    <w:p>
      <w:pPr>
        <w:spacing w:after="0" w:line="15" w:lineRule="exact"/>
        <w:rPr>
          <w:rFonts w:ascii="Arial" w:cs="Arial" w:eastAsia="Arial" w:hAnsi="Arial"/>
          <w:sz w:val="16"/>
          <w:szCs w:val="16"/>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4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and Rockwell Collins operate, including the effect of changes in U.S. trade policies or the U.K.'s pending withdrawal from the EU, on general market conditions, global trade policies and currency exchange rates in the near term and beyond;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9" w:lineRule="exact"/>
        <w:rPr>
          <w:sz w:val="20"/>
          <w:szCs w:val="20"/>
          <w:color w:val="auto"/>
        </w:rPr>
      </w:pPr>
    </w:p>
    <w:p>
      <w:pPr>
        <w:ind w:left="740" w:right="100" w:hanging="327"/>
        <w:spacing w:after="0" w:line="27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changes in tax (including the U.S. tax reform enacted on December 22, 2017, which is commonly referred to as the Tax Cuts and Jobs Act of 2017)</w:t>
      </w:r>
      <w:r>
        <w:rPr>
          <w:rFonts w:ascii="Arial" w:cs="Arial" w:eastAsia="Arial" w:hAnsi="Arial"/>
          <w:sz w:val="19"/>
          <w:szCs w:val="19"/>
          <w:color w:val="auto"/>
        </w:rPr>
        <w:t>,</w:t>
      </w:r>
      <w:r>
        <w:rPr>
          <w:rFonts w:ascii="Arial" w:cs="Arial" w:eastAsia="Arial" w:hAnsi="Arial"/>
          <w:sz w:val="18"/>
          <w:szCs w:val="18"/>
          <w:color w:val="auto"/>
        </w:rPr>
        <w:t xml:space="preserve"> environmental, regulatory (including among other things import/export) and other laws and regulations in the U.S. and other countries in which we and Rockwell Collins operate;</w:t>
      </w:r>
    </w:p>
    <w:p>
      <w:pPr>
        <w:spacing w:after="0" w:line="63" w:lineRule="exact"/>
        <w:rPr>
          <w:rFonts w:ascii="Arial" w:cs="Arial" w:eastAsia="Arial" w:hAnsi="Arial"/>
          <w:sz w:val="18"/>
          <w:szCs w:val="18"/>
          <w:color w:val="auto"/>
        </w:rPr>
      </w:pPr>
    </w:p>
    <w:p>
      <w:pPr>
        <w:ind w:left="740" w:right="100" w:hanging="327"/>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UTC and Rockwell Collins to receive the required regulatory approvals (and the risk that such approvals may result in the imposition of conditions that could adversely affect the combined company or the expected benefits of the merger) and to satisfy the other conditions to the closing of the pending acquisition on a timely basis or at all;</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events that may give rise to a right of one or both of UTC or Rockwell Collins to terminate the merger agreement;</w:t>
      </w:r>
    </w:p>
    <w:p>
      <w:pPr>
        <w:spacing w:after="0" w:line="117"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effects of the announcement or the completion of the merger on the market price of UTC’s and/or Rockwell Collins’ common stock and/or on their respective financial performance;</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related to Rockwell Collins and UTC being restricted in their operation of their businesses while the merger agreement is in effect;</w:t>
      </w:r>
    </w:p>
    <w:p>
      <w:pPr>
        <w:spacing w:after="0" w:line="128" w:lineRule="exact"/>
        <w:rPr>
          <w:rFonts w:ascii="Arial" w:cs="Arial" w:eastAsia="Arial" w:hAnsi="Arial"/>
          <w:sz w:val="17"/>
          <w:szCs w:val="17"/>
          <w:color w:val="auto"/>
        </w:rPr>
      </w:pPr>
    </w:p>
    <w:p>
      <w:pPr>
        <w:ind w:left="740" w:right="26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the value of the UTC’s shares to be issued in connection with the pending Rockwell Collins acquisition, significant merger costs and/or unknown liabilities;</w:t>
      </w:r>
    </w:p>
    <w:p>
      <w:pPr>
        <w:spacing w:after="0" w:line="62" w:lineRule="exact"/>
        <w:rPr>
          <w:rFonts w:ascii="Arial" w:cs="Arial" w:eastAsia="Arial" w:hAnsi="Arial"/>
          <w:sz w:val="18"/>
          <w:szCs w:val="18"/>
          <w:color w:val="auto"/>
        </w:rPr>
      </w:pPr>
    </w:p>
    <w:p>
      <w:pPr>
        <w:ind w:left="740" w:right="6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third-party contracts containing consent and/or other provisions that may be triggered by the Rockwell Collins merger agreement;</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merger-related litigation;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UTC and Rockwell Collins, or the combined company, to retain and hire key personnel.</w:t>
      </w:r>
    </w:p>
    <w:p>
      <w:pPr>
        <w:spacing w:after="0" w:line="117" w:lineRule="exact"/>
        <w:rPr>
          <w:sz w:val="20"/>
          <w:szCs w:val="20"/>
          <w:color w:val="auto"/>
        </w:rPr>
      </w:pPr>
    </w:p>
    <w:p>
      <w:pPr>
        <w:ind w:left="60" w:firstLine="648"/>
        <w:spacing w:after="0" w:line="268"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2017 Annual Report and 2017 Form 10-K. Additional important information as to these factors is included in our 2017 Annual Report in the section titled "Management's Discussion and Analysis of Financial Condition and Results of Operations" under the headings "Restructuring Costs," "Environmental Matters" and "Governmental Matters", in our 2017 Form 10-K in the "Business" section under the headings "General," "Description of Business by Segment" and "Other Matters Relating to Our Business as a Whole" and in our Form S-4 Registration Statement (Registration No. 333-220883)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DOJ/SEC Investigations</w:t>
      </w:r>
    </w:p>
    <w:p>
      <w:pPr>
        <w:spacing w:after="0" w:line="225" w:lineRule="exact"/>
        <w:rPr>
          <w:sz w:val="20"/>
          <w:szCs w:val="20"/>
          <w:color w:val="auto"/>
        </w:rPr>
      </w:pPr>
    </w:p>
    <w:p>
      <w:pPr>
        <w:ind w:right="120" w:firstLine="392"/>
        <w:spacing w:after="0" w:line="271" w:lineRule="auto"/>
        <w:rPr>
          <w:sz w:val="20"/>
          <w:szCs w:val="20"/>
          <w:color w:val="auto"/>
        </w:rPr>
      </w:pPr>
      <w:r>
        <w:rPr>
          <w:rFonts w:ascii="Arial" w:cs="Arial" w:eastAsia="Arial" w:hAnsi="Arial"/>
          <w:sz w:val="17"/>
          <w:szCs w:val="17"/>
          <w:color w:val="auto"/>
        </w:rPr>
        <w:t>As previously disclosed, in December 2013 and January 2014, UTC made voluntary disclosures to the United States Department of Justice (DOJ), the Securities and Exchange Commission (SEC) Division of Enforcement and the United Kingdom’s Serious Fraud Office to report the status of its internal investigation regarding a non-employee sales representative retained by United Technologies International Operations, Inc. (UTIO) and IAE for the sale of Pratt &amp; Whitney and IAE engines and aftermarket services, respectively, in China. On April 7, 2014, the SEC notified UTC that it was conducting a formal investigation and issued a subpoena to UTC. The SEC issued a second subpoena on March 9, 2015 seeking documents related to internal allegations of violations of anti-bribery laws from UTC’s aerospace and commercial businesses, including but not limited to Otis businesses in China. On March 7, 2018, the DOJ notified UTC that it had decided to close its investigation of this matter. Based on our ongoing discussions with the SEC staff to resolve this matter, UTC recorded a charge of approximately $11 million in the second quarter of 2018.</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other legal proceedings.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500" w:firstLine="405"/>
        <w:spacing w:after="0" w:line="342" w:lineRule="auto"/>
        <w:rPr>
          <w:sz w:val="20"/>
          <w:szCs w:val="20"/>
          <w:color w:val="auto"/>
        </w:rPr>
      </w:pPr>
      <w:r>
        <w:rPr>
          <w:rFonts w:ascii="Arial" w:cs="Arial" w:eastAsia="Arial" w:hAnsi="Arial"/>
          <w:sz w:val="16"/>
          <w:szCs w:val="16"/>
          <w:color w:val="auto"/>
        </w:rPr>
        <w:t>Except as otherwise noted above, there have been no material developments in legal proceedings. For previously reported information about legal proceedings refer to Part I, Item 3, "Legal Proceedings," of our 2017 Form 10-K and Part. II, Item 1 "Legal Proceedings" of our 2018 Form 10-Q (Q1).</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2017 Form 10-K.</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June 30, 2018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122.40</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124.70</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126.10</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124.10</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On October 14, 2015, our Board of Directors authorized a share repurchase program for up to $12 billion of our common stock, replacing the program announced on July 19, 2015. At June 30, 2018, the maximum dollar value of shares that may yet be purchased under this current program was approximately $2,242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No shares were reacquired in transactions outside the program during the quarter ended June 30, 2018.</w:t>
      </w:r>
    </w:p>
    <w:p>
      <w:pPr>
        <w:spacing w:after="0" w:line="16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September 4, 2017, we announced that we had entered into a merger agreement with Rockwell Collins, under which we will acquire Rockwell Collins. To manage the cash flow and liquidity impacts of these actions, we have suspended share repurchases, excluding activity required under our equity award programs and employee savings plans.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10220" w:type="dxa"/>
            <w:vAlign w:val="bottom"/>
            <w:gridSpan w:val="5"/>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4"/>
                <w:szCs w:val="24"/>
                <w:color w:val="auto"/>
              </w:rPr>
            </w:pPr>
          </w:p>
        </w:tc>
        <w:tc>
          <w:tcPr>
            <w:tcW w:w="102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102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40" w:type="dxa"/>
            <w:vAlign w:val="bottom"/>
            <w:tcBorders>
              <w:top w:val="single" w:sz="8" w:color="auto"/>
            </w:tcBorders>
          </w:tcPr>
          <w:p>
            <w:pPr>
              <w:jc w:val="right"/>
              <w:ind w:right="476"/>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20" w:type="dxa"/>
            <w:vAlign w:val="bottom"/>
            <w:tcBorders>
              <w:top w:val="single" w:sz="8" w:color="auto"/>
            </w:tcBorders>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United Technologies Deferred Compensation Plan executed July 16, 2018 (amended and restated as of January 1, 2011).*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tcPr>
          <w:p>
            <w:pPr>
              <w:jc w:val="right"/>
              <w:ind w:right="476"/>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United Technologies Corporation Company Automatic Contribution Excess Plan executed July 16, 2018 (amended and restated as of</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5"/>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January 1, 2010).*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476"/>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5"/>
          </w:tcPr>
          <w:p>
            <w:pPr>
              <w:spacing w:after="0"/>
              <w:rPr>
                <w:rFonts w:ascii="Arial" w:cs="Arial" w:eastAsia="Arial" w:hAnsi="Arial"/>
                <w:sz w:val="18"/>
                <w:szCs w:val="18"/>
                <w:color w:val="0000FF"/>
                <w:w w:val="97"/>
              </w:rPr>
            </w:pPr>
            <w:hyperlink w:anchor="page108">
              <w:r>
                <w:rPr>
                  <w:rFonts w:ascii="Arial" w:cs="Arial" w:eastAsia="Arial" w:hAnsi="Arial"/>
                  <w:sz w:val="18"/>
                  <w:szCs w:val="18"/>
                  <w:color w:val="0000FF"/>
                  <w:w w:val="97"/>
                </w:rPr>
                <w:t>United Technologies Corporation Savings Restoration Plan executed July 16, 2018 (amended and restated as of January 1, 2011).*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80" w:hanging="1010"/>
        <w:spacing w:after="0"/>
        <w:tabs>
          <w:tab w:leader="none" w:pos="1180" w:val="left"/>
        </w:tabs>
        <w:numPr>
          <w:ilvl w:val="0"/>
          <w:numId w:val="22"/>
        </w:numPr>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Statement re: computation of ratio of earnings to fixed charges.*</w:t>
        </w:r>
      </w:hyperlink>
    </w:p>
    <w:p>
      <w:pPr>
        <w:spacing w:after="0" w:line="185" w:lineRule="exact"/>
        <w:rPr>
          <w:sz w:val="20"/>
          <w:szCs w:val="20"/>
          <w:color w:val="auto"/>
        </w:rPr>
      </w:pPr>
    </w:p>
    <w:p>
      <w:pPr>
        <w:ind w:left="1180" w:hanging="1010"/>
        <w:spacing w:after="0"/>
        <w:tabs>
          <w:tab w:leader="none" w:pos="1180" w:val="left"/>
        </w:tabs>
        <w:numPr>
          <w:ilvl w:val="0"/>
          <w:numId w:val="23"/>
        </w:numPr>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Letter re: unaudited interim financial information.*</w:t>
        </w:r>
      </w:hyperlink>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128">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129">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31.3</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130">
              <w:r>
                <w:rPr>
                  <w:rFonts w:ascii="Arial" w:cs="Arial" w:eastAsia="Arial" w:hAnsi="Arial"/>
                  <w:sz w:val="18"/>
                  <w:szCs w:val="18"/>
                  <w:color w:val="0000FF"/>
                  <w:w w:val="92"/>
                </w:rPr>
                <w:t>Rule 13a-14(a)/15d-14(a) Certification.*</w:t>
              </w:r>
            </w:hyperlink>
          </w:p>
        </w:tc>
      </w:tr>
    </w:tbl>
    <w:p>
      <w:pPr>
        <w:spacing w:after="0" w:line="188" w:lineRule="exact"/>
        <w:rPr>
          <w:sz w:val="20"/>
          <w:szCs w:val="20"/>
          <w:color w:val="auto"/>
        </w:rPr>
      </w:pPr>
    </w:p>
    <w:p>
      <w:pPr>
        <w:ind w:left="1180" w:hanging="1010"/>
        <w:spacing w:after="0"/>
        <w:tabs>
          <w:tab w:leader="none" w:pos="1180" w:val="left"/>
        </w:tabs>
        <w:numPr>
          <w:ilvl w:val="0"/>
          <w:numId w:val="24"/>
        </w:numPr>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 and six months ended June 30, 2018 and 2017, (ii) Condensed Consolidated Statements of Comprehensive Income for the quarter and six months ended June 30, 2018 and 2017, (iii) Condensed Consolidated Balance Sheets as of June 30, 2018 and December 31, 2017,</w:t>
      </w:r>
    </w:p>
    <w:p>
      <w:pPr>
        <w:ind w:right="700" w:firstLine="8"/>
        <w:spacing w:after="0" w:line="261"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2018 and 2017, and (v) Notes to Condensed Consolidated Financial Statements.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12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rPr>
        <w:t>UNITED TECHNOLOGIES CORPORATION</w:t>
      </w:r>
    </w:p>
    <w:p>
      <w:pPr>
        <w:spacing w:after="0" w:line="200" w:lineRule="exact"/>
        <w:rPr>
          <w:sz w:val="20"/>
          <w:szCs w:val="20"/>
          <w:color w:val="auto"/>
        </w:rPr>
      </w:pPr>
    </w:p>
    <w:p>
      <w:pPr>
        <w:spacing w:after="0" w:line="215" w:lineRule="exact"/>
        <w:rPr>
          <w:sz w:val="20"/>
          <w:szCs w:val="20"/>
          <w:color w:val="auto"/>
        </w:rPr>
      </w:pPr>
    </w:p>
    <w:p>
      <w:pPr>
        <w:ind w:left="1780"/>
        <w:spacing w:after="0"/>
        <w:rPr>
          <w:sz w:val="20"/>
          <w:szCs w:val="20"/>
          <w:color w:val="auto"/>
        </w:rPr>
      </w:pPr>
      <w:r>
        <w:rPr>
          <w:rFonts w:ascii="Arial" w:cs="Arial" w:eastAsia="Arial" w:hAnsi="Arial"/>
          <w:sz w:val="34"/>
          <w:szCs w:val="34"/>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80"/>
        <w:spacing w:after="0"/>
        <w:rPr>
          <w:sz w:val="20"/>
          <w:szCs w:val="20"/>
          <w:color w:val="auto"/>
        </w:rPr>
      </w:pPr>
      <w:r>
        <w:rPr>
          <w:rFonts w:ascii="Arial" w:cs="Arial" w:eastAsia="Arial" w:hAnsi="Arial"/>
          <w:sz w:val="25"/>
          <w:szCs w:val="25"/>
          <w:color w:val="auto"/>
        </w:rPr>
        <w:t>Executed July 16, 2018</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25"/>
          <w:szCs w:val="25"/>
          <w:color w:val="auto"/>
        </w:rPr>
        <w:t>Amended and Restated as of January 1, 2011</w:t>
      </w:r>
    </w:p>
    <w:p>
      <w:pPr>
        <w:sectPr>
          <w:pgSz w:w="11900" w:h="16838" w:orient="portrait"/>
          <w:cols w:equalWidth="0" w:num="1">
            <w:col w:w="10220"/>
          </w:cols>
          <w:pgMar w:left="1440" w:top="585" w:right="23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22"/>
          <w:szCs w:val="22"/>
          <w:b w:val="1"/>
          <w:bCs w:val="1"/>
          <w:color w:val="auto"/>
        </w:rPr>
        <w:t>UNITED TECHNOLOGIES CORPORATION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DEFERRED COMPENSATION PLAN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Executed July 16, 2018</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(As amended and restated effective January 1, 2011)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 - PREAMBLE</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1.1 - Purpose of the Plan</w:t>
      </w:r>
    </w:p>
    <w:p>
      <w:pPr>
        <w:spacing w:after="0" w:line="280" w:lineRule="exact"/>
        <w:rPr>
          <w:sz w:val="20"/>
          <w:szCs w:val="20"/>
          <w:color w:val="auto"/>
        </w:rPr>
      </w:pPr>
    </w:p>
    <w:p>
      <w:pPr>
        <w:ind w:firstLine="648"/>
        <w:spacing w:after="0" w:line="350" w:lineRule="auto"/>
        <w:rPr>
          <w:sz w:val="20"/>
          <w:szCs w:val="20"/>
          <w:color w:val="auto"/>
        </w:rPr>
      </w:pPr>
      <w:r>
        <w:rPr>
          <w:rFonts w:ascii="Arial" w:cs="Arial" w:eastAsia="Arial" w:hAnsi="Arial"/>
          <w:sz w:val="22"/>
          <w:szCs w:val="22"/>
          <w:color w:val="auto"/>
        </w:rPr>
        <w:t>United Technologies Corporation established the United Technologies Deferred Compensation Plan effective April 1, 1985. Pursuant to such Plan, certain eligible executives of the Corporation, its Subsidiaries and Affiliates deferred all or a portion of their compensation earned with respect to 1985 and 1986. No compensation earned after 1986 was deferred under the Plan until the Plan was amended and restated effective December 15, 1993 to offer eligible executives the opportunity to defer all or a portion of Compensation earned or otherwise payable in 1994 and subsequent years. The Plan has been amended from time to time since 1993.</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1.2 - Effective Date of Plan and Amendments</w:t>
      </w:r>
    </w:p>
    <w:p>
      <w:pPr>
        <w:spacing w:after="0" w:line="284" w:lineRule="exact"/>
        <w:rPr>
          <w:sz w:val="20"/>
          <w:szCs w:val="20"/>
          <w:color w:val="auto"/>
        </w:rPr>
      </w:pPr>
    </w:p>
    <w:p>
      <w:pPr>
        <w:ind w:right="40" w:firstLine="648"/>
        <w:spacing w:after="0" w:line="397" w:lineRule="auto"/>
        <w:rPr>
          <w:sz w:val="20"/>
          <w:szCs w:val="20"/>
          <w:color w:val="auto"/>
        </w:rPr>
      </w:pPr>
      <w:r>
        <w:rPr>
          <w:rFonts w:ascii="Arial" w:cs="Arial" w:eastAsia="Arial" w:hAnsi="Arial"/>
          <w:sz w:val="19"/>
          <w:szCs w:val="19"/>
          <w:color w:val="auto"/>
        </w:rPr>
        <w:t xml:space="preserve">The Plan is amended and restated for the purpose of clarifying the intent of the Plan to provide for a Benefit Restoration Contribution to restore the reduction in the UTC Contribution Plan Account under the United Technologies Corporation Savings Restoration Plan as a result of the reduction of such Participant’s Eligible Compensation due to an elective deferral of compensation by the Participant under this Plan; as well as other revisions. Changes effected by this amendment and restatement are generally effective as of January 1, 2011. </w:t>
      </w:r>
      <w:r>
        <w:rPr>
          <w:rFonts w:ascii="Arial" w:cs="Arial" w:eastAsia="Arial" w:hAnsi="Arial"/>
          <w:sz w:val="20"/>
          <w:szCs w:val="20"/>
          <w:color w:val="auto"/>
        </w:rPr>
        <w:t>The Plan was</w:t>
      </w:r>
      <w:r>
        <w:rPr>
          <w:rFonts w:ascii="Arial" w:cs="Arial" w:eastAsia="Arial" w:hAnsi="Arial"/>
          <w:sz w:val="19"/>
          <w:szCs w:val="19"/>
          <w:color w:val="auto"/>
        </w:rPr>
        <w:t xml:space="preserve"> </w:t>
      </w:r>
      <w:r>
        <w:rPr>
          <w:rFonts w:ascii="Arial" w:cs="Arial" w:eastAsia="Arial" w:hAnsi="Arial"/>
          <w:sz w:val="20"/>
          <w:szCs w:val="20"/>
          <w:color w:val="auto"/>
        </w:rPr>
        <w:t>amended and restated, effective January 1, 2005, to reflect the requirements of Section 409A of the Internal Revenue Code. The Plan, as amended and restated, applies to deferrals that were earned or vested after December 31, 2004. Amounts that were earned and vested (within the meaning of Section 409A) before January 1, 2005, and any subsequent increases in these amounts that are permitted to be treated as grandfathered benefits under Section 409A, are subject to and shall continue to be governed by the terms of the Prior Plan as set forth in Appendix A.</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 - DEFINITIONS</w:t>
      </w:r>
    </w:p>
    <w:p>
      <w:pPr>
        <w:spacing w:after="0" w:line="280" w:lineRule="exact"/>
        <w:rPr>
          <w:sz w:val="20"/>
          <w:szCs w:val="20"/>
          <w:color w:val="auto"/>
        </w:rPr>
      </w:pPr>
    </w:p>
    <w:p>
      <w:pPr>
        <w:ind w:right="180" w:firstLine="486"/>
        <w:spacing w:after="0" w:line="352" w:lineRule="auto"/>
        <w:rPr>
          <w:sz w:val="20"/>
          <w:szCs w:val="20"/>
          <w:color w:val="auto"/>
        </w:rPr>
      </w:pPr>
      <w:r>
        <w:rPr>
          <w:rFonts w:ascii="Arial" w:cs="Arial" w:eastAsia="Arial" w:hAnsi="Arial"/>
          <w:sz w:val="22"/>
          <w:szCs w:val="22"/>
          <w:i w:val="1"/>
          <w:iCs w:val="1"/>
          <w:color w:val="auto"/>
        </w:rPr>
        <w:t xml:space="preserve">Beneficiary </w:t>
      </w:r>
      <w:r>
        <w:rPr>
          <w:rFonts w:ascii="Arial" w:cs="Arial" w:eastAsia="Arial" w:hAnsi="Arial"/>
          <w:sz w:val="22"/>
          <w:szCs w:val="22"/>
          <w:color w:val="auto"/>
        </w:rPr>
        <w:t>means the person, persons or entity designated on an electronic or written form by the Participant to receive the</w:t>
      </w:r>
      <w:r>
        <w:rPr>
          <w:rFonts w:ascii="Arial" w:cs="Arial" w:eastAsia="Arial" w:hAnsi="Arial"/>
          <w:sz w:val="22"/>
          <w:szCs w:val="22"/>
          <w:i w:val="1"/>
          <w:iCs w:val="1"/>
          <w:color w:val="auto"/>
        </w:rPr>
        <w:t xml:space="preserve"> </w:t>
      </w:r>
      <w:r>
        <w:rPr>
          <w:rFonts w:ascii="Arial" w:cs="Arial" w:eastAsia="Arial" w:hAnsi="Arial"/>
          <w:sz w:val="22"/>
          <w:szCs w:val="22"/>
          <w:color w:val="auto"/>
        </w:rPr>
        <w:t>value of his or her Plan Account in the event of the Participant’s death. If the Participant fails to designate a Beneficiary, or the Beneficiary (and any contingent Beneficiary) does not survive the Participant, the value of the Participant’s Plan Account will be paid to the estate of the Participant.</w:t>
      </w:r>
    </w:p>
    <w:p>
      <w:pPr>
        <w:sectPr>
          <w:pgSz w:w="11900" w:h="16838" w:orient="portrait"/>
          <w:cols w:equalWidth="0" w:num="1">
            <w:col w:w="11360"/>
          </w:cols>
          <w:pgMar w:left="240" w:top="639" w:right="299" w:bottom="1440" w:gutter="0" w:footer="0" w:header="0"/>
        </w:sectPr>
      </w:pPr>
    </w:p>
    <w:bookmarkStart w:id="58" w:name="page59"/>
    <w:bookmarkEnd w:id="58"/>
    <w:p>
      <w:pPr>
        <w:ind w:right="80" w:firstLine="486"/>
        <w:spacing w:after="0" w:line="368" w:lineRule="auto"/>
        <w:rPr>
          <w:sz w:val="20"/>
          <w:szCs w:val="20"/>
          <w:color w:val="auto"/>
        </w:rPr>
      </w:pPr>
      <w:r>
        <w:rPr>
          <w:rFonts w:ascii="Arial" w:cs="Arial" w:eastAsia="Arial" w:hAnsi="Arial"/>
          <w:sz w:val="21"/>
          <w:szCs w:val="21"/>
          <w:i w:val="1"/>
          <w:iCs w:val="1"/>
          <w:color w:val="auto"/>
        </w:rPr>
        <w:t xml:space="preserve">Benefit Restoration Contribution </w:t>
      </w:r>
      <w:r>
        <w:rPr>
          <w:rFonts w:ascii="Arial" w:cs="Arial" w:eastAsia="Arial" w:hAnsi="Arial"/>
          <w:sz w:val="21"/>
          <w:szCs w:val="21"/>
          <w:color w:val="auto"/>
        </w:rPr>
        <w:t>means a contribution by the Corporation to the Participant’s Plan Account to recognize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reduction in the value of employer matching or other contributions under the United Technologies Corporation Employee Savings Plan (the “Qualified Savings Plan”) or the United Technologies Corporation Savings Restoration Plan (the “SRP”), as a result of the reduction of such Participant’s Compensation pursuant to this Plan. </w:t>
      </w:r>
      <w:r>
        <w:rPr>
          <w:rFonts w:ascii="Arial" w:cs="Arial" w:eastAsia="Arial" w:hAnsi="Arial"/>
          <w:sz w:val="21"/>
          <w:szCs w:val="21"/>
          <w:i w:val="1"/>
          <w:iCs w:val="1"/>
          <w:color w:val="auto"/>
        </w:rPr>
        <w:t>Code</w:t>
      </w:r>
      <w:r>
        <w:rPr>
          <w:rFonts w:ascii="Arial" w:cs="Arial" w:eastAsia="Arial" w:hAnsi="Arial"/>
          <w:sz w:val="21"/>
          <w:szCs w:val="21"/>
          <w:color w:val="auto"/>
        </w:rPr>
        <w:t xml:space="preserve"> means the Internal Revenue Code of 1986, as amended from time to time, and any successor thereto. Reference to any section of the Internal Revenue Code shall include any final regulations or other applicable guidance.</w:t>
      </w:r>
    </w:p>
    <w:p>
      <w:pPr>
        <w:spacing w:after="0" w:line="128" w:lineRule="exact"/>
        <w:rPr>
          <w:sz w:val="20"/>
          <w:szCs w:val="20"/>
          <w:color w:val="auto"/>
        </w:rPr>
      </w:pPr>
    </w:p>
    <w:p>
      <w:pPr>
        <w:jc w:val="both"/>
        <w:ind w:right="360" w:firstLine="486"/>
        <w:spacing w:after="0" w:line="431" w:lineRule="auto"/>
        <w:rPr>
          <w:sz w:val="20"/>
          <w:szCs w:val="20"/>
          <w:color w:val="auto"/>
        </w:rPr>
      </w:pPr>
      <w:r>
        <w:rPr>
          <w:rFonts w:ascii="Arial" w:cs="Arial" w:eastAsia="Arial" w:hAnsi="Arial"/>
          <w:sz w:val="19"/>
          <w:szCs w:val="19"/>
          <w:i w:val="1"/>
          <w:iCs w:val="1"/>
          <w:color w:val="auto"/>
        </w:rPr>
        <w:t xml:space="preserve">Committee </w:t>
      </w:r>
      <w:r>
        <w:rPr>
          <w:rFonts w:ascii="Arial" w:cs="Arial" w:eastAsia="Arial" w:hAnsi="Arial"/>
          <w:sz w:val="19"/>
          <w:szCs w:val="19"/>
          <w:color w:val="auto"/>
        </w:rPr>
        <w:t>means the United Technologies Corporation Deferred Compensation Committee, which is responsible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administration of the Plan. The Corporation’s Pension Administration Committee shall appoint the Committee’s members. The Committee may delegate administrative responsibilities to individuals and entities as it shall determine.</w:t>
      </w:r>
    </w:p>
    <w:p>
      <w:pPr>
        <w:spacing w:after="0" w:line="79" w:lineRule="exact"/>
        <w:rPr>
          <w:sz w:val="20"/>
          <w:szCs w:val="20"/>
          <w:color w:val="auto"/>
        </w:rPr>
      </w:pPr>
    </w:p>
    <w:p>
      <w:pPr>
        <w:ind w:right="40" w:firstLine="486"/>
        <w:spacing w:after="0" w:line="352" w:lineRule="auto"/>
        <w:rPr>
          <w:sz w:val="20"/>
          <w:szCs w:val="20"/>
          <w:color w:val="auto"/>
        </w:rPr>
      </w:pPr>
      <w:r>
        <w:rPr>
          <w:rFonts w:ascii="Arial" w:cs="Arial" w:eastAsia="Arial" w:hAnsi="Arial"/>
          <w:sz w:val="22"/>
          <w:szCs w:val="22"/>
          <w:i w:val="1"/>
          <w:iCs w:val="1"/>
          <w:color w:val="auto"/>
        </w:rPr>
        <w:t xml:space="preserve">Compensation </w:t>
      </w:r>
      <w:r>
        <w:rPr>
          <w:rFonts w:ascii="Arial" w:cs="Arial" w:eastAsia="Arial" w:hAnsi="Arial"/>
          <w:sz w:val="22"/>
          <w:szCs w:val="22"/>
          <w:color w:val="auto"/>
        </w:rPr>
        <w:t>means base salary and Incentive Compensation Payments otherwise payable to a Participant by a UTC</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and considered to be wages for purposes of federal income tax withholding, but before any deferral of Compensation pursuant to the Plan. Compensation does not include foreign service premiums and allowances, compensation realized from Long-Term Incentive Plan awards or other types of awards.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Corporation </w:t>
      </w:r>
      <w:r>
        <w:rPr>
          <w:rFonts w:ascii="Arial" w:cs="Arial" w:eastAsia="Arial" w:hAnsi="Arial"/>
          <w:sz w:val="22"/>
          <w:szCs w:val="22"/>
          <w:color w:val="auto"/>
        </w:rPr>
        <w:t>means United Technologies Corporation.</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Deferral Period </w:t>
      </w:r>
      <w:r>
        <w:rPr>
          <w:rFonts w:ascii="Arial" w:cs="Arial" w:eastAsia="Arial" w:hAnsi="Arial"/>
          <w:sz w:val="22"/>
          <w:szCs w:val="22"/>
          <w:color w:val="auto"/>
        </w:rPr>
        <w:t>means the period prior to the receipt of Compensation deferred hereunder.</w:t>
      </w:r>
    </w:p>
    <w:p>
      <w:pPr>
        <w:spacing w:after="0" w:line="274" w:lineRule="exact"/>
        <w:rPr>
          <w:sz w:val="20"/>
          <w:szCs w:val="20"/>
          <w:color w:val="auto"/>
        </w:rPr>
      </w:pPr>
    </w:p>
    <w:p>
      <w:pPr>
        <w:jc w:val="both"/>
        <w:ind w:firstLine="486"/>
        <w:spacing w:after="0" w:line="352" w:lineRule="auto"/>
        <w:rPr>
          <w:sz w:val="20"/>
          <w:szCs w:val="20"/>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means permanent and total disability as determined under the Corporation’s long-term disability plan applicable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spacing w:after="0" w:line="137" w:lineRule="exact"/>
        <w:rPr>
          <w:sz w:val="20"/>
          <w:szCs w:val="20"/>
          <w:color w:val="auto"/>
        </w:rPr>
      </w:pPr>
    </w:p>
    <w:p>
      <w:pPr>
        <w:ind w:right="40" w:firstLine="486"/>
        <w:spacing w:after="0" w:line="349" w:lineRule="auto"/>
        <w:rPr>
          <w:sz w:val="20"/>
          <w:szCs w:val="20"/>
          <w:color w:val="auto"/>
        </w:rPr>
      </w:pPr>
      <w:r>
        <w:rPr>
          <w:rFonts w:ascii="Arial" w:cs="Arial" w:eastAsia="Arial" w:hAnsi="Arial"/>
          <w:sz w:val="22"/>
          <w:szCs w:val="22"/>
          <w:i w:val="1"/>
          <w:iCs w:val="1"/>
          <w:color w:val="auto"/>
        </w:rPr>
        <w:t xml:space="preserve">Election Form </w:t>
      </w:r>
      <w:r>
        <w:rPr>
          <w:rFonts w:ascii="Arial" w:cs="Arial" w:eastAsia="Arial" w:hAnsi="Arial"/>
          <w:sz w:val="22"/>
          <w:szCs w:val="22"/>
          <w:color w:val="auto"/>
        </w:rPr>
        <w:t>means the enrollment form provided by the Committee to Participants electronically or in paper form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purpose of deferring Compensation under the Plan. Each Participant’s Election Form must specify: the amount to be deferred from base salary and/or from any Incentive Compensation Payment with respect to the following calendar year; the respective amounts to be allocated to the Participant’s Retirement Account and/or Special Purpose Account or Accounts; the percentage allocation among the Investment Funds with respect to each such Account; and if not previously elected for an Account, the method of distribution of each such Account; and the Deferral Period for each Special Purpose Account. There will be a separate Election Form for each calendar year.</w:t>
      </w:r>
    </w:p>
    <w:p>
      <w:pPr>
        <w:sectPr>
          <w:pgSz w:w="11900" w:h="16838" w:orient="portrait"/>
          <w:cols w:equalWidth="0" w:num="1">
            <w:col w:w="11340"/>
          </w:cols>
          <w:pgMar w:left="240" w:top="726" w:right="319" w:bottom="1440" w:gutter="0" w:footer="0" w:header="0"/>
        </w:sectPr>
      </w:pPr>
    </w:p>
    <w:bookmarkStart w:id="59" w:name="page60"/>
    <w:bookmarkEnd w:id="59"/>
    <w:p>
      <w:pPr>
        <w:ind w:right="280" w:firstLine="486"/>
        <w:spacing w:after="0" w:line="366" w:lineRule="auto"/>
        <w:rPr>
          <w:sz w:val="20"/>
          <w:szCs w:val="20"/>
          <w:color w:val="auto"/>
        </w:rPr>
      </w:pPr>
      <w:r>
        <w:rPr>
          <w:rFonts w:ascii="Arial" w:cs="Arial" w:eastAsia="Arial" w:hAnsi="Arial"/>
          <w:sz w:val="22"/>
          <w:szCs w:val="22"/>
          <w:i w:val="1"/>
          <w:iCs w:val="1"/>
          <w:color w:val="auto"/>
        </w:rPr>
        <w:t xml:space="preserve">Incentive Compensation Payment </w:t>
      </w:r>
      <w:r>
        <w:rPr>
          <w:rFonts w:ascii="Arial" w:cs="Arial" w:eastAsia="Arial" w:hAnsi="Arial"/>
          <w:sz w:val="22"/>
          <w:szCs w:val="22"/>
          <w:color w:val="auto"/>
        </w:rPr>
        <w:t>means amounts awarded to a Participant pursuant to the Corporation’s Annual Executive</w:t>
      </w:r>
      <w:r>
        <w:rPr>
          <w:rFonts w:ascii="Arial" w:cs="Arial" w:eastAsia="Arial" w:hAnsi="Arial"/>
          <w:sz w:val="22"/>
          <w:szCs w:val="22"/>
          <w:i w:val="1"/>
          <w:iCs w:val="1"/>
          <w:color w:val="auto"/>
        </w:rPr>
        <w:t xml:space="preserve"> </w:t>
      </w:r>
      <w:r>
        <w:rPr>
          <w:rFonts w:ascii="Arial" w:cs="Arial" w:eastAsia="Arial" w:hAnsi="Arial"/>
          <w:sz w:val="22"/>
          <w:szCs w:val="22"/>
          <w:color w:val="auto"/>
        </w:rPr>
        <w:t>Incentive Compensation Plan.</w:t>
      </w:r>
    </w:p>
    <w:p>
      <w:pPr>
        <w:spacing w:after="0" w:line="120" w:lineRule="exact"/>
        <w:rPr>
          <w:sz w:val="20"/>
          <w:szCs w:val="20"/>
          <w:color w:val="auto"/>
        </w:rPr>
      </w:pPr>
    </w:p>
    <w:p>
      <w:pPr>
        <w:ind w:right="40" w:firstLine="486"/>
        <w:spacing w:after="0" w:line="351" w:lineRule="auto"/>
        <w:rPr>
          <w:sz w:val="20"/>
          <w:szCs w:val="20"/>
          <w:color w:val="auto"/>
        </w:rPr>
      </w:pPr>
      <w:r>
        <w:rPr>
          <w:rFonts w:ascii="Arial" w:cs="Arial" w:eastAsia="Arial" w:hAnsi="Arial"/>
          <w:sz w:val="22"/>
          <w:szCs w:val="22"/>
          <w:i w:val="1"/>
          <w:iCs w:val="1"/>
          <w:color w:val="auto"/>
        </w:rPr>
        <w:t xml:space="preserve">Investment Fund </w:t>
      </w:r>
      <w:r>
        <w:rPr>
          <w:rFonts w:ascii="Arial" w:cs="Arial" w:eastAsia="Arial" w:hAnsi="Arial"/>
          <w:sz w:val="22"/>
          <w:szCs w:val="22"/>
          <w:color w:val="auto"/>
        </w:rPr>
        <w:t>means a hypothetical fund that tracks the value of an investment option as may be established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Committee from time to time. Investment Funds shall be valued in the manner set forth under Section 5.4. Available investments are described at </w:t>
      </w:r>
      <w:r>
        <w:rPr>
          <w:rFonts w:ascii="Arial" w:cs="Arial" w:eastAsia="Arial" w:hAnsi="Arial"/>
          <w:sz w:val="22"/>
          <w:szCs w:val="22"/>
          <w:u w:val="single" w:color="auto"/>
          <w:color w:val="0563C1"/>
        </w:rPr>
        <w:t>https://www.newportgroup.com</w:t>
      </w:r>
      <w:r>
        <w:rPr>
          <w:rFonts w:ascii="Arial" w:cs="Arial" w:eastAsia="Arial" w:hAnsi="Arial"/>
          <w:sz w:val="22"/>
          <w:szCs w:val="22"/>
          <w:color w:val="auto"/>
        </w:rPr>
        <w:t>. The value of Participants’ Accounts shall be adjusted to replicate the performance of the applicable Investment Funds. Amounts credited to any Investment Fund do not result in any investment in actual assets corresponding to the Investment Fund.</w:t>
      </w:r>
    </w:p>
    <w:p>
      <w:pPr>
        <w:spacing w:after="0" w:line="135" w:lineRule="exact"/>
        <w:rPr>
          <w:sz w:val="20"/>
          <w:szCs w:val="20"/>
          <w:color w:val="auto"/>
        </w:rPr>
      </w:pPr>
    </w:p>
    <w:p>
      <w:pPr>
        <w:ind w:right="120" w:firstLine="486"/>
        <w:spacing w:after="0" w:line="356" w:lineRule="auto"/>
        <w:rPr>
          <w:sz w:val="20"/>
          <w:szCs w:val="20"/>
          <w:color w:val="auto"/>
        </w:rPr>
      </w:pPr>
      <w:r>
        <w:rPr>
          <w:rFonts w:ascii="Arial" w:cs="Arial" w:eastAsia="Arial" w:hAnsi="Arial"/>
          <w:sz w:val="22"/>
          <w:szCs w:val="22"/>
          <w:i w:val="1"/>
          <w:iCs w:val="1"/>
          <w:color w:val="auto"/>
        </w:rPr>
        <w:t xml:space="preserve">Participant </w:t>
      </w:r>
      <w:r>
        <w:rPr>
          <w:rFonts w:ascii="Arial" w:cs="Arial" w:eastAsia="Arial" w:hAnsi="Arial"/>
          <w:sz w:val="22"/>
          <w:szCs w:val="22"/>
          <w:color w:val="auto"/>
        </w:rPr>
        <w:t>means an executive of a UTC Company who is paid from a US payroll, receives compensation subject to federal</w:t>
      </w:r>
      <w:r>
        <w:rPr>
          <w:rFonts w:ascii="Arial" w:cs="Arial" w:eastAsia="Arial" w:hAnsi="Arial"/>
          <w:sz w:val="22"/>
          <w:szCs w:val="22"/>
          <w:i w:val="1"/>
          <w:iCs w:val="1"/>
          <w:color w:val="auto"/>
        </w:rPr>
        <w:t xml:space="preserve"> </w:t>
      </w:r>
      <w:r>
        <w:rPr>
          <w:rFonts w:ascii="Arial" w:cs="Arial" w:eastAsia="Arial" w:hAnsi="Arial"/>
          <w:sz w:val="22"/>
          <w:szCs w:val="22"/>
          <w:color w:val="auto"/>
        </w:rPr>
        <w:t>income tax withholding and files a U.S. income tax return, or is grandfathered from a prior plan, and who elects to defer Compensation under the Plan.</w:t>
      </w:r>
    </w:p>
    <w:p>
      <w:pPr>
        <w:spacing w:after="0" w:line="130" w:lineRule="exact"/>
        <w:rPr>
          <w:sz w:val="20"/>
          <w:szCs w:val="20"/>
          <w:color w:val="auto"/>
        </w:rPr>
      </w:pPr>
    </w:p>
    <w:p>
      <w:pPr>
        <w:ind w:right="120" w:firstLine="486"/>
        <w:spacing w:after="0" w:line="36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the United Technologies Corporation Deferred Compensation Plan as amended and restated effective September</w:t>
      </w:r>
      <w:r>
        <w:rPr>
          <w:rFonts w:ascii="Arial" w:cs="Arial" w:eastAsia="Arial" w:hAnsi="Arial"/>
          <w:sz w:val="22"/>
          <w:szCs w:val="22"/>
          <w:i w:val="1"/>
          <w:iCs w:val="1"/>
          <w:color w:val="auto"/>
        </w:rPr>
        <w:t xml:space="preserve"> </w:t>
      </w:r>
      <w:r>
        <w:rPr>
          <w:rFonts w:ascii="Arial" w:cs="Arial" w:eastAsia="Arial" w:hAnsi="Arial"/>
          <w:sz w:val="22"/>
          <w:szCs w:val="22"/>
          <w:color w:val="auto"/>
        </w:rPr>
        <w:t>1, 2002, and as amended from time to time thereafter.</w:t>
      </w:r>
    </w:p>
    <w:p>
      <w:pPr>
        <w:spacing w:after="0" w:line="120" w:lineRule="exact"/>
        <w:rPr>
          <w:sz w:val="20"/>
          <w:szCs w:val="20"/>
          <w:color w:val="auto"/>
        </w:rPr>
      </w:pPr>
    </w:p>
    <w:p>
      <w:pPr>
        <w:ind w:firstLine="486"/>
        <w:spacing w:after="0" w:line="356" w:lineRule="auto"/>
        <w:rPr>
          <w:sz w:val="20"/>
          <w:szCs w:val="20"/>
          <w:color w:val="auto"/>
        </w:rPr>
      </w:pPr>
      <w:r>
        <w:rPr>
          <w:rFonts w:ascii="Arial" w:cs="Arial" w:eastAsia="Arial" w:hAnsi="Arial"/>
          <w:sz w:val="22"/>
          <w:szCs w:val="22"/>
          <w:i w:val="1"/>
          <w:iCs w:val="1"/>
          <w:color w:val="auto"/>
        </w:rPr>
        <w:t xml:space="preserve">Plan Account </w:t>
      </w:r>
      <w:r>
        <w:rPr>
          <w:rFonts w:ascii="Arial" w:cs="Arial" w:eastAsia="Arial" w:hAnsi="Arial"/>
          <w:sz w:val="22"/>
          <w:szCs w:val="22"/>
          <w:color w:val="auto"/>
        </w:rPr>
        <w:t>means the aggregate value of all Special Purpose Accounts and the Retirement Account, but excluding accounts</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Prior Plan. Accounts under the Prior Plan will be valued and administered separately in accordance with the terms and procedures in effect under the Prior Plan.</w:t>
      </w:r>
    </w:p>
    <w:p>
      <w:pPr>
        <w:spacing w:after="0" w:line="130" w:lineRule="exact"/>
        <w:rPr>
          <w:sz w:val="20"/>
          <w:szCs w:val="20"/>
          <w:color w:val="auto"/>
        </w:rPr>
      </w:pPr>
    </w:p>
    <w:p>
      <w:pPr>
        <w:ind w:right="20" w:firstLine="486"/>
        <w:spacing w:after="0" w:line="373" w:lineRule="auto"/>
        <w:rPr>
          <w:sz w:val="20"/>
          <w:szCs w:val="20"/>
          <w:color w:val="auto"/>
        </w:rPr>
      </w:pPr>
      <w:r>
        <w:rPr>
          <w:rFonts w:ascii="Arial" w:cs="Arial" w:eastAsia="Arial" w:hAnsi="Arial"/>
          <w:sz w:val="21"/>
          <w:szCs w:val="21"/>
          <w:i w:val="1"/>
          <w:iCs w:val="1"/>
          <w:color w:val="auto"/>
        </w:rPr>
        <w:t xml:space="preserve">Prior Plan </w:t>
      </w:r>
      <w:r>
        <w:rPr>
          <w:rFonts w:ascii="Arial" w:cs="Arial" w:eastAsia="Arial" w:hAnsi="Arial"/>
          <w:sz w:val="21"/>
          <w:szCs w:val="21"/>
          <w:color w:val="auto"/>
        </w:rPr>
        <w:t>means the United Technologies Corporation Deferred Compensation Plan, as in effect on October 4, 2004, as set</w:t>
      </w:r>
      <w:r>
        <w:rPr>
          <w:rFonts w:ascii="Arial" w:cs="Arial" w:eastAsia="Arial" w:hAnsi="Arial"/>
          <w:sz w:val="21"/>
          <w:szCs w:val="21"/>
          <w:i w:val="1"/>
          <w:iCs w:val="1"/>
          <w:color w:val="auto"/>
        </w:rPr>
        <w:t xml:space="preserve"> </w:t>
      </w:r>
      <w:r>
        <w:rPr>
          <w:rFonts w:ascii="Arial" w:cs="Arial" w:eastAsia="Arial" w:hAnsi="Arial"/>
          <w:sz w:val="21"/>
          <w:szCs w:val="21"/>
          <w:color w:val="auto"/>
        </w:rPr>
        <w:t>forth in Appendix A. All amounts earned and vested under the Prior Plan, and any subsequent increases in these amounts that are permitted to be treated as grandfathered benefits under Section 409A, shall continue to be subject to the terms and conditions of the Prior Plan and shall not be affected by this amendment and restatement.</w:t>
      </w:r>
    </w:p>
    <w:p>
      <w:pPr>
        <w:spacing w:after="0" w:line="119" w:lineRule="exact"/>
        <w:rPr>
          <w:sz w:val="20"/>
          <w:szCs w:val="20"/>
          <w:color w:val="auto"/>
        </w:rPr>
      </w:pPr>
    </w:p>
    <w:p>
      <w:pPr>
        <w:ind w:right="240" w:firstLine="486"/>
        <w:spacing w:after="0" w:line="366" w:lineRule="auto"/>
        <w:rPr>
          <w:sz w:val="20"/>
          <w:szCs w:val="20"/>
          <w:color w:val="auto"/>
        </w:rPr>
      </w:pPr>
      <w:r>
        <w:rPr>
          <w:rFonts w:ascii="Arial" w:cs="Arial" w:eastAsia="Arial" w:hAnsi="Arial"/>
          <w:sz w:val="22"/>
          <w:szCs w:val="22"/>
          <w:i w:val="1"/>
          <w:iCs w:val="1"/>
          <w:color w:val="auto"/>
        </w:rPr>
        <w:t xml:space="preserve">Retirement Account </w:t>
      </w:r>
      <w:r>
        <w:rPr>
          <w:rFonts w:ascii="Arial" w:cs="Arial" w:eastAsia="Arial" w:hAnsi="Arial"/>
          <w:sz w:val="22"/>
          <w:szCs w:val="22"/>
          <w:color w:val="auto"/>
        </w:rPr>
        <w:t>means a Plan Account maintained on behalf of the Participant that is targeted for distribution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Participant’s Retirement.</w:t>
      </w:r>
    </w:p>
    <w:p>
      <w:pPr>
        <w:spacing w:after="0" w:line="120" w:lineRule="exact"/>
        <w:rPr>
          <w:sz w:val="20"/>
          <w:szCs w:val="20"/>
          <w:color w:val="auto"/>
        </w:rPr>
      </w:pPr>
    </w:p>
    <w:p>
      <w:pPr>
        <w:ind w:right="260" w:firstLine="486"/>
        <w:spacing w:after="0" w:line="378" w:lineRule="auto"/>
        <w:rPr>
          <w:sz w:val="20"/>
          <w:szCs w:val="20"/>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means Separation from Service on or after age 50 and attainment of age 65; Separation from Service on or after</w:t>
      </w:r>
      <w:r>
        <w:rPr>
          <w:rFonts w:ascii="Arial" w:cs="Arial" w:eastAsia="Arial" w:hAnsi="Arial"/>
          <w:sz w:val="21"/>
          <w:szCs w:val="21"/>
          <w:i w:val="1"/>
          <w:iCs w:val="1"/>
          <w:color w:val="auto"/>
        </w:rPr>
        <w:t xml:space="preserve"> </w:t>
      </w:r>
      <w:r>
        <w:rPr>
          <w:rFonts w:ascii="Arial" w:cs="Arial" w:eastAsia="Arial" w:hAnsi="Arial"/>
          <w:sz w:val="21"/>
          <w:szCs w:val="21"/>
          <w:color w:val="auto"/>
        </w:rPr>
        <w:t>age 50 and attainment of at least age 55 and a minimum of 10 or more years of “continuous service” (as defined in the UTC Employee Retirement Plan as in effect on January 1, 2008); or a Rule of 65 termination.</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Retirement Date </w:t>
      </w:r>
      <w:r>
        <w:rPr>
          <w:rFonts w:ascii="Arial" w:cs="Arial" w:eastAsia="Arial" w:hAnsi="Arial"/>
          <w:sz w:val="22"/>
          <w:szCs w:val="22"/>
          <w:color w:val="auto"/>
        </w:rPr>
        <w:t>means the date of a Participant’s Retirement.</w:t>
      </w:r>
    </w:p>
    <w:p>
      <w:pPr>
        <w:spacing w:after="0" w:line="274" w:lineRule="exact"/>
        <w:rPr>
          <w:sz w:val="20"/>
          <w:szCs w:val="20"/>
          <w:color w:val="auto"/>
        </w:rPr>
      </w:pPr>
    </w:p>
    <w:p>
      <w:pPr>
        <w:ind w:firstLine="486"/>
        <w:spacing w:after="0" w:line="356" w:lineRule="auto"/>
        <w:rPr>
          <w:sz w:val="20"/>
          <w:szCs w:val="20"/>
          <w:color w:val="auto"/>
        </w:rPr>
      </w:pPr>
      <w:r>
        <w:rPr>
          <w:rFonts w:ascii="Arial" w:cs="Arial" w:eastAsia="Arial" w:hAnsi="Arial"/>
          <w:sz w:val="22"/>
          <w:szCs w:val="22"/>
          <w:i w:val="1"/>
          <w:iCs w:val="1"/>
          <w:color w:val="auto"/>
        </w:rPr>
        <w:t xml:space="preserve">“Rule of 65” Termination </w:t>
      </w:r>
      <w:r>
        <w:rPr>
          <w:rFonts w:ascii="Arial" w:cs="Arial" w:eastAsia="Arial" w:hAnsi="Arial"/>
          <w:sz w:val="22"/>
          <w:szCs w:val="22"/>
          <w:color w:val="auto"/>
        </w:rPr>
        <w:t>means Separation from Service on or after age 50 and before age 55, with a combination of age and</w:t>
      </w:r>
      <w:r>
        <w:rPr>
          <w:rFonts w:ascii="Arial" w:cs="Arial" w:eastAsia="Arial" w:hAnsi="Arial"/>
          <w:sz w:val="22"/>
          <w:szCs w:val="22"/>
          <w:i w:val="1"/>
          <w:iCs w:val="1"/>
          <w:color w:val="auto"/>
        </w:rPr>
        <w:t xml:space="preserve"> </w:t>
      </w:r>
      <w:r>
        <w:rPr>
          <w:rFonts w:ascii="Arial" w:cs="Arial" w:eastAsia="Arial" w:hAnsi="Arial"/>
          <w:sz w:val="22"/>
          <w:szCs w:val="22"/>
          <w:color w:val="auto"/>
        </w:rPr>
        <w:t>years of “continuous service” (as defined in the UTC Employee Retirement Plan as in effect on January 1, 2008) equal to at least 65.</w:t>
      </w:r>
    </w:p>
    <w:p>
      <w:pPr>
        <w:sectPr>
          <w:pgSz w:w="11900" w:h="16838" w:orient="portrait"/>
          <w:cols w:equalWidth="0" w:num="1">
            <w:col w:w="11400"/>
          </w:cols>
          <w:pgMar w:left="240" w:top="726" w:right="259" w:bottom="1440" w:gutter="0" w:footer="0" w:header="0"/>
        </w:sectPr>
      </w:pPr>
    </w:p>
    <w:bookmarkStart w:id="60" w:name="page61"/>
    <w:bookmarkEnd w:id="60"/>
    <w:p>
      <w:pPr>
        <w:ind w:right="20" w:firstLine="486"/>
        <w:spacing w:after="0" w:line="367" w:lineRule="auto"/>
        <w:rPr>
          <w:sz w:val="20"/>
          <w:szCs w:val="20"/>
          <w:color w:val="auto"/>
        </w:rPr>
      </w:pPr>
      <w:r>
        <w:rPr>
          <w:rFonts w:ascii="Arial" w:cs="Arial" w:eastAsia="Arial" w:hAnsi="Arial"/>
          <w:sz w:val="21"/>
          <w:szCs w:val="21"/>
          <w:i w:val="1"/>
          <w:iCs w:val="1"/>
          <w:color w:val="auto"/>
        </w:rPr>
        <w:t xml:space="preserve">Separation from Service </w:t>
      </w:r>
      <w:r>
        <w:rPr>
          <w:rFonts w:ascii="Arial" w:cs="Arial" w:eastAsia="Arial" w:hAnsi="Arial"/>
          <w:sz w:val="21"/>
          <w:szCs w:val="21"/>
          <w:color w:val="auto"/>
        </w:rPr>
        <w:t>means a Participant’s termination of employment with all UTC Companies, other than by reason of</w:t>
      </w:r>
      <w:r>
        <w:rPr>
          <w:rFonts w:ascii="Arial" w:cs="Arial" w:eastAsia="Arial" w:hAnsi="Arial"/>
          <w:sz w:val="21"/>
          <w:szCs w:val="21"/>
          <w:i w:val="1"/>
          <w:iCs w:val="1"/>
          <w:color w:val="auto"/>
        </w:rPr>
        <w:t xml:space="preserve"> </w:t>
      </w:r>
      <w:r>
        <w:rPr>
          <w:rFonts w:ascii="Arial" w:cs="Arial" w:eastAsia="Arial" w:hAnsi="Arial"/>
          <w:sz w:val="21"/>
          <w:szCs w:val="21"/>
          <w:color w:val="auto"/>
        </w:rPr>
        <w:t>death. A Separation from Service will be deemed to occur where the Participant and the UTC Company that employs the Participant reasonably anticipate that the bona fide level of services the Participant will perform (whether as an employee or as an independent contractor) for UTC Companies will be permanently reduced to a level that is less than thirty-seven and a half percent (37.5%) of the average level of bona fide services the Participant performed during the immediately preceding 36 months (or the entire period the Participant has provided services if the Participant has been providing services to the UTC Companies for less than 36 months). A Participant shall not be considered to have had a Separation from Service as a result of a transfer from one UTC Company to another UTC Company.</w:t>
      </w:r>
    </w:p>
    <w:p>
      <w:pPr>
        <w:spacing w:after="0" w:line="125" w:lineRule="exact"/>
        <w:rPr>
          <w:sz w:val="20"/>
          <w:szCs w:val="20"/>
          <w:color w:val="auto"/>
        </w:rPr>
      </w:pPr>
    </w:p>
    <w:p>
      <w:pPr>
        <w:jc w:val="both"/>
        <w:ind w:firstLine="486"/>
        <w:spacing w:after="0" w:line="356" w:lineRule="auto"/>
        <w:rPr>
          <w:sz w:val="20"/>
          <w:szCs w:val="20"/>
          <w:color w:val="auto"/>
        </w:rPr>
      </w:pPr>
      <w:r>
        <w:rPr>
          <w:rFonts w:ascii="Arial" w:cs="Arial" w:eastAsia="Arial" w:hAnsi="Arial"/>
          <w:sz w:val="22"/>
          <w:szCs w:val="22"/>
          <w:i w:val="1"/>
          <w:iCs w:val="1"/>
          <w:color w:val="auto"/>
        </w:rPr>
        <w:t xml:space="preserve">Special Purpose Account </w:t>
      </w:r>
      <w:r>
        <w:rPr>
          <w:rFonts w:ascii="Arial" w:cs="Arial" w:eastAsia="Arial" w:hAnsi="Arial"/>
          <w:sz w:val="22"/>
          <w:szCs w:val="22"/>
          <w:color w:val="auto"/>
        </w:rPr>
        <w:t>means a Plan Account maintained on behalf of the Participant with a targeted distribution date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calendar year specified by the Participant. The minimum Deferral Period is five (5) calendar years following the end of the calendar year in which the Account is established.</w:t>
      </w:r>
    </w:p>
    <w:p>
      <w:pPr>
        <w:spacing w:after="0" w:line="130" w:lineRule="exact"/>
        <w:rPr>
          <w:sz w:val="20"/>
          <w:szCs w:val="20"/>
          <w:color w:val="auto"/>
        </w:rPr>
      </w:pPr>
    </w:p>
    <w:p>
      <w:pPr>
        <w:ind w:right="80" w:firstLine="486"/>
        <w:spacing w:after="0" w:line="334" w:lineRule="auto"/>
        <w:rPr>
          <w:sz w:val="20"/>
          <w:szCs w:val="20"/>
          <w:color w:val="auto"/>
        </w:rPr>
      </w:pPr>
      <w:r>
        <w:rPr>
          <w:rFonts w:ascii="Arial" w:cs="Arial" w:eastAsia="Arial" w:hAnsi="Arial"/>
          <w:sz w:val="22"/>
          <w:szCs w:val="22"/>
          <w:i w:val="1"/>
          <w:iCs w:val="1"/>
          <w:color w:val="auto"/>
        </w:rPr>
        <w:t xml:space="preserve">Specified Employee </w:t>
      </w:r>
      <w:r>
        <w:rPr>
          <w:rFonts w:ascii="Arial" w:cs="Arial" w:eastAsia="Arial" w:hAnsi="Arial"/>
          <w:sz w:val="22"/>
          <w:szCs w:val="22"/>
          <w:color w:val="auto"/>
        </w:rPr>
        <w:t>means each of the fifty (50) highest-paid officers and other executives of the Corporation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effective annually as of April1</w:t>
      </w:r>
      <w:r>
        <w:rPr>
          <w:rFonts w:ascii="Arial" w:cs="Arial" w:eastAsia="Arial" w:hAnsi="Arial"/>
          <w:sz w:val="28"/>
          <w:szCs w:val="28"/>
          <w:color w:val="auto"/>
          <w:vertAlign w:val="superscript"/>
        </w:rPr>
        <w:t>st</w:t>
      </w:r>
      <w:r>
        <w:rPr>
          <w:rFonts w:ascii="Arial" w:cs="Arial" w:eastAsia="Arial" w:hAnsi="Arial"/>
          <w:sz w:val="22"/>
          <w:szCs w:val="22"/>
          <w:color w:val="auto"/>
        </w:rPr>
        <w:t>, based on wages subject to federal income tax withholding, and amounts that are excluded from taxable income by the employee’s election to make pre-tax contributions under a cafeteria plan, section 401(k) plan, or similar plan, determined for the preceding calendar year as provided in Treas. Reg. § 1.415(c)-2(d)(3). The term includes both U.S. and non-U.S. employees, and the compensation used to determine whether an employee is among the fifty (50) highest-paid officers and other executives shall be determined by treating non-U.S. compensation as if it had been earned in the U.S. by a U.S. citizen.</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UTC Common Stock </w:t>
      </w:r>
      <w:r>
        <w:rPr>
          <w:rFonts w:ascii="Arial" w:cs="Arial" w:eastAsia="Arial" w:hAnsi="Arial"/>
          <w:sz w:val="22"/>
          <w:szCs w:val="22"/>
          <w:color w:val="auto"/>
        </w:rPr>
        <w:t>means the common stock of United Technologies Corporation.</w:t>
      </w:r>
    </w:p>
    <w:p>
      <w:pPr>
        <w:spacing w:after="0" w:line="274" w:lineRule="exact"/>
        <w:rPr>
          <w:sz w:val="20"/>
          <w:szCs w:val="20"/>
          <w:color w:val="auto"/>
        </w:rPr>
      </w:pPr>
    </w:p>
    <w:p>
      <w:pPr>
        <w:jc w:val="both"/>
        <w:ind w:right="380" w:firstLine="486"/>
        <w:spacing w:after="0" w:line="356" w:lineRule="auto"/>
        <w:rPr>
          <w:sz w:val="20"/>
          <w:szCs w:val="20"/>
          <w:color w:val="auto"/>
        </w:rPr>
      </w:pPr>
      <w:r>
        <w:rPr>
          <w:rFonts w:ascii="Arial" w:cs="Arial" w:eastAsia="Arial" w:hAnsi="Arial"/>
          <w:sz w:val="22"/>
          <w:szCs w:val="22"/>
          <w:i w:val="1"/>
          <w:iCs w:val="1"/>
          <w:color w:val="auto"/>
        </w:rPr>
        <w:t xml:space="preserve">UTC Company </w:t>
      </w:r>
      <w:r>
        <w:rPr>
          <w:rFonts w:ascii="Arial" w:cs="Arial" w:eastAsia="Arial" w:hAnsi="Arial"/>
          <w:sz w:val="22"/>
          <w:szCs w:val="22"/>
          <w:color w:val="auto"/>
        </w:rPr>
        <w:t>means United Technologies Corporation or any entity controlled by or under common control with United</w:t>
      </w:r>
      <w:r>
        <w:rPr>
          <w:rFonts w:ascii="Arial" w:cs="Arial" w:eastAsia="Arial" w:hAnsi="Arial"/>
          <w:sz w:val="22"/>
          <w:szCs w:val="22"/>
          <w:i w:val="1"/>
          <w:iCs w:val="1"/>
          <w:color w:val="auto"/>
        </w:rPr>
        <w:t xml:space="preserve"> </w:t>
      </w:r>
      <w:r>
        <w:rPr>
          <w:rFonts w:ascii="Arial" w:cs="Arial" w:eastAsia="Arial" w:hAnsi="Arial"/>
          <w:sz w:val="22"/>
          <w:szCs w:val="22"/>
          <w:color w:val="auto"/>
        </w:rPr>
        <w:t>Technologies Corporation within the meaning of Section 414(b) or (c) of the Code (but substituting “at least 20 percent” for “at least 80 percent” as the control threshold used in applying Sections 414(b) and (c)).</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III - ELIGIBILITY AND PARTICIPATION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3.1 - Eligibility</w:t>
      </w:r>
    </w:p>
    <w:p>
      <w:pPr>
        <w:spacing w:after="0" w:line="280" w:lineRule="exact"/>
        <w:rPr>
          <w:sz w:val="20"/>
          <w:szCs w:val="20"/>
          <w:color w:val="auto"/>
        </w:rPr>
      </w:pPr>
    </w:p>
    <w:p>
      <w:pPr>
        <w:ind w:right="200" w:firstLine="648"/>
        <w:spacing w:after="0" w:line="352" w:lineRule="auto"/>
        <w:rPr>
          <w:sz w:val="20"/>
          <w:szCs w:val="20"/>
          <w:color w:val="auto"/>
        </w:rPr>
      </w:pPr>
      <w:r>
        <w:rPr>
          <w:rFonts w:ascii="Arial" w:cs="Arial" w:eastAsia="Arial" w:hAnsi="Arial"/>
          <w:sz w:val="22"/>
          <w:szCs w:val="22"/>
          <w:color w:val="auto"/>
        </w:rPr>
        <w:t>Each employee of a UTC Company who is classified as an eligible Participant as of the annual enrollment period as specified by the Committee will be eligible to elect to defer Compensation under the Plan in respect of the immediately following calendar year in accordance with the terms of the Plan and the rules and procedures established by the Committee. Newly hired executives (or employees promoted</w:t>
      </w:r>
    </w:p>
    <w:p>
      <w:pPr>
        <w:sectPr>
          <w:pgSz w:w="11900" w:h="16838" w:orient="portrait"/>
          <w:cols w:equalWidth="0" w:num="1">
            <w:col w:w="11420"/>
          </w:cols>
          <w:pgMar w:left="240" w:top="726" w:right="239" w:bottom="1440" w:gutter="0" w:footer="0" w:header="0"/>
        </w:sectPr>
      </w:pPr>
    </w:p>
    <w:bookmarkStart w:id="61" w:name="page62"/>
    <w:bookmarkEnd w:id="61"/>
    <w:p>
      <w:pPr>
        <w:ind w:right="480"/>
        <w:spacing w:after="0" w:line="366" w:lineRule="auto"/>
        <w:rPr>
          <w:sz w:val="20"/>
          <w:szCs w:val="20"/>
          <w:color w:val="auto"/>
        </w:rPr>
      </w:pPr>
      <w:r>
        <w:rPr>
          <w:rFonts w:ascii="Arial" w:cs="Arial" w:eastAsia="Arial" w:hAnsi="Arial"/>
          <w:sz w:val="22"/>
          <w:szCs w:val="22"/>
          <w:color w:val="auto"/>
        </w:rPr>
        <w:t>to executive level) are eligible to elect to defer base salary during the current calendar year if they make an election within 30 calendar days from their hire date or promotion date.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3.2 - Participation</w:t>
      </w:r>
    </w:p>
    <w:p>
      <w:pPr>
        <w:spacing w:after="0" w:line="280" w:lineRule="exact"/>
        <w:rPr>
          <w:sz w:val="20"/>
          <w:szCs w:val="20"/>
          <w:color w:val="auto"/>
        </w:rPr>
      </w:pPr>
    </w:p>
    <w:p>
      <w:pPr>
        <w:ind w:right="380" w:firstLine="648"/>
        <w:spacing w:after="0" w:line="356" w:lineRule="auto"/>
        <w:rPr>
          <w:sz w:val="20"/>
          <w:szCs w:val="20"/>
          <w:color w:val="auto"/>
        </w:rPr>
      </w:pPr>
      <w:r>
        <w:rPr>
          <w:rFonts w:ascii="Arial" w:cs="Arial" w:eastAsia="Arial" w:hAnsi="Arial"/>
          <w:sz w:val="22"/>
          <w:szCs w:val="22"/>
          <w:color w:val="auto"/>
        </w:rPr>
        <w:t>Each eligible Participant may elect to participate in the Plan with respect to any calendar year for which the Committee offers the opportunity to defer Compensation by timely filing with the Committee an Election Form, properly completed in accordance with Section 4.1. Participation in the Plan is entirely voluntary.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IV - PARTICIPANT ELECTIONS AND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4.1 - Election</w:t>
      </w:r>
    </w:p>
    <w:p>
      <w:pPr>
        <w:spacing w:after="0" w:line="280" w:lineRule="exact"/>
        <w:rPr>
          <w:sz w:val="20"/>
          <w:szCs w:val="20"/>
          <w:color w:val="auto"/>
        </w:rPr>
      </w:pPr>
    </w:p>
    <w:p>
      <w:pPr>
        <w:ind w:right="60" w:firstLine="648"/>
        <w:spacing w:after="0" w:line="462" w:lineRule="auto"/>
        <w:rPr>
          <w:sz w:val="20"/>
          <w:szCs w:val="20"/>
          <w:color w:val="auto"/>
        </w:rPr>
      </w:pPr>
      <w:r>
        <w:rPr>
          <w:rFonts w:ascii="Arial" w:cs="Arial" w:eastAsia="Arial" w:hAnsi="Arial"/>
          <w:sz w:val="19"/>
          <w:szCs w:val="19"/>
          <w:color w:val="auto"/>
        </w:rPr>
        <w:t>An eligible Participant may, on or before the election deadline established by the Committee, make an electronic or written election on the Election Form provided by the Committee to defer Compensation for the immediately following calendar year.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4.2 - Election Amount</w:t>
      </w:r>
    </w:p>
    <w:p>
      <w:pPr>
        <w:spacing w:after="0" w:line="280" w:lineRule="exact"/>
        <w:rPr>
          <w:sz w:val="20"/>
          <w:szCs w:val="20"/>
          <w:color w:val="auto"/>
        </w:rPr>
      </w:pPr>
    </w:p>
    <w:p>
      <w:pPr>
        <w:ind w:firstLine="648"/>
        <w:spacing w:after="0" w:line="421" w:lineRule="auto"/>
        <w:rPr>
          <w:sz w:val="20"/>
          <w:szCs w:val="20"/>
          <w:color w:val="auto"/>
        </w:rPr>
      </w:pPr>
      <w:r>
        <w:rPr>
          <w:rFonts w:ascii="Arial" w:cs="Arial" w:eastAsia="Arial" w:hAnsi="Arial"/>
          <w:sz w:val="19"/>
          <w:szCs w:val="19"/>
          <w:color w:val="auto"/>
        </w:rPr>
        <w:t>An eligible Participant must designate on the Election Form the percentage of base salary that will be deferred during such calendar year, and/or the percentage of any Incentive Compensation Payment otherwise payable with respect to services performed during such calendar year that will be deferred under the Plan. The maximum amount that a Participant may defer under the Plan for any calendar year is 50</w:t>
      </w:r>
      <w:r>
        <w:rPr>
          <w:rFonts w:ascii="Arial" w:cs="Arial" w:eastAsia="Arial" w:hAnsi="Arial"/>
          <w:sz w:val="17"/>
          <w:szCs w:val="17"/>
          <w:color w:val="auto"/>
        </w:rPr>
        <w:t>% of base salary and/or 70% of any Incentive Compensation Payment.</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4.3 - Election Date</w:t>
      </w:r>
    </w:p>
    <w:p>
      <w:pPr>
        <w:spacing w:after="0" w:line="280" w:lineRule="exact"/>
        <w:rPr>
          <w:sz w:val="20"/>
          <w:szCs w:val="20"/>
          <w:color w:val="auto"/>
        </w:rPr>
      </w:pPr>
    </w:p>
    <w:p>
      <w:pPr>
        <w:ind w:right="40" w:firstLine="648"/>
        <w:spacing w:after="0" w:line="367" w:lineRule="auto"/>
        <w:rPr>
          <w:sz w:val="20"/>
          <w:szCs w:val="20"/>
          <w:color w:val="auto"/>
        </w:rPr>
      </w:pPr>
      <w:r>
        <w:rPr>
          <w:rFonts w:ascii="Arial" w:cs="Arial" w:eastAsia="Arial" w:hAnsi="Arial"/>
          <w:sz w:val="21"/>
          <w:szCs w:val="21"/>
          <w:color w:val="auto"/>
        </w:rPr>
        <w:t>For an election to defer base salary, an electronic or written Election Form must be completed and submitted to the Plan administrator no later than the December 31 immediately preceding the calendar year to which the election applies, or such earlier date as the Committee may specify. A deferral election shall be effective only if the individual making the election is still an eligible Participant at the election deadline. Except as provided below in Section 4.7 (Change in Election), the choices reflected on the Participant’s Election Form shall be irrevocable on the election deadline. If an eligible executive fails to submit a properly completed Election Form by the election deadline, the executive will be ineligible to defer base salary under the Plan for the immediately following calendar year.</w:t>
      </w:r>
    </w:p>
    <w:p>
      <w:pPr>
        <w:spacing w:after="0" w:line="130" w:lineRule="exact"/>
        <w:rPr>
          <w:sz w:val="20"/>
          <w:szCs w:val="20"/>
          <w:color w:val="auto"/>
        </w:rPr>
      </w:pPr>
    </w:p>
    <w:p>
      <w:pPr>
        <w:ind w:right="80" w:firstLine="648"/>
        <w:spacing w:after="0" w:line="352" w:lineRule="auto"/>
        <w:rPr>
          <w:sz w:val="20"/>
          <w:szCs w:val="20"/>
          <w:color w:val="auto"/>
        </w:rPr>
      </w:pPr>
      <w:r>
        <w:rPr>
          <w:rFonts w:ascii="Arial" w:cs="Arial" w:eastAsia="Arial" w:hAnsi="Arial"/>
          <w:sz w:val="22"/>
          <w:szCs w:val="22"/>
          <w:color w:val="auto"/>
        </w:rPr>
        <w:t>For an election to defer any Incentive Compensation Payment with respect to services to be performed in the current calendar year and otherwise payable in the immediately following calendar year, an electronic or written Election Form must be completed and submitted to the Plan administrator no later than the June 30 of the current calendar year, or such earlier date as the Committee may specify. A deferral</w:t>
      </w:r>
    </w:p>
    <w:p>
      <w:pPr>
        <w:sectPr>
          <w:pgSz w:w="11900" w:h="16838" w:orient="portrait"/>
          <w:cols w:equalWidth="0" w:num="1">
            <w:col w:w="11340"/>
          </w:cols>
          <w:pgMar w:left="240" w:top="726" w:right="319" w:bottom="1440" w:gutter="0" w:footer="0" w:header="0"/>
        </w:sectPr>
      </w:pPr>
    </w:p>
    <w:bookmarkStart w:id="62" w:name="page63"/>
    <w:bookmarkEnd w:id="62"/>
    <w:p>
      <w:pPr>
        <w:spacing w:after="0" w:line="351" w:lineRule="auto"/>
        <w:rPr>
          <w:sz w:val="20"/>
          <w:szCs w:val="20"/>
          <w:color w:val="auto"/>
        </w:rPr>
      </w:pPr>
      <w:r>
        <w:rPr>
          <w:rFonts w:ascii="Arial" w:cs="Arial" w:eastAsia="Arial" w:hAnsi="Arial"/>
          <w:sz w:val="22"/>
          <w:szCs w:val="22"/>
          <w:color w:val="auto"/>
        </w:rPr>
        <w:t>election shall be effective only if the individual making the election is still an eligible Participant as of the election deadline. Except as provided below in Section 4.7 (Change in Election), the choices reflected on the Participant’s Election Form shall be irrevocable on the election deadline. If an eligible executive fails to submit a properly completed Election Form by the election deadline, the executive will be ineligible to defer any Incentive Compensation Payment under the Plan with respect to services to be performed in the current calendar year.</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4.4 - Deferral Period</w:t>
      </w:r>
    </w:p>
    <w:p>
      <w:pPr>
        <w:spacing w:after="0" w:line="280" w:lineRule="exact"/>
        <w:rPr>
          <w:sz w:val="20"/>
          <w:szCs w:val="20"/>
          <w:color w:val="auto"/>
        </w:rPr>
      </w:pPr>
    </w:p>
    <w:p>
      <w:pPr>
        <w:ind w:right="100" w:firstLine="648"/>
        <w:spacing w:after="0" w:line="412" w:lineRule="auto"/>
        <w:rPr>
          <w:sz w:val="20"/>
          <w:szCs w:val="20"/>
          <w:color w:val="auto"/>
        </w:rPr>
      </w:pPr>
      <w:r>
        <w:rPr>
          <w:rFonts w:ascii="Arial" w:cs="Arial" w:eastAsia="Arial" w:hAnsi="Arial"/>
          <w:sz w:val="19"/>
          <w:szCs w:val="19"/>
          <w:color w:val="auto"/>
        </w:rPr>
        <w:t>Each Participant shall specify in the Election Form, in whole percentages, how the amounts to be deferred in the immediately following calendar year are to be allocated among the Participant’s Retirement Account and any Special Purpose Accounts established for the Participant. To the extent that the Participant fails to make an effective allocation among the available accounts, the deferral shall be allocated entirely to the Participant’s Retirement Account. A Participant may elect to defer into a Special Purpose Account that has not previously been established, with a Deferral Period ending on a specific deferral date that is at least five (5) calendar years following the end of the calendar year in which the Account is established.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4.5 - Distribution Election</w:t>
      </w:r>
    </w:p>
    <w:p>
      <w:pPr>
        <w:spacing w:after="0" w:line="280" w:lineRule="exact"/>
        <w:rPr>
          <w:sz w:val="20"/>
          <w:szCs w:val="20"/>
          <w:color w:val="auto"/>
        </w:rPr>
      </w:pPr>
    </w:p>
    <w:p>
      <w:pPr>
        <w:ind w:right="80" w:firstLine="648"/>
        <w:spacing w:after="0" w:line="370" w:lineRule="auto"/>
        <w:rPr>
          <w:sz w:val="20"/>
          <w:szCs w:val="20"/>
          <w:color w:val="auto"/>
        </w:rPr>
      </w:pPr>
      <w:r>
        <w:rPr>
          <w:rFonts w:ascii="Arial" w:cs="Arial" w:eastAsia="Arial" w:hAnsi="Arial"/>
          <w:sz w:val="21"/>
          <w:szCs w:val="21"/>
          <w:color w:val="auto"/>
        </w:rPr>
        <w:t>At the time the Participant first elects to defer an amount to the Participant’s Retirement Account or to a Special Purpose Account, the Participant must further make an election to have the Participant’s Retirement or Special Purpose Account distributed in a lump sum or in two to fifteen annual installments. The Participant may elect a different form of distribution for the Retirement Account and for each Special Purpose Account. If no distribution election is made with respect to a Participant’s Retirement Account or Special Purpose Account, the Account will be distributed in a lump sum.</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4.6 - Investment Fund Allocations</w:t>
      </w:r>
    </w:p>
    <w:p>
      <w:pPr>
        <w:spacing w:after="0" w:line="280" w:lineRule="exact"/>
        <w:rPr>
          <w:sz w:val="20"/>
          <w:szCs w:val="20"/>
          <w:color w:val="auto"/>
        </w:rPr>
      </w:pPr>
    </w:p>
    <w:p>
      <w:pPr>
        <w:ind w:right="40" w:firstLine="648"/>
        <w:spacing w:after="0" w:line="356" w:lineRule="auto"/>
        <w:rPr>
          <w:sz w:val="20"/>
          <w:szCs w:val="20"/>
          <w:color w:val="auto"/>
        </w:rPr>
      </w:pPr>
      <w:r>
        <w:rPr>
          <w:rFonts w:ascii="Arial" w:cs="Arial" w:eastAsia="Arial" w:hAnsi="Arial"/>
          <w:sz w:val="22"/>
          <w:szCs w:val="22"/>
          <w:color w:val="auto"/>
        </w:rPr>
        <w:t>When completing the Election Form, the Participant must allocate the amounts to be deferred, in whole percentages, among the available Investment Funds. To the extent that the Participant fails to make an effective allocation among the available Investment Funds, the deferral shall be allocated entirely to the Income Fund.</w:t>
      </w:r>
    </w:p>
    <w:p>
      <w:pPr>
        <w:spacing w:after="0" w:line="130" w:lineRule="exact"/>
        <w:rPr>
          <w:sz w:val="20"/>
          <w:szCs w:val="20"/>
          <w:color w:val="auto"/>
        </w:rPr>
      </w:pPr>
    </w:p>
    <w:p>
      <w:pPr>
        <w:ind w:right="480" w:firstLine="648"/>
        <w:spacing w:after="0" w:line="356" w:lineRule="auto"/>
        <w:rPr>
          <w:sz w:val="20"/>
          <w:szCs w:val="20"/>
          <w:color w:val="auto"/>
        </w:rPr>
      </w:pPr>
      <w:r>
        <w:rPr>
          <w:rFonts w:ascii="Arial" w:cs="Arial" w:eastAsia="Arial" w:hAnsi="Arial"/>
          <w:sz w:val="22"/>
          <w:szCs w:val="22"/>
          <w:color w:val="auto"/>
        </w:rPr>
        <w:t>Participants may change the asset allocation of their existing Plan Accounts or future deferrals as permitted by the Committee. The Committee currently allows for daily reallocation. Allocation requests submitted after 4 p.m. EST or during a weekend or holiday, become effective the following business day.</w:t>
      </w:r>
    </w:p>
    <w:p>
      <w:pPr>
        <w:sectPr>
          <w:pgSz w:w="11900" w:h="16838" w:orient="portrait"/>
          <w:cols w:equalWidth="0" w:num="1">
            <w:col w:w="11400"/>
          </w:cols>
          <w:pgMar w:left="240" w:top="726" w:right="259" w:bottom="1440" w:gutter="0" w:footer="0" w:header="0"/>
        </w:sectPr>
      </w:pPr>
    </w:p>
    <w:bookmarkStart w:id="63" w:name="page64"/>
    <w:bookmarkEnd w:id="63"/>
    <w:p>
      <w:pPr>
        <w:ind w:left="660"/>
        <w:spacing w:after="0"/>
        <w:rPr>
          <w:sz w:val="20"/>
          <w:szCs w:val="20"/>
          <w:color w:val="auto"/>
        </w:rPr>
      </w:pPr>
      <w:r>
        <w:rPr>
          <w:rFonts w:ascii="Arial" w:cs="Arial" w:eastAsia="Arial" w:hAnsi="Arial"/>
          <w:sz w:val="22"/>
          <w:szCs w:val="22"/>
          <w:b w:val="1"/>
          <w:bCs w:val="1"/>
          <w:color w:val="auto"/>
        </w:rPr>
        <w:t>Section 4.7 - Change in Election</w:t>
      </w:r>
    </w:p>
    <w:p>
      <w:pPr>
        <w:spacing w:after="0" w:line="199" w:lineRule="exact"/>
        <w:rPr>
          <w:sz w:val="20"/>
          <w:szCs w:val="20"/>
          <w:color w:val="auto"/>
        </w:rPr>
      </w:pPr>
    </w:p>
    <w:p>
      <w:pPr>
        <w:ind w:right="40" w:firstLine="648"/>
        <w:spacing w:after="0" w:line="409" w:lineRule="auto"/>
        <w:rPr>
          <w:sz w:val="20"/>
          <w:szCs w:val="20"/>
          <w:color w:val="auto"/>
        </w:rPr>
      </w:pPr>
      <w:r>
        <w:rPr>
          <w:rFonts w:ascii="Arial" w:cs="Arial" w:eastAsia="Arial" w:hAnsi="Arial"/>
          <w:sz w:val="19"/>
          <w:szCs w:val="19"/>
          <w:color w:val="auto"/>
        </w:rPr>
        <w:t>A Participant who has made an election to defer Compensation under the Plan may make an irrevocable election to extend the Deferral Period for a Retirement Account and/or any Special Purpose Account. A Participant may also make an irrevocable election to change the form of distribution for the Retirement and/or any Special Purpose Account. A Participant may change his or her election, as provided in this Section 4.7, for some accounts and not for others; provided that the Participant may change his or her election up to a maximum of three times for the Retirement Account and up to a maximum of three times for each Special Purpose Account. With respect to each Special Purpose Account, the extended Deferral Period shall end not less than five (5) years following the date on which distribution would otherwise have occurred. With respect to the Retirement Account, the extended Deferral Period is five years form the date on which the Retirement Account would otherwise have commenced payment.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 deferral extension election and/or change to the form of distribution must meet all of the following requirements:</w:t>
      </w:r>
    </w:p>
    <w:p>
      <w:pPr>
        <w:spacing w:after="0" w:line="339" w:lineRule="exact"/>
        <w:rPr>
          <w:sz w:val="20"/>
          <w:szCs w:val="20"/>
          <w:color w:val="auto"/>
        </w:rPr>
      </w:pPr>
    </w:p>
    <w:p>
      <w:pPr>
        <w:ind w:left="1620" w:firstLine="9"/>
        <w:spacing w:after="0" w:line="405" w:lineRule="auto"/>
        <w:tabs>
          <w:tab w:leader="none" w:pos="2144" w:val="left"/>
        </w:tabs>
        <w:numPr>
          <w:ilvl w:val="0"/>
          <w:numId w:val="27"/>
        </w:numPr>
        <w:rPr>
          <w:rFonts w:ascii="Arial" w:cs="Arial" w:eastAsia="Arial" w:hAnsi="Arial"/>
          <w:sz w:val="16"/>
          <w:szCs w:val="16"/>
          <w:color w:val="auto"/>
        </w:rPr>
      </w:pPr>
      <w:r>
        <w:rPr>
          <w:rFonts w:ascii="Arial" w:cs="Arial" w:eastAsia="Arial" w:hAnsi="Arial"/>
          <w:sz w:val="19"/>
          <w:szCs w:val="19"/>
          <w:color w:val="auto"/>
        </w:rPr>
        <w:t>The new election must be made at least twelve months prior to the date on which payments will commence under the current election (and the new election shall be ineffective if the payment commencement date under the current election occurs within twelve months after the date of the new election);</w:t>
      </w:r>
    </w:p>
    <w:p>
      <w:pPr>
        <w:spacing w:after="0" w:line="1" w:lineRule="exact"/>
        <w:rPr>
          <w:rFonts w:ascii="Arial" w:cs="Arial" w:eastAsia="Arial" w:hAnsi="Arial"/>
          <w:sz w:val="16"/>
          <w:szCs w:val="16"/>
          <w:color w:val="auto"/>
        </w:rPr>
      </w:pPr>
    </w:p>
    <w:p>
      <w:pPr>
        <w:ind w:left="1620" w:right="280" w:firstLine="9"/>
        <w:spacing w:after="0" w:line="352" w:lineRule="auto"/>
        <w:tabs>
          <w:tab w:leader="none" w:pos="2154" w:val="left"/>
        </w:tabs>
        <w:numPr>
          <w:ilvl w:val="0"/>
          <w:numId w:val="27"/>
        </w:numPr>
        <w:rPr>
          <w:rFonts w:ascii="Arial" w:cs="Arial" w:eastAsia="Arial" w:hAnsi="Arial"/>
          <w:sz w:val="18"/>
          <w:szCs w:val="18"/>
          <w:color w:val="auto"/>
        </w:rPr>
      </w:pPr>
      <w:r>
        <w:rPr>
          <w:rFonts w:ascii="Arial" w:cs="Arial" w:eastAsia="Arial" w:hAnsi="Arial"/>
          <w:sz w:val="22"/>
          <w:szCs w:val="22"/>
          <w:color w:val="auto"/>
        </w:rPr>
        <w:t>The new election will not take effect until at least twelve months after the date when the new election is submitted in a manner acceptable to the Committee;</w:t>
      </w:r>
    </w:p>
    <w:p>
      <w:pPr>
        <w:ind w:left="1620" w:right="320" w:firstLine="9"/>
        <w:spacing w:after="0" w:line="379" w:lineRule="auto"/>
        <w:tabs>
          <w:tab w:leader="none" w:pos="2144" w:val="left"/>
        </w:tabs>
        <w:numPr>
          <w:ilvl w:val="0"/>
          <w:numId w:val="27"/>
        </w:numPr>
        <w:rPr>
          <w:rFonts w:ascii="Arial" w:cs="Arial" w:eastAsia="Arial" w:hAnsi="Arial"/>
          <w:sz w:val="18"/>
          <w:szCs w:val="18"/>
          <w:color w:val="auto"/>
        </w:rPr>
      </w:pPr>
      <w:r>
        <w:rPr>
          <w:rFonts w:ascii="Arial" w:cs="Arial" w:eastAsia="Arial" w:hAnsi="Arial"/>
          <w:sz w:val="22"/>
          <w:szCs w:val="22"/>
          <w:color w:val="auto"/>
        </w:rPr>
        <w:t>The new payment commencement date must be five years later than the date on which payments would commence under the current election; and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4.8 - Designation of Beneficiary</w:t>
      </w:r>
    </w:p>
    <w:p>
      <w:pPr>
        <w:spacing w:after="0" w:line="280" w:lineRule="exact"/>
        <w:rPr>
          <w:sz w:val="20"/>
          <w:szCs w:val="20"/>
          <w:color w:val="auto"/>
        </w:rPr>
      </w:pPr>
    </w:p>
    <w:p>
      <w:pPr>
        <w:ind w:right="20" w:firstLine="648"/>
        <w:spacing w:after="0" w:line="367" w:lineRule="auto"/>
        <w:rPr>
          <w:sz w:val="20"/>
          <w:szCs w:val="20"/>
          <w:color w:val="auto"/>
        </w:rPr>
      </w:pPr>
      <w:r>
        <w:rPr>
          <w:rFonts w:ascii="Arial" w:cs="Arial" w:eastAsia="Arial" w:hAnsi="Arial"/>
          <w:sz w:val="21"/>
          <w:szCs w:val="21"/>
          <w:color w:val="auto"/>
        </w:rPr>
        <w:t>Each Participant shall designate a Beneficiary for his or her Plan Account on an electronic or written form provided by the Plan administrator. A Participant may change such designation on an electronic or written form acceptable to the Plan administrator and received by the Plan administrator at any time before the Participant’s death. In the event that no Beneficiary designation is filed with the Plan administrator, or if the Beneficiary (and any contingent Beneficiary) does not survive the Participant, all amounts deferred hereunder will be paid to the estate of the Participant. If a Participant designates the Participant’s spouse as the Participant’s Beneficiary, that designation shall not be revoked or otherwise altered or affected by any: (a) change in the marital status of the Participant; (b) agreement between the</w:t>
      </w:r>
    </w:p>
    <w:p>
      <w:pPr>
        <w:sectPr>
          <w:pgSz w:w="11900" w:h="16838" w:orient="portrait"/>
          <w:cols w:equalWidth="0" w:num="1">
            <w:col w:w="11420"/>
          </w:cols>
          <w:pgMar w:left="240" w:top="720" w:right="239" w:bottom="1440" w:gutter="0" w:footer="0" w:header="0"/>
        </w:sectPr>
      </w:pPr>
    </w:p>
    <w:bookmarkStart w:id="64" w:name="page65"/>
    <w:bookmarkEnd w:id="64"/>
    <w:p>
      <w:pPr>
        <w:ind w:right="460"/>
        <w:spacing w:after="0" w:line="421" w:lineRule="auto"/>
        <w:rPr>
          <w:sz w:val="20"/>
          <w:szCs w:val="20"/>
          <w:color w:val="auto"/>
        </w:rPr>
      </w:pPr>
      <w:r>
        <w:rPr>
          <w:rFonts w:ascii="Arial" w:cs="Arial" w:eastAsia="Arial" w:hAnsi="Arial"/>
          <w:sz w:val="19"/>
          <w:szCs w:val="19"/>
          <w:color w:val="auto"/>
        </w:rPr>
        <w:t>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4.8. In the event of the death of a Participant, distributions shall be made in accordance with Section 6.5.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 - PLAN ACCOUNTS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5.1 - Accounts</w:t>
      </w:r>
    </w:p>
    <w:p>
      <w:pPr>
        <w:spacing w:after="0" w:line="280" w:lineRule="exact"/>
        <w:rPr>
          <w:sz w:val="20"/>
          <w:szCs w:val="20"/>
          <w:color w:val="auto"/>
        </w:rPr>
      </w:pPr>
    </w:p>
    <w:p>
      <w:pPr>
        <w:ind w:firstLine="648"/>
        <w:spacing w:after="0" w:line="366" w:lineRule="auto"/>
        <w:rPr>
          <w:sz w:val="20"/>
          <w:szCs w:val="20"/>
          <w:color w:val="auto"/>
        </w:rPr>
      </w:pPr>
      <w:r>
        <w:rPr>
          <w:rFonts w:ascii="Arial" w:cs="Arial" w:eastAsia="Arial" w:hAnsi="Arial"/>
          <w:sz w:val="21"/>
          <w:szCs w:val="21"/>
          <w:color w:val="auto"/>
        </w:rPr>
        <w:t>Deferred amounts that were earned and vested before January 1, 2005, and any subsequent increases in these amounts that are permitted to be treated as grandfathered benefits under Section 409A of the Code, shall be maintained in separate accounts and shall remain subject to the terms and conditions of the Prior Plan, except that any updated investment fund options shall also apply to accounts under the Prior Plan, provided such change would not be deemed a material modification to the Prior Plan. The Prior Plan accounts are not intended to be subject to Section 409A of the Code. No amendment to Appendix A that would constitute a “material modification” for purposes of Section 409A shall be effective unless the amending instrument states that it is intended to materially modify Appendix A and to cause the Prior Plan to become subject to Section 409A. Although the Prior Plan accounts are not intended to be subject to Section 409A, neither the UTC Companies nor any director, officer, or other representative of a UTC Company shall be liable for any adverse tax consequence suffered by a Participant or Beneficiary if a Prior Plan account becomes subject to Section 409A.</w:t>
      </w:r>
    </w:p>
    <w:p>
      <w:pPr>
        <w:spacing w:after="0" w:line="126" w:lineRule="exact"/>
        <w:rPr>
          <w:sz w:val="20"/>
          <w:szCs w:val="20"/>
          <w:color w:val="auto"/>
        </w:rPr>
      </w:pPr>
    </w:p>
    <w:p>
      <w:pPr>
        <w:ind w:firstLine="648"/>
        <w:spacing w:after="0" w:line="356" w:lineRule="auto"/>
        <w:rPr>
          <w:sz w:val="20"/>
          <w:szCs w:val="20"/>
          <w:color w:val="auto"/>
        </w:rPr>
      </w:pPr>
      <w:r>
        <w:rPr>
          <w:rFonts w:ascii="Arial" w:cs="Arial" w:eastAsia="Arial" w:hAnsi="Arial"/>
          <w:sz w:val="22"/>
          <w:szCs w:val="22"/>
          <w:color w:val="auto"/>
        </w:rPr>
        <w:t>Deferred amounts that were earned or vested after December 31, 2004, will be allocated to a Retirement Account and/or one or more Special Purpose Accounts as elected by the Participant. The Committee will establish the maximum number of Special Purpose Accounts.</w:t>
      </w:r>
    </w:p>
    <w:p>
      <w:pPr>
        <w:spacing w:after="0" w:line="130" w:lineRule="exact"/>
        <w:rPr>
          <w:sz w:val="20"/>
          <w:szCs w:val="20"/>
          <w:color w:val="auto"/>
        </w:rPr>
      </w:pPr>
    </w:p>
    <w:p>
      <w:pPr>
        <w:ind w:right="60" w:firstLine="648"/>
        <w:spacing w:after="0" w:line="366" w:lineRule="auto"/>
        <w:rPr>
          <w:sz w:val="20"/>
          <w:szCs w:val="20"/>
          <w:color w:val="auto"/>
        </w:rPr>
      </w:pPr>
      <w:r>
        <w:rPr>
          <w:rFonts w:ascii="Arial" w:cs="Arial" w:eastAsia="Arial" w:hAnsi="Arial"/>
          <w:sz w:val="22"/>
          <w:szCs w:val="22"/>
          <w:color w:val="auto"/>
        </w:rPr>
        <w:t>Participants’ Plan Accounts shall be allocated or reallocated among Investment Funds in accordance with each Participant’s instructions in the manner set forth in Section 4.6.</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5.2 - [Removed]</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5.3 Valuation of UTC Stock Unit Fund</w:t>
      </w:r>
    </w:p>
    <w:p>
      <w:pPr>
        <w:spacing w:after="0" w:line="280" w:lineRule="exact"/>
        <w:rPr>
          <w:sz w:val="20"/>
          <w:szCs w:val="20"/>
          <w:color w:val="auto"/>
        </w:rPr>
      </w:pPr>
    </w:p>
    <w:p>
      <w:pPr>
        <w:ind w:right="20" w:firstLine="648"/>
        <w:spacing w:after="0" w:line="415" w:lineRule="auto"/>
        <w:rPr>
          <w:sz w:val="20"/>
          <w:szCs w:val="20"/>
          <w:color w:val="auto"/>
        </w:rPr>
      </w:pPr>
      <w:r>
        <w:rPr>
          <w:rFonts w:ascii="Arial" w:cs="Arial" w:eastAsia="Arial" w:hAnsi="Arial"/>
          <w:sz w:val="19"/>
          <w:szCs w:val="19"/>
          <w:color w:val="auto"/>
        </w:rPr>
        <w:t>Deferred Compensation allocated to the UTC Stock Unit Fund will be credited as UTC Deferred Stock Units, including fractional Stock Units. A UTC Deferred Stock Unit is equal to the closing price of one share of UTC Common Stock as reported by the New York Stock Exchange. The number of UTC Deferred Stock Units will be calculated by dividing the amount of Compensation deferred by the closing price of UTC Common Stock on the date when the deferred amount is credited to the Participant’s UTC Stock Unit Fund. UTC Deferred Stock Units will be credited with dividend equivalent payments equal to</w:t>
      </w:r>
    </w:p>
    <w:p>
      <w:pPr>
        <w:sectPr>
          <w:pgSz w:w="11900" w:h="16838" w:orient="portrait"/>
          <w:cols w:equalWidth="0" w:num="1">
            <w:col w:w="11420"/>
          </w:cols>
          <w:pgMar w:left="240" w:top="726" w:right="239" w:bottom="1440" w:gutter="0" w:footer="0" w:header="0"/>
        </w:sectPr>
      </w:pPr>
    </w:p>
    <w:bookmarkStart w:id="65" w:name="page66"/>
    <w:bookmarkEnd w:id="65"/>
    <w:p>
      <w:pPr>
        <w:ind w:right="460"/>
        <w:spacing w:after="0" w:line="356" w:lineRule="auto"/>
        <w:rPr>
          <w:sz w:val="20"/>
          <w:szCs w:val="20"/>
          <w:color w:val="auto"/>
        </w:rPr>
      </w:pPr>
      <w:r>
        <w:rPr>
          <w:rFonts w:ascii="Arial" w:cs="Arial" w:eastAsia="Arial" w:hAnsi="Arial"/>
          <w:sz w:val="22"/>
          <w:szCs w:val="22"/>
          <w:color w:val="auto"/>
        </w:rPr>
        <w:t>the Corporation’s declared dividend on UTC Common Stock (if any). Such dividend equivalent payments will be converted to additional UTC Deferred Stock Units and fractional units using the closing price of UTC Common Stock as of the date such dividends are credited to the Participant’s UTC Stock Unit Fund.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5.4 - Valuation of Investment Funds</w:t>
      </w:r>
    </w:p>
    <w:p>
      <w:pPr>
        <w:spacing w:after="0" w:line="280" w:lineRule="exact"/>
        <w:rPr>
          <w:sz w:val="20"/>
          <w:szCs w:val="20"/>
          <w:color w:val="auto"/>
        </w:rPr>
      </w:pPr>
    </w:p>
    <w:p>
      <w:pPr>
        <w:ind w:right="80" w:firstLine="648"/>
        <w:spacing w:after="0" w:line="352" w:lineRule="auto"/>
        <w:rPr>
          <w:sz w:val="20"/>
          <w:szCs w:val="20"/>
          <w:color w:val="auto"/>
        </w:rPr>
      </w:pPr>
      <w:r>
        <w:rPr>
          <w:rFonts w:ascii="Arial" w:cs="Arial" w:eastAsia="Arial" w:hAnsi="Arial"/>
          <w:sz w:val="22"/>
          <w:szCs w:val="22"/>
          <w:color w:val="auto"/>
        </w:rPr>
        <w:t>Deferred compensation allocated to Investment Funds will be converted to the applicable Investment Fund units based on the closing share price of that Investment Fund as of date the deferred amount is credited to the Participant’s applicable Investment Fund. The value of the units of an Investment Fund will fluctuate on each business day based on the performance of the applicable Investment Fund.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5.5 - Allocation to Accounts</w:t>
      </w:r>
    </w:p>
    <w:p>
      <w:pPr>
        <w:spacing w:after="0" w:line="280"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During the year of deferral, deferred amounts will be allocated to the Participant’s Plan Account and Investment Funds as of the date the deferred amounts would otherwise have been paid to the Participant.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5.6 - Crediting of Benefit Restoration Contribution</w:t>
      </w:r>
    </w:p>
    <w:p>
      <w:pPr>
        <w:spacing w:after="0" w:line="280" w:lineRule="exact"/>
        <w:rPr>
          <w:sz w:val="20"/>
          <w:szCs w:val="20"/>
          <w:color w:val="auto"/>
        </w:rPr>
      </w:pPr>
    </w:p>
    <w:p>
      <w:pPr>
        <w:ind w:right="40" w:firstLine="648"/>
        <w:spacing w:after="0" w:line="351" w:lineRule="auto"/>
        <w:rPr>
          <w:sz w:val="20"/>
          <w:szCs w:val="20"/>
          <w:color w:val="auto"/>
        </w:rPr>
      </w:pPr>
      <w:r>
        <w:rPr>
          <w:rFonts w:ascii="Arial" w:cs="Arial" w:eastAsia="Arial" w:hAnsi="Arial"/>
          <w:sz w:val="22"/>
          <w:szCs w:val="22"/>
          <w:color w:val="auto"/>
        </w:rPr>
        <w:t>At the end of each calendar year, the Committee will determine if a Participant is eligible for a Benefit Restoration Contribution, and will credit the amount of such Benefit Restoration Contribution to the affected Participant’s Plan Account as of the last business day of the calendar year. Any such amounts will be allocated on a pro-rata basis to the Participant’s Retirement Account and Special Purpose Accounts and Investment Funds in accordance with the Participant’s deferral elections on file for that calendar year.</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5.7 - Reports to Participants</w:t>
      </w:r>
    </w:p>
    <w:p>
      <w:pPr>
        <w:spacing w:after="0" w:line="280" w:lineRule="exact"/>
        <w:rPr>
          <w:sz w:val="20"/>
          <w:szCs w:val="20"/>
          <w:color w:val="auto"/>
        </w:rPr>
      </w:pPr>
    </w:p>
    <w:p>
      <w:pPr>
        <w:ind w:right="280" w:firstLine="648"/>
        <w:spacing w:after="0" w:line="431" w:lineRule="auto"/>
        <w:rPr>
          <w:sz w:val="20"/>
          <w:szCs w:val="20"/>
          <w:color w:val="auto"/>
        </w:rPr>
      </w:pPr>
      <w:r>
        <w:rPr>
          <w:rFonts w:ascii="Arial" w:cs="Arial" w:eastAsia="Arial" w:hAnsi="Arial"/>
          <w:sz w:val="19"/>
          <w:szCs w:val="19"/>
          <w:color w:val="auto"/>
        </w:rPr>
        <w:t>The Committee will provide or make available detailed information to Participants regarding the value of Plan Accounts, distribution elections, Beneficiary designations, Investment Fund allocations and credited values for Retirement and Special Purpose Accounts. Such information may be provided via electronic media as determined by the Committee.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 - DISTRIBUTION OF ACCOUNTS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6.1 - Timing of Plan Distributions</w:t>
      </w:r>
    </w:p>
    <w:p>
      <w:pPr>
        <w:spacing w:after="0" w:line="280" w:lineRule="exact"/>
        <w:rPr>
          <w:sz w:val="20"/>
          <w:szCs w:val="20"/>
          <w:color w:val="auto"/>
        </w:rPr>
      </w:pPr>
    </w:p>
    <w:p>
      <w:pPr>
        <w:jc w:val="both"/>
        <w:ind w:right="40" w:firstLine="648"/>
        <w:spacing w:after="0" w:line="415" w:lineRule="auto"/>
        <w:rPr>
          <w:sz w:val="20"/>
          <w:szCs w:val="20"/>
          <w:color w:val="auto"/>
        </w:rPr>
      </w:pPr>
      <w:r>
        <w:rPr>
          <w:rFonts w:ascii="Arial" w:cs="Arial" w:eastAsia="Arial" w:hAnsi="Arial"/>
          <w:sz w:val="19"/>
          <w:szCs w:val="19"/>
          <w:color w:val="auto"/>
        </w:rPr>
        <w:t>Except as provided in Section 4.7 (concerning the five-year delay following a Change in Election), Section 6.3 (concerning Separation from Service before Attaining Age Fifty), and Section 6.4 (concerning distributions to Specified Employees), the value of a Participant’s Retirement Account will be distributed (or begin to be distributed) to the Participant in April of the calendar year following the Retirement Date. The value of a Participant’s Special Purpose Account will be distributed (or begin to be distributed) to the Participant in April of the year specified in the Participant’s initial election or in any change in election</w:t>
      </w:r>
    </w:p>
    <w:p>
      <w:pPr>
        <w:sectPr>
          <w:pgSz w:w="11900" w:h="16838" w:orient="portrait"/>
          <w:cols w:equalWidth="0" w:num="1">
            <w:col w:w="11400"/>
          </w:cols>
          <w:pgMar w:left="240" w:top="726" w:right="259" w:bottom="1440" w:gutter="0" w:footer="0" w:header="0"/>
        </w:sectPr>
      </w:pPr>
    </w:p>
    <w:bookmarkStart w:id="66" w:name="page67"/>
    <w:bookmarkEnd w:id="66"/>
    <w:p>
      <w:pPr>
        <w:ind w:right="100"/>
        <w:spacing w:after="0" w:line="366" w:lineRule="auto"/>
        <w:rPr>
          <w:sz w:val="20"/>
          <w:szCs w:val="20"/>
          <w:color w:val="auto"/>
        </w:rPr>
      </w:pPr>
      <w:r>
        <w:rPr>
          <w:rFonts w:ascii="Arial" w:cs="Arial" w:eastAsia="Arial" w:hAnsi="Arial"/>
          <w:sz w:val="22"/>
          <w:szCs w:val="22"/>
          <w:color w:val="auto"/>
        </w:rPr>
        <w:t>under Section 4.7. This means, for example, that if a deferral election specifies a Deferral Period until 2015, distribution will occur in April of 2015.</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6.2 - Method of Distribution</w:t>
      </w:r>
    </w:p>
    <w:p>
      <w:pPr>
        <w:spacing w:after="0" w:line="280" w:lineRule="exact"/>
        <w:rPr>
          <w:sz w:val="20"/>
          <w:szCs w:val="20"/>
          <w:color w:val="auto"/>
        </w:rPr>
      </w:pPr>
    </w:p>
    <w:p>
      <w:pPr>
        <w:ind w:right="120" w:firstLine="648"/>
        <w:spacing w:after="0" w:line="410" w:lineRule="auto"/>
        <w:rPr>
          <w:sz w:val="20"/>
          <w:szCs w:val="20"/>
          <w:color w:val="auto"/>
        </w:rPr>
      </w:pPr>
      <w:r>
        <w:rPr>
          <w:rFonts w:ascii="Arial" w:cs="Arial" w:eastAsia="Arial" w:hAnsi="Arial"/>
          <w:sz w:val="19"/>
          <w:szCs w:val="19"/>
          <w:color w:val="auto"/>
        </w:rPr>
        <w:t>Except as provided in Section 6.3 (concerning Separation from Service before Attaining Age Fifty), each Retirement and Special Purpose Account will be distributed to the Participant in a single lump-sum cash payment, or in a series of annual cash installment payments, in accordance with the Participant’s election on file with respect to each such account. Annual installments shall be payable to the Participant beginning as of the payment commencement date and continuing as of each anniversary of the payment commencement date thereafter until all installments have been paid. To determine the amount of each installment, the value of the Participant’s Plan Account on the payment date will be multiplied by a fraction, the numerator of which is one and the denominator of which is the number of scheduled installments that remain unpaid.</w:t>
      </w:r>
    </w:p>
    <w:p>
      <w:pPr>
        <w:spacing w:after="0" w:line="21" w:lineRule="exact"/>
        <w:rPr>
          <w:sz w:val="20"/>
          <w:szCs w:val="20"/>
          <w:color w:val="auto"/>
        </w:rPr>
      </w:pPr>
    </w:p>
    <w:p>
      <w:pPr>
        <w:jc w:val="both"/>
        <w:ind w:firstLine="1297"/>
        <w:spacing w:after="0" w:line="356" w:lineRule="auto"/>
        <w:rPr>
          <w:sz w:val="20"/>
          <w:szCs w:val="20"/>
          <w:color w:val="auto"/>
        </w:rPr>
      </w:pPr>
      <w:r>
        <w:rPr>
          <w:rFonts w:ascii="Arial" w:cs="Arial" w:eastAsia="Arial" w:hAnsi="Arial"/>
          <w:sz w:val="22"/>
          <w:szCs w:val="22"/>
          <w:color w:val="auto"/>
        </w:rPr>
        <w:t>Regardless of the distribution option elected, if the aggregate value of a Participant’s Plan Accounts, determined as of the termination date, is less than the current IRS Section 402g limit, the Committee will distribute the Participant’s entire Plan Account balance in a lump sum on the payment commencement date.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6.3 - Separation from Service before Attaining Age Fifty</w:t>
      </w:r>
    </w:p>
    <w:p>
      <w:pPr>
        <w:spacing w:after="0" w:line="280" w:lineRule="exact"/>
        <w:rPr>
          <w:sz w:val="20"/>
          <w:szCs w:val="20"/>
          <w:color w:val="auto"/>
        </w:rPr>
      </w:pPr>
    </w:p>
    <w:p>
      <w:pPr>
        <w:ind w:right="40" w:firstLine="648"/>
        <w:spacing w:after="0" w:line="351" w:lineRule="auto"/>
        <w:rPr>
          <w:sz w:val="20"/>
          <w:szCs w:val="20"/>
          <w:color w:val="auto"/>
        </w:rPr>
      </w:pPr>
      <w:r>
        <w:rPr>
          <w:rFonts w:ascii="Arial" w:cs="Arial" w:eastAsia="Arial" w:hAnsi="Arial"/>
          <w:sz w:val="22"/>
          <w:szCs w:val="22"/>
          <w:color w:val="auto"/>
        </w:rPr>
        <w:t>If a Participant’s Separation from Service occurs before the Participant attains age fifty (50), the full value of the Participant’s Plan Account will be distributed to the Participant in a lump-sum payment in April following the Participant's Separation from Service (or, if the Participant is a Specified Employee at the time of his or her Separation from Service, on the date provided in Section 6.4, below, if later) regardless of the distribution option elected and regardless of any change in the distribution election.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6.4 - Separation from Service of Specified Employees</w:t>
      </w:r>
    </w:p>
    <w:p>
      <w:pPr>
        <w:spacing w:after="0" w:line="199" w:lineRule="exact"/>
        <w:rPr>
          <w:sz w:val="20"/>
          <w:szCs w:val="20"/>
          <w:color w:val="auto"/>
        </w:rPr>
      </w:pPr>
    </w:p>
    <w:p>
      <w:pPr>
        <w:ind w:right="100" w:firstLine="648"/>
        <w:spacing w:after="0" w:line="421" w:lineRule="auto"/>
        <w:rPr>
          <w:sz w:val="20"/>
          <w:szCs w:val="20"/>
          <w:color w:val="auto"/>
        </w:rPr>
      </w:pPr>
      <w:r>
        <w:rPr>
          <w:rFonts w:ascii="Arial" w:cs="Arial" w:eastAsia="Arial" w:hAnsi="Arial"/>
          <w:sz w:val="19"/>
          <w:szCs w:val="19"/>
          <w:color w:val="auto"/>
        </w:rPr>
        <w:t>If the Participant is a Specified Employee on the date of the Participant’s Separation from Service, any distribution of the Participant’s Plan Account to the Participant that is made on account of the Participant’s Separation from Service will not be made or commence earlier than the first day of the seventh month following the date of Separation from Service. The Plan Account shall continue to accrue hypothetical investment gains and losses as provided in Article V until the distribution date.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6.5 - Distribution in the Event of Death</w:t>
      </w:r>
    </w:p>
    <w:p>
      <w:pPr>
        <w:spacing w:after="0" w:line="280" w:lineRule="exact"/>
        <w:rPr>
          <w:sz w:val="20"/>
          <w:szCs w:val="20"/>
          <w:color w:val="auto"/>
        </w:rPr>
      </w:pPr>
    </w:p>
    <w:p>
      <w:pPr>
        <w:ind w:right="980" w:firstLine="648"/>
        <w:spacing w:after="0" w:line="366" w:lineRule="auto"/>
        <w:rPr>
          <w:sz w:val="20"/>
          <w:szCs w:val="20"/>
          <w:color w:val="auto"/>
        </w:rPr>
      </w:pPr>
      <w:r>
        <w:rPr>
          <w:rFonts w:ascii="Arial" w:cs="Arial" w:eastAsia="Arial" w:hAnsi="Arial"/>
          <w:sz w:val="22"/>
          <w:szCs w:val="22"/>
          <w:color w:val="auto"/>
        </w:rPr>
        <w:t>In the event of the death of a Participant, the full value of the Participant’s Plan Account will be distributed to the designated Beneficiary in a lump sum on the first business day of the third month</w:t>
      </w:r>
    </w:p>
    <w:p>
      <w:pPr>
        <w:sectPr>
          <w:pgSz w:w="11900" w:h="16838" w:orient="portrait"/>
          <w:cols w:equalWidth="0" w:num="1">
            <w:col w:w="11420"/>
          </w:cols>
          <w:pgMar w:left="240" w:top="726" w:right="239" w:bottom="1440" w:gutter="0" w:footer="0" w:header="0"/>
        </w:sectPr>
      </w:pPr>
    </w:p>
    <w:bookmarkStart w:id="67" w:name="page68"/>
    <w:bookmarkEnd w:id="67"/>
    <w:p>
      <w:pPr>
        <w:ind w:right="280"/>
        <w:spacing w:after="0" w:line="366" w:lineRule="auto"/>
        <w:rPr>
          <w:sz w:val="20"/>
          <w:szCs w:val="20"/>
          <w:color w:val="auto"/>
        </w:rPr>
      </w:pPr>
      <w:r>
        <w:rPr>
          <w:rFonts w:ascii="Arial" w:cs="Arial" w:eastAsia="Arial" w:hAnsi="Arial"/>
          <w:sz w:val="22"/>
          <w:szCs w:val="22"/>
          <w:color w:val="auto"/>
        </w:rPr>
        <w:t>following the Participant’s death. Upon notification of death, pending distribution, the value of Participant plan accounts will be allocated to the Income Fund.</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6.6 - Accelerated Distribution in the Case of an Unforeseeable Emergency</w:t>
      </w:r>
    </w:p>
    <w:p>
      <w:pPr>
        <w:spacing w:after="0" w:line="280" w:lineRule="exact"/>
        <w:rPr>
          <w:sz w:val="20"/>
          <w:szCs w:val="20"/>
          <w:color w:val="auto"/>
        </w:rPr>
      </w:pPr>
    </w:p>
    <w:p>
      <w:pPr>
        <w:ind w:firstLine="656"/>
        <w:spacing w:after="0" w:line="407" w:lineRule="auto"/>
        <w:tabs>
          <w:tab w:leader="none" w:pos="942" w:val="left"/>
        </w:tabs>
        <w:numPr>
          <w:ilvl w:val="0"/>
          <w:numId w:val="28"/>
        </w:numPr>
        <w:rPr>
          <w:rFonts w:ascii="Arial" w:cs="Arial" w:eastAsia="Arial" w:hAnsi="Arial"/>
          <w:sz w:val="19"/>
          <w:szCs w:val="19"/>
          <w:color w:val="auto"/>
        </w:rPr>
      </w:pPr>
      <w:r>
        <w:rPr>
          <w:rFonts w:ascii="Arial" w:cs="Arial" w:eastAsia="Arial" w:hAnsi="Arial"/>
          <w:sz w:val="19"/>
          <w:szCs w:val="19"/>
          <w:color w:val="auto"/>
        </w:rPr>
        <w:t>Unforeseeable Emergency. The Committee may, upon a Participant’s written application, agree to an accelerated distribution of some or all of the value of Participant's Plan Account upon the showing of an unforeseeable emergency. An “unforeseeable emergency” is a severe financial hardship to the Participant resulting from (1) an illness or accident of the Participant, the Participant’s spouse, the Participant’s Beneficiary, or the Participant’s dependent (as defined in IRC Section 152, without regard to Section 152(b)(1), (b)(2), and (d)(1)(B)); (2) loss of the Participant’s property due to casualty; or (3) other similar extraordinary and unforeseeable circumstances arising as a result of events beyond the control of the Participant. Whether a Participant is faced with an unforeseeable emergency permitting a distribution is to be determined based on the relevant facts and circumstances of each case. Acceleration will not be granted if the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103" w:lineRule="exact"/>
        <w:rPr>
          <w:rFonts w:ascii="Arial" w:cs="Arial" w:eastAsia="Arial" w:hAnsi="Arial"/>
          <w:sz w:val="19"/>
          <w:szCs w:val="19"/>
          <w:color w:val="auto"/>
        </w:rPr>
      </w:pPr>
    </w:p>
    <w:p>
      <w:pPr>
        <w:ind w:right="20" w:firstLine="656"/>
        <w:spacing w:after="0" w:line="352" w:lineRule="auto"/>
        <w:tabs>
          <w:tab w:leader="none" w:pos="95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Amount of Distribution Permitted Upon an Unforeseeable Emergency. Distributions on account of an unforeseeable emergency, as defined in Section 6.6(a), shall be limited to the amount reasonably necessary to satisfy the emergency need. Such amount may include amounts necessary to pay any Federal, state, local, or foreign income taxes or penalties reasonably anticipated to result from the distribution.</w:t>
      </w:r>
    </w:p>
    <w:p>
      <w:pPr>
        <w:spacing w:after="0" w:line="136" w:lineRule="exact"/>
        <w:rPr>
          <w:rFonts w:ascii="Arial" w:cs="Arial" w:eastAsia="Arial" w:hAnsi="Arial"/>
          <w:sz w:val="22"/>
          <w:szCs w:val="22"/>
          <w:color w:val="auto"/>
        </w:rPr>
      </w:pPr>
    </w:p>
    <w:p>
      <w:pPr>
        <w:ind w:right="60" w:firstLine="656"/>
        <w:spacing w:after="0" w:line="431" w:lineRule="auto"/>
        <w:tabs>
          <w:tab w:leader="none" w:pos="94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Committee will determine from which Special Purpose or Retirement Accounts and associated Investment Funds hardship distributions will be made. Any Participant who is an officer or director of the Corporation within the meaning of Section 16 of the Securities Exchange Act of 1934 is not eligible for distributions on account of unforeseeable emergency.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6.7 - Disability</w:t>
      </w:r>
    </w:p>
    <w:p>
      <w:pPr>
        <w:spacing w:after="0" w:line="280" w:lineRule="exact"/>
        <w:rPr>
          <w:sz w:val="20"/>
          <w:szCs w:val="20"/>
          <w:color w:val="auto"/>
        </w:rPr>
      </w:pPr>
    </w:p>
    <w:p>
      <w:pPr>
        <w:ind w:right="120" w:firstLine="648"/>
        <w:spacing w:after="0" w:line="395" w:lineRule="auto"/>
        <w:rPr>
          <w:sz w:val="20"/>
          <w:szCs w:val="20"/>
          <w:color w:val="auto"/>
        </w:rPr>
      </w:pPr>
      <w:r>
        <w:rPr>
          <w:rFonts w:ascii="Arial" w:cs="Arial" w:eastAsia="Arial" w:hAnsi="Arial"/>
          <w:sz w:val="21"/>
          <w:szCs w:val="21"/>
          <w:color w:val="auto"/>
        </w:rPr>
        <w:t>In the event of the Disability of a Participant that qualifies as a “Separation from Service” for purposes of Section 409A of the Code, the Participant’s Plan Accounts will be distributed in accordance with the Participant’s elections on file.</w:t>
      </w:r>
    </w:p>
    <w:p>
      <w:pPr>
        <w:spacing w:after="0" w:line="9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6.8</w:t>
      </w:r>
      <w:r>
        <w:rPr>
          <w:sz w:val="20"/>
          <w:szCs w:val="20"/>
          <w:color w:val="auto"/>
        </w:rPr>
        <w:tab/>
      </w:r>
      <w:r>
        <w:rPr>
          <w:rFonts w:ascii="Arial" w:cs="Arial" w:eastAsia="Arial" w:hAnsi="Arial"/>
          <w:sz w:val="19"/>
          <w:szCs w:val="19"/>
          <w:b w:val="1"/>
          <w:bCs w:val="1"/>
          <w:color w:val="auto"/>
        </w:rPr>
        <w:t>Administrative Adjustments in Payment Date</w:t>
      </w:r>
    </w:p>
    <w:p>
      <w:pPr>
        <w:spacing w:after="0" w:line="280" w:lineRule="exact"/>
        <w:rPr>
          <w:sz w:val="20"/>
          <w:szCs w:val="20"/>
          <w:color w:val="auto"/>
        </w:rPr>
      </w:pPr>
    </w:p>
    <w:p>
      <w:pPr>
        <w:ind w:right="80" w:firstLine="648"/>
        <w:spacing w:after="0" w:line="356" w:lineRule="auto"/>
        <w:rPr>
          <w:sz w:val="20"/>
          <w:szCs w:val="20"/>
          <w:color w:val="auto"/>
        </w:rPr>
      </w:pPr>
      <w:r>
        <w:rPr>
          <w:rFonts w:ascii="Arial" w:cs="Arial" w:eastAsia="Arial" w:hAnsi="Arial"/>
          <w:sz w:val="22"/>
          <w:szCs w:val="22"/>
          <w:color w:val="auto"/>
        </w:rPr>
        <w:t>A payment is treated as being made on the date when it is due under the Plan if the payment is made on the due date specified by the Plan, or on a later date that is either (a) in the same calendar year (for a payment whose specified due date is on or before September 30), or (b) by the 15th day of the third</w:t>
      </w:r>
    </w:p>
    <w:p>
      <w:pPr>
        <w:sectPr>
          <w:pgSz w:w="11900" w:h="16838" w:orient="portrait"/>
          <w:cols w:equalWidth="0" w:num="1">
            <w:col w:w="11360"/>
          </w:cols>
          <w:pgMar w:left="240" w:top="726" w:right="299" w:bottom="1440" w:gutter="0" w:footer="0" w:header="0"/>
        </w:sectPr>
      </w:pPr>
    </w:p>
    <w:bookmarkStart w:id="68" w:name="page69"/>
    <w:bookmarkEnd w:id="68"/>
    <w:p>
      <w:pPr>
        <w:ind w:right="240"/>
        <w:spacing w:after="0" w:line="415" w:lineRule="auto"/>
        <w:rPr>
          <w:sz w:val="20"/>
          <w:szCs w:val="20"/>
          <w:color w:val="auto"/>
        </w:rPr>
      </w:pPr>
      <w:r>
        <w:rPr>
          <w:rFonts w:ascii="Arial" w:cs="Arial" w:eastAsia="Arial" w:hAnsi="Arial"/>
          <w:sz w:val="19"/>
          <w:szCs w:val="19"/>
          <w:color w:val="auto"/>
        </w:rPr>
        <w:t>calendar month following the date specified by the Plan (for a payment whose specified due date is on or after October 1). A payment also is treated as being made on the date when it is due under the Plan if the payment is made not more than 30 days before the due date specified by the Plan. In no event will a payment to a Specified Employee be made or commence earlier than the first day of the seventh month following the date of Separation from Service. A Participant may not, directly or indirectly, designate the taxable year of a payment made in reliance on the administrative rules in this Section 6.8.</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 - AMENDMENT AND TERMINATION OF PLAN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7.1 - Amendment</w:t>
      </w:r>
    </w:p>
    <w:p>
      <w:pPr>
        <w:spacing w:after="0" w:line="280" w:lineRule="exact"/>
        <w:rPr>
          <w:sz w:val="20"/>
          <w:szCs w:val="20"/>
          <w:color w:val="auto"/>
        </w:rPr>
      </w:pPr>
    </w:p>
    <w:p>
      <w:pPr>
        <w:jc w:val="both"/>
        <w:ind w:right="40" w:firstLine="648"/>
        <w:spacing w:after="0" w:line="415" w:lineRule="auto"/>
        <w:rPr>
          <w:sz w:val="20"/>
          <w:szCs w:val="20"/>
          <w:color w:val="auto"/>
        </w:rPr>
      </w:pPr>
      <w:r>
        <w:rPr>
          <w:rFonts w:ascii="Arial" w:cs="Arial" w:eastAsia="Arial" w:hAnsi="Arial"/>
          <w:sz w:val="19"/>
          <w:szCs w:val="19"/>
          <w:color w:val="auto"/>
        </w:rPr>
        <w:t>The Corporation may, at any time, amend the Plan in whole or in part, provided that no amendment may decrease the value of any Plan Accounts as of the date of such amendment. In the event of any change in law or regulation relating to the Plan and the tax treatment of Plan 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VI.</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7.2 - Plan Suspension and Termination</w:t>
      </w:r>
    </w:p>
    <w:p>
      <w:pPr>
        <w:spacing w:after="0" w:line="280" w:lineRule="exact"/>
        <w:rPr>
          <w:sz w:val="20"/>
          <w:szCs w:val="20"/>
          <w:color w:val="auto"/>
        </w:rPr>
      </w:pPr>
    </w:p>
    <w:p>
      <w:pPr>
        <w:ind w:right="100" w:firstLine="656"/>
        <w:spacing w:after="0" w:line="431" w:lineRule="auto"/>
        <w:tabs>
          <w:tab w:leader="none" w:pos="942"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Corporation’s Pension Administration Committee, may, at any time, suspend or terminate the Plan with respect to new or existing Election Forms if, in its sole judgment, the continuance of the Plan, the tax, accounting, or other effects thereof, or potential payments thereunder would not be in the best interest of the Corporation or for any other reason.</w:t>
      </w:r>
    </w:p>
    <w:p>
      <w:pPr>
        <w:spacing w:after="0" w:line="78" w:lineRule="exact"/>
        <w:rPr>
          <w:rFonts w:ascii="Arial" w:cs="Arial" w:eastAsia="Arial" w:hAnsi="Arial"/>
          <w:sz w:val="19"/>
          <w:szCs w:val="19"/>
          <w:color w:val="auto"/>
        </w:rPr>
      </w:pPr>
    </w:p>
    <w:p>
      <w:pPr>
        <w:ind w:firstLine="656"/>
        <w:spacing w:after="0" w:line="356" w:lineRule="auto"/>
        <w:tabs>
          <w:tab w:leader="none" w:pos="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event of the suspension of the Plan, no additional deferrals shall be made under the Plan, but all previous deferrals shall accumulate and be distributed in accordance with the otherwise applicable provisions of the Plan and the applicable elections on file.</w:t>
      </w:r>
    </w:p>
    <w:p>
      <w:pPr>
        <w:spacing w:after="0" w:line="130" w:lineRule="exact"/>
        <w:rPr>
          <w:rFonts w:ascii="Arial" w:cs="Arial" w:eastAsia="Arial" w:hAnsi="Arial"/>
          <w:sz w:val="22"/>
          <w:szCs w:val="22"/>
          <w:color w:val="auto"/>
        </w:rPr>
      </w:pPr>
    </w:p>
    <w:p>
      <w:pPr>
        <w:ind w:right="20" w:firstLine="656"/>
        <w:spacing w:after="0" w:line="367" w:lineRule="auto"/>
        <w:tabs>
          <w:tab w:leader="none" w:pos="942" w:val="left"/>
        </w:tabs>
        <w:numPr>
          <w:ilvl w:val="0"/>
          <w:numId w:val="29"/>
        </w:numPr>
        <w:rPr>
          <w:rFonts w:ascii="Arial" w:cs="Arial" w:eastAsia="Arial" w:hAnsi="Arial"/>
          <w:sz w:val="21"/>
          <w:szCs w:val="21"/>
          <w:color w:val="auto"/>
        </w:rPr>
      </w:pPr>
      <w:r>
        <w:rPr>
          <w:rFonts w:ascii="Arial" w:cs="Arial" w:eastAsia="Arial" w:hAnsi="Arial"/>
          <w:sz w:val="21"/>
          <w:szCs w:val="21"/>
          <w:color w:val="auto"/>
        </w:rPr>
        <w:t>Upon the termination of the Plan with respect to all Participants, and the termination of all arrangements sponsored by the Corporation or its affiliates that would be aggregated with the Plan under Section 409A of the Code, the Corporation shall have the right, in its sole discretion, and notwithstanding any elections made by the Participant, to pay the Participant’s Plan Account in a lump sum, to the extent permitted under Section 409A. All payments that may be made pursuant to this Section 7.2 shall be made no earlier than the thirteenth month and no later than the twenty-fourth month after the termination of the Plan. The Corporation may not accelerate payments pursuant to this Section 7.2 if the termination of the Plan is proximate to a downturn in the Corporation’s financial health within the meaning of Treas. Reg. section 1.409A-3(j)(4)(ix)(C)(1). If the Corporation exercises its discretion to accelerate payments under</w:t>
      </w:r>
    </w:p>
    <w:p>
      <w:pPr>
        <w:sectPr>
          <w:pgSz w:w="11900" w:h="16838" w:orient="portrait"/>
          <w:cols w:equalWidth="0" w:num="1">
            <w:col w:w="11380"/>
          </w:cols>
          <w:pgMar w:left="240" w:top="726" w:right="279" w:bottom="1440" w:gutter="0" w:footer="0" w:header="0"/>
        </w:sectPr>
      </w:pPr>
    </w:p>
    <w:bookmarkStart w:id="69" w:name="page70"/>
    <w:bookmarkEnd w:id="69"/>
    <w:p>
      <w:pPr>
        <w:ind w:right="100"/>
        <w:spacing w:after="0" w:line="366" w:lineRule="auto"/>
        <w:rPr>
          <w:sz w:val="20"/>
          <w:szCs w:val="20"/>
          <w:color w:val="auto"/>
        </w:rPr>
      </w:pPr>
      <w:r>
        <w:rPr>
          <w:rFonts w:ascii="Arial" w:cs="Arial" w:eastAsia="Arial" w:hAnsi="Arial"/>
          <w:sz w:val="22"/>
          <w:szCs w:val="22"/>
          <w:color w:val="auto"/>
        </w:rPr>
        <w:t>this Section 7.2, it shall not adopt any new arrangement that would have been aggregated with the Plan under Section 409A within three years following the date of the Plan’s termination.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7.3 - No Consent Required</w:t>
      </w:r>
    </w:p>
    <w:p>
      <w:pPr>
        <w:spacing w:after="0" w:line="280" w:lineRule="exact"/>
        <w:rPr>
          <w:sz w:val="20"/>
          <w:szCs w:val="20"/>
          <w:color w:val="auto"/>
        </w:rPr>
      </w:pPr>
    </w:p>
    <w:p>
      <w:pPr>
        <w:ind w:right="960" w:firstLine="648"/>
        <w:spacing w:after="0" w:line="366" w:lineRule="auto"/>
        <w:rPr>
          <w:sz w:val="20"/>
          <w:szCs w:val="20"/>
          <w:color w:val="auto"/>
        </w:rPr>
      </w:pPr>
      <w:r>
        <w:rPr>
          <w:rFonts w:ascii="Arial" w:cs="Arial" w:eastAsia="Arial" w:hAnsi="Arial"/>
          <w:sz w:val="22"/>
          <w:szCs w:val="22"/>
          <w:color w:val="auto"/>
        </w:rPr>
        <w:t>The consent of any Participant, Beneficiary, or other person shall not be required with respect to any amendment, suspension, or termination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VIII - GENERAL PROVISIONS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8.1 - Unsecured General Creditor</w:t>
      </w:r>
    </w:p>
    <w:p>
      <w:pPr>
        <w:spacing w:after="0" w:line="280" w:lineRule="exact"/>
        <w:rPr>
          <w:sz w:val="20"/>
          <w:szCs w:val="20"/>
          <w:color w:val="auto"/>
        </w:rPr>
      </w:pPr>
    </w:p>
    <w:p>
      <w:pPr>
        <w:ind w:right="100" w:firstLine="648"/>
        <w:spacing w:after="0" w:line="352" w:lineRule="auto"/>
        <w:rPr>
          <w:sz w:val="20"/>
          <w:szCs w:val="20"/>
          <w:color w:val="auto"/>
        </w:rPr>
      </w:pPr>
      <w:r>
        <w:rPr>
          <w:rFonts w:ascii="Arial" w:cs="Arial" w:eastAsia="Arial" w:hAnsi="Arial"/>
          <w:sz w:val="22"/>
          <w:szCs w:val="22"/>
          <w:color w:val="auto"/>
        </w:rPr>
        <w:t>The Corporation’s obligations under the Plan constitute an unfunded and unsecured promise to pay money in the future. Participants’ and Beneficiaries’ rights under the Plan are solely those of a general unsecured creditor of the Corporation. No assets will be placed in trust, set aside or otherwise segregated to fund or offset liabilities in respect of the Plan or Participants’ Plan Accounts.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8.2 - Nonassignability</w:t>
      </w:r>
    </w:p>
    <w:p>
      <w:pPr>
        <w:spacing w:after="0" w:line="280" w:lineRule="exact"/>
        <w:rPr>
          <w:sz w:val="20"/>
          <w:szCs w:val="20"/>
          <w:color w:val="auto"/>
        </w:rPr>
      </w:pPr>
    </w:p>
    <w:p>
      <w:pPr>
        <w:ind w:firstLine="648"/>
        <w:spacing w:after="0" w:line="351" w:lineRule="auto"/>
        <w:rPr>
          <w:sz w:val="20"/>
          <w:szCs w:val="20"/>
          <w:color w:val="auto"/>
        </w:rPr>
      </w:pPr>
      <w:r>
        <w:rPr>
          <w:rFonts w:ascii="Arial" w:cs="Arial" w:eastAsia="Arial" w:hAnsi="Arial"/>
          <w:sz w:val="22"/>
          <w:szCs w:val="22"/>
          <w:color w:val="auto"/>
        </w:rPr>
        <w:t>No Participant or Beneficiary or any other person shall have the right to sell, assign, transfer, pledge, or otherwise encumber any interest in the Plan. All Plan Accounts and the rights to all payments are unassignable and non-transferable. Plan Accounts or payment hereunder, prior to actual payment, will not be subject to attachment or seizure for the payment of any debts, judgments or other obligations. Plan Accounts or other Plan benefit will not be transferred by operation of law in the event of a Participant’s or any Beneficiary’s bankruptcy or insolvency.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8.3 - No Contract of Employment</w:t>
      </w:r>
    </w:p>
    <w:p>
      <w:pPr>
        <w:spacing w:after="0" w:line="280" w:lineRule="exact"/>
        <w:rPr>
          <w:sz w:val="20"/>
          <w:szCs w:val="20"/>
          <w:color w:val="auto"/>
        </w:rPr>
      </w:pPr>
    </w:p>
    <w:p>
      <w:pPr>
        <w:ind w:right="180" w:firstLine="648"/>
        <w:spacing w:after="0" w:line="370" w:lineRule="auto"/>
        <w:rPr>
          <w:sz w:val="20"/>
          <w:szCs w:val="20"/>
          <w:color w:val="auto"/>
        </w:rPr>
      </w:pPr>
      <w:r>
        <w:rPr>
          <w:rFonts w:ascii="Arial" w:cs="Arial" w:eastAsia="Arial" w:hAnsi="Arial"/>
          <w:sz w:val="21"/>
          <w:szCs w:val="21"/>
          <w:color w:val="auto"/>
        </w:rPr>
        <w:t>Participation in the Plan shall not be construed to constitute a direct or indirect contract of employment between any UTC Company and the Participant. Participants and Beneficiaries will have no rights against any UTC Company resulting from participation in the Plan other than as specifically provided herein. Nothing in the Plan shall be deemed to give a Participant the right to be retained in the service of any UTC Company for any length of time or to interfere with the right of any UTC Company to terminate a Participant’s employment prior to the end of any Deferral Period.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8.4 - Governing Law</w:t>
      </w:r>
    </w:p>
    <w:p>
      <w:pPr>
        <w:spacing w:after="0" w:line="280" w:lineRule="exact"/>
        <w:rPr>
          <w:sz w:val="20"/>
          <w:szCs w:val="20"/>
          <w:color w:val="auto"/>
        </w:rPr>
      </w:pPr>
    </w:p>
    <w:p>
      <w:pPr>
        <w:ind w:right="120" w:firstLine="648"/>
        <w:spacing w:after="0" w:line="366" w:lineRule="auto"/>
        <w:rPr>
          <w:sz w:val="20"/>
          <w:szCs w:val="20"/>
          <w:color w:val="auto"/>
        </w:rPr>
      </w:pPr>
      <w:r>
        <w:rPr>
          <w:rFonts w:ascii="Arial" w:cs="Arial" w:eastAsia="Arial" w:hAnsi="Arial"/>
          <w:sz w:val="22"/>
          <w:szCs w:val="22"/>
          <w:color w:val="auto"/>
        </w:rPr>
        <w:t>The provisions of the Plan will be construed and interpreted according to the laws of the State of Connecticut, to the extent not preempted by federal law.</w:t>
      </w:r>
    </w:p>
    <w:p>
      <w:pPr>
        <w:sectPr>
          <w:pgSz w:w="11900" w:h="16838" w:orient="portrait"/>
          <w:cols w:equalWidth="0" w:num="1">
            <w:col w:w="11400"/>
          </w:cols>
          <w:pgMar w:left="240" w:top="726" w:right="259" w:bottom="1440" w:gutter="0" w:footer="0" w:header="0"/>
        </w:sectPr>
      </w:pPr>
    </w:p>
    <w:bookmarkStart w:id="70" w:name="page71"/>
    <w:bookmarkEnd w:id="70"/>
    <w:p>
      <w:pPr>
        <w:ind w:left="660"/>
        <w:spacing w:after="0"/>
        <w:rPr>
          <w:sz w:val="20"/>
          <w:szCs w:val="20"/>
          <w:color w:val="auto"/>
        </w:rPr>
      </w:pPr>
      <w:r>
        <w:rPr>
          <w:rFonts w:ascii="Arial" w:cs="Arial" w:eastAsia="Arial" w:hAnsi="Arial"/>
          <w:sz w:val="22"/>
          <w:szCs w:val="22"/>
          <w:b w:val="1"/>
          <w:bCs w:val="1"/>
          <w:color w:val="auto"/>
        </w:rPr>
        <w:t>Section 8.5 - Validity</w:t>
      </w:r>
    </w:p>
    <w:p>
      <w:pPr>
        <w:spacing w:after="0" w:line="280" w:lineRule="exact"/>
        <w:rPr>
          <w:sz w:val="20"/>
          <w:szCs w:val="20"/>
          <w:color w:val="auto"/>
        </w:rPr>
      </w:pPr>
    </w:p>
    <w:p>
      <w:pPr>
        <w:ind w:right="620" w:firstLine="648"/>
        <w:spacing w:after="0" w:line="366" w:lineRule="auto"/>
        <w:rPr>
          <w:sz w:val="20"/>
          <w:szCs w:val="20"/>
          <w:color w:val="auto"/>
        </w:rPr>
      </w:pPr>
      <w:r>
        <w:rPr>
          <w:rFonts w:ascii="Arial" w:cs="Arial" w:eastAsia="Arial" w:hAnsi="Arial"/>
          <w:sz w:val="22"/>
          <w:szCs w:val="22"/>
          <w:color w:val="auto"/>
        </w:rPr>
        <w:t>If any provision of the Plan is held to be illegal or invalid for any reason, the remaining provisions of the Plan will be construed and enforced as if such illegal and invalid provision had never been inserted herein.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8.6 - Notice</w:t>
      </w:r>
    </w:p>
    <w:p>
      <w:pPr>
        <w:spacing w:after="0" w:line="280" w:lineRule="exact"/>
        <w:rPr>
          <w:sz w:val="20"/>
          <w:szCs w:val="20"/>
          <w:color w:val="auto"/>
        </w:rPr>
      </w:pPr>
    </w:p>
    <w:p>
      <w:pPr>
        <w:ind w:right="120" w:firstLine="648"/>
        <w:spacing w:after="0" w:line="349" w:lineRule="auto"/>
        <w:rPr>
          <w:sz w:val="20"/>
          <w:szCs w:val="20"/>
          <w:color w:val="auto"/>
        </w:rPr>
      </w:pPr>
      <w:r>
        <w:rPr>
          <w:rFonts w:ascii="Arial" w:cs="Arial" w:eastAsia="Arial" w:hAnsi="Arial"/>
          <w:sz w:val="22"/>
          <w:szCs w:val="22"/>
          <w:color w:val="auto"/>
        </w:rPr>
        <w:t>Any notice or filing required or permitted to be given to the Committee under the Plan shall be sufficient if sent by first-class mail, to the United Technologies Corporation Deferred Compensation Committee, 4 Farm Springs Road, Farmington, CT 06032, Attn: Deferred Compensation Committee, MS 4FS-2.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8.7 - Successors</w:t>
      </w:r>
    </w:p>
    <w:p>
      <w:pPr>
        <w:spacing w:after="0" w:line="280" w:lineRule="exact"/>
        <w:rPr>
          <w:sz w:val="20"/>
          <w:szCs w:val="20"/>
          <w:color w:val="auto"/>
        </w:rPr>
      </w:pPr>
    </w:p>
    <w:p>
      <w:pPr>
        <w:ind w:right="240" w:firstLine="648"/>
        <w:spacing w:after="0" w:line="352"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8.8 - Incompetence</w:t>
      </w:r>
    </w:p>
    <w:p>
      <w:pPr>
        <w:spacing w:after="0" w:line="280" w:lineRule="exact"/>
        <w:rPr>
          <w:sz w:val="20"/>
          <w:szCs w:val="20"/>
          <w:color w:val="auto"/>
        </w:rPr>
      </w:pPr>
    </w:p>
    <w:p>
      <w:pPr>
        <w:ind w:firstLine="648"/>
        <w:spacing w:after="0" w:line="412"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 Beneficiary. Any such payment from a Participant’s Plan Account shall be a complete discharge of any liability under the Plan with respect to the amount so paid.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8.9 - Section 409A Compliance.</w:t>
      </w:r>
    </w:p>
    <w:p>
      <w:pPr>
        <w:spacing w:after="0" w:line="199" w:lineRule="exact"/>
        <w:rPr>
          <w:sz w:val="20"/>
          <w:szCs w:val="20"/>
          <w:color w:val="auto"/>
        </w:rPr>
      </w:pPr>
    </w:p>
    <w:p>
      <w:pPr>
        <w:ind w:right="180" w:firstLine="648"/>
        <w:spacing w:after="0" w:line="352" w:lineRule="auto"/>
        <w:rPr>
          <w:sz w:val="20"/>
          <w:szCs w:val="20"/>
          <w:color w:val="auto"/>
        </w:rPr>
      </w:pPr>
      <w:r>
        <w:rPr>
          <w:rFonts w:ascii="Arial" w:cs="Arial" w:eastAsia="Arial" w:hAnsi="Arial"/>
          <w:sz w:val="22"/>
          <w:szCs w:val="22"/>
          <w:color w:val="auto"/>
        </w:rPr>
        <w:t>To the extent that rights or payments under this Plan are subject to Section 409A of the Internal Revenue Code,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w:t>
      </w:r>
    </w:p>
    <w:p>
      <w:pPr>
        <w:sectPr>
          <w:pgSz w:w="11900" w:h="16838" w:orient="portrait"/>
          <w:cols w:equalWidth="0" w:num="1">
            <w:col w:w="11420"/>
          </w:cols>
          <w:pgMar w:left="240" w:top="720" w:right="239" w:bottom="1440" w:gutter="0" w:footer="0" w:header="0"/>
        </w:sectPr>
      </w:pPr>
    </w:p>
    <w:bookmarkStart w:id="71" w:name="page72"/>
    <w:bookmarkEnd w:id="71"/>
    <w:p>
      <w:pPr>
        <w:ind w:right="80"/>
        <w:spacing w:after="0" w:line="349" w:lineRule="auto"/>
        <w:rPr>
          <w:sz w:val="20"/>
          <w:szCs w:val="20"/>
          <w:color w:val="auto"/>
        </w:rPr>
      </w:pPr>
      <w:r>
        <w:rPr>
          <w:rFonts w:ascii="Arial" w:cs="Arial" w:eastAsia="Arial" w:hAnsi="Arial"/>
          <w:sz w:val="22"/>
          <w:szCs w:val="22"/>
          <w:color w:val="auto"/>
        </w:rPr>
        <w:t>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In no event shall any UTC Company; any director, officer, or employee of a UTC Company (other than the Participant); or any member of the Committee be liable for any additional tax, interest, or penalty incurred by a Participant or Beneficiary as a result of the Plan’s failure to satisfy the requirements of Section 409A of the Code, or as a result of the Plan’s failure to satisfy any other requirements of applicable tax laws.</w:t>
      </w:r>
    </w:p>
    <w:p>
      <w:pPr>
        <w:spacing w:after="0" w:line="5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8.10</w:t>
      </w:r>
      <w:r>
        <w:rPr>
          <w:sz w:val="20"/>
          <w:szCs w:val="20"/>
          <w:color w:val="auto"/>
        </w:rPr>
        <w:tab/>
      </w:r>
      <w:r>
        <w:rPr>
          <w:rFonts w:ascii="Arial" w:cs="Arial" w:eastAsia="Arial" w:hAnsi="Arial"/>
          <w:sz w:val="19"/>
          <w:szCs w:val="19"/>
          <w:b w:val="1"/>
          <w:bCs w:val="1"/>
          <w:color w:val="auto"/>
        </w:rPr>
        <w:t>Withholding Taxes</w:t>
      </w:r>
    </w:p>
    <w:p>
      <w:pPr>
        <w:spacing w:after="0" w:line="280" w:lineRule="exact"/>
        <w:rPr>
          <w:sz w:val="20"/>
          <w:szCs w:val="20"/>
          <w:color w:val="auto"/>
        </w:rPr>
      </w:pPr>
    </w:p>
    <w:p>
      <w:pPr>
        <w:ind w:firstLine="648"/>
        <w:spacing w:after="0" w:line="395" w:lineRule="auto"/>
        <w:rPr>
          <w:sz w:val="20"/>
          <w:szCs w:val="20"/>
          <w:color w:val="auto"/>
        </w:rPr>
      </w:pPr>
      <w:r>
        <w:rPr>
          <w:rFonts w:ascii="Arial" w:cs="Arial" w:eastAsia="Arial" w:hAnsi="Arial"/>
          <w:sz w:val="21"/>
          <w:szCs w:val="21"/>
          <w:color w:val="auto"/>
        </w:rPr>
        <w:t>The Committee may make any appropriate arrangements to deduct from all deferrals and payments under the Plan any taxes that the Committee reasonably determines to be required by law to be withheld from such credits and payments.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IX - ADMINISTRATION AND CLAIMS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9.1 - Plan Administration</w:t>
      </w:r>
    </w:p>
    <w:p>
      <w:pPr>
        <w:spacing w:after="0" w:line="280" w:lineRule="exact"/>
        <w:rPr>
          <w:sz w:val="20"/>
          <w:szCs w:val="20"/>
          <w:color w:val="auto"/>
        </w:rPr>
      </w:pPr>
    </w:p>
    <w:p>
      <w:pPr>
        <w:jc w:val="both"/>
        <w:ind w:right="180" w:firstLine="648"/>
        <w:spacing w:after="0" w:line="356" w:lineRule="auto"/>
        <w:rPr>
          <w:sz w:val="20"/>
          <w:szCs w:val="20"/>
          <w:color w:val="auto"/>
        </w:rPr>
      </w:pPr>
      <w:r>
        <w:rPr>
          <w:rFonts w:ascii="Arial" w:cs="Arial" w:eastAsia="Arial" w:hAnsi="Arial"/>
          <w:sz w:val="22"/>
          <w:szCs w:val="22"/>
          <w:color w:val="auto"/>
        </w:rPr>
        <w:t>The Committee shall be solely responsible for the administration and operation of the Plan. The Committee shall have full and exclusive authority and discretion to interpret the provisions of the Plan and to establish such administrative procedures as it deems necessary and appropriate to carry out the purposes of the Plan.</w:t>
      </w:r>
    </w:p>
    <w:p>
      <w:pPr>
        <w:spacing w:after="0" w:line="130" w:lineRule="exact"/>
        <w:rPr>
          <w:sz w:val="20"/>
          <w:szCs w:val="20"/>
          <w:color w:val="auto"/>
        </w:rPr>
      </w:pPr>
    </w:p>
    <w:p>
      <w:pPr>
        <w:ind w:right="140" w:firstLine="648"/>
        <w:spacing w:after="0" w:line="431" w:lineRule="auto"/>
        <w:rPr>
          <w:sz w:val="20"/>
          <w:szCs w:val="20"/>
          <w:color w:val="auto"/>
        </w:rPr>
      </w:pPr>
      <w:r>
        <w:rPr>
          <w:rFonts w:ascii="Arial" w:cs="Arial" w:eastAsia="Arial" w:hAnsi="Arial"/>
          <w:sz w:val="19"/>
          <w:szCs w:val="19"/>
          <w:color w:val="auto"/>
        </w:rPr>
        <w:t>Any person claiming a benefit, requesting an interpretation or ruling under the Plan, or requesting information under the Plan shall present the request in writing to the Committee at United Technologies Corporation, 4 Farm Springs Road, Farmington, CT 06032, Attn: Deferred Compensation Committee, MS 4FS-2. The Committee shall respond in writing as soon as practicable.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9.2 - Claim Procedures</w:t>
      </w:r>
    </w:p>
    <w:p>
      <w:pPr>
        <w:spacing w:after="0" w:line="280" w:lineRule="exact"/>
        <w:rPr>
          <w:sz w:val="20"/>
          <w:szCs w:val="20"/>
          <w:color w:val="auto"/>
        </w:rPr>
      </w:pPr>
    </w:p>
    <w:p>
      <w:pPr>
        <w:ind w:right="260" w:firstLine="648"/>
        <w:spacing w:after="0" w:line="356" w:lineRule="auto"/>
        <w:rPr>
          <w:sz w:val="20"/>
          <w:szCs w:val="20"/>
          <w:color w:val="auto"/>
        </w:rPr>
      </w:pPr>
      <w:r>
        <w:rPr>
          <w:rFonts w:ascii="Arial" w:cs="Arial" w:eastAsia="Arial" w:hAnsi="Arial"/>
          <w:sz w:val="22"/>
          <w:szCs w:val="22"/>
          <w:color w:val="auto"/>
        </w:rPr>
        <w:t>A Participant or Beneficiary who believes that he or she has been denied a benefit to which he or she is entitled under the Plan (referred to in this Section 9.2 as a “Claimant”) may file a written request with the Committee setting forth the claim. The Committee shall consider and resolve the claim as set forth below.</w:t>
      </w:r>
    </w:p>
    <w:p>
      <w:pPr>
        <w:spacing w:after="0" w:line="130" w:lineRule="exact"/>
        <w:rPr>
          <w:sz w:val="20"/>
          <w:szCs w:val="20"/>
          <w:color w:val="auto"/>
        </w:rPr>
      </w:pPr>
    </w:p>
    <w:p>
      <w:pPr>
        <w:jc w:val="both"/>
        <w:ind w:right="80" w:firstLine="656"/>
        <w:spacing w:after="0" w:line="352" w:lineRule="auto"/>
        <w:tabs>
          <w:tab w:leader="none" w:pos="1104" w:val="left"/>
        </w:tabs>
        <w:numPr>
          <w:ilvl w:val="0"/>
          <w:numId w:val="30"/>
        </w:numPr>
        <w:rPr>
          <w:rFonts w:ascii="Arial" w:cs="Arial" w:eastAsia="Arial" w:hAnsi="Arial"/>
          <w:sz w:val="22"/>
          <w:szCs w:val="22"/>
          <w:color w:val="auto"/>
        </w:rPr>
      </w:pPr>
      <w:r>
        <w:rPr>
          <w:rFonts w:ascii="Arial" w:cs="Arial" w:eastAsia="Arial" w:hAnsi="Arial"/>
          <w:sz w:val="22"/>
          <w:szCs w:val="22"/>
          <w:color w:val="auto"/>
        </w:rPr>
        <w:t>Upon receipt of a claim, the Committee shall advise the Claimant that a response will be forthcoming within 90 days. The Committee may, however, extend the response period for up to an additional 90 days for reasonable cause, and shall notify the Claimant of the reason for the extension and the expected response date. The Committee shall respond to the claim within the specified period.</w:t>
      </w:r>
    </w:p>
    <w:p>
      <w:pPr>
        <w:sectPr>
          <w:pgSz w:w="11900" w:h="16838" w:orient="portrait"/>
          <w:cols w:equalWidth="0" w:num="1">
            <w:col w:w="11400"/>
          </w:cols>
          <w:pgMar w:left="240" w:top="645" w:right="259" w:bottom="1440" w:gutter="0" w:footer="0" w:header="0"/>
        </w:sectPr>
      </w:pPr>
    </w:p>
    <w:bookmarkStart w:id="72" w:name="page73"/>
    <w:bookmarkEnd w:id="72"/>
    <w:p>
      <w:pPr>
        <w:ind w:right="60" w:firstLine="656"/>
        <w:spacing w:after="0" w:line="400" w:lineRule="auto"/>
        <w:tabs>
          <w:tab w:leader="none" w:pos="1116"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claim is denied in whole or part, the Committee shall provide the Claimant with a written decision, using language calculated to be understood by the Claimant, setting forth (1) the specific reason or reasons for such denial; (2) the specific reference to relevant provisions of this Plan on which such denial is based; (3) a description of any additional material or information necessary for the Claimant to perfect his or her claim and an explanation why such material or such information is necessary; (4) appropriate information as to the steps to be taken if the Claimant wishes to submit the claim for review; (5) the time limits for requesting a review of the claim; and (6) the Claimant’s right to bring an action for benefits under Section 502(a)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273" w:lineRule="exact"/>
        <w:rPr>
          <w:rFonts w:ascii="Arial" w:cs="Arial" w:eastAsia="Arial" w:hAnsi="Arial"/>
          <w:sz w:val="19"/>
          <w:szCs w:val="19"/>
          <w:color w:val="auto"/>
        </w:rPr>
      </w:pPr>
    </w:p>
    <w:p>
      <w:pPr>
        <w:ind w:firstLine="656"/>
        <w:spacing w:after="0" w:line="351" w:lineRule="auto"/>
        <w:tabs>
          <w:tab w:leader="none" w:pos="11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Within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 in writing for consideration by the Committee. If the Claimant does not request a review of the initial determination within such 60-day period, the Claimant shall be barred from challenging the determination.</w:t>
      </w:r>
    </w:p>
    <w:p>
      <w:pPr>
        <w:spacing w:after="0" w:line="135" w:lineRule="exact"/>
        <w:rPr>
          <w:rFonts w:ascii="Arial" w:cs="Arial" w:eastAsia="Arial" w:hAnsi="Arial"/>
          <w:sz w:val="22"/>
          <w:szCs w:val="22"/>
          <w:color w:val="auto"/>
        </w:rPr>
      </w:pPr>
    </w:p>
    <w:p>
      <w:pPr>
        <w:ind w:right="380" w:firstLine="656"/>
        <w:spacing w:after="0" w:line="378" w:lineRule="auto"/>
        <w:tabs>
          <w:tab w:leader="none" w:pos="1112" w:val="left"/>
        </w:tabs>
        <w:numPr>
          <w:ilvl w:val="0"/>
          <w:numId w:val="31"/>
        </w:numPr>
        <w:rPr>
          <w:rFonts w:ascii="Arial" w:cs="Arial" w:eastAsia="Arial" w:hAnsi="Arial"/>
          <w:sz w:val="21"/>
          <w:szCs w:val="21"/>
          <w:color w:val="auto"/>
        </w:rPr>
      </w:pPr>
      <w:r>
        <w:rPr>
          <w:rFonts w:ascii="Arial" w:cs="Arial" w:eastAsia="Arial" w:hAnsi="Arial"/>
          <w:sz w:val="21"/>
          <w:szCs w:val="21"/>
          <w:color w:val="auto"/>
        </w:rPr>
        <w:t>Within 60 days after the Committee receives a request for review, it will review the initial determination. If special circumstances require that the 60-day time period be extended, the Committee will so notify the Claimant and will render the decision as soon as possible, but no later than 120 days after receipt of the request for review.</w:t>
      </w:r>
    </w:p>
    <w:p>
      <w:pPr>
        <w:spacing w:after="0" w:line="114" w:lineRule="exact"/>
        <w:rPr>
          <w:rFonts w:ascii="Arial" w:cs="Arial" w:eastAsia="Arial" w:hAnsi="Arial"/>
          <w:sz w:val="21"/>
          <w:szCs w:val="21"/>
          <w:color w:val="auto"/>
        </w:rPr>
      </w:pPr>
    </w:p>
    <w:p>
      <w:pPr>
        <w:ind w:right="120" w:firstLine="656"/>
        <w:spacing w:after="0" w:line="370" w:lineRule="auto"/>
        <w:tabs>
          <w:tab w:leader="none" w:pos="1092"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decisions on review shall be final and binding with respect to all concerned parties. The decision on review shall set forth, in a manner calculated to be understood by the Claimant, (1) the specific reasons for the decision, including references to the relevant Plan provisions upon which the decision is based; (2) the Claimant’s right to receive, upon request and free of charge, reasonable access to and copies of all documents, records, and other information, relevant to his or her benefits; and (3) the Claimant’s right to bring an action for benefits under Section 502(a) of ERISA.</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REGULATORY MATTERS</w:t>
      </w:r>
    </w:p>
    <w:p>
      <w:pPr>
        <w:spacing w:after="0" w:line="280" w:lineRule="exact"/>
        <w:rPr>
          <w:sz w:val="20"/>
          <w:szCs w:val="20"/>
          <w:color w:val="auto"/>
        </w:rPr>
      </w:pPr>
    </w:p>
    <w:p>
      <w:pPr>
        <w:ind w:right="300"/>
        <w:spacing w:after="0" w:line="415" w:lineRule="auto"/>
        <w:rPr>
          <w:sz w:val="20"/>
          <w:szCs w:val="20"/>
          <w:color w:val="auto"/>
        </w:rPr>
      </w:pPr>
      <w:r>
        <w:rPr>
          <w:rFonts w:ascii="Arial" w:cs="Arial" w:eastAsia="Arial" w:hAnsi="Arial"/>
          <w:sz w:val="19"/>
          <w:szCs w:val="19"/>
          <w:color w:val="auto"/>
        </w:rPr>
        <w:t>The Plan is subject to the Employee Retirement Income Security Act of 1974, as amended (“ERISA”). Because the Plan is an unfunded plan maintained by an employer primarily for the purpose of providing deferred compensation for a select group of management or highly compensated employees, the 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w:t>
      </w:r>
    </w:p>
    <w:p>
      <w:pPr>
        <w:sectPr>
          <w:pgSz w:w="11900" w:h="16838" w:orient="portrait"/>
          <w:cols w:equalWidth="0" w:num="1">
            <w:col w:w="11420"/>
          </w:cols>
          <w:pgMar w:left="240" w:top="726"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auto"/>
        </w:rPr>
        <w:t>TO WHOM SHOULD QUESTIONS CONCERNING THE PLAN BE DIRECTED?</w:t>
      </w:r>
    </w:p>
    <w:p>
      <w:pPr>
        <w:spacing w:after="0" w:line="280"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All questions concerning the operation of the Plan (including information concerning the administrators of the Plan) should be directed to:</w:t>
      </w:r>
    </w:p>
    <w:p>
      <w:pPr>
        <w:spacing w:after="0" w:line="3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United Technologies Corporation</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 Farm Springs Road, MS 4FS-2</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Farmington, CT 06032</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Deferred Compensation Committee</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860-728-7000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u w:val="single" w:color="auto"/>
          <w:color w:val="auto"/>
        </w:rPr>
        <w:t>/s/ Jeffrey W. Kridler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Dated: </w:t>
      </w:r>
      <w:r>
        <w:rPr>
          <w:rFonts w:ascii="Arial" w:cs="Arial" w:eastAsia="Arial" w:hAnsi="Arial"/>
          <w:sz w:val="22"/>
          <w:szCs w:val="22"/>
          <w:color w:val="auto"/>
        </w:rPr>
        <w:t>______</w:t>
      </w:r>
      <w:r>
        <w:rPr>
          <w:rFonts w:ascii="Arial" w:cs="Arial" w:eastAsia="Arial" w:hAnsi="Arial"/>
          <w:sz w:val="22"/>
          <w:szCs w:val="22"/>
          <w:u w:val="single" w:color="auto"/>
          <w:color w:val="auto"/>
        </w:rPr>
        <w:t>July 16, 2018_</w:t>
      </w:r>
      <w:r>
        <w:rPr>
          <w:rFonts w:ascii="Arial" w:cs="Arial" w:eastAsia="Arial" w:hAnsi="Arial"/>
          <w:sz w:val="22"/>
          <w:szCs w:val="22"/>
          <w:color w:val="auto"/>
        </w:rPr>
        <w:t>___________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Attest: </w:t>
      </w:r>
      <w:r>
        <w:rPr>
          <w:rFonts w:ascii="Arial" w:cs="Arial" w:eastAsia="Arial" w:hAnsi="Arial"/>
          <w:sz w:val="22"/>
          <w:szCs w:val="22"/>
          <w:u w:val="single" w:color="auto"/>
          <w:color w:val="auto"/>
        </w:rPr>
        <w:t>/s/ Richard M. Kaplan ____</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Vice President, Associate General Counsel</w:t>
      </w:r>
    </w:p>
    <w:p>
      <w:pPr>
        <w:sectPr>
          <w:pgSz w:w="11900" w:h="16838" w:orient="portrait"/>
          <w:cols w:equalWidth="0" w:num="1">
            <w:col w:w="11320"/>
          </w:cols>
          <w:pgMar w:left="240" w:top="720" w:right="339" w:bottom="1440" w:gutter="0" w:footer="0" w:header="0"/>
        </w:sectPr>
      </w:pPr>
    </w:p>
    <w:bookmarkStart w:id="74" w:name="page75"/>
    <w:bookmarkEnd w:id="74"/>
    <w:p>
      <w:pPr>
        <w:ind w:left="4500"/>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48"/>
        <w:spacing w:after="0" w:line="415" w:lineRule="auto"/>
        <w:rPr>
          <w:sz w:val="20"/>
          <w:szCs w:val="20"/>
          <w:color w:val="auto"/>
        </w:rPr>
      </w:pPr>
      <w:r>
        <w:rPr>
          <w:rFonts w:ascii="Arial" w:cs="Arial" w:eastAsia="Arial" w:hAnsi="Arial"/>
          <w:sz w:val="19"/>
          <w:szCs w:val="19"/>
          <w:color w:val="auto"/>
        </w:rPr>
        <w:t>This Appendix A sets forth the United Technologies Corporation Deferred Compensation Plan, as in effect on October 4, 2004 (“Prior Plan”), and as modified thereafter from time to time in a manner that does not constitute a "material modification" for purposes of Section 409A. Amounts that were earned and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sectPr>
          <w:pgSz w:w="11900" w:h="16838" w:orient="portrait"/>
          <w:cols w:equalWidth="0" w:num="1">
            <w:col w:w="10720"/>
          </w:cols>
          <w:pgMar w:left="900" w:top="639" w:right="27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39"/>
          <w:szCs w:val="39"/>
          <w:color w:val="auto"/>
        </w:rPr>
        <w:t>United Technologies Corporation</w:t>
      </w:r>
    </w:p>
    <w:p>
      <w:pPr>
        <w:sectPr>
          <w:pgSz w:w="11900" w:h="16838" w:orient="portrait"/>
          <w:cols w:equalWidth="0" w:num="1">
            <w:col w:w="9019"/>
          </w:cols>
          <w:pgMar w:left="1440" w:top="1440" w:right="1440" w:bottom="812"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8"/>
          <w:szCs w:val="38"/>
          <w:color w:val="auto"/>
        </w:rPr>
        <w:t>Deferred Compensation Plan</w:t>
      </w:r>
    </w:p>
    <w:p>
      <w:pPr>
        <w:sectPr>
          <w:pgSz w:w="11900" w:h="16838" w:orient="portrait"/>
          <w:cols w:equalWidth="0" w:num="1">
            <w:col w:w="9019"/>
          </w:cols>
          <w:pgMar w:left="1440" w:top="1440" w:right="1440" w:bottom="81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Effective September 1, 2002</w:t>
      </w:r>
    </w:p>
    <w:p>
      <w:pPr>
        <w:sectPr>
          <w:pgSz w:w="11900" w:h="16838" w:orient="portrait"/>
          <w:cols w:equalWidth="0" w:num="1">
            <w:col w:w="9019"/>
          </w:cols>
          <w:pgMar w:left="1440" w:top="1440" w:right="1440" w:bottom="812" w:gutter="0" w:footer="0" w:header="0"/>
          <w:type w:val="continuous"/>
        </w:sectPr>
      </w:pPr>
    </w:p>
    <w:bookmarkStart w:id="76" w:name="page77"/>
    <w:bookmarkEnd w:id="76"/>
    <w:p>
      <w:pPr>
        <w:jc w:val="center"/>
        <w:ind w:right="-59"/>
        <w:spacing w:after="0"/>
        <w:rPr>
          <w:sz w:val="20"/>
          <w:szCs w:val="20"/>
          <w:color w:val="auto"/>
        </w:rPr>
      </w:pPr>
      <w:r>
        <w:rPr>
          <w:rFonts w:ascii="Arial" w:cs="Arial" w:eastAsia="Arial" w:hAnsi="Arial"/>
          <w:sz w:val="22"/>
          <w:szCs w:val="22"/>
          <w:b w:val="1"/>
          <w:bCs w:val="1"/>
          <w:color w:val="auto"/>
        </w:rPr>
        <w:t>UNITED TECHNOLOGIES CORPORATION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DEFERRED COMPENSATION PLAN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 amended and restated effective September 1, 2002)</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 - PREAMBLE</w:t>
      </w:r>
    </w:p>
    <w:p>
      <w:pPr>
        <w:spacing w:after="0" w:line="200" w:lineRule="exact"/>
        <w:rPr>
          <w:sz w:val="20"/>
          <w:szCs w:val="20"/>
          <w:color w:val="auto"/>
        </w:rPr>
      </w:pPr>
    </w:p>
    <w:p>
      <w:pPr>
        <w:spacing w:after="0" w:line="350" w:lineRule="exact"/>
        <w:rPr>
          <w:sz w:val="20"/>
          <w:szCs w:val="20"/>
          <w:color w:val="auto"/>
        </w:rPr>
      </w:pPr>
    </w:p>
    <w:p>
      <w:pPr>
        <w:ind w:firstLine="486"/>
        <w:spacing w:after="0" w:line="368" w:lineRule="auto"/>
        <w:rPr>
          <w:sz w:val="20"/>
          <w:szCs w:val="20"/>
          <w:color w:val="auto"/>
        </w:rPr>
      </w:pPr>
      <w:r>
        <w:rPr>
          <w:rFonts w:ascii="Arial" w:cs="Arial" w:eastAsia="Arial" w:hAnsi="Arial"/>
          <w:sz w:val="21"/>
          <w:szCs w:val="21"/>
          <w:color w:val="auto"/>
        </w:rPr>
        <w:t>United Technologies Corporation established the United Technologies Deferred Compensation Plan effective April 1, 1985. Pursuant to such Plan, certain eligible executives of the Corporation deferred all or a portion of their compensation earned with respect to 1985 and 1986. No compensation earned after 1986 was deferred under the Plan until the Plan was amended and restated effective December 15, 1993 to offer eligible executives the opportunity to defer all or a portion of Compensation earned or otherwise payable in 1994 and subsequent years. The Plan is hereby amended and restated, effective September 1, 2002, to reflect administrative changes and enhancements.</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 - DEFINITIONS</w:t>
      </w:r>
    </w:p>
    <w:p>
      <w:pPr>
        <w:spacing w:after="0" w:line="200" w:lineRule="exact"/>
        <w:rPr>
          <w:sz w:val="20"/>
          <w:szCs w:val="20"/>
          <w:color w:val="auto"/>
        </w:rPr>
      </w:pPr>
    </w:p>
    <w:p>
      <w:pPr>
        <w:spacing w:after="0" w:line="350" w:lineRule="exact"/>
        <w:rPr>
          <w:sz w:val="20"/>
          <w:szCs w:val="20"/>
          <w:color w:val="auto"/>
        </w:rPr>
      </w:pPr>
    </w:p>
    <w:p>
      <w:pPr>
        <w:ind w:right="60" w:firstLine="486"/>
        <w:spacing w:after="0" w:line="352" w:lineRule="auto"/>
        <w:rPr>
          <w:sz w:val="20"/>
          <w:szCs w:val="20"/>
          <w:color w:val="auto"/>
        </w:rPr>
      </w:pPr>
      <w:r>
        <w:rPr>
          <w:rFonts w:ascii="Arial" w:cs="Arial" w:eastAsia="Arial" w:hAnsi="Arial"/>
          <w:sz w:val="22"/>
          <w:szCs w:val="22"/>
          <w:i w:val="1"/>
          <w:iCs w:val="1"/>
          <w:color w:val="auto"/>
        </w:rPr>
        <w:t xml:space="preserve">Beneficiary </w:t>
      </w:r>
      <w:r>
        <w:rPr>
          <w:rFonts w:ascii="Arial" w:cs="Arial" w:eastAsia="Arial" w:hAnsi="Arial"/>
          <w:sz w:val="22"/>
          <w:szCs w:val="22"/>
          <w:color w:val="auto"/>
        </w:rPr>
        <w:t>means the person, persons or entity designated by the Participant to receive the value of his or her Plan Accounts</w:t>
      </w:r>
      <w:r>
        <w:rPr>
          <w:rFonts w:ascii="Arial" w:cs="Arial" w:eastAsia="Arial" w:hAnsi="Arial"/>
          <w:sz w:val="22"/>
          <w:szCs w:val="22"/>
          <w:i w:val="1"/>
          <w:iCs w:val="1"/>
          <w:color w:val="auto"/>
        </w:rPr>
        <w:t xml:space="preserve"> </w:t>
      </w:r>
      <w:r>
        <w:rPr>
          <w:rFonts w:ascii="Arial" w:cs="Arial" w:eastAsia="Arial" w:hAnsi="Arial"/>
          <w:sz w:val="22"/>
          <w:szCs w:val="22"/>
          <w:color w:val="auto"/>
        </w:rPr>
        <w:t>in the event of the Participant’s death. If the Participant fails to designate a Beneficiary, or the Beneficiary (and any contingent Beneficiary) does not survive the Participant, the value of the Participant’s Plan Accounts will be paid to the estate of the Participant.</w:t>
      </w:r>
    </w:p>
    <w:p>
      <w:pPr>
        <w:spacing w:after="0" w:line="200" w:lineRule="exact"/>
        <w:rPr>
          <w:sz w:val="20"/>
          <w:szCs w:val="20"/>
          <w:color w:val="auto"/>
        </w:rPr>
      </w:pPr>
    </w:p>
    <w:p>
      <w:pPr>
        <w:spacing w:after="0" w:line="207" w:lineRule="exact"/>
        <w:rPr>
          <w:sz w:val="20"/>
          <w:szCs w:val="20"/>
          <w:color w:val="auto"/>
        </w:rPr>
      </w:pPr>
    </w:p>
    <w:p>
      <w:pPr>
        <w:ind w:right="220" w:firstLine="486"/>
        <w:spacing w:after="0" w:line="352" w:lineRule="auto"/>
        <w:rPr>
          <w:sz w:val="20"/>
          <w:szCs w:val="20"/>
          <w:color w:val="auto"/>
        </w:rPr>
      </w:pPr>
      <w:r>
        <w:rPr>
          <w:rFonts w:ascii="Arial" w:cs="Arial" w:eastAsia="Arial" w:hAnsi="Arial"/>
          <w:sz w:val="22"/>
          <w:szCs w:val="22"/>
          <w:i w:val="1"/>
          <w:iCs w:val="1"/>
          <w:color w:val="auto"/>
        </w:rPr>
        <w:t xml:space="preserve">Benefit Reduction </w:t>
      </w:r>
      <w:r>
        <w:rPr>
          <w:rFonts w:ascii="Arial" w:cs="Arial" w:eastAsia="Arial" w:hAnsi="Arial"/>
          <w:sz w:val="22"/>
          <w:szCs w:val="22"/>
          <w:color w:val="auto"/>
        </w:rPr>
        <w:t>means either a reduction in a Participant’s (or the Participant’s Beneficiary’s) benefit under any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defined benefit pension plans or a reduction in the value of employer matching or other contributions under any of the Corporation’s savings or other tax qualified defined contribution retirement plans as a result of the reduction of such Participant’s Compensation pursuant to this Plan.</w:t>
      </w: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9"/>
          <w:szCs w:val="19"/>
          <w:i w:val="1"/>
          <w:iCs w:val="1"/>
          <w:color w:val="auto"/>
        </w:rPr>
        <w:t xml:space="preserve">Class Year </w:t>
      </w:r>
      <w:r>
        <w:rPr>
          <w:rFonts w:ascii="Arial" w:cs="Arial" w:eastAsia="Arial" w:hAnsi="Arial"/>
          <w:sz w:val="19"/>
          <w:szCs w:val="19"/>
          <w:color w:val="auto"/>
        </w:rPr>
        <w:t>means each calendar year for which Compensation has been deferred pursuant to the Plan prior to 2003.</w:t>
      </w:r>
    </w:p>
    <w:p>
      <w:pPr>
        <w:spacing w:after="0" w:line="200" w:lineRule="exact"/>
        <w:rPr>
          <w:sz w:val="20"/>
          <w:szCs w:val="20"/>
          <w:color w:val="auto"/>
        </w:rPr>
      </w:pPr>
    </w:p>
    <w:p>
      <w:pPr>
        <w:spacing w:after="0" w:line="378" w:lineRule="exact"/>
        <w:rPr>
          <w:sz w:val="20"/>
          <w:szCs w:val="20"/>
          <w:color w:val="auto"/>
        </w:rPr>
      </w:pPr>
    </w:p>
    <w:p>
      <w:pPr>
        <w:ind w:right="40" w:firstLine="486"/>
        <w:spacing w:after="0" w:line="366" w:lineRule="auto"/>
        <w:rPr>
          <w:sz w:val="20"/>
          <w:szCs w:val="20"/>
          <w:color w:val="auto"/>
        </w:rPr>
      </w:pPr>
      <w:r>
        <w:rPr>
          <w:rFonts w:ascii="Arial" w:cs="Arial" w:eastAsia="Arial" w:hAnsi="Arial"/>
          <w:sz w:val="22"/>
          <w:szCs w:val="22"/>
          <w:i w:val="1"/>
          <w:iCs w:val="1"/>
          <w:color w:val="auto"/>
        </w:rPr>
        <w:t xml:space="preserve">Class Year Account </w:t>
      </w:r>
      <w:r>
        <w:rPr>
          <w:rFonts w:ascii="Arial" w:cs="Arial" w:eastAsia="Arial" w:hAnsi="Arial"/>
          <w:sz w:val="22"/>
          <w:szCs w:val="22"/>
          <w:color w:val="auto"/>
        </w:rPr>
        <w:t>means the account established for each Participant for each Class Year for which Compensation has been</w:t>
      </w:r>
      <w:r>
        <w:rPr>
          <w:rFonts w:ascii="Arial" w:cs="Arial" w:eastAsia="Arial" w:hAnsi="Arial"/>
          <w:sz w:val="22"/>
          <w:szCs w:val="22"/>
          <w:i w:val="1"/>
          <w:iCs w:val="1"/>
          <w:color w:val="auto"/>
        </w:rPr>
        <w:t xml:space="preserve"> </w:t>
      </w:r>
      <w:r>
        <w:rPr>
          <w:rFonts w:ascii="Arial" w:cs="Arial" w:eastAsia="Arial" w:hAnsi="Arial"/>
          <w:sz w:val="22"/>
          <w:szCs w:val="22"/>
          <w:color w:val="auto"/>
        </w:rPr>
        <w:t>deferred under the Plan prior to January 1, 2003.</w:t>
      </w:r>
    </w:p>
    <w:p>
      <w:pPr>
        <w:sectPr>
          <w:pgSz w:w="11900" w:h="16838" w:orient="portrait"/>
          <w:cols w:equalWidth="0" w:num="1">
            <w:col w:w="11360"/>
          </w:cols>
          <w:pgMar w:left="240" w:top="949" w:right="299" w:bottom="1440" w:gutter="0" w:footer="0" w:header="0"/>
        </w:sectPr>
      </w:pPr>
    </w:p>
    <w:bookmarkStart w:id="77" w:name="page78"/>
    <w:bookmarkEnd w:id="77"/>
    <w:p>
      <w:pPr>
        <w:ind w:right="440" w:firstLine="486"/>
        <w:spacing w:after="0" w:line="462" w:lineRule="auto"/>
        <w:rPr>
          <w:sz w:val="20"/>
          <w:szCs w:val="20"/>
          <w:color w:val="auto"/>
        </w:rPr>
      </w:pPr>
      <w:r>
        <w:rPr>
          <w:rFonts w:ascii="Arial" w:cs="Arial" w:eastAsia="Arial" w:hAnsi="Arial"/>
          <w:sz w:val="19"/>
          <w:szCs w:val="19"/>
          <w:i w:val="1"/>
          <w:iCs w:val="1"/>
          <w:color w:val="auto"/>
        </w:rPr>
        <w:t xml:space="preserve">Committee </w:t>
      </w:r>
      <w:r>
        <w:rPr>
          <w:rFonts w:ascii="Arial" w:cs="Arial" w:eastAsia="Arial" w:hAnsi="Arial"/>
          <w:sz w:val="19"/>
          <w:szCs w:val="19"/>
          <w:color w:val="auto"/>
        </w:rPr>
        <w:t>means the United Technologies Corporation Deferred Compensation Committee, which is responsible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administration of the Plan. The Corporation’s Pension Administration Committee shall appoint the Committee’s members.</w:t>
      </w:r>
    </w:p>
    <w:p>
      <w:pPr>
        <w:spacing w:after="0" w:line="320" w:lineRule="exact"/>
        <w:rPr>
          <w:sz w:val="20"/>
          <w:szCs w:val="20"/>
          <w:color w:val="auto"/>
        </w:rPr>
      </w:pPr>
    </w:p>
    <w:p>
      <w:pPr>
        <w:ind w:right="40" w:firstLine="486"/>
        <w:spacing w:after="0" w:line="352" w:lineRule="auto"/>
        <w:rPr>
          <w:sz w:val="20"/>
          <w:szCs w:val="20"/>
          <w:color w:val="auto"/>
        </w:rPr>
      </w:pPr>
      <w:r>
        <w:rPr>
          <w:rFonts w:ascii="Arial" w:cs="Arial" w:eastAsia="Arial" w:hAnsi="Arial"/>
          <w:sz w:val="22"/>
          <w:szCs w:val="22"/>
          <w:i w:val="1"/>
          <w:iCs w:val="1"/>
          <w:color w:val="auto"/>
        </w:rPr>
        <w:t xml:space="preserve">Compensation </w:t>
      </w:r>
      <w:r>
        <w:rPr>
          <w:rFonts w:ascii="Arial" w:cs="Arial" w:eastAsia="Arial" w:hAnsi="Arial"/>
          <w:sz w:val="22"/>
          <w:szCs w:val="22"/>
          <w:color w:val="auto"/>
        </w:rPr>
        <w:t>means base salary and Incentive Compensation Payments otherwise payable to a Participant and considered to</w:t>
      </w:r>
      <w:r>
        <w:rPr>
          <w:rFonts w:ascii="Arial" w:cs="Arial" w:eastAsia="Arial" w:hAnsi="Arial"/>
          <w:sz w:val="22"/>
          <w:szCs w:val="22"/>
          <w:i w:val="1"/>
          <w:iCs w:val="1"/>
          <w:color w:val="auto"/>
        </w:rPr>
        <w:t xml:space="preserve"> </w:t>
      </w:r>
      <w:r>
        <w:rPr>
          <w:rFonts w:ascii="Arial" w:cs="Arial" w:eastAsia="Arial" w:hAnsi="Arial"/>
          <w:sz w:val="22"/>
          <w:szCs w:val="22"/>
          <w:color w:val="auto"/>
        </w:rPr>
        <w:t>be wages for purposes of federal income tax withholding, but before any deferral of Compensation pursuant to the Plan. Compensation does not include foreign service premiums and allowances, compensation realized from Long Term Incentive Plan awards or other types of awards.</w:t>
      </w: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Corporation </w:t>
      </w:r>
      <w:r>
        <w:rPr>
          <w:rFonts w:ascii="Arial" w:cs="Arial" w:eastAsia="Arial" w:hAnsi="Arial"/>
          <w:sz w:val="22"/>
          <w:szCs w:val="22"/>
          <w:color w:val="auto"/>
        </w:rPr>
        <w:t>means United Technologies Corporation, its divisions, affiliates and subsidiaries.</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Credited Interest Account </w:t>
      </w:r>
      <w:r>
        <w:rPr>
          <w:rFonts w:ascii="Arial" w:cs="Arial" w:eastAsia="Arial" w:hAnsi="Arial"/>
          <w:sz w:val="22"/>
          <w:szCs w:val="22"/>
          <w:color w:val="auto"/>
        </w:rPr>
        <w:t>means the Investment Fund that is valued in the manner set forth in Section 5.2.</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Deferral Period </w:t>
      </w:r>
      <w:r>
        <w:rPr>
          <w:rFonts w:ascii="Arial" w:cs="Arial" w:eastAsia="Arial" w:hAnsi="Arial"/>
          <w:sz w:val="22"/>
          <w:szCs w:val="22"/>
          <w:color w:val="auto"/>
        </w:rPr>
        <w:t>means the period prior to the receipt of Compensation deferred hereunder.</w:t>
      </w:r>
    </w:p>
    <w:p>
      <w:pPr>
        <w:spacing w:after="0" w:line="200" w:lineRule="exact"/>
        <w:rPr>
          <w:sz w:val="20"/>
          <w:szCs w:val="20"/>
          <w:color w:val="auto"/>
        </w:rPr>
      </w:pPr>
    </w:p>
    <w:p>
      <w:pPr>
        <w:spacing w:after="0" w:line="344" w:lineRule="exact"/>
        <w:rPr>
          <w:sz w:val="20"/>
          <w:szCs w:val="20"/>
          <w:color w:val="auto"/>
        </w:rPr>
      </w:pPr>
    </w:p>
    <w:p>
      <w:pPr>
        <w:ind w:right="60" w:firstLine="486"/>
        <w:spacing w:after="0" w:line="412" w:lineRule="auto"/>
        <w:rPr>
          <w:sz w:val="20"/>
          <w:szCs w:val="20"/>
          <w:color w:val="auto"/>
        </w:rPr>
      </w:pPr>
      <w:r>
        <w:rPr>
          <w:rFonts w:ascii="Arial" w:cs="Arial" w:eastAsia="Arial" w:hAnsi="Arial"/>
          <w:sz w:val="19"/>
          <w:szCs w:val="19"/>
          <w:i w:val="1"/>
          <w:iCs w:val="1"/>
          <w:color w:val="auto"/>
        </w:rPr>
        <w:t xml:space="preserve">Election Form </w:t>
      </w:r>
      <w:r>
        <w:rPr>
          <w:rFonts w:ascii="Arial" w:cs="Arial" w:eastAsia="Arial" w:hAnsi="Arial"/>
          <w:sz w:val="19"/>
          <w:szCs w:val="19"/>
          <w:color w:val="auto"/>
        </w:rPr>
        <w:t>means the enrollment form provided by the Committee to Participants electronically or in paper form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purpose of deferring Compensation under the Plan. Each Participant’s Election Form must specify: the amount to be deferred from base salary and/or from any Incentive Compensation Payment with respect to the following calendar year; the respective amounts to be allocated to the Participant’s Retirement Account and/or Special Purpose Account or Accounts; the percentage allocation among the Investment Funds with respect to each such Account; the method of distribution of each such Account; and the Deferral Period for each Special Purpose Account. There will be a separate Election Form for each calendar year.</w:t>
      </w:r>
    </w:p>
    <w:p>
      <w:pPr>
        <w:spacing w:after="0" w:line="370" w:lineRule="exact"/>
        <w:rPr>
          <w:sz w:val="20"/>
          <w:szCs w:val="20"/>
          <w:color w:val="auto"/>
        </w:rPr>
      </w:pPr>
    </w:p>
    <w:p>
      <w:pPr>
        <w:ind w:right="260" w:firstLine="486"/>
        <w:spacing w:after="0" w:line="366" w:lineRule="auto"/>
        <w:rPr>
          <w:sz w:val="20"/>
          <w:szCs w:val="20"/>
          <w:color w:val="auto"/>
        </w:rPr>
      </w:pPr>
      <w:r>
        <w:rPr>
          <w:rFonts w:ascii="Arial" w:cs="Arial" w:eastAsia="Arial" w:hAnsi="Arial"/>
          <w:sz w:val="22"/>
          <w:szCs w:val="22"/>
          <w:i w:val="1"/>
          <w:iCs w:val="1"/>
          <w:color w:val="auto"/>
        </w:rPr>
        <w:t xml:space="preserve">Incentive Compensation Payment </w:t>
      </w:r>
      <w:r>
        <w:rPr>
          <w:rFonts w:ascii="Arial" w:cs="Arial" w:eastAsia="Arial" w:hAnsi="Arial"/>
          <w:sz w:val="22"/>
          <w:szCs w:val="22"/>
          <w:color w:val="auto"/>
        </w:rPr>
        <w:t>means amounts awarded to a Participant pursuant to the Corporation’s Annual Executive</w:t>
      </w:r>
      <w:r>
        <w:rPr>
          <w:rFonts w:ascii="Arial" w:cs="Arial" w:eastAsia="Arial" w:hAnsi="Arial"/>
          <w:sz w:val="22"/>
          <w:szCs w:val="22"/>
          <w:i w:val="1"/>
          <w:iCs w:val="1"/>
          <w:color w:val="auto"/>
        </w:rPr>
        <w:t xml:space="preserve"> </w:t>
      </w:r>
      <w:r>
        <w:rPr>
          <w:rFonts w:ascii="Arial" w:cs="Arial" w:eastAsia="Arial" w:hAnsi="Arial"/>
          <w:sz w:val="22"/>
          <w:szCs w:val="22"/>
          <w:color w:val="auto"/>
        </w:rPr>
        <w:t>Incentive Compensation Plan.</w:t>
      </w:r>
    </w:p>
    <w:p>
      <w:pPr>
        <w:spacing w:after="0" w:line="390" w:lineRule="exact"/>
        <w:rPr>
          <w:sz w:val="20"/>
          <w:szCs w:val="20"/>
          <w:color w:val="auto"/>
        </w:rPr>
      </w:pPr>
    </w:p>
    <w:p>
      <w:pPr>
        <w:ind w:firstLine="486"/>
        <w:spacing w:after="0" w:line="352" w:lineRule="auto"/>
        <w:rPr>
          <w:sz w:val="20"/>
          <w:szCs w:val="20"/>
          <w:color w:val="auto"/>
        </w:rPr>
      </w:pPr>
      <w:r>
        <w:rPr>
          <w:rFonts w:ascii="Arial" w:cs="Arial" w:eastAsia="Arial" w:hAnsi="Arial"/>
          <w:sz w:val="22"/>
          <w:szCs w:val="22"/>
          <w:i w:val="1"/>
          <w:iCs w:val="1"/>
          <w:color w:val="auto"/>
        </w:rPr>
        <w:t xml:space="preserve">Investment Fund </w:t>
      </w:r>
      <w:r>
        <w:rPr>
          <w:rFonts w:ascii="Arial" w:cs="Arial" w:eastAsia="Arial" w:hAnsi="Arial"/>
          <w:sz w:val="22"/>
          <w:szCs w:val="22"/>
          <w:color w:val="auto"/>
        </w:rPr>
        <w:t>means the Credited Interest Account, the S&amp;P 500 Account, the UTC Stock Unit Account or such other</w:t>
      </w:r>
      <w:r>
        <w:rPr>
          <w:rFonts w:ascii="Arial" w:cs="Arial" w:eastAsia="Arial" w:hAnsi="Arial"/>
          <w:sz w:val="22"/>
          <w:szCs w:val="22"/>
          <w:i w:val="1"/>
          <w:iCs w:val="1"/>
          <w:color w:val="auto"/>
        </w:rPr>
        <w:t xml:space="preserve"> </w:t>
      </w:r>
      <w:r>
        <w:rPr>
          <w:rFonts w:ascii="Arial" w:cs="Arial" w:eastAsia="Arial" w:hAnsi="Arial"/>
          <w:sz w:val="22"/>
          <w:szCs w:val="22"/>
          <w:color w:val="auto"/>
        </w:rPr>
        <w:t>investment option as may be established by the Committee from time to time. The value of Participants’ Accounts shall be adjusted to replicate the performance of the applicable Investment Fund. Amounts allocated to any Investment Fund do not result in any investment in actual assets corresponding to the Investment Fund.</w:t>
      </w:r>
    </w:p>
    <w:p>
      <w:pPr>
        <w:sectPr>
          <w:pgSz w:w="11900" w:h="16838" w:orient="portrait"/>
          <w:cols w:equalWidth="0" w:num="1">
            <w:col w:w="11380"/>
          </w:cols>
          <w:pgMar w:left="240" w:top="645" w:right="279" w:bottom="1440" w:gutter="0" w:footer="0" w:header="0"/>
        </w:sectPr>
      </w:pPr>
    </w:p>
    <w:bookmarkStart w:id="78" w:name="page79"/>
    <w:bookmarkEnd w:id="78"/>
    <w:p>
      <w:pPr>
        <w:ind w:right="360" w:firstLine="486"/>
        <w:spacing w:after="0" w:line="366" w:lineRule="auto"/>
        <w:rPr>
          <w:sz w:val="20"/>
          <w:szCs w:val="20"/>
          <w:color w:val="auto"/>
        </w:rPr>
      </w:pPr>
      <w:r>
        <w:rPr>
          <w:rFonts w:ascii="Arial" w:cs="Arial" w:eastAsia="Arial" w:hAnsi="Arial"/>
          <w:sz w:val="22"/>
          <w:szCs w:val="22"/>
          <w:i w:val="1"/>
          <w:iCs w:val="1"/>
          <w:color w:val="auto"/>
        </w:rPr>
        <w:t xml:space="preserve">Participant </w:t>
      </w:r>
      <w:r>
        <w:rPr>
          <w:rFonts w:ascii="Arial" w:cs="Arial" w:eastAsia="Arial" w:hAnsi="Arial"/>
          <w:sz w:val="22"/>
          <w:szCs w:val="22"/>
          <w:color w:val="auto"/>
        </w:rPr>
        <w:t>means an executive of the Corporation who is paid from a US payroll, files a U.S. income tax return, and who</w:t>
      </w:r>
      <w:r>
        <w:rPr>
          <w:rFonts w:ascii="Arial" w:cs="Arial" w:eastAsia="Arial" w:hAnsi="Arial"/>
          <w:sz w:val="22"/>
          <w:szCs w:val="22"/>
          <w:i w:val="1"/>
          <w:iCs w:val="1"/>
          <w:color w:val="auto"/>
        </w:rPr>
        <w:t xml:space="preserve"> </w:t>
      </w:r>
      <w:r>
        <w:rPr>
          <w:rFonts w:ascii="Arial" w:cs="Arial" w:eastAsia="Arial" w:hAnsi="Arial"/>
          <w:sz w:val="22"/>
          <w:szCs w:val="22"/>
          <w:color w:val="auto"/>
        </w:rPr>
        <w:t>elects to defer Compensation under the Plan.</w:t>
      </w:r>
    </w:p>
    <w:p>
      <w:pPr>
        <w:spacing w:after="0" w:line="390" w:lineRule="exact"/>
        <w:rPr>
          <w:sz w:val="20"/>
          <w:szCs w:val="20"/>
          <w:color w:val="auto"/>
        </w:rPr>
      </w:pPr>
    </w:p>
    <w:p>
      <w:pPr>
        <w:ind w:right="120" w:firstLine="486"/>
        <w:spacing w:after="0" w:line="36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the United Technologies Corporation Deferred Compensation Plan as amended and restated effective September</w:t>
      </w:r>
      <w:r>
        <w:rPr>
          <w:rFonts w:ascii="Arial" w:cs="Arial" w:eastAsia="Arial" w:hAnsi="Arial"/>
          <w:sz w:val="22"/>
          <w:szCs w:val="22"/>
          <w:i w:val="1"/>
          <w:iCs w:val="1"/>
          <w:color w:val="auto"/>
        </w:rPr>
        <w:t xml:space="preserve"> </w:t>
      </w:r>
      <w:r>
        <w:rPr>
          <w:rFonts w:ascii="Arial" w:cs="Arial" w:eastAsia="Arial" w:hAnsi="Arial"/>
          <w:sz w:val="22"/>
          <w:szCs w:val="22"/>
          <w:color w:val="auto"/>
        </w:rPr>
        <w:t>1, 2002, and as amended from time to time thereafter.</w:t>
      </w:r>
    </w:p>
    <w:p>
      <w:pPr>
        <w:spacing w:after="0" w:line="390" w:lineRule="exact"/>
        <w:rPr>
          <w:sz w:val="20"/>
          <w:szCs w:val="20"/>
          <w:color w:val="auto"/>
        </w:rPr>
      </w:pPr>
    </w:p>
    <w:p>
      <w:pPr>
        <w:ind w:firstLine="486"/>
        <w:spacing w:after="0" w:line="356" w:lineRule="auto"/>
        <w:rPr>
          <w:sz w:val="20"/>
          <w:szCs w:val="20"/>
          <w:color w:val="auto"/>
        </w:rPr>
      </w:pPr>
      <w:r>
        <w:rPr>
          <w:rFonts w:ascii="Arial" w:cs="Arial" w:eastAsia="Arial" w:hAnsi="Arial"/>
          <w:sz w:val="22"/>
          <w:szCs w:val="22"/>
          <w:i w:val="1"/>
          <w:iCs w:val="1"/>
          <w:color w:val="auto"/>
        </w:rPr>
        <w:t xml:space="preserve">Plan Accounts </w:t>
      </w:r>
      <w:r>
        <w:rPr>
          <w:rFonts w:ascii="Arial" w:cs="Arial" w:eastAsia="Arial" w:hAnsi="Arial"/>
          <w:sz w:val="22"/>
          <w:szCs w:val="22"/>
          <w:color w:val="auto"/>
        </w:rPr>
        <w:t>means the aggregate value of all Class Year Accounts, Special Purpose Accounts, and Retirement Account, but</w:t>
      </w:r>
      <w:r>
        <w:rPr>
          <w:rFonts w:ascii="Arial" w:cs="Arial" w:eastAsia="Arial" w:hAnsi="Arial"/>
          <w:sz w:val="22"/>
          <w:szCs w:val="22"/>
          <w:i w:val="1"/>
          <w:iCs w:val="1"/>
          <w:color w:val="auto"/>
        </w:rPr>
        <w:t xml:space="preserve"> </w:t>
      </w:r>
      <w:r>
        <w:rPr>
          <w:rFonts w:ascii="Arial" w:cs="Arial" w:eastAsia="Arial" w:hAnsi="Arial"/>
          <w:sz w:val="22"/>
          <w:szCs w:val="22"/>
          <w:color w:val="auto"/>
        </w:rPr>
        <w:t>excluding accounts under the Prior Plan. Accounts under the Prior Plan will be valued and administered separately in accordance with the terms and procedures in effect under the Prior Plan.</w:t>
      </w:r>
    </w:p>
    <w:p>
      <w:pPr>
        <w:spacing w:after="0" w:line="400" w:lineRule="exact"/>
        <w:rPr>
          <w:sz w:val="20"/>
          <w:szCs w:val="20"/>
          <w:color w:val="auto"/>
        </w:rPr>
      </w:pPr>
    </w:p>
    <w:p>
      <w:pPr>
        <w:jc w:val="both"/>
        <w:ind w:firstLine="486"/>
        <w:spacing w:after="0" w:line="356" w:lineRule="auto"/>
        <w:rPr>
          <w:sz w:val="20"/>
          <w:szCs w:val="20"/>
          <w:color w:val="auto"/>
        </w:rPr>
      </w:pPr>
      <w:r>
        <w:rPr>
          <w:rFonts w:ascii="Arial" w:cs="Arial" w:eastAsia="Arial" w:hAnsi="Arial"/>
          <w:sz w:val="22"/>
          <w:szCs w:val="22"/>
          <w:i w:val="1"/>
          <w:iCs w:val="1"/>
          <w:color w:val="auto"/>
        </w:rPr>
        <w:t xml:space="preserve">Prior Plan </w:t>
      </w:r>
      <w:r>
        <w:rPr>
          <w:rFonts w:ascii="Arial" w:cs="Arial" w:eastAsia="Arial" w:hAnsi="Arial"/>
          <w:sz w:val="22"/>
          <w:szCs w:val="22"/>
          <w:color w:val="auto"/>
        </w:rPr>
        <w:t>means the United Technologies Corporation Deferred Compensation Plan, as in effect prior to December 15, 1993.</w:t>
      </w:r>
      <w:r>
        <w:rPr>
          <w:rFonts w:ascii="Arial" w:cs="Arial" w:eastAsia="Arial" w:hAnsi="Arial"/>
          <w:sz w:val="22"/>
          <w:szCs w:val="22"/>
          <w:i w:val="1"/>
          <w:iCs w:val="1"/>
          <w:color w:val="auto"/>
        </w:rPr>
        <w:t xml:space="preserve"> </w:t>
      </w:r>
      <w:r>
        <w:rPr>
          <w:rFonts w:ascii="Arial" w:cs="Arial" w:eastAsia="Arial" w:hAnsi="Arial"/>
          <w:sz w:val="22"/>
          <w:szCs w:val="22"/>
          <w:color w:val="auto"/>
        </w:rPr>
        <w:t>All amounts deferred and credited under the Prior Plan shall continue to be subject to the terms and conditions of the Prior Plan and shall not be affected by this amendment and restatement.</w:t>
      </w:r>
    </w:p>
    <w:p>
      <w:pPr>
        <w:spacing w:after="0" w:line="400" w:lineRule="exact"/>
        <w:rPr>
          <w:sz w:val="20"/>
          <w:szCs w:val="20"/>
          <w:color w:val="auto"/>
        </w:rPr>
      </w:pPr>
    </w:p>
    <w:p>
      <w:pPr>
        <w:ind w:right="560" w:firstLine="486"/>
        <w:spacing w:after="0" w:line="462" w:lineRule="auto"/>
        <w:rPr>
          <w:sz w:val="20"/>
          <w:szCs w:val="20"/>
          <w:color w:val="auto"/>
        </w:rPr>
      </w:pPr>
      <w:r>
        <w:rPr>
          <w:rFonts w:ascii="Arial" w:cs="Arial" w:eastAsia="Arial" w:hAnsi="Arial"/>
          <w:sz w:val="19"/>
          <w:szCs w:val="19"/>
          <w:i w:val="1"/>
          <w:iCs w:val="1"/>
          <w:color w:val="auto"/>
        </w:rPr>
        <w:t xml:space="preserve">Retirement Account </w:t>
      </w:r>
      <w:r>
        <w:rPr>
          <w:rFonts w:ascii="Arial" w:cs="Arial" w:eastAsia="Arial" w:hAnsi="Arial"/>
          <w:sz w:val="19"/>
          <w:szCs w:val="19"/>
          <w:color w:val="auto"/>
        </w:rPr>
        <w:t>means a Plan Account maintained on behalf of the Participant that will be distributed in the manner</w:t>
      </w:r>
      <w:r>
        <w:rPr>
          <w:rFonts w:ascii="Arial" w:cs="Arial" w:eastAsia="Arial" w:hAnsi="Arial"/>
          <w:sz w:val="19"/>
          <w:szCs w:val="19"/>
          <w:i w:val="1"/>
          <w:iCs w:val="1"/>
          <w:color w:val="auto"/>
        </w:rPr>
        <w:t xml:space="preserve"> </w:t>
      </w:r>
      <w:r>
        <w:rPr>
          <w:rFonts w:ascii="Arial" w:cs="Arial" w:eastAsia="Arial" w:hAnsi="Arial"/>
          <w:sz w:val="19"/>
          <w:szCs w:val="19"/>
          <w:color w:val="auto"/>
        </w:rPr>
        <w:t>elected by the Participant commencing in April of the calendar year following the Participant’s Retirement Date.</w:t>
      </w:r>
    </w:p>
    <w:p>
      <w:pPr>
        <w:spacing w:after="0" w:line="320" w:lineRule="exact"/>
        <w:rPr>
          <w:sz w:val="20"/>
          <w:szCs w:val="20"/>
          <w:color w:val="auto"/>
        </w:rPr>
      </w:pPr>
    </w:p>
    <w:p>
      <w:pPr>
        <w:ind w:right="160" w:firstLine="486"/>
        <w:spacing w:after="0" w:line="378" w:lineRule="auto"/>
        <w:rPr>
          <w:sz w:val="20"/>
          <w:szCs w:val="20"/>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means attainment of age 65; attainment of at least age 55 and a minimum of 10 or more years of “continuous</w:t>
      </w:r>
      <w:r>
        <w:rPr>
          <w:rFonts w:ascii="Arial" w:cs="Arial" w:eastAsia="Arial" w:hAnsi="Arial"/>
          <w:sz w:val="21"/>
          <w:szCs w:val="21"/>
          <w:i w:val="1"/>
          <w:iCs w:val="1"/>
          <w:color w:val="auto"/>
        </w:rPr>
        <w:t xml:space="preserve"> </w:t>
      </w:r>
      <w:r>
        <w:rPr>
          <w:rFonts w:ascii="Arial" w:cs="Arial" w:eastAsia="Arial" w:hAnsi="Arial"/>
          <w:sz w:val="21"/>
          <w:szCs w:val="21"/>
          <w:color w:val="auto"/>
        </w:rPr>
        <w:t>service” (as defined in one of the Corporation’s retirement plans); or termination of employment on or after age 50 and before age 55, with a combination of age and years of service equal to at least 65 (the “Rule of 65”).</w:t>
      </w:r>
    </w:p>
    <w:p>
      <w:pPr>
        <w:spacing w:after="0" w:line="385" w:lineRule="exact"/>
        <w:rPr>
          <w:sz w:val="20"/>
          <w:szCs w:val="20"/>
          <w:color w:val="auto"/>
        </w:rPr>
      </w:pPr>
    </w:p>
    <w:p>
      <w:pPr>
        <w:ind w:right="60" w:firstLine="486"/>
        <w:spacing w:after="0" w:line="366" w:lineRule="auto"/>
        <w:rPr>
          <w:sz w:val="20"/>
          <w:szCs w:val="20"/>
          <w:color w:val="auto"/>
        </w:rPr>
      </w:pPr>
      <w:r>
        <w:rPr>
          <w:rFonts w:ascii="Arial" w:cs="Arial" w:eastAsia="Arial" w:hAnsi="Arial"/>
          <w:sz w:val="22"/>
          <w:szCs w:val="22"/>
          <w:i w:val="1"/>
          <w:iCs w:val="1"/>
          <w:color w:val="auto"/>
        </w:rPr>
        <w:t xml:space="preserve">Retirement Date </w:t>
      </w:r>
      <w:r>
        <w:rPr>
          <w:rFonts w:ascii="Arial" w:cs="Arial" w:eastAsia="Arial" w:hAnsi="Arial"/>
          <w:sz w:val="22"/>
          <w:szCs w:val="22"/>
          <w:color w:val="auto"/>
        </w:rPr>
        <w:t>means the date a Participant terminates employment from the Corporation on or after attaining eligibility for</w:t>
      </w:r>
      <w:r>
        <w:rPr>
          <w:rFonts w:ascii="Arial" w:cs="Arial" w:eastAsia="Arial" w:hAnsi="Arial"/>
          <w:sz w:val="22"/>
          <w:szCs w:val="22"/>
          <w:i w:val="1"/>
          <w:iCs w:val="1"/>
          <w:color w:val="auto"/>
        </w:rPr>
        <w:t xml:space="preserve"> </w:t>
      </w:r>
      <w:r>
        <w:rPr>
          <w:rFonts w:ascii="Arial" w:cs="Arial" w:eastAsia="Arial" w:hAnsi="Arial"/>
          <w:sz w:val="22"/>
          <w:szCs w:val="22"/>
          <w:color w:val="auto"/>
        </w:rPr>
        <w:t>Retirement.</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S&amp;P 500 Account </w:t>
      </w:r>
      <w:r>
        <w:rPr>
          <w:rFonts w:ascii="Arial" w:cs="Arial" w:eastAsia="Arial" w:hAnsi="Arial"/>
          <w:sz w:val="22"/>
          <w:szCs w:val="22"/>
          <w:color w:val="auto"/>
        </w:rPr>
        <w:t>means an Investment Fund that is valued in the manner set forth in Section 5.4.</w:t>
      </w:r>
    </w:p>
    <w:p>
      <w:pPr>
        <w:spacing w:after="0" w:line="200" w:lineRule="exact"/>
        <w:rPr>
          <w:sz w:val="20"/>
          <w:szCs w:val="20"/>
          <w:color w:val="auto"/>
        </w:rPr>
      </w:pPr>
    </w:p>
    <w:p>
      <w:pPr>
        <w:spacing w:after="0" w:line="344" w:lineRule="exact"/>
        <w:rPr>
          <w:sz w:val="20"/>
          <w:szCs w:val="20"/>
          <w:color w:val="auto"/>
        </w:rPr>
      </w:pPr>
    </w:p>
    <w:p>
      <w:pPr>
        <w:ind w:right="80" w:firstLine="486"/>
        <w:spacing w:after="0" w:line="366" w:lineRule="auto"/>
        <w:rPr>
          <w:sz w:val="20"/>
          <w:szCs w:val="20"/>
          <w:color w:val="auto"/>
        </w:rPr>
      </w:pPr>
      <w:r>
        <w:rPr>
          <w:rFonts w:ascii="Arial" w:cs="Arial" w:eastAsia="Arial" w:hAnsi="Arial"/>
          <w:sz w:val="22"/>
          <w:szCs w:val="22"/>
          <w:i w:val="1"/>
          <w:iCs w:val="1"/>
          <w:color w:val="auto"/>
        </w:rPr>
        <w:t xml:space="preserve">Special Purpose Account </w:t>
      </w:r>
      <w:r>
        <w:rPr>
          <w:rFonts w:ascii="Arial" w:cs="Arial" w:eastAsia="Arial" w:hAnsi="Arial"/>
          <w:sz w:val="22"/>
          <w:szCs w:val="22"/>
          <w:color w:val="auto"/>
        </w:rPr>
        <w:t>means a Plan Account maintained on behalf of the Participant that will be distributed in the manner</w:t>
      </w:r>
      <w:r>
        <w:rPr>
          <w:rFonts w:ascii="Arial" w:cs="Arial" w:eastAsia="Arial" w:hAnsi="Arial"/>
          <w:sz w:val="22"/>
          <w:szCs w:val="22"/>
          <w:i w:val="1"/>
          <w:iCs w:val="1"/>
          <w:color w:val="auto"/>
        </w:rPr>
        <w:t xml:space="preserve"> </w:t>
      </w:r>
      <w:r>
        <w:rPr>
          <w:rFonts w:ascii="Arial" w:cs="Arial" w:eastAsia="Arial" w:hAnsi="Arial"/>
          <w:sz w:val="22"/>
          <w:szCs w:val="22"/>
          <w:color w:val="auto"/>
        </w:rPr>
        <w:t>elected by the Participant commencing in April of the calendar year specified by</w:t>
      </w:r>
    </w:p>
    <w:p>
      <w:pPr>
        <w:sectPr>
          <w:pgSz w:w="11900" w:h="16838" w:orient="portrait"/>
          <w:cols w:equalWidth="0" w:num="1">
            <w:col w:w="11400"/>
          </w:cols>
          <w:pgMar w:left="240" w:top="645" w:right="259" w:bottom="1440" w:gutter="0" w:footer="0" w:header="0"/>
        </w:sectPr>
      </w:pPr>
    </w:p>
    <w:bookmarkStart w:id="79" w:name="page80"/>
    <w:bookmarkEnd w:id="79"/>
    <w:p>
      <w:pPr>
        <w:ind w:right="640"/>
        <w:spacing w:after="0" w:line="366" w:lineRule="auto"/>
        <w:rPr>
          <w:sz w:val="20"/>
          <w:szCs w:val="20"/>
          <w:color w:val="auto"/>
        </w:rPr>
      </w:pPr>
      <w:r>
        <w:rPr>
          <w:rFonts w:ascii="Arial" w:cs="Arial" w:eastAsia="Arial" w:hAnsi="Arial"/>
          <w:sz w:val="22"/>
          <w:szCs w:val="22"/>
          <w:color w:val="auto"/>
        </w:rPr>
        <w:t>the Participant. The minimum Deferral Period is five (5) calendar years following the end of the calendar year for which the Account is established.</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UTC Common Stock </w:t>
      </w:r>
      <w:r>
        <w:rPr>
          <w:rFonts w:ascii="Arial" w:cs="Arial" w:eastAsia="Arial" w:hAnsi="Arial"/>
          <w:sz w:val="22"/>
          <w:szCs w:val="22"/>
          <w:color w:val="auto"/>
        </w:rPr>
        <w:t>means the common stock of United Technologies Corporation.</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UTC Stock Unit Account </w:t>
      </w:r>
      <w:r>
        <w:rPr>
          <w:rFonts w:ascii="Arial" w:cs="Arial" w:eastAsia="Arial" w:hAnsi="Arial"/>
          <w:sz w:val="22"/>
          <w:szCs w:val="22"/>
          <w:color w:val="auto"/>
        </w:rPr>
        <w:t>means the Investment Fund that is valued in the manner set forth in Section 5.3.</w:t>
      </w: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Arial" w:cs="Arial" w:eastAsia="Arial" w:hAnsi="Arial"/>
          <w:sz w:val="22"/>
          <w:szCs w:val="22"/>
          <w:b w:val="1"/>
          <w:bCs w:val="1"/>
          <w:u w:val="single" w:color="auto"/>
          <w:color w:val="auto"/>
        </w:rPr>
        <w:t>ARTICLE III - ELIGIBILITY AND PARTICIPATION</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3.1 - Eligibility</w:t>
      </w:r>
    </w:p>
    <w:p>
      <w:pPr>
        <w:spacing w:after="0" w:line="200" w:lineRule="exact"/>
        <w:rPr>
          <w:sz w:val="20"/>
          <w:szCs w:val="20"/>
          <w:color w:val="auto"/>
        </w:rPr>
      </w:pPr>
    </w:p>
    <w:p>
      <w:pPr>
        <w:spacing w:after="0" w:line="350" w:lineRule="exact"/>
        <w:rPr>
          <w:sz w:val="20"/>
          <w:szCs w:val="20"/>
          <w:color w:val="auto"/>
        </w:rPr>
      </w:pPr>
    </w:p>
    <w:p>
      <w:pPr>
        <w:jc w:val="both"/>
        <w:ind w:left="500" w:right="20" w:firstLine="486"/>
        <w:spacing w:after="0" w:line="356" w:lineRule="auto"/>
        <w:rPr>
          <w:sz w:val="20"/>
          <w:szCs w:val="20"/>
          <w:color w:val="auto"/>
        </w:rPr>
      </w:pPr>
      <w:r>
        <w:rPr>
          <w:rFonts w:ascii="Arial" w:cs="Arial" w:eastAsia="Arial" w:hAnsi="Arial"/>
          <w:sz w:val="22"/>
          <w:szCs w:val="22"/>
          <w:color w:val="auto"/>
        </w:rPr>
        <w:t>Each employee of the Corporation who is classified as an eligible Participant as of December 31 will be eligible to elect to defer Compensation under the Plan in respect of the subsequent calendar year in accordance with the terms of the Plan and the rules and procedures established by the Committee.</w:t>
      </w:r>
    </w:p>
    <w:p>
      <w:pPr>
        <w:spacing w:after="0" w:line="39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3.2 - Participation</w:t>
      </w:r>
    </w:p>
    <w:p>
      <w:pPr>
        <w:spacing w:after="0" w:line="200" w:lineRule="exact"/>
        <w:rPr>
          <w:sz w:val="20"/>
          <w:szCs w:val="20"/>
          <w:color w:val="auto"/>
        </w:rPr>
      </w:pPr>
    </w:p>
    <w:p>
      <w:pPr>
        <w:spacing w:after="0" w:line="350" w:lineRule="exact"/>
        <w:rPr>
          <w:sz w:val="20"/>
          <w:szCs w:val="20"/>
          <w:color w:val="auto"/>
        </w:rPr>
      </w:pPr>
    </w:p>
    <w:p>
      <w:pPr>
        <w:ind w:left="500" w:right="100" w:firstLine="486"/>
        <w:spacing w:after="0" w:line="356" w:lineRule="auto"/>
        <w:rPr>
          <w:sz w:val="20"/>
          <w:szCs w:val="20"/>
          <w:color w:val="auto"/>
        </w:rPr>
      </w:pPr>
      <w:r>
        <w:rPr>
          <w:rFonts w:ascii="Arial" w:cs="Arial" w:eastAsia="Arial" w:hAnsi="Arial"/>
          <w:sz w:val="22"/>
          <w:szCs w:val="22"/>
          <w:color w:val="auto"/>
        </w:rPr>
        <w:t>Each eligible Participant may elect to participate in the Plan with respect to any calendar year for which the Committee offers the opportunity to defer Compensation by timely filing with the Committee an Election Form, properly completed in accordance with Section 4.1. Participation in the Plan is entirely voluntary.</w:t>
      </w:r>
    </w:p>
    <w:p>
      <w:pPr>
        <w:spacing w:after="0" w:line="394" w:lineRule="exact"/>
        <w:rPr>
          <w:sz w:val="20"/>
          <w:szCs w:val="20"/>
          <w:color w:val="auto"/>
        </w:rPr>
      </w:pPr>
    </w:p>
    <w:p>
      <w:pPr>
        <w:ind w:left="500"/>
        <w:spacing w:after="0"/>
        <w:rPr>
          <w:sz w:val="20"/>
          <w:szCs w:val="20"/>
          <w:color w:val="auto"/>
        </w:rPr>
      </w:pPr>
      <w:r>
        <w:rPr>
          <w:rFonts w:ascii="Arial" w:cs="Arial" w:eastAsia="Arial" w:hAnsi="Arial"/>
          <w:sz w:val="22"/>
          <w:szCs w:val="22"/>
          <w:b w:val="1"/>
          <w:bCs w:val="1"/>
          <w:u w:val="single" w:color="auto"/>
          <w:color w:val="auto"/>
        </w:rPr>
        <w:t>ARTICLE IV - PARTICIPANT ELECTIONS</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4.1 - Election</w:t>
      </w:r>
    </w:p>
    <w:p>
      <w:pPr>
        <w:spacing w:after="0" w:line="200" w:lineRule="exact"/>
        <w:rPr>
          <w:sz w:val="20"/>
          <w:szCs w:val="20"/>
          <w:color w:val="auto"/>
        </w:rPr>
      </w:pPr>
    </w:p>
    <w:p>
      <w:pPr>
        <w:spacing w:after="0" w:line="350" w:lineRule="exact"/>
        <w:rPr>
          <w:sz w:val="20"/>
          <w:szCs w:val="20"/>
          <w:color w:val="auto"/>
        </w:rPr>
      </w:pPr>
    </w:p>
    <w:p>
      <w:pPr>
        <w:ind w:left="500" w:firstLine="486"/>
        <w:spacing w:after="0" w:line="352" w:lineRule="auto"/>
        <w:rPr>
          <w:sz w:val="20"/>
          <w:szCs w:val="20"/>
          <w:color w:val="auto"/>
        </w:rPr>
      </w:pPr>
      <w:r>
        <w:rPr>
          <w:rFonts w:ascii="Arial" w:cs="Arial" w:eastAsia="Arial" w:hAnsi="Arial"/>
          <w:sz w:val="22"/>
          <w:szCs w:val="22"/>
          <w:color w:val="auto"/>
        </w:rPr>
        <w:t>An eligible Participant may participate in the Plan by executing the Election Form provided by the Committee for the subsequent calendar year. The eligible Participant must designate the dollar amount of base salary that will be deferred during such calendar year, and/or the percentage or dollar amount of any Incentive Compensation Payment otherwise payable during such calendar year that</w:t>
      </w:r>
    </w:p>
    <w:p>
      <w:pPr>
        <w:sectPr>
          <w:pgSz w:w="11900" w:h="16838" w:orient="portrait"/>
          <w:cols w:equalWidth="0" w:num="1">
            <w:col w:w="11380"/>
          </w:cols>
          <w:pgMar w:left="240" w:top="645" w:right="279" w:bottom="1440" w:gutter="0" w:footer="0" w:header="0"/>
        </w:sectPr>
      </w:pPr>
    </w:p>
    <w:bookmarkStart w:id="80" w:name="page81"/>
    <w:bookmarkEnd w:id="80"/>
    <w:p>
      <w:pPr>
        <w:spacing w:after="0" w:line="415" w:lineRule="auto"/>
        <w:rPr>
          <w:sz w:val="20"/>
          <w:szCs w:val="20"/>
          <w:color w:val="auto"/>
        </w:rPr>
      </w:pPr>
      <w:r>
        <w:rPr>
          <w:rFonts w:ascii="Arial" w:cs="Arial" w:eastAsia="Arial" w:hAnsi="Arial"/>
          <w:sz w:val="19"/>
          <w:szCs w:val="19"/>
          <w:color w:val="auto"/>
        </w:rPr>
        <w:t>will be deferred under the Plan. The minimum dollar amount that a Participant may defer under the Plan for any calendar year is $5,000. Any deferral election made in the Election Form is irrevocable and must be completed and returned to the Committee no later than the December 31 immediately preceding the calendar year to which the election applies, or such earlier date as the Committee may specify. If an eligible executive fails to return a properly completed Election Form by such date, the executive will be ineligible to defer Compensation under the Plan for the following calendar year.</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4.2 - Investment Fund Allocations</w:t>
      </w:r>
    </w:p>
    <w:p>
      <w:pPr>
        <w:spacing w:after="0" w:line="200" w:lineRule="exact"/>
        <w:rPr>
          <w:sz w:val="20"/>
          <w:szCs w:val="20"/>
          <w:color w:val="auto"/>
        </w:rPr>
      </w:pPr>
    </w:p>
    <w:p>
      <w:pPr>
        <w:spacing w:after="0" w:line="350" w:lineRule="exact"/>
        <w:rPr>
          <w:sz w:val="20"/>
          <w:szCs w:val="20"/>
          <w:color w:val="auto"/>
        </w:rPr>
      </w:pPr>
    </w:p>
    <w:p>
      <w:pPr>
        <w:ind w:right="400" w:firstLine="486"/>
        <w:spacing w:after="0" w:line="366" w:lineRule="auto"/>
        <w:rPr>
          <w:sz w:val="20"/>
          <w:szCs w:val="20"/>
          <w:color w:val="auto"/>
        </w:rPr>
      </w:pPr>
      <w:r>
        <w:rPr>
          <w:rFonts w:ascii="Arial" w:cs="Arial" w:eastAsia="Arial" w:hAnsi="Arial"/>
          <w:sz w:val="22"/>
          <w:szCs w:val="22"/>
          <w:color w:val="auto"/>
        </w:rPr>
        <w:t>When completing the Election Form, the Participant must allocate the amounts to be deferred, in whole percentages divisible by 10, among the available Investment Funds.</w:t>
      </w:r>
    </w:p>
    <w:p>
      <w:pPr>
        <w:spacing w:after="0" w:line="390" w:lineRule="exact"/>
        <w:rPr>
          <w:sz w:val="20"/>
          <w:szCs w:val="20"/>
          <w:color w:val="auto"/>
        </w:rPr>
      </w:pPr>
    </w:p>
    <w:p>
      <w:pPr>
        <w:ind w:right="220" w:firstLine="486"/>
        <w:spacing w:after="0" w:line="373" w:lineRule="auto"/>
        <w:rPr>
          <w:sz w:val="20"/>
          <w:szCs w:val="20"/>
          <w:color w:val="auto"/>
        </w:rPr>
      </w:pPr>
      <w:r>
        <w:rPr>
          <w:rFonts w:ascii="Arial" w:cs="Arial" w:eastAsia="Arial" w:hAnsi="Arial"/>
          <w:sz w:val="21"/>
          <w:szCs w:val="21"/>
          <w:color w:val="auto"/>
        </w:rPr>
        <w:t>Participants may reallocate their existing post-1993 Class Year Accounts, Special Purpose Accounts and Retirement Account among the available Investment Funds as permitted by the Committee, generally once per year. Such reallocations shall be in whole percentages divisible by 10 and, unless otherwise specified by the Committee, shall be effective January 1 of the calendar year following the date of the reallocation election.</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4.3 - Designation of Beneficiary</w:t>
      </w:r>
    </w:p>
    <w:p>
      <w:pPr>
        <w:spacing w:after="0" w:line="200" w:lineRule="exact"/>
        <w:rPr>
          <w:sz w:val="20"/>
          <w:szCs w:val="20"/>
          <w:color w:val="auto"/>
        </w:rPr>
      </w:pPr>
    </w:p>
    <w:p>
      <w:pPr>
        <w:spacing w:after="0" w:line="350" w:lineRule="exact"/>
        <w:rPr>
          <w:sz w:val="20"/>
          <w:szCs w:val="20"/>
          <w:color w:val="auto"/>
        </w:rPr>
      </w:pPr>
    </w:p>
    <w:p>
      <w:pPr>
        <w:ind w:firstLine="486"/>
        <w:spacing w:after="0" w:line="407" w:lineRule="auto"/>
        <w:rPr>
          <w:sz w:val="20"/>
          <w:szCs w:val="20"/>
          <w:color w:val="auto"/>
        </w:rPr>
      </w:pPr>
      <w:r>
        <w:rPr>
          <w:rFonts w:ascii="Arial" w:cs="Arial" w:eastAsia="Arial" w:hAnsi="Arial"/>
          <w:sz w:val="19"/>
          <w:szCs w:val="19"/>
          <w:color w:val="auto"/>
        </w:rPr>
        <w:t>Each Participant shall designate a Beneficiary for his or her Plan Accounts on a form provided by the Committee. Such designation may be changed on a form acceptable to the Committee at any time by the Participant. In the event that no Beneficiary designation is filed with the Committee, or if the Beneficiary (and contingent Beneficiary) does not survive the Participant, all amounts deferred hereunder will be paid to the estate of the Participant in a lump sum.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4.3. In the event of the death of a Participant, distributions shall be made in accordance with Section 6.4.</w:t>
      </w:r>
    </w:p>
    <w:p>
      <w:pPr>
        <w:sectPr>
          <w:pgSz w:w="11900" w:h="16838" w:orient="portrait"/>
          <w:cols w:equalWidth="0" w:num="1">
            <w:col w:w="10900"/>
          </w:cols>
          <w:pgMar w:left="740" w:top="645" w:right="259" w:bottom="1440" w:gutter="0" w:footer="0" w:header="0"/>
        </w:sectPr>
      </w:pPr>
    </w:p>
    <w:bookmarkStart w:id="81" w:name="page82"/>
    <w:bookmarkEnd w:id="81"/>
    <w:p>
      <w:pPr>
        <w:ind w:left="500"/>
        <w:spacing w:after="0"/>
        <w:rPr>
          <w:sz w:val="20"/>
          <w:szCs w:val="20"/>
          <w:color w:val="auto"/>
        </w:rPr>
      </w:pPr>
      <w:r>
        <w:rPr>
          <w:rFonts w:ascii="Arial" w:cs="Arial" w:eastAsia="Arial" w:hAnsi="Arial"/>
          <w:sz w:val="22"/>
          <w:szCs w:val="22"/>
          <w:b w:val="1"/>
          <w:bCs w:val="1"/>
          <w:color w:val="auto"/>
        </w:rPr>
        <w:t>Section 4.4 - Deferral Period</w:t>
      </w:r>
    </w:p>
    <w:p>
      <w:pPr>
        <w:spacing w:after="0" w:line="200" w:lineRule="exact"/>
        <w:rPr>
          <w:sz w:val="20"/>
          <w:szCs w:val="20"/>
          <w:color w:val="auto"/>
        </w:rPr>
      </w:pPr>
    </w:p>
    <w:p>
      <w:pPr>
        <w:spacing w:after="0" w:line="350" w:lineRule="exact"/>
        <w:rPr>
          <w:sz w:val="20"/>
          <w:szCs w:val="20"/>
          <w:color w:val="auto"/>
        </w:rPr>
      </w:pPr>
    </w:p>
    <w:p>
      <w:pPr>
        <w:ind w:left="500" w:firstLine="486"/>
        <w:spacing w:after="0" w:line="352" w:lineRule="auto"/>
        <w:rPr>
          <w:sz w:val="20"/>
          <w:szCs w:val="20"/>
          <w:color w:val="auto"/>
        </w:rPr>
      </w:pPr>
      <w:r>
        <w:rPr>
          <w:rFonts w:ascii="Arial" w:cs="Arial" w:eastAsia="Arial" w:hAnsi="Arial"/>
          <w:sz w:val="22"/>
          <w:szCs w:val="22"/>
          <w:color w:val="auto"/>
        </w:rPr>
        <w:t>Each Participant shall specify in the Election Form the Deferral Period for amounts to be deferred in the following calendar year. The minimum Deferral Period for a Special Purpose Account is five (5) calendar years following the end of the calendar year in which the Account is established. Participants may defer Compensation into a Retirement Account until April of the calendar year following their Retirement Date.</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4.5 - Distribution Schedule</w:t>
      </w:r>
    </w:p>
    <w:p>
      <w:pPr>
        <w:spacing w:after="0" w:line="200" w:lineRule="exact"/>
        <w:rPr>
          <w:sz w:val="20"/>
          <w:szCs w:val="20"/>
          <w:color w:val="auto"/>
        </w:rPr>
      </w:pPr>
    </w:p>
    <w:p>
      <w:pPr>
        <w:spacing w:after="0" w:line="350" w:lineRule="exact"/>
        <w:rPr>
          <w:sz w:val="20"/>
          <w:szCs w:val="20"/>
          <w:color w:val="auto"/>
        </w:rPr>
      </w:pPr>
    </w:p>
    <w:p>
      <w:pPr>
        <w:ind w:left="500" w:right="40" w:firstLine="486"/>
        <w:spacing w:after="0" w:line="356" w:lineRule="auto"/>
        <w:rPr>
          <w:sz w:val="20"/>
          <w:szCs w:val="20"/>
          <w:color w:val="auto"/>
        </w:rPr>
      </w:pPr>
      <w:r>
        <w:rPr>
          <w:rFonts w:ascii="Arial" w:cs="Arial" w:eastAsia="Arial" w:hAnsi="Arial"/>
          <w:sz w:val="22"/>
          <w:szCs w:val="22"/>
          <w:color w:val="auto"/>
        </w:rPr>
        <w:t>Each Participant shall specify in the Election Form whether the value of the Participant’s Retirement or Special Purpose Account shall be distributed in a single lump-sum cash payment or in a series of annual cash installment payments for a specified number of years (not to exceed 15 years).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 - PLAN ACCOUNTS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5.1 - Accounts</w:t>
      </w:r>
    </w:p>
    <w:p>
      <w:pPr>
        <w:spacing w:after="0" w:line="200" w:lineRule="exact"/>
        <w:rPr>
          <w:sz w:val="20"/>
          <w:szCs w:val="20"/>
          <w:color w:val="auto"/>
        </w:rPr>
      </w:pPr>
    </w:p>
    <w:p>
      <w:pPr>
        <w:spacing w:after="0" w:line="350" w:lineRule="exact"/>
        <w:rPr>
          <w:sz w:val="20"/>
          <w:szCs w:val="20"/>
          <w:color w:val="auto"/>
        </w:rPr>
      </w:pPr>
    </w:p>
    <w:p>
      <w:pPr>
        <w:jc w:val="both"/>
        <w:ind w:left="500" w:right="120" w:firstLine="486"/>
        <w:spacing w:after="0" w:line="462" w:lineRule="auto"/>
        <w:rPr>
          <w:sz w:val="20"/>
          <w:szCs w:val="20"/>
          <w:color w:val="auto"/>
        </w:rPr>
      </w:pPr>
      <w:r>
        <w:rPr>
          <w:rFonts w:ascii="Arial" w:cs="Arial" w:eastAsia="Arial" w:hAnsi="Arial"/>
          <w:sz w:val="19"/>
          <w:szCs w:val="19"/>
          <w:color w:val="auto"/>
        </w:rPr>
        <w:t>Prior to 2003, the Committee established a Class Year Account for each Participant with respect to each Class Year for which the Participant elected to defer Compensation under the Plan. Each Class Year Account will be maintained separately.</w:t>
      </w:r>
    </w:p>
    <w:p>
      <w:pPr>
        <w:spacing w:after="0" w:line="320" w:lineRule="exact"/>
        <w:rPr>
          <w:sz w:val="20"/>
          <w:szCs w:val="20"/>
          <w:color w:val="auto"/>
        </w:rPr>
      </w:pPr>
    </w:p>
    <w:p>
      <w:pPr>
        <w:ind w:left="500" w:right="80" w:firstLine="486"/>
        <w:spacing w:after="0" w:line="356" w:lineRule="auto"/>
        <w:rPr>
          <w:sz w:val="20"/>
          <w:szCs w:val="20"/>
          <w:color w:val="auto"/>
        </w:rPr>
      </w:pPr>
      <w:r>
        <w:rPr>
          <w:rFonts w:ascii="Arial" w:cs="Arial" w:eastAsia="Arial" w:hAnsi="Arial"/>
          <w:sz w:val="22"/>
          <w:szCs w:val="22"/>
          <w:color w:val="auto"/>
        </w:rPr>
        <w:t>Amounts deferred in 2003 and subsequent calendar years will be allocated to a Retirement Account and/or one or more Special Purpose Accounts as elected by the Participant. The Committee will establish the maximum number of Special Purpose Accounts.</w:t>
      </w:r>
    </w:p>
    <w:p>
      <w:pPr>
        <w:spacing w:after="0" w:line="400" w:lineRule="exact"/>
        <w:rPr>
          <w:sz w:val="20"/>
          <w:szCs w:val="20"/>
          <w:color w:val="auto"/>
        </w:rPr>
      </w:pPr>
    </w:p>
    <w:p>
      <w:pPr>
        <w:ind w:left="500" w:right="840" w:firstLine="486"/>
        <w:spacing w:after="0" w:line="366" w:lineRule="auto"/>
        <w:rPr>
          <w:sz w:val="20"/>
          <w:szCs w:val="20"/>
          <w:color w:val="auto"/>
        </w:rPr>
      </w:pPr>
      <w:r>
        <w:rPr>
          <w:rFonts w:ascii="Arial" w:cs="Arial" w:eastAsia="Arial" w:hAnsi="Arial"/>
          <w:sz w:val="22"/>
          <w:szCs w:val="22"/>
          <w:color w:val="auto"/>
        </w:rPr>
        <w:t>Participants’ Plan Accounts shall be allocated or reallocated among Investment Funds in accordance with each Participant’s instructions in the manner set forth in Section 4.2.</w:t>
      </w:r>
    </w:p>
    <w:p>
      <w:pPr>
        <w:spacing w:after="0" w:line="38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5.2 - Valuation of Credited Interest Account</w:t>
      </w:r>
    </w:p>
    <w:p>
      <w:pPr>
        <w:sectPr>
          <w:pgSz w:w="11900" w:h="16838" w:orient="portrait"/>
          <w:cols w:equalWidth="0" w:num="1">
            <w:col w:w="11380"/>
          </w:cols>
          <w:pgMar w:left="240" w:top="639" w:right="279" w:bottom="1440" w:gutter="0" w:footer="0" w:header="0"/>
        </w:sectPr>
      </w:pPr>
    </w:p>
    <w:bookmarkStart w:id="82" w:name="page83"/>
    <w:bookmarkEnd w:id="82"/>
    <w:p>
      <w:pPr>
        <w:jc w:val="both"/>
        <w:ind w:right="120" w:firstLine="486"/>
        <w:spacing w:after="0" w:line="356" w:lineRule="auto"/>
        <w:rPr>
          <w:sz w:val="20"/>
          <w:szCs w:val="20"/>
          <w:color w:val="auto"/>
        </w:rPr>
      </w:pPr>
      <w:r>
        <w:rPr>
          <w:rFonts w:ascii="Arial" w:cs="Arial" w:eastAsia="Arial" w:hAnsi="Arial"/>
          <w:sz w:val="22"/>
          <w:szCs w:val="22"/>
          <w:color w:val="auto"/>
        </w:rPr>
        <w:t>Deferred amounts allocated to the Credited Interest Account will be credited with a rate of interest equal to the average interest rate on 10-Year Treasury Bonds as of the last business day of each month from January through October in the prior calendar year, plus 1%.</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5.3 - Valuation of UTC Stock Unit Account</w:t>
      </w:r>
    </w:p>
    <w:p>
      <w:pPr>
        <w:spacing w:after="0" w:line="200" w:lineRule="exact"/>
        <w:rPr>
          <w:sz w:val="20"/>
          <w:szCs w:val="20"/>
          <w:color w:val="auto"/>
        </w:rPr>
      </w:pPr>
    </w:p>
    <w:p>
      <w:pPr>
        <w:spacing w:after="0" w:line="350" w:lineRule="exact"/>
        <w:rPr>
          <w:sz w:val="20"/>
          <w:szCs w:val="20"/>
          <w:color w:val="auto"/>
        </w:rPr>
      </w:pPr>
    </w:p>
    <w:p>
      <w:pPr>
        <w:ind w:firstLine="486"/>
        <w:spacing w:after="0" w:line="367" w:lineRule="auto"/>
        <w:rPr>
          <w:sz w:val="20"/>
          <w:szCs w:val="20"/>
          <w:color w:val="auto"/>
        </w:rPr>
      </w:pPr>
      <w:r>
        <w:rPr>
          <w:rFonts w:ascii="Arial" w:cs="Arial" w:eastAsia="Arial" w:hAnsi="Arial"/>
          <w:sz w:val="21"/>
          <w:szCs w:val="21"/>
          <w:color w:val="auto"/>
        </w:rPr>
        <w:t>Deferred Compensation allocated to the UTC Stock Unit Account will be converted to Stock Units, or fractional Stock Units. A UTC Stock Unit is equal to the closing price of one share of UTC Common Stock as reported on the composite tape of the New York Stock Exchange. The number of Stock Units will be calculated by dividing the amount of Compensation deferred by the closing price of UTC Common Stock on the date the deferred amounts otherwise would have been paid. Stock Units held in the UTC Stock Unit Account will be credited with a dividend payment equal to the Corporation’s declared dividend on UTC Common Stock (if any). Such dividend equivalent payments will be converted to additional Stock Units or fractional units using the closing price of UTC Common Stock as of the date such dividends are credited to the Participant’s UTC Stock Unit Account.</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5.4 - Valuation of S&amp;P 500 Account</w:t>
      </w:r>
    </w:p>
    <w:p>
      <w:pPr>
        <w:spacing w:after="0" w:line="200" w:lineRule="exact"/>
        <w:rPr>
          <w:sz w:val="20"/>
          <w:szCs w:val="20"/>
          <w:color w:val="auto"/>
        </w:rPr>
      </w:pPr>
    </w:p>
    <w:p>
      <w:pPr>
        <w:spacing w:after="0" w:line="350" w:lineRule="exact"/>
        <w:rPr>
          <w:sz w:val="20"/>
          <w:szCs w:val="20"/>
          <w:color w:val="auto"/>
        </w:rPr>
      </w:pPr>
    </w:p>
    <w:p>
      <w:pPr>
        <w:ind w:firstLine="486"/>
        <w:spacing w:after="0" w:line="431" w:lineRule="auto"/>
        <w:rPr>
          <w:sz w:val="20"/>
          <w:szCs w:val="20"/>
          <w:color w:val="auto"/>
        </w:rPr>
      </w:pPr>
      <w:r>
        <w:rPr>
          <w:rFonts w:ascii="Arial" w:cs="Arial" w:eastAsia="Arial" w:hAnsi="Arial"/>
          <w:sz w:val="19"/>
          <w:szCs w:val="19"/>
          <w:color w:val="auto"/>
        </w:rPr>
        <w:t>Deferred amounts allocated to the S&amp;P 500 Account will be converted to S&amp;P Account units based on the closing share price of the Vanguard 500 Index Fund as of date the deferred amount is credited to the Participant’s S&amp;P 500 Account. The value of the S&amp;P 500 Account units will fluctuate on a daily basis based on the performance of the Vanguard 500 Index Fund.</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5.5 - Allocation to Accounts</w:t>
      </w:r>
    </w:p>
    <w:p>
      <w:pPr>
        <w:spacing w:after="0" w:line="200" w:lineRule="exact"/>
        <w:rPr>
          <w:sz w:val="20"/>
          <w:szCs w:val="20"/>
          <w:color w:val="auto"/>
        </w:rPr>
      </w:pPr>
    </w:p>
    <w:p>
      <w:pPr>
        <w:spacing w:after="0" w:line="350" w:lineRule="exact"/>
        <w:rPr>
          <w:sz w:val="20"/>
          <w:szCs w:val="20"/>
          <w:color w:val="auto"/>
        </w:rPr>
      </w:pPr>
    </w:p>
    <w:p>
      <w:pPr>
        <w:ind w:right="60" w:firstLine="486"/>
        <w:spacing w:after="0" w:line="366" w:lineRule="auto"/>
        <w:rPr>
          <w:sz w:val="20"/>
          <w:szCs w:val="20"/>
          <w:color w:val="auto"/>
        </w:rPr>
      </w:pPr>
      <w:r>
        <w:rPr>
          <w:rFonts w:ascii="Arial" w:cs="Arial" w:eastAsia="Arial" w:hAnsi="Arial"/>
          <w:sz w:val="22"/>
          <w:szCs w:val="22"/>
          <w:color w:val="auto"/>
        </w:rPr>
        <w:t>During the year of deferral, deferred amounts will be allocated to the Participant’s Plan Accounts and Investment Funds as of the date the deferred amounts would otherwise have been paid.</w:t>
      </w:r>
    </w:p>
    <w:p>
      <w:pPr>
        <w:sectPr>
          <w:pgSz w:w="11900" w:h="16838" w:orient="portrait"/>
          <w:cols w:equalWidth="0" w:num="1">
            <w:col w:w="10900"/>
          </w:cols>
          <w:pgMar w:left="740" w:top="645" w:right="259" w:bottom="1440" w:gutter="0" w:footer="0" w:header="0"/>
        </w:sectPr>
      </w:pPr>
    </w:p>
    <w:bookmarkStart w:id="83" w:name="page84"/>
    <w:bookmarkEnd w:id="83"/>
    <w:p>
      <w:pPr>
        <w:ind w:left="500"/>
        <w:spacing w:after="0"/>
        <w:rPr>
          <w:sz w:val="20"/>
          <w:szCs w:val="20"/>
          <w:color w:val="auto"/>
        </w:rPr>
      </w:pPr>
      <w:r>
        <w:rPr>
          <w:rFonts w:ascii="Arial" w:cs="Arial" w:eastAsia="Arial" w:hAnsi="Arial"/>
          <w:sz w:val="22"/>
          <w:szCs w:val="22"/>
          <w:b w:val="1"/>
          <w:bCs w:val="1"/>
          <w:color w:val="auto"/>
        </w:rPr>
        <w:t>Section 5.6 - Reports to Participants</w:t>
      </w:r>
    </w:p>
    <w:p>
      <w:pPr>
        <w:spacing w:after="0" w:line="200" w:lineRule="exact"/>
        <w:rPr>
          <w:sz w:val="20"/>
          <w:szCs w:val="20"/>
          <w:color w:val="auto"/>
        </w:rPr>
      </w:pPr>
    </w:p>
    <w:p>
      <w:pPr>
        <w:spacing w:after="0" w:line="350" w:lineRule="exact"/>
        <w:rPr>
          <w:sz w:val="20"/>
          <w:szCs w:val="20"/>
          <w:color w:val="auto"/>
        </w:rPr>
      </w:pPr>
    </w:p>
    <w:p>
      <w:pPr>
        <w:ind w:left="500" w:right="320" w:firstLine="486"/>
        <w:spacing w:after="0" w:line="352" w:lineRule="auto"/>
        <w:rPr>
          <w:sz w:val="20"/>
          <w:szCs w:val="20"/>
          <w:color w:val="auto"/>
        </w:rPr>
      </w:pPr>
      <w:r>
        <w:rPr>
          <w:rFonts w:ascii="Arial" w:cs="Arial" w:eastAsia="Arial" w:hAnsi="Arial"/>
          <w:sz w:val="22"/>
          <w:szCs w:val="22"/>
          <w:color w:val="auto"/>
        </w:rPr>
        <w:t>The Committee will provide or make available detailed information to Participants regarding the value of Plan Accounts, distribution elections, Beneficiary designations, Investment Fund allocations and credited values for Class Year, Retirement and Special Purpose Accounts, not less than once per year. Such information may be provided via electronic media as determined by the Committee.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 - DISTRIBUTION OF ACCOUNTS</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6.1 - Timing of Plan Distributions</w:t>
      </w:r>
    </w:p>
    <w:p>
      <w:pPr>
        <w:spacing w:after="0" w:line="200" w:lineRule="exact"/>
        <w:rPr>
          <w:sz w:val="20"/>
          <w:szCs w:val="20"/>
          <w:color w:val="auto"/>
        </w:rPr>
      </w:pPr>
    </w:p>
    <w:p>
      <w:pPr>
        <w:spacing w:after="0" w:line="350" w:lineRule="exact"/>
        <w:rPr>
          <w:sz w:val="20"/>
          <w:szCs w:val="20"/>
          <w:color w:val="auto"/>
        </w:rPr>
      </w:pPr>
    </w:p>
    <w:p>
      <w:pPr>
        <w:jc w:val="both"/>
        <w:ind w:left="500" w:right="120" w:firstLine="486"/>
        <w:spacing w:after="0" w:line="352" w:lineRule="auto"/>
        <w:rPr>
          <w:sz w:val="20"/>
          <w:szCs w:val="20"/>
          <w:color w:val="auto"/>
        </w:rPr>
      </w:pPr>
      <w:r>
        <w:rPr>
          <w:rFonts w:ascii="Arial" w:cs="Arial" w:eastAsia="Arial" w:hAnsi="Arial"/>
          <w:sz w:val="22"/>
          <w:szCs w:val="22"/>
          <w:color w:val="auto"/>
        </w:rPr>
        <w:t>The value of a Participant’s Retirement Account will be distributed (or begin to be distributed) in April of the calendar year following the Retirement Date. The value of a Participant’s Special Purpose Account will be distributed (or begin to be distributed) in April of the specified year. This means, for example, that if a deferral election specifies a Deferral Period until 2015, distribution will occur in April of 2015.</w:t>
      </w:r>
    </w:p>
    <w:p>
      <w:pPr>
        <w:spacing w:after="0" w:line="200" w:lineRule="exact"/>
        <w:rPr>
          <w:sz w:val="20"/>
          <w:szCs w:val="20"/>
          <w:color w:val="auto"/>
        </w:rPr>
      </w:pPr>
    </w:p>
    <w:p>
      <w:pPr>
        <w:spacing w:after="0" w:line="207" w:lineRule="exact"/>
        <w:rPr>
          <w:sz w:val="20"/>
          <w:szCs w:val="20"/>
          <w:color w:val="auto"/>
        </w:rPr>
      </w:pPr>
    </w:p>
    <w:p>
      <w:pPr>
        <w:ind w:left="500" w:firstLine="486"/>
        <w:spacing w:after="0" w:line="352" w:lineRule="auto"/>
        <w:rPr>
          <w:sz w:val="20"/>
          <w:szCs w:val="20"/>
          <w:color w:val="auto"/>
        </w:rPr>
      </w:pPr>
      <w:r>
        <w:rPr>
          <w:rFonts w:ascii="Arial" w:cs="Arial" w:eastAsia="Arial" w:hAnsi="Arial"/>
          <w:sz w:val="22"/>
          <w:szCs w:val="22"/>
          <w:color w:val="auto"/>
        </w:rPr>
        <w:t>The value of a Participant’s Class Year Account will be distributed (or begin to be distributed) in April of the last year of the Deferral Period. Upon Retirement, the value of a Participant's Class Year Account will be distributed (or begin to be distributed) in April next following the Retirement Date, or in April of the calendar year following the Retirement Date, as elected.</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6.2 - Method of Distribution</w:t>
      </w:r>
    </w:p>
    <w:p>
      <w:pPr>
        <w:spacing w:after="0" w:line="200" w:lineRule="exact"/>
        <w:rPr>
          <w:sz w:val="20"/>
          <w:szCs w:val="20"/>
          <w:color w:val="auto"/>
        </w:rPr>
      </w:pPr>
    </w:p>
    <w:p>
      <w:pPr>
        <w:spacing w:after="0" w:line="350" w:lineRule="exact"/>
        <w:rPr>
          <w:sz w:val="20"/>
          <w:szCs w:val="20"/>
          <w:color w:val="auto"/>
        </w:rPr>
      </w:pPr>
    </w:p>
    <w:p>
      <w:pPr>
        <w:jc w:val="both"/>
        <w:ind w:left="500" w:right="80" w:firstLine="486"/>
        <w:spacing w:after="0" w:line="462" w:lineRule="auto"/>
        <w:rPr>
          <w:sz w:val="20"/>
          <w:szCs w:val="20"/>
          <w:color w:val="auto"/>
        </w:rPr>
      </w:pPr>
      <w:r>
        <w:rPr>
          <w:rFonts w:ascii="Arial" w:cs="Arial" w:eastAsia="Arial" w:hAnsi="Arial"/>
          <w:sz w:val="19"/>
          <w:szCs w:val="19"/>
          <w:color w:val="auto"/>
        </w:rPr>
        <w:t>Each Class Year, Retirement and Special Purpose Account will be distributed in a single lump-sum cash payment, or in a series of annual cash installment payments, in accordance with the Participant’s election with respect to each such Account.</w:t>
      </w:r>
    </w:p>
    <w:p>
      <w:pPr>
        <w:sectPr>
          <w:pgSz w:w="11900" w:h="16838" w:orient="portrait"/>
          <w:cols w:equalWidth="0" w:num="1">
            <w:col w:w="11420"/>
          </w:cols>
          <w:pgMar w:left="240" w:top="639"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auto"/>
        </w:rPr>
        <w:t>Section 6.3 - Termination of Employment</w:t>
      </w:r>
    </w:p>
    <w:p>
      <w:pPr>
        <w:spacing w:after="0" w:line="200" w:lineRule="exact"/>
        <w:rPr>
          <w:sz w:val="20"/>
          <w:szCs w:val="20"/>
          <w:color w:val="auto"/>
        </w:rPr>
      </w:pPr>
    </w:p>
    <w:p>
      <w:pPr>
        <w:spacing w:after="0" w:line="350" w:lineRule="exact"/>
        <w:rPr>
          <w:sz w:val="20"/>
          <w:szCs w:val="20"/>
          <w:color w:val="auto"/>
        </w:rPr>
      </w:pPr>
    </w:p>
    <w:p>
      <w:pPr>
        <w:ind w:right="140" w:firstLine="486"/>
        <w:spacing w:after="0" w:line="352" w:lineRule="auto"/>
        <w:rPr>
          <w:sz w:val="20"/>
          <w:szCs w:val="20"/>
          <w:color w:val="auto"/>
        </w:rPr>
      </w:pPr>
      <w:r>
        <w:rPr>
          <w:rFonts w:ascii="Arial" w:cs="Arial" w:eastAsia="Arial" w:hAnsi="Arial"/>
          <w:sz w:val="22"/>
          <w:szCs w:val="22"/>
          <w:color w:val="auto"/>
        </w:rPr>
        <w:t>In the event of termination of employment prior to a Participant’s Retirement Date, during or after the Deferral Period with respect to any Class Year, Retirement or Special Purpose Account, the full value of the Participant’s Plan Accounts will be distributed in a lump-sum cash payment in April following the date of termination, regardless of the distribution option elected.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6.4 - Distribution in the Event of Death</w:t>
      </w:r>
    </w:p>
    <w:p>
      <w:pPr>
        <w:spacing w:after="0" w:line="200" w:lineRule="exact"/>
        <w:rPr>
          <w:sz w:val="20"/>
          <w:szCs w:val="20"/>
          <w:color w:val="auto"/>
        </w:rPr>
      </w:pPr>
    </w:p>
    <w:p>
      <w:pPr>
        <w:spacing w:after="0" w:line="350" w:lineRule="exact"/>
        <w:rPr>
          <w:sz w:val="20"/>
          <w:szCs w:val="20"/>
          <w:color w:val="auto"/>
        </w:rPr>
      </w:pPr>
    </w:p>
    <w:p>
      <w:pPr>
        <w:ind w:right="200" w:firstLine="486"/>
        <w:spacing w:after="0" w:line="356" w:lineRule="auto"/>
        <w:rPr>
          <w:sz w:val="20"/>
          <w:szCs w:val="20"/>
          <w:color w:val="auto"/>
        </w:rPr>
      </w:pPr>
      <w:r>
        <w:rPr>
          <w:rFonts w:ascii="Arial" w:cs="Arial" w:eastAsia="Arial" w:hAnsi="Arial"/>
          <w:sz w:val="22"/>
          <w:szCs w:val="22"/>
          <w:color w:val="auto"/>
        </w:rPr>
        <w:t>In the event of the death of a Participant prior to attaining eligibility for Retirement, and before the end of the Deferral Period with respect to any Plan Account, the full value of such Plan Accounts will be distributed to the designated Beneficiary in a lump sum as soon as administratively feasible.</w:t>
      </w:r>
    </w:p>
    <w:p>
      <w:pPr>
        <w:spacing w:after="0" w:line="400" w:lineRule="exact"/>
        <w:rPr>
          <w:sz w:val="20"/>
          <w:szCs w:val="20"/>
          <w:color w:val="auto"/>
        </w:rPr>
      </w:pPr>
    </w:p>
    <w:p>
      <w:pPr>
        <w:ind w:right="380" w:firstLine="486"/>
        <w:spacing w:after="0" w:line="356" w:lineRule="auto"/>
        <w:rPr>
          <w:sz w:val="20"/>
          <w:szCs w:val="20"/>
          <w:color w:val="auto"/>
        </w:rPr>
      </w:pPr>
      <w:r>
        <w:rPr>
          <w:rFonts w:ascii="Arial" w:cs="Arial" w:eastAsia="Arial" w:hAnsi="Arial"/>
          <w:sz w:val="22"/>
          <w:szCs w:val="22"/>
          <w:color w:val="auto"/>
        </w:rPr>
        <w:t>In the event of the death of a Participant prior to attaining eligibility for Retirement, but after the end of the Deferral Period with respect to any Plan Account, the full value of such Plan Accounts will be distributed to the designated Beneficiary in accordance with the Participant’s distribution election on file.</w:t>
      </w:r>
    </w:p>
    <w:p>
      <w:pPr>
        <w:spacing w:after="0" w:line="400" w:lineRule="exact"/>
        <w:rPr>
          <w:sz w:val="20"/>
          <w:szCs w:val="20"/>
          <w:color w:val="auto"/>
        </w:rPr>
      </w:pPr>
    </w:p>
    <w:p>
      <w:pPr>
        <w:ind w:right="420" w:firstLine="486"/>
        <w:spacing w:after="0" w:line="462" w:lineRule="auto"/>
        <w:rPr>
          <w:sz w:val="20"/>
          <w:szCs w:val="20"/>
          <w:color w:val="auto"/>
        </w:rPr>
      </w:pPr>
      <w:r>
        <w:rPr>
          <w:rFonts w:ascii="Arial" w:cs="Arial" w:eastAsia="Arial" w:hAnsi="Arial"/>
          <w:sz w:val="19"/>
          <w:szCs w:val="19"/>
          <w:color w:val="auto"/>
        </w:rPr>
        <w:t>In the event of death of a Participant after attaining eligibility for Retirement, the full value of the Participant’s Plan Accounts will be distributed to the Beneficiary in accordance with the Participant’s distribution elections on file.</w:t>
      </w:r>
    </w:p>
    <w:p>
      <w:pPr>
        <w:spacing w:after="0" w:line="320" w:lineRule="exact"/>
        <w:rPr>
          <w:sz w:val="20"/>
          <w:szCs w:val="20"/>
          <w:color w:val="auto"/>
        </w:rPr>
      </w:pPr>
    </w:p>
    <w:p>
      <w:pPr>
        <w:ind w:right="460" w:firstLine="486"/>
        <w:spacing w:after="0" w:line="366" w:lineRule="auto"/>
        <w:rPr>
          <w:sz w:val="20"/>
          <w:szCs w:val="20"/>
          <w:color w:val="auto"/>
        </w:rPr>
      </w:pPr>
      <w:r>
        <w:rPr>
          <w:rFonts w:ascii="Arial" w:cs="Arial" w:eastAsia="Arial" w:hAnsi="Arial"/>
          <w:sz w:val="22"/>
          <w:szCs w:val="22"/>
          <w:color w:val="auto"/>
        </w:rPr>
        <w:t>If the Beneficiary is the Participant's estate, the full value of the Participant’s Plan Accounts will be paid in a single lump sum as soon as administratively feasible following the Participant’s date of death.</w:t>
      </w:r>
    </w:p>
    <w:p>
      <w:pPr>
        <w:spacing w:after="0" w:line="390" w:lineRule="exact"/>
        <w:rPr>
          <w:sz w:val="20"/>
          <w:szCs w:val="20"/>
          <w:color w:val="auto"/>
        </w:rPr>
      </w:pPr>
    </w:p>
    <w:p>
      <w:pPr>
        <w:ind w:firstLine="486"/>
        <w:spacing w:after="0" w:line="356" w:lineRule="auto"/>
        <w:rPr>
          <w:sz w:val="20"/>
          <w:szCs w:val="20"/>
          <w:color w:val="auto"/>
        </w:rPr>
      </w:pPr>
      <w:r>
        <w:rPr>
          <w:rFonts w:ascii="Arial" w:cs="Arial" w:eastAsia="Arial" w:hAnsi="Arial"/>
          <w:sz w:val="22"/>
          <w:szCs w:val="22"/>
          <w:color w:val="auto"/>
        </w:rPr>
        <w:t>In the event of the death of the Beneficiary (and any contingent Beneficiary) while receiving distributions from the Plan, the full value of the applicable Plan Accounts will be paid in a single lump sum to such Beneficiary’s estate as soon as administratively feasible.</w:t>
      </w:r>
    </w:p>
    <w:p>
      <w:pPr>
        <w:sectPr>
          <w:pgSz w:w="11900" w:h="16838" w:orient="portrait"/>
          <w:cols w:equalWidth="0" w:num="1">
            <w:col w:w="10900"/>
          </w:cols>
          <w:pgMar w:left="740" w:top="639" w:right="25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Section 6.5 - Hardship Distribution</w:t>
      </w:r>
    </w:p>
    <w:p>
      <w:pPr>
        <w:spacing w:after="0" w:line="200" w:lineRule="exact"/>
        <w:rPr>
          <w:sz w:val="20"/>
          <w:szCs w:val="20"/>
          <w:color w:val="auto"/>
        </w:rPr>
      </w:pPr>
    </w:p>
    <w:p>
      <w:pPr>
        <w:spacing w:after="0" w:line="350" w:lineRule="exact"/>
        <w:rPr>
          <w:sz w:val="20"/>
          <w:szCs w:val="20"/>
          <w:color w:val="auto"/>
        </w:rPr>
      </w:pPr>
    </w:p>
    <w:p>
      <w:pPr>
        <w:ind w:firstLine="486"/>
        <w:spacing w:after="0" w:line="366" w:lineRule="auto"/>
        <w:rPr>
          <w:sz w:val="20"/>
          <w:szCs w:val="20"/>
          <w:color w:val="auto"/>
        </w:rPr>
      </w:pPr>
      <w:r>
        <w:rPr>
          <w:rFonts w:ascii="Arial" w:cs="Arial" w:eastAsia="Arial" w:hAnsi="Arial"/>
          <w:sz w:val="21"/>
          <w:szCs w:val="21"/>
          <w:color w:val="auto"/>
        </w:rPr>
        <w:t>The Committee may, in its sole discretion, upon finding that the Participant (or Beneficiary in the event of a Participant's death) has suffered an unforeseen, severe and immediate financial emergency, permit such Participant to withdraw a portion of the value of the Participant’s Plan Accounts in an amount sufficient to eliminate the hardship. Financial hardship distributions will be made only if the Committee determines that the Participant is unable to resolve the financial emergency through other means reasonably available to the Participant. Financial hardship distributions will be made following the Committee’s determination of a qualifying financial emergency on the basis of the value of the Participant’s Plan Accounts as of the most recent date available. The Committee will determine from which Special Purpose, Retirement or Class Year Accounts and associated Investment Funds hardship distributions will be made. Any Participant who is an officer or director of the Corporation within the meaning of Section 16 of the Securities Exchange Act of 1934 is not eligible for financial hardship distributions.</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6.6 - Disability</w:t>
      </w:r>
    </w:p>
    <w:p>
      <w:pPr>
        <w:spacing w:after="0" w:line="200" w:lineRule="exact"/>
        <w:rPr>
          <w:sz w:val="20"/>
          <w:szCs w:val="20"/>
          <w:color w:val="auto"/>
        </w:rPr>
      </w:pPr>
    </w:p>
    <w:p>
      <w:pPr>
        <w:spacing w:after="0" w:line="350" w:lineRule="exact"/>
        <w:rPr>
          <w:sz w:val="20"/>
          <w:szCs w:val="20"/>
          <w:color w:val="auto"/>
        </w:rPr>
      </w:pPr>
    </w:p>
    <w:p>
      <w:pPr>
        <w:ind w:right="480" w:firstLine="486"/>
        <w:spacing w:after="0" w:line="462" w:lineRule="auto"/>
        <w:rPr>
          <w:sz w:val="20"/>
          <w:szCs w:val="20"/>
          <w:color w:val="auto"/>
        </w:rPr>
      </w:pPr>
      <w:r>
        <w:rPr>
          <w:rFonts w:ascii="Arial" w:cs="Arial" w:eastAsia="Arial" w:hAnsi="Arial"/>
          <w:sz w:val="19"/>
          <w:szCs w:val="19"/>
          <w:color w:val="auto"/>
        </w:rPr>
        <w:t>In the event of the disability of a Participant, as determined under the Corporation’s Long Term Disability Plan, the Participant’s Plan Accounts will be maintained and distributed in accordance with the Participant’s elections on file.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6.7 - Distribution from Supplemental Account</w:t>
      </w:r>
    </w:p>
    <w:p>
      <w:pPr>
        <w:spacing w:after="0" w:line="200" w:lineRule="exact"/>
        <w:rPr>
          <w:sz w:val="20"/>
          <w:szCs w:val="20"/>
          <w:color w:val="auto"/>
        </w:rPr>
      </w:pPr>
    </w:p>
    <w:p>
      <w:pPr>
        <w:spacing w:after="0" w:line="350" w:lineRule="exact"/>
        <w:rPr>
          <w:sz w:val="20"/>
          <w:szCs w:val="20"/>
          <w:color w:val="auto"/>
        </w:rPr>
      </w:pPr>
    </w:p>
    <w:p>
      <w:pPr>
        <w:ind w:right="100" w:firstLine="459"/>
        <w:spacing w:after="0" w:line="370" w:lineRule="auto"/>
        <w:rPr>
          <w:sz w:val="20"/>
          <w:szCs w:val="20"/>
          <w:color w:val="auto"/>
        </w:rPr>
      </w:pPr>
      <w:r>
        <w:rPr>
          <w:rFonts w:ascii="Arial" w:cs="Arial" w:eastAsia="Arial" w:hAnsi="Arial"/>
          <w:sz w:val="21"/>
          <w:szCs w:val="21"/>
          <w:color w:val="auto"/>
        </w:rPr>
        <w:t>The Committee will effect distributions from supplemental retirement plans with respect to Benefit Reductions incurred in any of the Corporation’s defined benefit pension plans at the same time, in the same manner and in the required amounts such that when combined with benefits provided by the defined benefit pension plans in which a Participant incurred a Benefit Reduction, the total amount received by a Participant (or Beneficiary) will equal the amount of pension benefit that would otherwise have been paid had the Participant not participated in this Plan.</w:t>
      </w:r>
    </w:p>
    <w:p>
      <w:pPr>
        <w:spacing w:after="0" w:line="394" w:lineRule="exact"/>
        <w:rPr>
          <w:sz w:val="20"/>
          <w:szCs w:val="20"/>
          <w:color w:val="auto"/>
        </w:rPr>
      </w:pPr>
    </w:p>
    <w:p>
      <w:pPr>
        <w:ind w:right="120" w:firstLine="459"/>
        <w:spacing w:after="0" w:line="356" w:lineRule="auto"/>
        <w:rPr>
          <w:sz w:val="20"/>
          <w:szCs w:val="20"/>
          <w:color w:val="auto"/>
        </w:rPr>
      </w:pPr>
      <w:r>
        <w:rPr>
          <w:rFonts w:ascii="Arial" w:cs="Arial" w:eastAsia="Arial" w:hAnsi="Arial"/>
          <w:sz w:val="22"/>
          <w:szCs w:val="22"/>
          <w:color w:val="auto"/>
        </w:rPr>
        <w:t>At the end of each calendar year, the Committee will determine if any Benefit Reduction has been incurred with respect to any of the Corporation’s savings plans or other tax qualified defined contribution retirement plans, and will credit the amount of such Benefit Reduction to the affected</w:t>
      </w:r>
    </w:p>
    <w:p>
      <w:pPr>
        <w:sectPr>
          <w:pgSz w:w="11900" w:h="16838" w:orient="portrait"/>
          <w:cols w:equalWidth="0" w:num="1">
            <w:col w:w="10920"/>
          </w:cols>
          <w:pgMar w:left="740" w:top="639" w:right="239" w:bottom="1440" w:gutter="0" w:footer="0" w:header="0"/>
        </w:sectPr>
      </w:pPr>
    </w:p>
    <w:bookmarkStart w:id="86" w:name="page87"/>
    <w:bookmarkEnd w:id="86"/>
    <w:p>
      <w:pPr>
        <w:ind w:left="500" w:right="80"/>
        <w:spacing w:after="0" w:line="356" w:lineRule="auto"/>
        <w:rPr>
          <w:sz w:val="20"/>
          <w:szCs w:val="20"/>
          <w:color w:val="auto"/>
        </w:rPr>
      </w:pPr>
      <w:r>
        <w:rPr>
          <w:rFonts w:ascii="Arial" w:cs="Arial" w:eastAsia="Arial" w:hAnsi="Arial"/>
          <w:sz w:val="22"/>
          <w:szCs w:val="22"/>
          <w:color w:val="auto"/>
        </w:rPr>
        <w:t>Participant’s Plan Accounts as of the last business day of the calendar year. Any such amounts will be allocated on a pro-rata basis to the Participant’s Plan Accounts and Investment Funds in accordance with the Participant’s deferral elections on file for that calendar year.</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 - AMENDMENT AND TERMINATION OF PLAN</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7.1 - Amendment</w:t>
      </w:r>
    </w:p>
    <w:p>
      <w:pPr>
        <w:spacing w:after="0" w:line="200" w:lineRule="exact"/>
        <w:rPr>
          <w:sz w:val="20"/>
          <w:szCs w:val="20"/>
          <w:color w:val="auto"/>
        </w:rPr>
      </w:pPr>
    </w:p>
    <w:p>
      <w:pPr>
        <w:spacing w:after="0" w:line="350" w:lineRule="exact"/>
        <w:rPr>
          <w:sz w:val="20"/>
          <w:szCs w:val="20"/>
          <w:color w:val="auto"/>
        </w:rPr>
      </w:pPr>
    </w:p>
    <w:p>
      <w:pPr>
        <w:ind w:left="500" w:right="140" w:firstLine="486"/>
        <w:spacing w:after="0" w:line="350" w:lineRule="auto"/>
        <w:rPr>
          <w:sz w:val="20"/>
          <w:szCs w:val="20"/>
          <w:color w:val="auto"/>
        </w:rPr>
      </w:pPr>
      <w:r>
        <w:rPr>
          <w:rFonts w:ascii="Arial" w:cs="Arial" w:eastAsia="Arial" w:hAnsi="Arial"/>
          <w:sz w:val="22"/>
          <w:szCs w:val="22"/>
          <w:color w:val="auto"/>
        </w:rPr>
        <w:t>The Corporation may, at any time, amend the Plan in whole or in part, provided that no amendment may decrease the value of any Plan Accounts as of the date of such amendment. In the event of any change in law or regulation relating to the Plan and the tax treatment of Plan Accounts, the Plan shall, without further action by the Committee, be deemed to be amended to comply with any such change in law or regulation effective the first date necessary to prevent the taxation, constructive receipt or deemed distribution of Plan Accounts prior to the date Plan Accounts would be distributed under the provisions of Article VI.</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7.2 - Plan Suspension and Termination</w:t>
      </w:r>
    </w:p>
    <w:p>
      <w:pPr>
        <w:spacing w:after="0" w:line="200" w:lineRule="exact"/>
        <w:rPr>
          <w:sz w:val="20"/>
          <w:szCs w:val="20"/>
          <w:color w:val="auto"/>
        </w:rPr>
      </w:pPr>
    </w:p>
    <w:p>
      <w:pPr>
        <w:spacing w:after="0" w:line="350" w:lineRule="exact"/>
        <w:rPr>
          <w:sz w:val="20"/>
          <w:szCs w:val="20"/>
          <w:color w:val="auto"/>
        </w:rPr>
      </w:pPr>
    </w:p>
    <w:p>
      <w:pPr>
        <w:ind w:left="500" w:firstLine="486"/>
        <w:spacing w:after="0" w:line="349" w:lineRule="auto"/>
        <w:rPr>
          <w:sz w:val="20"/>
          <w:szCs w:val="20"/>
          <w:color w:val="auto"/>
        </w:rPr>
      </w:pPr>
      <w:r>
        <w:rPr>
          <w:rFonts w:ascii="Arial" w:cs="Arial" w:eastAsia="Arial" w:hAnsi="Arial"/>
          <w:sz w:val="22"/>
          <w:szCs w:val="22"/>
          <w:color w:val="auto"/>
        </w:rPr>
        <w:t>The Corporation’s Pension Administration Committee, may, at any time, suspend or terminate the Plan with respect to new or existing Election Forms if, in its sole judgment, the continuance of the Plan, the tax, accounting, or other effects thereof, or potential payments hereunder would not be in the best interest of the Corporation or for any other reason. In the event of the suspension of the Plan, no additional deferral shall be made under the Plan, but all previous deferrals shall accumulate and be distributed in accordance with the otherwise applicable provisions of the Plan and the applicable elections on file. In the event of the termination of the Plan, each Participant will receive, in a lump-sum cash payment, the value of his or her Plan Accounts.</w:t>
      </w: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7.3 - No Consent Required</w:t>
      </w:r>
    </w:p>
    <w:p>
      <w:pPr>
        <w:spacing w:after="0" w:line="200" w:lineRule="exact"/>
        <w:rPr>
          <w:sz w:val="20"/>
          <w:szCs w:val="20"/>
          <w:color w:val="auto"/>
        </w:rPr>
      </w:pPr>
    </w:p>
    <w:p>
      <w:pPr>
        <w:spacing w:after="0" w:line="350" w:lineRule="exact"/>
        <w:rPr>
          <w:sz w:val="20"/>
          <w:szCs w:val="20"/>
          <w:color w:val="auto"/>
        </w:rPr>
      </w:pPr>
    </w:p>
    <w:p>
      <w:pPr>
        <w:ind w:left="500" w:right="580" w:firstLine="486"/>
        <w:spacing w:after="0" w:line="366" w:lineRule="auto"/>
        <w:rPr>
          <w:sz w:val="20"/>
          <w:szCs w:val="20"/>
          <w:color w:val="auto"/>
        </w:rPr>
      </w:pPr>
      <w:r>
        <w:rPr>
          <w:rFonts w:ascii="Arial" w:cs="Arial" w:eastAsia="Arial" w:hAnsi="Arial"/>
          <w:sz w:val="22"/>
          <w:szCs w:val="22"/>
          <w:color w:val="auto"/>
        </w:rPr>
        <w:t>The consent of any Participant, Beneficiary, or other person shall not be required with respect to any amendment, suspension, or termination of the Plan.</w:t>
      </w:r>
    </w:p>
    <w:p>
      <w:pPr>
        <w:sectPr>
          <w:pgSz w:w="11900" w:h="16838" w:orient="portrait"/>
          <w:cols w:equalWidth="0" w:num="1">
            <w:col w:w="11360"/>
          </w:cols>
          <w:pgMar w:left="240" w:top="645" w:right="299" w:bottom="1440" w:gutter="0" w:footer="0" w:header="0"/>
        </w:sectPr>
      </w:pPr>
    </w:p>
    <w:bookmarkStart w:id="87" w:name="page88"/>
    <w:bookmarkEnd w:id="87"/>
    <w:p>
      <w:pPr>
        <w:ind w:left="500"/>
        <w:spacing w:after="0"/>
        <w:rPr>
          <w:sz w:val="20"/>
          <w:szCs w:val="20"/>
          <w:color w:val="auto"/>
        </w:rPr>
      </w:pPr>
      <w:r>
        <w:rPr>
          <w:rFonts w:ascii="Arial" w:cs="Arial" w:eastAsia="Arial" w:hAnsi="Arial"/>
          <w:sz w:val="22"/>
          <w:szCs w:val="22"/>
          <w:b w:val="1"/>
          <w:bCs w:val="1"/>
          <w:u w:val="single" w:color="auto"/>
          <w:color w:val="auto"/>
        </w:rPr>
        <w:t>ARTICLE VIII - GENERAL PROVISIONS</w:t>
      </w:r>
    </w:p>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8.1 - Unsecured General Creditor</w:t>
      </w:r>
    </w:p>
    <w:p>
      <w:pPr>
        <w:spacing w:after="0" w:line="200" w:lineRule="exact"/>
        <w:rPr>
          <w:sz w:val="20"/>
          <w:szCs w:val="20"/>
          <w:color w:val="auto"/>
        </w:rPr>
      </w:pPr>
    </w:p>
    <w:p>
      <w:pPr>
        <w:spacing w:after="0" w:line="350" w:lineRule="exact"/>
        <w:rPr>
          <w:sz w:val="20"/>
          <w:szCs w:val="20"/>
          <w:color w:val="auto"/>
        </w:rPr>
      </w:pPr>
    </w:p>
    <w:p>
      <w:pPr>
        <w:ind w:left="500" w:right="60" w:firstLine="486"/>
        <w:spacing w:after="0" w:line="352" w:lineRule="auto"/>
        <w:rPr>
          <w:sz w:val="20"/>
          <w:szCs w:val="20"/>
          <w:color w:val="auto"/>
        </w:rPr>
      </w:pPr>
      <w:r>
        <w:rPr>
          <w:rFonts w:ascii="Arial" w:cs="Arial" w:eastAsia="Arial" w:hAnsi="Arial"/>
          <w:sz w:val="22"/>
          <w:szCs w:val="22"/>
          <w:color w:val="auto"/>
        </w:rPr>
        <w:t>The Corporation’s obligations under the Plan constitute an unfunded and unsecured promise to pay money in the future. Participants’ and Beneficiaries’ rights under the Plan are solely those of a general unsecured creditor of the Corporation. No assets will be placed in trust, set aside or otherwise segregated to fund or offset liabilities in respect of the Plan or Participants’ Plan Accounts.</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8.2 - Nonassignability</w:t>
      </w:r>
    </w:p>
    <w:p>
      <w:pPr>
        <w:spacing w:after="0" w:line="200" w:lineRule="exact"/>
        <w:rPr>
          <w:sz w:val="20"/>
          <w:szCs w:val="20"/>
          <w:color w:val="auto"/>
        </w:rPr>
      </w:pPr>
    </w:p>
    <w:p>
      <w:pPr>
        <w:spacing w:after="0" w:line="350" w:lineRule="exact"/>
        <w:rPr>
          <w:sz w:val="20"/>
          <w:szCs w:val="20"/>
          <w:color w:val="auto"/>
        </w:rPr>
      </w:pPr>
    </w:p>
    <w:p>
      <w:pPr>
        <w:ind w:left="500" w:firstLine="486"/>
        <w:spacing w:after="0" w:line="370" w:lineRule="auto"/>
        <w:rPr>
          <w:sz w:val="20"/>
          <w:szCs w:val="20"/>
          <w:color w:val="auto"/>
        </w:rPr>
      </w:pPr>
      <w:r>
        <w:rPr>
          <w:rFonts w:ascii="Arial" w:cs="Arial" w:eastAsia="Arial" w:hAnsi="Arial"/>
          <w:sz w:val="21"/>
          <w:szCs w:val="21"/>
          <w:color w:val="auto"/>
        </w:rPr>
        <w:t>No Participant or Beneficiary or any other person shall have right to sell, assign, transfer, pledge, or otherwise encumber any interest in the Plan. All Plan Accounts and the rights to all payments are unassignable and non-transferable. Plan Accounts or payment hereunder, prior to actual payment, will not be subject to attachment or seizure for the payment of any debts, judgments or other obligations. Plan Accounts or other Plan benefit will not be transferred by operation of law in the event of a Participant’s or any Beneficiary’s bankruptcy or insolvency.</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8.3 - No Contract of Employment</w:t>
      </w:r>
    </w:p>
    <w:p>
      <w:pPr>
        <w:spacing w:after="0" w:line="200" w:lineRule="exact"/>
        <w:rPr>
          <w:sz w:val="20"/>
          <w:szCs w:val="20"/>
          <w:color w:val="auto"/>
        </w:rPr>
      </w:pPr>
    </w:p>
    <w:p>
      <w:pPr>
        <w:spacing w:after="0" w:line="350" w:lineRule="exact"/>
        <w:rPr>
          <w:sz w:val="20"/>
          <w:szCs w:val="20"/>
          <w:color w:val="auto"/>
        </w:rPr>
      </w:pPr>
    </w:p>
    <w:p>
      <w:pPr>
        <w:ind w:left="500" w:right="40" w:firstLine="486"/>
        <w:spacing w:after="0" w:line="415" w:lineRule="auto"/>
        <w:rPr>
          <w:sz w:val="20"/>
          <w:szCs w:val="20"/>
          <w:color w:val="auto"/>
        </w:rPr>
      </w:pPr>
      <w:r>
        <w:rPr>
          <w:rFonts w:ascii="Arial" w:cs="Arial" w:eastAsia="Arial" w:hAnsi="Arial"/>
          <w:sz w:val="19"/>
          <w:szCs w:val="19"/>
          <w:color w:val="auto"/>
        </w:rPr>
        <w:t>Participation in the Plan shall not be construed to constitute a direct or indirect contract of employment between the Corporation and the Participant. Participants and Beneficiaries will have no rights against the Corporation resulting from participation in the Plan other than as specifically provided herein. Nothing in the Plan shall be deemed to give a Participant the right to be retained in the service of the Corporation for any length of time or to interfere with the right of the Corporation to terminate a Participant’s employment prior to the end of any Deferral Period.</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Section 8.4 - Governing Law</w:t>
      </w:r>
    </w:p>
    <w:p>
      <w:pPr>
        <w:spacing w:after="0" w:line="200" w:lineRule="exact"/>
        <w:rPr>
          <w:sz w:val="20"/>
          <w:szCs w:val="20"/>
          <w:color w:val="auto"/>
        </w:rPr>
      </w:pPr>
    </w:p>
    <w:p>
      <w:pPr>
        <w:spacing w:after="0" w:line="350" w:lineRule="exact"/>
        <w:rPr>
          <w:sz w:val="20"/>
          <w:szCs w:val="20"/>
          <w:color w:val="auto"/>
        </w:rPr>
      </w:pPr>
    </w:p>
    <w:p>
      <w:pPr>
        <w:ind w:left="500" w:right="380" w:firstLine="486"/>
        <w:spacing w:after="0" w:line="366" w:lineRule="auto"/>
        <w:rPr>
          <w:sz w:val="20"/>
          <w:szCs w:val="20"/>
          <w:color w:val="auto"/>
        </w:rPr>
      </w:pPr>
      <w:r>
        <w:rPr>
          <w:rFonts w:ascii="Arial" w:cs="Arial" w:eastAsia="Arial" w:hAnsi="Arial"/>
          <w:sz w:val="22"/>
          <w:szCs w:val="22"/>
          <w:color w:val="auto"/>
        </w:rPr>
        <w:t>The provisions of the Plan will be construed and interpreted according to the laws of the State of Connecticut, to the extent not preempted by federal law.</w:t>
      </w:r>
    </w:p>
    <w:p>
      <w:pPr>
        <w:sectPr>
          <w:pgSz w:w="11900" w:h="16838" w:orient="portrait"/>
          <w:cols w:equalWidth="0" w:num="1">
            <w:col w:w="11400"/>
          </w:cols>
          <w:pgMar w:left="240" w:top="639" w:right="25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Section 8.5 - Validity</w:t>
      </w:r>
    </w:p>
    <w:p>
      <w:pPr>
        <w:spacing w:after="0" w:line="200" w:lineRule="exact"/>
        <w:rPr>
          <w:sz w:val="20"/>
          <w:szCs w:val="20"/>
          <w:color w:val="auto"/>
        </w:rPr>
      </w:pPr>
    </w:p>
    <w:p>
      <w:pPr>
        <w:spacing w:after="0" w:line="350" w:lineRule="exact"/>
        <w:rPr>
          <w:sz w:val="20"/>
          <w:szCs w:val="20"/>
          <w:color w:val="auto"/>
        </w:rPr>
      </w:pPr>
    </w:p>
    <w:p>
      <w:pPr>
        <w:ind w:right="280" w:firstLine="486"/>
        <w:spacing w:after="0" w:line="366" w:lineRule="auto"/>
        <w:rPr>
          <w:sz w:val="20"/>
          <w:szCs w:val="20"/>
          <w:color w:val="auto"/>
        </w:rPr>
      </w:pPr>
      <w:r>
        <w:rPr>
          <w:rFonts w:ascii="Arial" w:cs="Arial" w:eastAsia="Arial" w:hAnsi="Arial"/>
          <w:sz w:val="22"/>
          <w:szCs w:val="22"/>
          <w:color w:val="auto"/>
        </w:rPr>
        <w:t>If any provision of the Plan is held to be illegal or invalid for any reason, the remaining provisions of the Plan will be construed and enforced as if such illegal and invalid provision had never been inserted herein.</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8.6 - Notice</w:t>
      </w:r>
    </w:p>
    <w:p>
      <w:pPr>
        <w:spacing w:after="0" w:line="200" w:lineRule="exact"/>
        <w:rPr>
          <w:sz w:val="20"/>
          <w:szCs w:val="20"/>
          <w:color w:val="auto"/>
        </w:rPr>
      </w:pPr>
    </w:p>
    <w:p>
      <w:pPr>
        <w:spacing w:after="0" w:line="350" w:lineRule="exact"/>
        <w:rPr>
          <w:sz w:val="20"/>
          <w:szCs w:val="20"/>
          <w:color w:val="auto"/>
        </w:rPr>
      </w:pPr>
    </w:p>
    <w:p>
      <w:pPr>
        <w:ind w:right="20" w:firstLine="486"/>
        <w:spacing w:after="0" w:line="349" w:lineRule="auto"/>
        <w:rPr>
          <w:sz w:val="20"/>
          <w:szCs w:val="20"/>
          <w:color w:val="auto"/>
        </w:rPr>
      </w:pPr>
      <w:r>
        <w:rPr>
          <w:rFonts w:ascii="Arial" w:cs="Arial" w:eastAsia="Arial" w:hAnsi="Arial"/>
          <w:sz w:val="22"/>
          <w:szCs w:val="22"/>
          <w:color w:val="auto"/>
        </w:rPr>
        <w:t>Any notice or filing required or permitted to be given to the Committee under the Plan shall be sufficient if sent by first-class mail, to the United Technologies Corporation Deferred Compensation Committee, 1 Financial Plaza, Hartford, Connecticut 06101, Attn: R. Larry Acorn, Director, Compensation, MS-504.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8.7 - Successors</w:t>
      </w:r>
    </w:p>
    <w:p>
      <w:pPr>
        <w:spacing w:after="0" w:line="200" w:lineRule="exact"/>
        <w:rPr>
          <w:sz w:val="20"/>
          <w:szCs w:val="20"/>
          <w:color w:val="auto"/>
        </w:rPr>
      </w:pPr>
    </w:p>
    <w:p>
      <w:pPr>
        <w:spacing w:after="0" w:line="350" w:lineRule="exact"/>
        <w:rPr>
          <w:sz w:val="20"/>
          <w:szCs w:val="20"/>
          <w:color w:val="auto"/>
        </w:rPr>
      </w:pPr>
    </w:p>
    <w:p>
      <w:pPr>
        <w:ind w:firstLine="486"/>
        <w:spacing w:after="0" w:line="352"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8.8 - Incompetence</w:t>
      </w:r>
    </w:p>
    <w:p>
      <w:pPr>
        <w:spacing w:after="0" w:line="200" w:lineRule="exact"/>
        <w:rPr>
          <w:sz w:val="20"/>
          <w:szCs w:val="20"/>
          <w:color w:val="auto"/>
        </w:rPr>
      </w:pPr>
    </w:p>
    <w:p>
      <w:pPr>
        <w:spacing w:after="0" w:line="350" w:lineRule="exact"/>
        <w:rPr>
          <w:sz w:val="20"/>
          <w:szCs w:val="20"/>
          <w:color w:val="auto"/>
        </w:rPr>
      </w:pPr>
    </w:p>
    <w:p>
      <w:pPr>
        <w:ind w:right="20" w:firstLine="486"/>
        <w:spacing w:after="0" w:line="415"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their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w:t>
      </w:r>
    </w:p>
    <w:p>
      <w:pPr>
        <w:sectPr>
          <w:pgSz w:w="11900" w:h="16838" w:orient="portrait"/>
          <w:cols w:equalWidth="0" w:num="1">
            <w:col w:w="10900"/>
          </w:cols>
          <w:pgMar w:left="740" w:top="639" w:right="259" w:bottom="1440" w:gutter="0" w:footer="0" w:header="0"/>
        </w:sectPr>
      </w:pPr>
    </w:p>
    <w:bookmarkStart w:id="89" w:name="page90"/>
    <w:bookmarkEnd w:id="89"/>
    <w:p>
      <w:pPr>
        <w:ind w:right="320"/>
        <w:spacing w:after="0" w:line="366" w:lineRule="auto"/>
        <w:rPr>
          <w:sz w:val="20"/>
          <w:szCs w:val="20"/>
          <w:color w:val="auto"/>
        </w:rPr>
      </w:pPr>
      <w:r>
        <w:rPr>
          <w:rFonts w:ascii="Arial" w:cs="Arial" w:eastAsia="Arial" w:hAnsi="Arial"/>
          <w:sz w:val="22"/>
          <w:szCs w:val="22"/>
          <w:color w:val="auto"/>
        </w:rPr>
        <w:t>Beneficiary. Any such payment from a Participant’s Plan Accounts shall be a complete discharge of any liability under the Plan with respect to the amount so paid.</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IX - ADMINISTRATION AND CLAIMS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9.1 - Plan Administration</w:t>
      </w:r>
    </w:p>
    <w:p>
      <w:pPr>
        <w:spacing w:after="0" w:line="200" w:lineRule="exact"/>
        <w:rPr>
          <w:sz w:val="20"/>
          <w:szCs w:val="20"/>
          <w:color w:val="auto"/>
        </w:rPr>
      </w:pPr>
    </w:p>
    <w:p>
      <w:pPr>
        <w:spacing w:after="0" w:line="242" w:lineRule="exact"/>
        <w:rPr>
          <w:sz w:val="20"/>
          <w:szCs w:val="20"/>
          <w:color w:val="auto"/>
        </w:rPr>
      </w:pPr>
    </w:p>
    <w:p>
      <w:pPr>
        <w:ind w:right="180" w:firstLine="486"/>
        <w:spacing w:after="0" w:line="378" w:lineRule="auto"/>
        <w:rPr>
          <w:sz w:val="20"/>
          <w:szCs w:val="20"/>
          <w:color w:val="auto"/>
        </w:rPr>
      </w:pPr>
      <w:r>
        <w:rPr>
          <w:rFonts w:ascii="Arial" w:cs="Arial" w:eastAsia="Arial" w:hAnsi="Arial"/>
          <w:sz w:val="21"/>
          <w:szCs w:val="21"/>
          <w:color w:val="auto"/>
        </w:rPr>
        <w:t>The Committee shall be solely responsible for the administration and operation of the Plan. The Committee shall have full and exclusive authority and discretion to interpret the provisions of the Plan and to establish such administrative procedures as it deems necessary and appropriate to carry out the purposes of the Plan.</w:t>
      </w:r>
    </w:p>
    <w:p>
      <w:pPr>
        <w:spacing w:after="0" w:line="385" w:lineRule="exact"/>
        <w:rPr>
          <w:sz w:val="20"/>
          <w:szCs w:val="20"/>
          <w:color w:val="auto"/>
        </w:rPr>
      </w:pPr>
    </w:p>
    <w:p>
      <w:pPr>
        <w:ind w:right="20" w:firstLine="486"/>
        <w:spacing w:after="0" w:line="462" w:lineRule="auto"/>
        <w:rPr>
          <w:sz w:val="20"/>
          <w:szCs w:val="20"/>
          <w:color w:val="auto"/>
        </w:rPr>
      </w:pPr>
      <w:r>
        <w:rPr>
          <w:rFonts w:ascii="Arial" w:cs="Arial" w:eastAsia="Arial" w:hAnsi="Arial"/>
          <w:sz w:val="19"/>
          <w:szCs w:val="19"/>
          <w:color w:val="auto"/>
        </w:rPr>
        <w:t>Any person claiming a benefit, requesting an interpretation or ruling under the Plan, or requesting information under the Plan shall present the request in writing to the Committee which shall respond in writing as soon as practicable.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9.2 - Claim Procedures</w:t>
      </w:r>
    </w:p>
    <w:p>
      <w:pPr>
        <w:spacing w:after="0" w:line="200" w:lineRule="exact"/>
        <w:rPr>
          <w:sz w:val="20"/>
          <w:szCs w:val="20"/>
          <w:color w:val="auto"/>
        </w:rPr>
      </w:pPr>
    </w:p>
    <w:p>
      <w:pPr>
        <w:spacing w:after="0" w:line="242" w:lineRule="exact"/>
        <w:rPr>
          <w:sz w:val="20"/>
          <w:szCs w:val="20"/>
          <w:color w:val="auto"/>
        </w:rPr>
      </w:pPr>
    </w:p>
    <w:p>
      <w:pPr>
        <w:ind w:right="220" w:firstLine="486"/>
        <w:spacing w:after="0" w:line="421" w:lineRule="auto"/>
        <w:rPr>
          <w:sz w:val="20"/>
          <w:szCs w:val="20"/>
          <w:color w:val="auto"/>
        </w:rPr>
      </w:pPr>
      <w:r>
        <w:rPr>
          <w:rFonts w:ascii="Arial" w:cs="Arial" w:eastAsia="Arial" w:hAnsi="Arial"/>
          <w:sz w:val="19"/>
          <w:szCs w:val="19"/>
          <w:color w:val="auto"/>
        </w:rPr>
        <w:t>If a Participant or Beneficiary requests a benefit or payment under the Plan and such claim or request is denied, the Committee will provide a written notice of denial which will specify (a) the reason for denial, with specific reference to the Plan provisions on which the denial is based and (b) a description of any additional material or information that may be required with respect to the claim and an explanation of why such information is necessary.</w:t>
      </w:r>
    </w:p>
    <w:p>
      <w:pPr>
        <w:spacing w:after="0" w:line="250" w:lineRule="exact"/>
        <w:rPr>
          <w:sz w:val="20"/>
          <w:szCs w:val="20"/>
          <w:color w:val="auto"/>
        </w:rPr>
      </w:pPr>
    </w:p>
    <w:p>
      <w:pPr>
        <w:ind w:firstLine="486"/>
        <w:spacing w:after="0" w:line="350" w:lineRule="auto"/>
        <w:rPr>
          <w:sz w:val="20"/>
          <w:szCs w:val="20"/>
          <w:color w:val="auto"/>
        </w:rPr>
      </w:pPr>
      <w:r>
        <w:rPr>
          <w:rFonts w:ascii="Arial" w:cs="Arial" w:eastAsia="Arial" w:hAnsi="Arial"/>
          <w:sz w:val="22"/>
          <w:szCs w:val="22"/>
          <w:color w:val="auto"/>
        </w:rPr>
        <w:t>If a claim or request is denied or if the Participant or Beneficiary receives no response within 60 days, the Participant or Beneficiary may request review by writing to the Committee. The Committee will review the claim or request, and may request additional information or materials that it deems appropriate to the resolution of any issues presented. The decision on review will normally be made by the Committee within 60 days of its receipt of the request for review but may be extended up to 120 days from such date. The Committee’s decision will be in writing and will state the basis for its decision and shall be conclusive and binding on all parties.</w:t>
      </w:r>
    </w:p>
    <w:p>
      <w:pPr>
        <w:sectPr>
          <w:pgSz w:w="11900" w:h="16838" w:orient="portrait"/>
          <w:cols w:equalWidth="0" w:num="1">
            <w:col w:w="10880"/>
          </w:cols>
          <w:pgMar w:left="740" w:top="645" w:right="27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80"/>
        <w:spacing w:after="0"/>
        <w:rPr>
          <w:sz w:val="20"/>
          <w:szCs w:val="20"/>
          <w:color w:val="auto"/>
        </w:rPr>
      </w:pPr>
      <w:r>
        <w:rPr>
          <w:rFonts w:ascii="Arial" w:cs="Arial" w:eastAsia="Arial" w:hAnsi="Arial"/>
          <w:sz w:val="34"/>
          <w:szCs w:val="34"/>
          <w:color w:val="auto"/>
        </w:rPr>
        <w:t>UNITED TECHNOLOGIES CORPORATION</w:t>
      </w:r>
    </w:p>
    <w:p>
      <w:pPr>
        <w:spacing w:after="0" w:line="392" w:lineRule="exact"/>
        <w:rPr>
          <w:sz w:val="20"/>
          <w:szCs w:val="20"/>
          <w:color w:val="auto"/>
        </w:rPr>
      </w:pPr>
    </w:p>
    <w:p>
      <w:pPr>
        <w:ind w:left="140"/>
        <w:spacing w:after="0"/>
        <w:rPr>
          <w:sz w:val="20"/>
          <w:szCs w:val="20"/>
          <w:color w:val="auto"/>
        </w:rPr>
      </w:pPr>
      <w:r>
        <w:rPr>
          <w:rFonts w:ascii="Arial" w:cs="Arial" w:eastAsia="Arial" w:hAnsi="Arial"/>
          <w:sz w:val="34"/>
          <w:szCs w:val="34"/>
          <w:color w:val="auto"/>
        </w:rPr>
        <w:t>COMPANY AUTOMATIC CONTRIBUTION EXCESS PLAN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80"/>
        <w:spacing w:after="0"/>
        <w:rPr>
          <w:sz w:val="20"/>
          <w:szCs w:val="20"/>
          <w:color w:val="auto"/>
        </w:rPr>
      </w:pPr>
      <w:r>
        <w:rPr>
          <w:rFonts w:ascii="Arial" w:cs="Arial" w:eastAsia="Arial" w:hAnsi="Arial"/>
          <w:sz w:val="25"/>
          <w:szCs w:val="25"/>
          <w:color w:val="auto"/>
        </w:rPr>
        <w:t>Executed July 16, 2018</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25"/>
          <w:szCs w:val="25"/>
          <w:color w:val="auto"/>
        </w:rPr>
        <w:t>Amended and Restated as of January 1, 2010</w:t>
      </w:r>
    </w:p>
    <w:p>
      <w:pPr>
        <w:sectPr>
          <w:pgSz w:w="11900" w:h="16838" w:orient="portrait"/>
          <w:cols w:equalWidth="0" w:num="1">
            <w:col w:w="10220"/>
          </w:cols>
          <w:pgMar w:left="1440" w:top="585"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b w:val="1"/>
          <w:bCs w:val="1"/>
          <w:color w:val="auto"/>
        </w:rPr>
        <w:t>UNITED TECHNOLOGIES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COMPANY AUTOMATIC CONTRIBUTION EXCESS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Executed July 16, 2018</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effective January 1, 2010)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 - PREAMBLE</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1.1 - Purpose of the Plan</w:t>
      </w:r>
    </w:p>
    <w:p>
      <w:pPr>
        <w:spacing w:after="0" w:line="280" w:lineRule="exact"/>
        <w:rPr>
          <w:sz w:val="20"/>
          <w:szCs w:val="20"/>
          <w:color w:val="auto"/>
        </w:rPr>
      </w:pPr>
    </w:p>
    <w:p>
      <w:pPr>
        <w:ind w:firstLine="648"/>
        <w:spacing w:after="0" w:line="369"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1"/>
          <w:szCs w:val="21"/>
          <w:color w:val="auto"/>
        </w:rPr>
        <w:t>United Technologies Corporation Company Automatic Contribution Excess Plan (“CACEP” or the “Plan”) was</w:t>
      </w:r>
      <w:r>
        <w:rPr>
          <w:rFonts w:ascii="Arial" w:cs="Arial" w:eastAsia="Arial" w:hAnsi="Arial"/>
          <w:sz w:val="20"/>
          <w:szCs w:val="20"/>
          <w:color w:val="auto"/>
        </w:rPr>
        <w:t xml:space="preserve"> </w:t>
      </w:r>
      <w:r>
        <w:rPr>
          <w:rFonts w:ascii="Arial" w:cs="Arial" w:eastAsia="Arial" w:hAnsi="Arial"/>
          <w:sz w:val="21"/>
          <w:szCs w:val="21"/>
          <w:color w:val="auto"/>
        </w:rPr>
        <w:t>established effective January 1, 2010 for the benefit of employees covered by the Company Automatic Feature (the “CAF”) of the United Technologies Corporation Employee Savings Plan (the “Qualified Savings Plan”). The purpose of the CACEP is to provide for the accrual of benefits which are supplemental to CAF benefits payable under the Qualified Savings Plan. CACEP benefits are accrued with respect to compensation that is not taken into account under the Qualified Savings Plan due to compensation limitations imposed by Section 401(a)(17) of the Internal Revenue Code of 1986, as amended (the “IRS Compensation Limit”), due to contribution limitations imposed by Section 415 of the Internal Revenue Code of 1986, as amended (the “IRS Contribution Limit”), or due to the Participant’s elective deferral of compensation.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1.2 - Effective Date of Plan and Amendments</w:t>
      </w:r>
    </w:p>
    <w:p>
      <w:pPr>
        <w:spacing w:after="0" w:line="280" w:lineRule="exact"/>
        <w:rPr>
          <w:sz w:val="20"/>
          <w:szCs w:val="20"/>
          <w:color w:val="auto"/>
        </w:rPr>
      </w:pPr>
    </w:p>
    <w:p>
      <w:pPr>
        <w:jc w:val="both"/>
        <w:ind w:right="40" w:firstLine="648"/>
        <w:spacing w:after="0" w:line="431" w:lineRule="auto"/>
        <w:rPr>
          <w:sz w:val="20"/>
          <w:szCs w:val="20"/>
          <w:color w:val="auto"/>
        </w:rPr>
      </w:pPr>
      <w:r>
        <w:rPr>
          <w:rFonts w:ascii="Arial" w:cs="Arial" w:eastAsia="Arial" w:hAnsi="Arial"/>
          <w:sz w:val="19"/>
          <w:szCs w:val="19"/>
          <w:color w:val="auto"/>
        </w:rPr>
        <w:t>The Plan as originally established effective January 1, 2010 is amended and restated for the purposes of clarifying the intent of the Plan to accrue CACEP benefits with respect to both the IRS Compensation Limit and the IRS Contribution Limit, as well as other minor administrative revisions. Changes effected by this amendment and restatement are generally effective January 1, 2010.</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 - DEFINITIONS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indicated, capitalized terms herein shall have the same meaning ascribed under the Qualified Savings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74" w:lineRule="exact"/>
        <w:rPr>
          <w:sz w:val="20"/>
          <w:szCs w:val="20"/>
          <w:color w:val="auto"/>
        </w:rPr>
      </w:pPr>
    </w:p>
    <w:p>
      <w:pPr>
        <w:jc w:val="both"/>
        <w:ind w:right="200" w:firstLine="486"/>
        <w:spacing w:after="0" w:line="373" w:lineRule="auto"/>
        <w:rPr>
          <w:sz w:val="20"/>
          <w:szCs w:val="20"/>
          <w:color w:val="auto"/>
        </w:rPr>
      </w:pPr>
      <w:r>
        <w:rPr>
          <w:rFonts w:ascii="Arial" w:cs="Arial" w:eastAsia="Arial" w:hAnsi="Arial"/>
          <w:sz w:val="21"/>
          <w:szCs w:val="21"/>
          <w:i w:val="1"/>
          <w:iCs w:val="1"/>
          <w:color w:val="auto"/>
        </w:rPr>
        <w:t xml:space="preserve">Beneficiary </w:t>
      </w:r>
      <w:r>
        <w:rPr>
          <w:rFonts w:ascii="Arial" w:cs="Arial" w:eastAsia="Arial" w:hAnsi="Arial"/>
          <w:sz w:val="21"/>
          <w:szCs w:val="21"/>
          <w:color w:val="auto"/>
        </w:rPr>
        <w:t>means the person, persons or entity designated on an electronic or written form by the Participant to receive the</w:t>
      </w:r>
      <w:r>
        <w:rPr>
          <w:rFonts w:ascii="Arial" w:cs="Arial" w:eastAsia="Arial" w:hAnsi="Arial"/>
          <w:sz w:val="21"/>
          <w:szCs w:val="21"/>
          <w:i w:val="1"/>
          <w:iCs w:val="1"/>
          <w:color w:val="auto"/>
        </w:rPr>
        <w:t xml:space="preserve"> </w:t>
      </w:r>
      <w:r>
        <w:rPr>
          <w:rFonts w:ascii="Arial" w:cs="Arial" w:eastAsia="Arial" w:hAnsi="Arial"/>
          <w:sz w:val="21"/>
          <w:szCs w:val="21"/>
          <w:color w:val="auto"/>
        </w:rPr>
        <w:t>value of his or her Plan Account in the event of the Participant’s death in accordance with the terms of this Plan. If the Participant fails to designate a Beneficiary, or the Beneficiary (and any contingent Beneficiary) does not survive the Participant, the value of the Participant’s Plan Account will be paid to the estate of the Participant.</w:t>
      </w:r>
    </w:p>
    <w:p>
      <w:pPr>
        <w:spacing w:after="0" w:line="119" w:lineRule="exact"/>
        <w:rPr>
          <w:sz w:val="20"/>
          <w:szCs w:val="20"/>
          <w:color w:val="auto"/>
        </w:rPr>
      </w:pPr>
    </w:p>
    <w:p>
      <w:pPr>
        <w:ind w:right="540" w:firstLine="486"/>
        <w:spacing w:after="0" w:line="366" w:lineRule="auto"/>
        <w:rPr>
          <w:sz w:val="20"/>
          <w:szCs w:val="20"/>
          <w:color w:val="auto"/>
        </w:rPr>
      </w:pPr>
      <w:r>
        <w:rPr>
          <w:rFonts w:ascii="Arial" w:cs="Arial" w:eastAsia="Arial" w:hAnsi="Arial"/>
          <w:sz w:val="22"/>
          <w:szCs w:val="22"/>
          <w:i w:val="1"/>
          <w:iCs w:val="1"/>
          <w:color w:val="auto"/>
        </w:rPr>
        <w:t xml:space="preserve">Benefit Reduction Contribution </w:t>
      </w:r>
      <w:r>
        <w:rPr>
          <w:rFonts w:ascii="Arial" w:cs="Arial" w:eastAsia="Arial" w:hAnsi="Arial"/>
          <w:sz w:val="22"/>
          <w:szCs w:val="22"/>
          <w:color w:val="auto"/>
        </w:rPr>
        <w:t>means a Contribution by the Corporation to the Participant’s Plan Account to restore the</w:t>
      </w:r>
      <w:r>
        <w:rPr>
          <w:rFonts w:ascii="Arial" w:cs="Arial" w:eastAsia="Arial" w:hAnsi="Arial"/>
          <w:sz w:val="22"/>
          <w:szCs w:val="22"/>
          <w:i w:val="1"/>
          <w:iCs w:val="1"/>
          <w:color w:val="auto"/>
        </w:rPr>
        <w:t xml:space="preserve"> </w:t>
      </w:r>
      <w:r>
        <w:rPr>
          <w:rFonts w:ascii="Arial" w:cs="Arial" w:eastAsia="Arial" w:hAnsi="Arial"/>
          <w:sz w:val="22"/>
          <w:szCs w:val="22"/>
          <w:color w:val="auto"/>
        </w:rPr>
        <w:t>reduction in the Company Automatic Contribution credited to a Participant’s Plan</w:t>
      </w:r>
    </w:p>
    <w:p>
      <w:pPr>
        <w:sectPr>
          <w:pgSz w:w="11900" w:h="16838" w:orient="portrait"/>
          <w:cols w:equalWidth="0" w:num="1">
            <w:col w:w="11420"/>
          </w:cols>
          <w:pgMar w:left="240" w:top="639" w:right="239" w:bottom="1440" w:gutter="0" w:footer="0" w:header="0"/>
        </w:sectPr>
      </w:pPr>
    </w:p>
    <w:bookmarkStart w:id="92" w:name="page93"/>
    <w:bookmarkEnd w:id="92"/>
    <w:p>
      <w:pPr>
        <w:ind w:right="100"/>
        <w:spacing w:after="0" w:line="366" w:lineRule="auto"/>
        <w:rPr>
          <w:sz w:val="20"/>
          <w:szCs w:val="20"/>
          <w:color w:val="auto"/>
        </w:rPr>
      </w:pPr>
      <w:r>
        <w:rPr>
          <w:rFonts w:ascii="Arial" w:cs="Arial" w:eastAsia="Arial" w:hAnsi="Arial"/>
          <w:sz w:val="22"/>
          <w:szCs w:val="22"/>
          <w:color w:val="auto"/>
        </w:rPr>
        <w:t>Account as a result of the reduction of such Participant’s Eligible Compensation due to an elective deferral of compensation by the Participant under the United Technologies Deferred Compensation Plan.</w:t>
      </w:r>
    </w:p>
    <w:p>
      <w:pPr>
        <w:spacing w:after="0" w:line="120" w:lineRule="exact"/>
        <w:rPr>
          <w:sz w:val="20"/>
          <w:szCs w:val="20"/>
          <w:color w:val="auto"/>
        </w:rPr>
      </w:pPr>
    </w:p>
    <w:p>
      <w:pPr>
        <w:ind w:right="200" w:firstLine="486"/>
        <w:spacing w:after="0" w:line="395" w:lineRule="auto"/>
        <w:rPr>
          <w:sz w:val="20"/>
          <w:szCs w:val="20"/>
          <w:color w:val="auto"/>
        </w:rPr>
      </w:pPr>
      <w:r>
        <w:rPr>
          <w:rFonts w:ascii="Arial" w:cs="Arial" w:eastAsia="Arial" w:hAnsi="Arial"/>
          <w:sz w:val="21"/>
          <w:szCs w:val="21"/>
          <w:i w:val="1"/>
          <w:iCs w:val="1"/>
          <w:color w:val="auto"/>
        </w:rPr>
        <w:t xml:space="preserve">Code </w:t>
      </w:r>
      <w:r>
        <w:rPr>
          <w:rFonts w:ascii="Arial" w:cs="Arial" w:eastAsia="Arial" w:hAnsi="Arial"/>
          <w:sz w:val="21"/>
          <w:szCs w:val="21"/>
          <w:color w:val="auto"/>
        </w:rPr>
        <w:t>means the Internal Revenue Code of 1986, as amended from time to time, and any successor thereto. Reference to any</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of the Internal Revenue Code shall include any final regulations or other applicable guidance.</w:t>
      </w:r>
    </w:p>
    <w:p>
      <w:pPr>
        <w:spacing w:after="0" w:line="96" w:lineRule="exact"/>
        <w:rPr>
          <w:sz w:val="20"/>
          <w:szCs w:val="20"/>
          <w:color w:val="auto"/>
        </w:rPr>
      </w:pPr>
    </w:p>
    <w:p>
      <w:pPr>
        <w:ind w:right="480" w:firstLine="486"/>
        <w:spacing w:after="0" w:line="462" w:lineRule="auto"/>
        <w:rPr>
          <w:sz w:val="20"/>
          <w:szCs w:val="20"/>
          <w:color w:val="auto"/>
        </w:rPr>
      </w:pPr>
      <w:r>
        <w:rPr>
          <w:rFonts w:ascii="Arial" w:cs="Arial" w:eastAsia="Arial" w:hAnsi="Arial"/>
          <w:sz w:val="19"/>
          <w:szCs w:val="19"/>
          <w:i w:val="1"/>
          <w:iCs w:val="1"/>
          <w:color w:val="auto"/>
        </w:rPr>
        <w:t xml:space="preserve">Committee </w:t>
      </w:r>
      <w:r>
        <w:rPr>
          <w:rFonts w:ascii="Arial" w:cs="Arial" w:eastAsia="Arial" w:hAnsi="Arial"/>
          <w:sz w:val="19"/>
          <w:szCs w:val="19"/>
          <w:color w:val="auto"/>
        </w:rPr>
        <w:t>means the United Technologies Corporation Deferred Compensation Committee, which is responsible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administration of the Plan. The Corporation’s Pension Administration Committee shall appoint the Committee’s members.</w:t>
      </w:r>
    </w:p>
    <w:p>
      <w:pPr>
        <w:spacing w:after="0" w:line="50" w:lineRule="exact"/>
        <w:rPr>
          <w:sz w:val="20"/>
          <w:szCs w:val="20"/>
          <w:color w:val="auto"/>
        </w:rPr>
      </w:pPr>
    </w:p>
    <w:p>
      <w:pPr>
        <w:ind w:right="60" w:firstLine="486"/>
        <w:spacing w:after="0" w:line="366" w:lineRule="auto"/>
        <w:rPr>
          <w:sz w:val="20"/>
          <w:szCs w:val="20"/>
          <w:color w:val="auto"/>
        </w:rPr>
      </w:pPr>
      <w:r>
        <w:rPr>
          <w:rFonts w:ascii="Arial" w:cs="Arial" w:eastAsia="Arial" w:hAnsi="Arial"/>
          <w:sz w:val="22"/>
          <w:szCs w:val="22"/>
          <w:i w:val="1"/>
          <w:iCs w:val="1"/>
          <w:color w:val="auto"/>
        </w:rPr>
        <w:t xml:space="preserve">Company Automatic Contribution </w:t>
      </w:r>
      <w:r>
        <w:rPr>
          <w:rFonts w:ascii="Arial" w:cs="Arial" w:eastAsia="Arial" w:hAnsi="Arial"/>
          <w:sz w:val="22"/>
          <w:szCs w:val="22"/>
          <w:color w:val="auto"/>
        </w:rPr>
        <w:t>or</w:t>
      </w:r>
      <w:r>
        <w:rPr>
          <w:rFonts w:ascii="Arial" w:cs="Arial" w:eastAsia="Arial" w:hAnsi="Arial"/>
          <w:sz w:val="22"/>
          <w:szCs w:val="22"/>
          <w:i w:val="1"/>
          <w:iCs w:val="1"/>
          <w:color w:val="auto"/>
        </w:rPr>
        <w:t xml:space="preserve"> Contribution </w:t>
      </w:r>
      <w:r>
        <w:rPr>
          <w:rFonts w:ascii="Arial" w:cs="Arial" w:eastAsia="Arial" w:hAnsi="Arial"/>
          <w:sz w:val="22"/>
          <w:szCs w:val="22"/>
          <w:color w:val="auto"/>
        </w:rPr>
        <w:t>means the age-graded Contribution credited to the Plan by the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on behalf of the Participant in accordance with Article V.</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Corporation </w:t>
      </w:r>
      <w:r>
        <w:rPr>
          <w:rFonts w:ascii="Arial" w:cs="Arial" w:eastAsia="Arial" w:hAnsi="Arial"/>
          <w:sz w:val="22"/>
          <w:szCs w:val="22"/>
          <w:color w:val="auto"/>
        </w:rPr>
        <w:t>means the United Technologies Corporation.</w:t>
      </w:r>
    </w:p>
    <w:p>
      <w:pPr>
        <w:spacing w:after="0" w:line="274" w:lineRule="exact"/>
        <w:rPr>
          <w:sz w:val="20"/>
          <w:szCs w:val="20"/>
          <w:color w:val="auto"/>
        </w:rPr>
      </w:pPr>
    </w:p>
    <w:p>
      <w:pPr>
        <w:ind w:right="240" w:firstLine="486"/>
        <w:spacing w:after="0" w:line="431" w:lineRule="auto"/>
        <w:rPr>
          <w:sz w:val="20"/>
          <w:szCs w:val="20"/>
          <w:color w:val="auto"/>
        </w:rPr>
      </w:pPr>
      <w:r>
        <w:rPr>
          <w:rFonts w:ascii="Arial" w:cs="Arial" w:eastAsia="Arial" w:hAnsi="Arial"/>
          <w:sz w:val="19"/>
          <w:szCs w:val="19"/>
          <w:i w:val="1"/>
          <w:iCs w:val="1"/>
          <w:color w:val="auto"/>
        </w:rPr>
        <w:t xml:space="preserve">Default Investment Option </w:t>
      </w:r>
      <w:r>
        <w:rPr>
          <w:rFonts w:ascii="Arial" w:cs="Arial" w:eastAsia="Arial" w:hAnsi="Arial"/>
          <w:sz w:val="19"/>
          <w:szCs w:val="19"/>
          <w:color w:val="auto"/>
        </w:rPr>
        <w:t>means the Investment Fund designated by the Plan or selected by the Committee on behalf of all</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Participants at the time they first become eligible to participate in the Plan. The Default Investment Option shall be established annually and shall be the Income Fund, unless otherwise determined at the sole discretion of the Committee.</w:t>
      </w:r>
    </w:p>
    <w:p>
      <w:pPr>
        <w:spacing w:after="0" w:line="79" w:lineRule="exact"/>
        <w:rPr>
          <w:sz w:val="20"/>
          <w:szCs w:val="20"/>
          <w:color w:val="auto"/>
        </w:rPr>
      </w:pPr>
    </w:p>
    <w:p>
      <w:pPr>
        <w:jc w:val="both"/>
        <w:ind w:right="40" w:firstLine="486"/>
        <w:spacing w:after="0" w:line="352" w:lineRule="auto"/>
        <w:rPr>
          <w:sz w:val="20"/>
          <w:szCs w:val="20"/>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means permanent and total disability as determined under the Corporation’s long-term disability plan applicable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spacing w:after="0" w:line="137" w:lineRule="exact"/>
        <w:rPr>
          <w:sz w:val="20"/>
          <w:szCs w:val="20"/>
          <w:color w:val="auto"/>
        </w:rPr>
      </w:pPr>
    </w:p>
    <w:p>
      <w:pPr>
        <w:jc w:val="both"/>
        <w:ind w:right="300" w:firstLine="486"/>
        <w:spacing w:after="0" w:line="356" w:lineRule="auto"/>
        <w:rPr>
          <w:sz w:val="20"/>
          <w:szCs w:val="20"/>
          <w:color w:val="auto"/>
        </w:rPr>
      </w:pPr>
      <w:r>
        <w:rPr>
          <w:rFonts w:ascii="Arial" w:cs="Arial" w:eastAsia="Arial" w:hAnsi="Arial"/>
          <w:sz w:val="22"/>
          <w:szCs w:val="22"/>
          <w:i w:val="1"/>
          <w:iCs w:val="1"/>
          <w:color w:val="auto"/>
        </w:rPr>
        <w:t xml:space="preserve">Election Form </w:t>
      </w:r>
      <w:r>
        <w:rPr>
          <w:rFonts w:ascii="Arial" w:cs="Arial" w:eastAsia="Arial" w:hAnsi="Arial"/>
          <w:sz w:val="22"/>
          <w:szCs w:val="22"/>
          <w:color w:val="auto"/>
        </w:rPr>
        <w:t>means the form or process provided by the Committee to Participants electronically or in paper form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purpose of specifying the method of distribution and/or the percentage allocation among the Investment Funds with respect to a Participant’s Plan Account.</w:t>
      </w:r>
    </w:p>
    <w:p>
      <w:pPr>
        <w:spacing w:after="0" w:line="130" w:lineRule="exact"/>
        <w:rPr>
          <w:sz w:val="20"/>
          <w:szCs w:val="20"/>
          <w:color w:val="auto"/>
        </w:rPr>
      </w:pPr>
    </w:p>
    <w:p>
      <w:pPr>
        <w:jc w:val="both"/>
        <w:ind w:right="920" w:firstLine="486"/>
        <w:spacing w:after="0" w:line="462" w:lineRule="auto"/>
        <w:rPr>
          <w:sz w:val="20"/>
          <w:szCs w:val="20"/>
          <w:color w:val="auto"/>
        </w:rPr>
      </w:pPr>
      <w:r>
        <w:rPr>
          <w:rFonts w:ascii="Arial" w:cs="Arial" w:eastAsia="Arial" w:hAnsi="Arial"/>
          <w:sz w:val="19"/>
          <w:szCs w:val="19"/>
          <w:i w:val="1"/>
          <w:iCs w:val="1"/>
          <w:color w:val="auto"/>
        </w:rPr>
        <w:t xml:space="preserve">Eligible Compensation </w:t>
      </w:r>
      <w:r>
        <w:rPr>
          <w:rFonts w:ascii="Arial" w:cs="Arial" w:eastAsia="Arial" w:hAnsi="Arial"/>
          <w:sz w:val="19"/>
          <w:szCs w:val="19"/>
          <w:color w:val="auto"/>
        </w:rPr>
        <w:t>means Pensionable Earnings in excess of the IRS Compensation Limit for any Plan Year; or</w:t>
      </w:r>
      <w:r>
        <w:rPr>
          <w:rFonts w:ascii="Arial" w:cs="Arial" w:eastAsia="Arial" w:hAnsi="Arial"/>
          <w:sz w:val="19"/>
          <w:szCs w:val="19"/>
          <w:i w:val="1"/>
          <w:iCs w:val="1"/>
          <w:color w:val="auto"/>
        </w:rPr>
        <w:t xml:space="preserve"> </w:t>
      </w:r>
      <w:r>
        <w:rPr>
          <w:rFonts w:ascii="Arial" w:cs="Arial" w:eastAsia="Arial" w:hAnsi="Arial"/>
          <w:sz w:val="19"/>
          <w:szCs w:val="19"/>
          <w:color w:val="auto"/>
        </w:rPr>
        <w:t>Pensionable Earnings that are not taken into account under the Qualified Savings Plan due to the IRS Contribution Limit.</w:t>
      </w:r>
    </w:p>
    <w:p>
      <w:pPr>
        <w:spacing w:after="0" w:line="50" w:lineRule="exact"/>
        <w:rPr>
          <w:sz w:val="20"/>
          <w:szCs w:val="20"/>
          <w:color w:val="auto"/>
        </w:rPr>
      </w:pPr>
    </w:p>
    <w:p>
      <w:pPr>
        <w:ind w:firstLine="486"/>
        <w:spacing w:after="0" w:line="351" w:lineRule="auto"/>
        <w:rPr>
          <w:sz w:val="20"/>
          <w:szCs w:val="20"/>
          <w:color w:val="auto"/>
        </w:rPr>
      </w:pPr>
      <w:r>
        <w:rPr>
          <w:rFonts w:ascii="Arial" w:cs="Arial" w:eastAsia="Arial" w:hAnsi="Arial"/>
          <w:sz w:val="22"/>
          <w:szCs w:val="22"/>
          <w:i w:val="1"/>
          <w:iCs w:val="1"/>
          <w:color w:val="auto"/>
        </w:rPr>
        <w:t xml:space="preserve">Employee </w:t>
      </w:r>
      <w:r>
        <w:rPr>
          <w:rFonts w:ascii="Arial" w:cs="Arial" w:eastAsia="Arial" w:hAnsi="Arial"/>
          <w:sz w:val="22"/>
          <w:szCs w:val="22"/>
          <w:color w:val="auto"/>
        </w:rPr>
        <w:t>means an employee of the Corporation and or of certain subsidiaries and affiliates of the Corporation, but excluding</w:t>
      </w:r>
      <w:r>
        <w:rPr>
          <w:rFonts w:ascii="Arial" w:cs="Arial" w:eastAsia="Arial" w:hAnsi="Arial"/>
          <w:sz w:val="22"/>
          <w:szCs w:val="22"/>
          <w:i w:val="1"/>
          <w:iCs w:val="1"/>
          <w:color w:val="auto"/>
        </w:rPr>
        <w:t xml:space="preserve"> </w:t>
      </w:r>
      <w:r>
        <w:rPr>
          <w:rFonts w:ascii="Arial" w:cs="Arial" w:eastAsia="Arial" w:hAnsi="Arial"/>
          <w:sz w:val="22"/>
          <w:szCs w:val="22"/>
          <w:color w:val="auto"/>
        </w:rPr>
        <w:t>any employee who is included in a different tax qualified savings plan or is not eligible to participate in the Qualified Savings Plan pursuant to the terms of a collective bargaining agreement between employee representatives and a UTC Company (a "Represented Employee") unless such employee representatives and the UTC Company agree that the Represented Employees in such unit shall be eligible to participate in the Plan.</w:t>
      </w:r>
    </w:p>
    <w:p>
      <w:pPr>
        <w:sectPr>
          <w:pgSz w:w="11900" w:h="16838" w:orient="portrait"/>
          <w:cols w:equalWidth="0" w:num="1">
            <w:col w:w="11420"/>
          </w:cols>
          <w:pgMar w:left="240" w:top="726" w:right="239" w:bottom="1440" w:gutter="0" w:footer="0" w:header="0"/>
        </w:sectPr>
      </w:pPr>
    </w:p>
    <w:bookmarkStart w:id="93" w:name="page94"/>
    <w:bookmarkEnd w:id="93"/>
    <w:p>
      <w:pPr>
        <w:ind w:right="20" w:firstLine="486"/>
        <w:spacing w:after="0" w:line="350" w:lineRule="auto"/>
        <w:rPr>
          <w:sz w:val="20"/>
          <w:szCs w:val="20"/>
          <w:color w:val="auto"/>
        </w:rPr>
      </w:pPr>
      <w:r>
        <w:rPr>
          <w:rFonts w:ascii="Arial" w:cs="Arial" w:eastAsia="Arial" w:hAnsi="Arial"/>
          <w:sz w:val="22"/>
          <w:szCs w:val="22"/>
          <w:i w:val="1"/>
          <w:iCs w:val="1"/>
          <w:color w:val="auto"/>
        </w:rPr>
        <w:t xml:space="preserve">Investment Fund </w:t>
      </w:r>
      <w:r>
        <w:rPr>
          <w:rFonts w:ascii="Arial" w:cs="Arial" w:eastAsia="Arial" w:hAnsi="Arial"/>
          <w:sz w:val="22"/>
          <w:szCs w:val="22"/>
          <w:color w:val="auto"/>
        </w:rPr>
        <w:t>means a hypothetical fund that tracks the value of an investment option offered under the Qualified Savings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Plan or the UTC Deferred Compensation Plan. Investment Funds offered under the CACEP may be changed from time to time by the Committee and shall be valued in the manner set forth in Section 6.4. Available investments are described at </w:t>
      </w:r>
      <w:r>
        <w:rPr>
          <w:rFonts w:ascii="Arial" w:cs="Arial" w:eastAsia="Arial" w:hAnsi="Arial"/>
          <w:sz w:val="22"/>
          <w:szCs w:val="22"/>
          <w:u w:val="single" w:color="auto"/>
          <w:color w:val="0563C1"/>
        </w:rPr>
        <w:t>https://www.newportgroup.com</w:t>
      </w:r>
      <w:r>
        <w:rPr>
          <w:rFonts w:ascii="Arial" w:cs="Arial" w:eastAsia="Arial" w:hAnsi="Arial"/>
          <w:sz w:val="22"/>
          <w:szCs w:val="22"/>
          <w:color w:val="000000"/>
        </w:rPr>
        <w:t>. The value of Participants’ Accounts shall be adjusted to replicate the performance of the</w:t>
      </w:r>
      <w:r>
        <w:rPr>
          <w:rFonts w:ascii="Arial" w:cs="Arial" w:eastAsia="Arial" w:hAnsi="Arial"/>
          <w:sz w:val="22"/>
          <w:szCs w:val="22"/>
          <w:color w:val="0563C1"/>
        </w:rPr>
        <w:t xml:space="preserve"> </w:t>
      </w:r>
      <w:r>
        <w:rPr>
          <w:rFonts w:ascii="Arial" w:cs="Arial" w:eastAsia="Arial" w:hAnsi="Arial"/>
          <w:sz w:val="22"/>
          <w:szCs w:val="22"/>
          <w:color w:val="000000"/>
        </w:rPr>
        <w:t>applicable Investment Funds. Amounts credited to any Investment Fund do not result in the investment in actual assets corresponding to the Investment Fund.</w:t>
      </w:r>
    </w:p>
    <w:p>
      <w:pPr>
        <w:spacing w:after="0" w:line="136" w:lineRule="exact"/>
        <w:rPr>
          <w:sz w:val="20"/>
          <w:szCs w:val="20"/>
          <w:color w:val="auto"/>
        </w:rPr>
      </w:pPr>
    </w:p>
    <w:p>
      <w:pPr>
        <w:ind w:right="540" w:firstLine="486"/>
        <w:spacing w:after="0" w:line="366" w:lineRule="auto"/>
        <w:rPr>
          <w:sz w:val="20"/>
          <w:szCs w:val="20"/>
          <w:color w:val="auto"/>
        </w:rPr>
      </w:pPr>
      <w:r>
        <w:rPr>
          <w:rFonts w:ascii="Arial" w:cs="Arial" w:eastAsia="Arial" w:hAnsi="Arial"/>
          <w:sz w:val="22"/>
          <w:szCs w:val="22"/>
          <w:i w:val="1"/>
          <w:iCs w:val="1"/>
          <w:color w:val="auto"/>
        </w:rPr>
        <w:t xml:space="preserve">IRS Compensation Limit </w:t>
      </w:r>
      <w:r>
        <w:rPr>
          <w:rFonts w:ascii="Arial" w:cs="Arial" w:eastAsia="Arial" w:hAnsi="Arial"/>
          <w:sz w:val="22"/>
          <w:szCs w:val="22"/>
          <w:color w:val="auto"/>
        </w:rPr>
        <w:t>means the limitation imposed by Section 401(a)(17) of the Internal Revenue Code of 1986, as</w:t>
      </w:r>
      <w:r>
        <w:rPr>
          <w:rFonts w:ascii="Arial" w:cs="Arial" w:eastAsia="Arial" w:hAnsi="Arial"/>
          <w:sz w:val="22"/>
          <w:szCs w:val="22"/>
          <w:i w:val="1"/>
          <w:iCs w:val="1"/>
          <w:color w:val="auto"/>
        </w:rPr>
        <w:t xml:space="preserve"> </w:t>
      </w:r>
      <w:r>
        <w:rPr>
          <w:rFonts w:ascii="Arial" w:cs="Arial" w:eastAsia="Arial" w:hAnsi="Arial"/>
          <w:sz w:val="22"/>
          <w:szCs w:val="22"/>
          <w:color w:val="auto"/>
        </w:rPr>
        <w:t>amended.</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9"/>
          <w:szCs w:val="19"/>
          <w:i w:val="1"/>
          <w:iCs w:val="1"/>
          <w:color w:val="auto"/>
        </w:rPr>
        <w:t xml:space="preserve">IRS Contribution Limit </w:t>
      </w:r>
      <w:r>
        <w:rPr>
          <w:rFonts w:ascii="Arial" w:cs="Arial" w:eastAsia="Arial" w:hAnsi="Arial"/>
          <w:sz w:val="19"/>
          <w:szCs w:val="19"/>
          <w:color w:val="auto"/>
        </w:rPr>
        <w:t>means the limitation imposed by Section 415 of the Internal Revenue Code of 1986, as amended.</w:t>
      </w:r>
    </w:p>
    <w:p>
      <w:pPr>
        <w:spacing w:after="0" w:line="308" w:lineRule="exact"/>
        <w:rPr>
          <w:sz w:val="20"/>
          <w:szCs w:val="20"/>
          <w:color w:val="auto"/>
        </w:rPr>
      </w:pPr>
    </w:p>
    <w:p>
      <w:pPr>
        <w:ind w:right="40" w:firstLine="486"/>
        <w:spacing w:after="0" w:line="378" w:lineRule="auto"/>
        <w:rPr>
          <w:sz w:val="20"/>
          <w:szCs w:val="20"/>
          <w:color w:val="auto"/>
        </w:rPr>
      </w:pPr>
      <w:r>
        <w:rPr>
          <w:rFonts w:ascii="Arial" w:cs="Arial" w:eastAsia="Arial" w:hAnsi="Arial"/>
          <w:sz w:val="21"/>
          <w:szCs w:val="21"/>
          <w:i w:val="1"/>
          <w:iCs w:val="1"/>
          <w:color w:val="auto"/>
        </w:rPr>
        <w:t xml:space="preserve">Participant </w:t>
      </w:r>
      <w:r>
        <w:rPr>
          <w:rFonts w:ascii="Arial" w:cs="Arial" w:eastAsia="Arial" w:hAnsi="Arial"/>
          <w:sz w:val="21"/>
          <w:szCs w:val="21"/>
          <w:color w:val="auto"/>
        </w:rPr>
        <w:t>means an eligible Employee (i) who is a Participant in the Qualified Savings Plan; (ii) who qualifies for the CAF</w:t>
      </w:r>
      <w:r>
        <w:rPr>
          <w:rFonts w:ascii="Arial" w:cs="Arial" w:eastAsia="Arial" w:hAnsi="Arial"/>
          <w:sz w:val="21"/>
          <w:szCs w:val="21"/>
          <w:i w:val="1"/>
          <w:iCs w:val="1"/>
          <w:color w:val="auto"/>
        </w:rPr>
        <w:t xml:space="preserve"> </w:t>
      </w:r>
      <w:r>
        <w:rPr>
          <w:rFonts w:ascii="Arial" w:cs="Arial" w:eastAsia="Arial" w:hAnsi="Arial"/>
          <w:sz w:val="21"/>
          <w:szCs w:val="21"/>
          <w:color w:val="auto"/>
        </w:rPr>
        <w:t>of the Qualified Savings Plan; and (iii) (a) whose annual Pensionable Earnings for a Plan Year exceed the limit of IRC Section 401(a)(17), or (b) whose annual Qualified Savings Plan contributions exceed the limit of IRC Section 415.</w:t>
      </w:r>
    </w:p>
    <w:p>
      <w:pPr>
        <w:spacing w:after="0" w:line="115" w:lineRule="exact"/>
        <w:rPr>
          <w:sz w:val="20"/>
          <w:szCs w:val="20"/>
          <w:color w:val="auto"/>
        </w:rPr>
      </w:pPr>
    </w:p>
    <w:p>
      <w:pPr>
        <w:ind w:right="40" w:firstLine="486"/>
        <w:spacing w:after="0" w:line="412" w:lineRule="auto"/>
        <w:rPr>
          <w:sz w:val="20"/>
          <w:szCs w:val="20"/>
          <w:color w:val="auto"/>
        </w:rPr>
      </w:pPr>
      <w:r>
        <w:rPr>
          <w:rFonts w:ascii="Arial" w:cs="Arial" w:eastAsia="Arial" w:hAnsi="Arial"/>
          <w:sz w:val="19"/>
          <w:szCs w:val="19"/>
          <w:i w:val="1"/>
          <w:iCs w:val="1"/>
          <w:color w:val="auto"/>
        </w:rPr>
        <w:t xml:space="preserve">Pensionable Earnings </w:t>
      </w:r>
      <w:r>
        <w:rPr>
          <w:rFonts w:ascii="Arial" w:cs="Arial" w:eastAsia="Arial" w:hAnsi="Arial"/>
          <w:sz w:val="19"/>
          <w:szCs w:val="19"/>
          <w:color w:val="auto"/>
        </w:rPr>
        <w:t>means the total compensation paid with respect to a Plan Year by a UTC Company to a Participant for</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rendered to a UTC Company, before any Tax-Deferred Contribution Election or any election under Section 125 of the Code, including performance related awards, but excluding: other awards; foreign service premiums and allowances; long-term incentive compensation; stock option benefits; reimbursements or other payments related to relocation expenses; contributions to employee benefit plans including reimbursements or payments in lieu thereof, amounts credited to a Participant under a non-qualified deferred compensation plan; severance pay; and pay in lieu of vacation</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9"/>
          <w:szCs w:val="19"/>
          <w:i w:val="1"/>
          <w:iCs w:val="1"/>
          <w:color w:val="auto"/>
        </w:rPr>
        <w:t xml:space="preserve">Plan </w:t>
      </w:r>
      <w:r>
        <w:rPr>
          <w:rFonts w:ascii="Arial" w:cs="Arial" w:eastAsia="Arial" w:hAnsi="Arial"/>
          <w:sz w:val="19"/>
          <w:szCs w:val="19"/>
          <w:color w:val="auto"/>
        </w:rPr>
        <w:t>means the United Technologies Corporation Company Automatic Contribution Excess Plan, as amended from time to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74" w:lineRule="exact"/>
        <w:rPr>
          <w:sz w:val="20"/>
          <w:szCs w:val="20"/>
          <w:color w:val="auto"/>
        </w:rPr>
      </w:pPr>
    </w:p>
    <w:p>
      <w:pPr>
        <w:ind w:right="540" w:firstLine="486"/>
        <w:spacing w:after="0" w:line="366" w:lineRule="auto"/>
        <w:rPr>
          <w:sz w:val="20"/>
          <w:szCs w:val="20"/>
          <w:color w:val="auto"/>
        </w:rPr>
      </w:pPr>
      <w:r>
        <w:rPr>
          <w:rFonts w:ascii="Arial" w:cs="Arial" w:eastAsia="Arial" w:hAnsi="Arial"/>
          <w:sz w:val="22"/>
          <w:szCs w:val="22"/>
          <w:i w:val="1"/>
          <w:iCs w:val="1"/>
          <w:color w:val="auto"/>
        </w:rPr>
        <w:t xml:space="preserve">Plan Account </w:t>
      </w:r>
      <w:r>
        <w:rPr>
          <w:rFonts w:ascii="Arial" w:cs="Arial" w:eastAsia="Arial" w:hAnsi="Arial"/>
          <w:sz w:val="22"/>
          <w:szCs w:val="22"/>
          <w:color w:val="auto"/>
        </w:rPr>
        <w:t>means an account maintained on behalf of a Participant for the purpose of crediting Company Automatic</w:t>
      </w:r>
      <w:r>
        <w:rPr>
          <w:rFonts w:ascii="Arial" w:cs="Arial" w:eastAsia="Arial" w:hAnsi="Arial"/>
          <w:sz w:val="22"/>
          <w:szCs w:val="22"/>
          <w:i w:val="1"/>
          <w:iCs w:val="1"/>
          <w:color w:val="auto"/>
        </w:rPr>
        <w:t xml:space="preserve"> </w:t>
      </w:r>
      <w:r>
        <w:rPr>
          <w:rFonts w:ascii="Arial" w:cs="Arial" w:eastAsia="Arial" w:hAnsi="Arial"/>
          <w:sz w:val="22"/>
          <w:szCs w:val="22"/>
          <w:color w:val="auto"/>
        </w:rPr>
        <w:t>Contributions.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Plan Year </w:t>
      </w:r>
      <w:r>
        <w:rPr>
          <w:rFonts w:ascii="Arial" w:cs="Arial" w:eastAsia="Arial" w:hAnsi="Arial"/>
          <w:sz w:val="22"/>
          <w:szCs w:val="22"/>
          <w:color w:val="auto"/>
        </w:rPr>
        <w:t>means the calendar year.</w:t>
      </w:r>
    </w:p>
    <w:p>
      <w:pPr>
        <w:spacing w:after="0" w:line="274" w:lineRule="exact"/>
        <w:rPr>
          <w:sz w:val="20"/>
          <w:szCs w:val="20"/>
          <w:color w:val="auto"/>
        </w:rPr>
      </w:pPr>
    </w:p>
    <w:p>
      <w:pPr>
        <w:ind w:firstLine="486"/>
        <w:spacing w:after="0" w:line="351" w:lineRule="auto"/>
        <w:rPr>
          <w:sz w:val="20"/>
          <w:szCs w:val="20"/>
          <w:color w:val="auto"/>
        </w:rPr>
      </w:pPr>
      <w:r>
        <w:rPr>
          <w:rFonts w:ascii="Arial" w:cs="Arial" w:eastAsia="Arial" w:hAnsi="Arial"/>
          <w:sz w:val="22"/>
          <w:szCs w:val="22"/>
          <w:i w:val="1"/>
          <w:iCs w:val="1"/>
          <w:color w:val="auto"/>
        </w:rPr>
        <w:t xml:space="preserve">Separation from Service </w:t>
      </w:r>
      <w:r>
        <w:rPr>
          <w:rFonts w:ascii="Arial" w:cs="Arial" w:eastAsia="Arial" w:hAnsi="Arial"/>
          <w:sz w:val="22"/>
          <w:szCs w:val="22"/>
          <w:color w:val="auto"/>
        </w:rPr>
        <w:t>means a Participant’s termination of employment with all UTC Companies, other than by reason of</w:t>
      </w:r>
      <w:r>
        <w:rPr>
          <w:rFonts w:ascii="Arial" w:cs="Arial" w:eastAsia="Arial" w:hAnsi="Arial"/>
          <w:sz w:val="22"/>
          <w:szCs w:val="22"/>
          <w:i w:val="1"/>
          <w:iCs w:val="1"/>
          <w:color w:val="auto"/>
        </w:rPr>
        <w:t xml:space="preserve"> </w:t>
      </w:r>
      <w:r>
        <w:rPr>
          <w:rFonts w:ascii="Arial" w:cs="Arial" w:eastAsia="Arial" w:hAnsi="Arial"/>
          <w:sz w:val="22"/>
          <w:szCs w:val="22"/>
          <w:color w:val="auto"/>
        </w:rPr>
        <w:t>death. A Separation from Service will be deemed to occur where the Participant and the UTC Company that employs the Participant reasonably anticipate that the bona fide level of services the Participant will perform (whether as an employee or as an independent contractor) for UTC Companies will be permanently reduced to a level that is less than thirty-seven and a half percent (37.5%)</w:t>
      </w:r>
    </w:p>
    <w:p>
      <w:pPr>
        <w:sectPr>
          <w:pgSz w:w="11900" w:h="16838" w:orient="portrait"/>
          <w:cols w:equalWidth="0" w:num="1">
            <w:col w:w="11320"/>
          </w:cols>
          <w:pgMar w:left="240" w:top="726" w:right="339" w:bottom="1440" w:gutter="0" w:footer="0" w:header="0"/>
        </w:sectPr>
      </w:pPr>
    </w:p>
    <w:bookmarkStart w:id="94" w:name="page95"/>
    <w:bookmarkEnd w:id="94"/>
    <w:p>
      <w:pPr>
        <w:ind w:right="500"/>
        <w:spacing w:after="0" w:line="352" w:lineRule="auto"/>
        <w:rPr>
          <w:sz w:val="20"/>
          <w:szCs w:val="20"/>
          <w:color w:val="auto"/>
        </w:rPr>
      </w:pPr>
      <w:r>
        <w:rPr>
          <w:rFonts w:ascii="Arial" w:cs="Arial" w:eastAsia="Arial" w:hAnsi="Arial"/>
          <w:sz w:val="22"/>
          <w:szCs w:val="22"/>
          <w:color w:val="auto"/>
        </w:rPr>
        <w:t>of the average level of bona fide services the Participant performed during the immediately preceding 36 months (or the entire period the Participant has provided services if the Participant has been providing services to UTC Companies for less than 36 months). A Participant shall not be considered to have had a Separation from Service as a result of a transfer from one UTC Company to another UTC Company.</w:t>
      </w:r>
    </w:p>
    <w:p>
      <w:pPr>
        <w:spacing w:after="0" w:line="137" w:lineRule="exact"/>
        <w:rPr>
          <w:sz w:val="20"/>
          <w:szCs w:val="20"/>
          <w:color w:val="auto"/>
        </w:rPr>
      </w:pPr>
    </w:p>
    <w:p>
      <w:pPr>
        <w:ind w:right="80" w:firstLine="486"/>
        <w:spacing w:after="0" w:line="334" w:lineRule="auto"/>
        <w:rPr>
          <w:sz w:val="20"/>
          <w:szCs w:val="20"/>
          <w:color w:val="auto"/>
        </w:rPr>
      </w:pPr>
      <w:r>
        <w:rPr>
          <w:rFonts w:ascii="Arial" w:cs="Arial" w:eastAsia="Arial" w:hAnsi="Arial"/>
          <w:sz w:val="22"/>
          <w:szCs w:val="22"/>
          <w:i w:val="1"/>
          <w:iCs w:val="1"/>
          <w:color w:val="auto"/>
        </w:rPr>
        <w:t xml:space="preserve">Specified Employee </w:t>
      </w:r>
      <w:r>
        <w:rPr>
          <w:rFonts w:ascii="Arial" w:cs="Arial" w:eastAsia="Arial" w:hAnsi="Arial"/>
          <w:sz w:val="22"/>
          <w:szCs w:val="22"/>
          <w:color w:val="auto"/>
        </w:rPr>
        <w:t>means each of the fifty (50) highest-paid officers and other executives of the Corporation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effective annually as of April 1</w:t>
      </w:r>
      <w:r>
        <w:rPr>
          <w:rFonts w:ascii="Arial" w:cs="Arial" w:eastAsia="Arial" w:hAnsi="Arial"/>
          <w:sz w:val="28"/>
          <w:szCs w:val="28"/>
          <w:color w:val="auto"/>
          <w:vertAlign w:val="superscript"/>
        </w:rPr>
        <w:t>st</w:t>
      </w:r>
      <w:r>
        <w:rPr>
          <w:rFonts w:ascii="Arial" w:cs="Arial" w:eastAsia="Arial" w:hAnsi="Arial"/>
          <w:sz w:val="22"/>
          <w:szCs w:val="22"/>
          <w:color w:val="auto"/>
        </w:rPr>
        <w:t>, based on wages subject to federal income tax withholding, and amounts that are excluded from taxable income by the employee’s election to make pre-tax contributions under a cafeteria plan, section 401(k) plan, or similar plan, determined for the preceding calendar year as provided in Treas. Reg. § 1.415(c)-2(d)(3). The term includes both U.S. and non-U.S. employees, and the compensation used to determine whether an employee is among the fifty (50) highest-paid officers and other executives shall be determined by treating non-U.S. compensation as if it had been earned in the U.S. by a U.S. citizen.</w:t>
      </w:r>
    </w:p>
    <w:p>
      <w:pPr>
        <w:spacing w:after="0" w:line="154" w:lineRule="exact"/>
        <w:rPr>
          <w:sz w:val="20"/>
          <w:szCs w:val="20"/>
          <w:color w:val="auto"/>
        </w:rPr>
      </w:pPr>
    </w:p>
    <w:p>
      <w:pPr>
        <w:jc w:val="both"/>
        <w:ind w:right="380" w:firstLine="486"/>
        <w:spacing w:after="0" w:line="356" w:lineRule="auto"/>
        <w:rPr>
          <w:sz w:val="20"/>
          <w:szCs w:val="20"/>
          <w:color w:val="auto"/>
        </w:rPr>
      </w:pPr>
      <w:r>
        <w:rPr>
          <w:rFonts w:ascii="Arial" w:cs="Arial" w:eastAsia="Arial" w:hAnsi="Arial"/>
          <w:sz w:val="22"/>
          <w:szCs w:val="22"/>
          <w:i w:val="1"/>
          <w:iCs w:val="1"/>
          <w:color w:val="auto"/>
        </w:rPr>
        <w:t xml:space="preserve">UTC Company </w:t>
      </w:r>
      <w:r>
        <w:rPr>
          <w:rFonts w:ascii="Arial" w:cs="Arial" w:eastAsia="Arial" w:hAnsi="Arial"/>
          <w:sz w:val="22"/>
          <w:szCs w:val="22"/>
          <w:color w:val="auto"/>
        </w:rPr>
        <w:t>means United Technologies Corporation or any entity controlled by or under common control with United</w:t>
      </w:r>
      <w:r>
        <w:rPr>
          <w:rFonts w:ascii="Arial" w:cs="Arial" w:eastAsia="Arial" w:hAnsi="Arial"/>
          <w:sz w:val="22"/>
          <w:szCs w:val="22"/>
          <w:i w:val="1"/>
          <w:iCs w:val="1"/>
          <w:color w:val="auto"/>
        </w:rPr>
        <w:t xml:space="preserve"> </w:t>
      </w:r>
      <w:r>
        <w:rPr>
          <w:rFonts w:ascii="Arial" w:cs="Arial" w:eastAsia="Arial" w:hAnsi="Arial"/>
          <w:sz w:val="22"/>
          <w:szCs w:val="22"/>
          <w:color w:val="auto"/>
        </w:rPr>
        <w:t>Technologies Corporation within the meaning of Section 414(b) or (c) of the Code (but substituting “at least 20 percent” for “at least 80 percent” as the control threshold used in applying Sections 414(b) and (c)).</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III - ELIGIBILITY AND ENROLLMENT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3.1 - Eligibility</w:t>
      </w:r>
    </w:p>
    <w:p>
      <w:pPr>
        <w:spacing w:after="0" w:line="199"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22"/>
          <w:szCs w:val="22"/>
          <w:color w:val="auto"/>
        </w:rPr>
        <w:t>Each Employee of a UTC Company who is a Participant in the Qualified Savings Plan and who qualifies for the CAF of the Qualified Savings Plan shall be eligible to participate in this Plan, if and to the extent, such Employee’s annual Pensionable Earnings for a Plan Year are in excess of the IRS Compensation Limit or whose annual Qualified Savings Plan contributions are in excess of the IRS Contribution Limit. In no event shall any person who is not entitled to CAF benefits under the Qualified Savings Plan be eligible for benefits under this Plan.</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3.2 - Enrollment</w:t>
      </w:r>
    </w:p>
    <w:p>
      <w:pPr>
        <w:spacing w:after="0" w:line="280" w:lineRule="exact"/>
        <w:rPr>
          <w:sz w:val="20"/>
          <w:szCs w:val="20"/>
          <w:color w:val="auto"/>
        </w:rPr>
      </w:pPr>
    </w:p>
    <w:p>
      <w:pPr>
        <w:ind w:right="340" w:firstLine="648"/>
        <w:spacing w:after="0" w:line="356" w:lineRule="auto"/>
        <w:rPr>
          <w:sz w:val="20"/>
          <w:szCs w:val="20"/>
          <w:color w:val="auto"/>
        </w:rPr>
      </w:pPr>
      <w:r>
        <w:rPr>
          <w:rFonts w:ascii="Arial" w:cs="Arial" w:eastAsia="Arial" w:hAnsi="Arial"/>
          <w:sz w:val="22"/>
          <w:szCs w:val="22"/>
          <w:color w:val="auto"/>
        </w:rPr>
        <w:t>An eligible Participant will automatically be enrolled in the Plan within thirty (30) days of the pay date for which such Participant’s annual Pensionable Earnings exceed the IRS Compensation Limit ), or such Participant’s annual Qualified Savings Plan contributions exceed the IRS Contribution Limit (“Initial Enrollment Period”).</w:t>
      </w:r>
    </w:p>
    <w:p>
      <w:pPr>
        <w:sectPr>
          <w:pgSz w:w="11900" w:h="16838" w:orient="portrait"/>
          <w:cols w:equalWidth="0" w:num="1">
            <w:col w:w="11420"/>
          </w:cols>
          <w:pgMar w:left="240" w:top="726" w:right="23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u w:val="single" w:color="auto"/>
          <w:color w:val="auto"/>
        </w:rPr>
        <w:t>ARTICLE IV - PARTICIPANT ELECTIONS AND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4.1 - Distribution Election</w:t>
      </w:r>
    </w:p>
    <w:p>
      <w:pPr>
        <w:spacing w:after="0" w:line="280" w:lineRule="exact"/>
        <w:rPr>
          <w:sz w:val="20"/>
          <w:szCs w:val="20"/>
          <w:color w:val="auto"/>
        </w:rPr>
      </w:pPr>
    </w:p>
    <w:p>
      <w:pPr>
        <w:ind w:right="140" w:firstLine="648"/>
        <w:spacing w:after="0" w:line="352" w:lineRule="auto"/>
        <w:rPr>
          <w:sz w:val="20"/>
          <w:szCs w:val="20"/>
          <w:color w:val="auto"/>
        </w:rPr>
      </w:pPr>
      <w:r>
        <w:rPr>
          <w:rFonts w:ascii="Arial" w:cs="Arial" w:eastAsia="Arial" w:hAnsi="Arial"/>
          <w:sz w:val="22"/>
          <w:szCs w:val="22"/>
          <w:color w:val="auto"/>
        </w:rPr>
        <w:t>A Participant must, on or before the election deadline established by the Committee, make an electronic or written election on the Election Form provided by the Committee to have the Participant’s Plan Account distributed in a lump sum or in two to fifteen annual installments. If no distribution election is made with respect to a Participant’s Plan Account, the distribution will be in a lump sum.</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4.2 - Election Date</w:t>
      </w:r>
    </w:p>
    <w:p>
      <w:pPr>
        <w:spacing w:after="0" w:line="280" w:lineRule="exact"/>
        <w:rPr>
          <w:sz w:val="20"/>
          <w:szCs w:val="20"/>
          <w:color w:val="auto"/>
        </w:rPr>
      </w:pPr>
    </w:p>
    <w:p>
      <w:pPr>
        <w:ind w:right="120" w:firstLine="648"/>
        <w:spacing w:after="0" w:line="431" w:lineRule="auto"/>
        <w:rPr>
          <w:sz w:val="20"/>
          <w:szCs w:val="20"/>
          <w:color w:val="auto"/>
        </w:rPr>
      </w:pPr>
      <w:r>
        <w:rPr>
          <w:rFonts w:ascii="Arial" w:cs="Arial" w:eastAsia="Arial" w:hAnsi="Arial"/>
          <w:sz w:val="19"/>
          <w:szCs w:val="19"/>
          <w:color w:val="auto"/>
        </w:rPr>
        <w:t>An electronic or written Election Form must be completed and submitted to the Committee during the Initial Enrollment Period, or such date as the Committee may specify. Except as provided below in Section 4.4 (Change in Distribution Election), the choices reflected on the Participant’s Election Form shall be irrevocable on the election deadline.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4.3 - Investment Fund Allocations</w:t>
      </w:r>
    </w:p>
    <w:p>
      <w:pPr>
        <w:spacing w:after="0" w:line="280" w:lineRule="exact"/>
        <w:rPr>
          <w:sz w:val="20"/>
          <w:szCs w:val="20"/>
          <w:color w:val="auto"/>
        </w:rPr>
      </w:pPr>
    </w:p>
    <w:p>
      <w:pPr>
        <w:ind w:right="20" w:firstLine="648"/>
        <w:spacing w:after="0" w:line="373" w:lineRule="auto"/>
        <w:rPr>
          <w:sz w:val="20"/>
          <w:szCs w:val="20"/>
          <w:color w:val="auto"/>
        </w:rPr>
      </w:pPr>
      <w:r>
        <w:rPr>
          <w:rFonts w:ascii="Arial" w:cs="Arial" w:eastAsia="Arial" w:hAnsi="Arial"/>
          <w:sz w:val="21"/>
          <w:szCs w:val="21"/>
          <w:color w:val="auto"/>
        </w:rPr>
        <w:t>A Participant’s Plan Account will be allocated to the Default Investment Option at the time a Participant first becomes eligible to participate in the Plan. Participants may change the asset allocation of their existing Participant Plan Account balance as permitted by the Committee. The Committee currently allows for daily reallocation. Allocation requests submitted after 4 p.m. EST or during a weekend or holiday, become effective the following business day.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4.4 - Change in Distribution Election</w:t>
      </w:r>
    </w:p>
    <w:p>
      <w:pPr>
        <w:spacing w:after="0" w:line="199" w:lineRule="exact"/>
        <w:rPr>
          <w:sz w:val="20"/>
          <w:szCs w:val="20"/>
          <w:color w:val="auto"/>
        </w:rPr>
      </w:pPr>
    </w:p>
    <w:p>
      <w:pPr>
        <w:ind w:right="60" w:firstLine="648"/>
        <w:spacing w:after="0" w:line="366" w:lineRule="auto"/>
        <w:rPr>
          <w:sz w:val="20"/>
          <w:szCs w:val="20"/>
          <w:color w:val="auto"/>
        </w:rPr>
      </w:pPr>
      <w:r>
        <w:rPr>
          <w:rFonts w:ascii="Arial" w:cs="Arial" w:eastAsia="Arial" w:hAnsi="Arial"/>
          <w:sz w:val="22"/>
          <w:szCs w:val="22"/>
          <w:color w:val="auto"/>
        </w:rPr>
        <w:t>A Participant may make an irrevocable election to change the form of distribution for a Plan Account. A change to the form of distribution must meet all of the following requirements:</w:t>
      </w:r>
    </w:p>
    <w:p>
      <w:pPr>
        <w:spacing w:after="0" w:line="174" w:lineRule="exact"/>
        <w:rPr>
          <w:sz w:val="20"/>
          <w:szCs w:val="20"/>
          <w:color w:val="auto"/>
        </w:rPr>
      </w:pPr>
    </w:p>
    <w:p>
      <w:pPr>
        <w:ind w:left="660" w:firstLine="645"/>
        <w:spacing w:after="0" w:line="349" w:lineRule="auto"/>
        <w:tabs>
          <w:tab w:leader="none" w:pos="2156" w:val="left"/>
        </w:tabs>
        <w:numPr>
          <w:ilvl w:val="1"/>
          <w:numId w:val="32"/>
        </w:numPr>
        <w:rPr>
          <w:rFonts w:ascii="Arial" w:cs="Arial" w:eastAsia="Arial" w:hAnsi="Arial"/>
          <w:sz w:val="18"/>
          <w:szCs w:val="18"/>
          <w:color w:val="auto"/>
        </w:rPr>
      </w:pPr>
      <w:r>
        <w:rPr>
          <w:rFonts w:ascii="Arial" w:cs="Arial" w:eastAsia="Arial" w:hAnsi="Arial"/>
          <w:sz w:val="22"/>
          <w:szCs w:val="22"/>
          <w:color w:val="auto"/>
        </w:rPr>
        <w:t>The new election must be made at least twelve months prior to the date on which payments will commence under the current election and/or date of termination following attainment of age 50 (and the new election shall be ineffective if the payment commencement date under the current election occurs within twelve months after the date of the new election);</w:t>
      </w:r>
    </w:p>
    <w:p>
      <w:pPr>
        <w:ind w:right="40" w:firstLine="656"/>
        <w:spacing w:after="0" w:line="352" w:lineRule="auto"/>
        <w:tabs>
          <w:tab w:leader="none" w:pos="1506" w:val="left"/>
        </w:tabs>
        <w:numPr>
          <w:ilvl w:val="0"/>
          <w:numId w:val="33"/>
        </w:numPr>
        <w:rPr>
          <w:rFonts w:ascii="Arial" w:cs="Arial" w:eastAsia="Arial" w:hAnsi="Arial"/>
          <w:sz w:val="18"/>
          <w:szCs w:val="18"/>
          <w:color w:val="auto"/>
        </w:rPr>
      </w:pPr>
      <w:r>
        <w:rPr>
          <w:rFonts w:ascii="Arial" w:cs="Arial" w:eastAsia="Arial" w:hAnsi="Arial"/>
          <w:sz w:val="22"/>
          <w:szCs w:val="22"/>
          <w:color w:val="auto"/>
        </w:rPr>
        <w:t>The new election will not take effect until at least twelve months after the date when the new election is submitted in a manner acceptable to the Committee; and</w:t>
      </w:r>
    </w:p>
    <w:p>
      <w:pPr>
        <w:ind w:right="980" w:firstLine="656"/>
        <w:spacing w:after="0" w:line="352" w:lineRule="auto"/>
        <w:tabs>
          <w:tab w:leader="none" w:pos="1496" w:val="left"/>
        </w:tabs>
        <w:numPr>
          <w:ilvl w:val="0"/>
          <w:numId w:val="33"/>
        </w:numPr>
        <w:rPr>
          <w:rFonts w:ascii="Arial" w:cs="Arial" w:eastAsia="Arial" w:hAnsi="Arial"/>
          <w:sz w:val="18"/>
          <w:szCs w:val="18"/>
          <w:color w:val="auto"/>
        </w:rPr>
      </w:pPr>
      <w:r>
        <w:rPr>
          <w:rFonts w:ascii="Arial" w:cs="Arial" w:eastAsia="Arial" w:hAnsi="Arial"/>
          <w:sz w:val="22"/>
          <w:szCs w:val="22"/>
          <w:color w:val="auto"/>
        </w:rPr>
        <w:t>The new payment commencement date must be five years later than the date on which payments would commence under the current election.</w:t>
      </w:r>
    </w:p>
    <w:p>
      <w:pPr>
        <w:spacing w:after="0"/>
        <w:rPr>
          <w:rFonts w:ascii="Arial" w:cs="Arial" w:eastAsia="Arial" w:hAnsi="Arial"/>
          <w:sz w:val="18"/>
          <w:szCs w:val="18"/>
          <w:color w:val="auto"/>
        </w:rPr>
      </w:pPr>
      <w:r>
        <w:rPr>
          <w:rFonts w:ascii="Arial" w:cs="Arial" w:eastAsia="Arial" w:hAnsi="Arial"/>
          <w:sz w:val="22"/>
          <w:szCs w:val="22"/>
          <w:color w:val="auto"/>
        </w:rPr>
        <w:t>A maximum of three change elections are allowed under the Plan.</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4.5 - [Removed]</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4.6 - Designation of Beneficiary</w:t>
      </w:r>
    </w:p>
    <w:p>
      <w:pPr>
        <w:sectPr>
          <w:pgSz w:w="11900" w:h="16838" w:orient="portrait"/>
          <w:cols w:equalWidth="0" w:num="1">
            <w:col w:w="11420"/>
          </w:cols>
          <w:pgMar w:left="240" w:top="720" w:right="239" w:bottom="1440" w:gutter="0" w:footer="0" w:header="0"/>
        </w:sectPr>
      </w:pPr>
    </w:p>
    <w:bookmarkStart w:id="96" w:name="page97"/>
    <w:bookmarkEnd w:id="96"/>
    <w:p>
      <w:pPr>
        <w:ind w:right="20" w:firstLine="648"/>
        <w:spacing w:after="0" w:line="406" w:lineRule="auto"/>
        <w:rPr>
          <w:sz w:val="20"/>
          <w:szCs w:val="20"/>
          <w:color w:val="auto"/>
        </w:rPr>
      </w:pPr>
      <w:r>
        <w:rPr>
          <w:rFonts w:ascii="Arial" w:cs="Arial" w:eastAsia="Arial" w:hAnsi="Arial"/>
          <w:sz w:val="19"/>
          <w:szCs w:val="19"/>
          <w:color w:val="auto"/>
        </w:rPr>
        <w:t>Each Participant shall designate a Beneficiary for his or her Plan Account on an electronic or written form provided by the Committee. A Participant may change such designation on an electronic or written form acceptable to the Committee and will be effective on the date received by the Committee. Designations received after the date of the Participant’s death will not be effective. In the event that no Beneficiary designation is filed with the Committee before the Participant’s death, or if the Beneficiary (and any contingent Beneficiary) does not survive the Participant, the value of the Participant’s Plan Account will be paid to the estate of the Participant.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4.6. In the event of the death of a Participant, distributions shall be made in accordance with Section 7.6.</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 - COMPANY AUTOMATIC CONTRIBUTIONS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5.1 - Contribution Amount</w:t>
      </w:r>
    </w:p>
    <w:p>
      <w:pPr>
        <w:spacing w:after="0" w:line="199" w:lineRule="exact"/>
        <w:rPr>
          <w:sz w:val="20"/>
          <w:szCs w:val="20"/>
          <w:color w:val="auto"/>
        </w:rPr>
      </w:pPr>
    </w:p>
    <w:p>
      <w:pPr>
        <w:ind w:right="420" w:firstLine="648"/>
        <w:spacing w:after="0" w:line="352" w:lineRule="auto"/>
        <w:rPr>
          <w:sz w:val="20"/>
          <w:szCs w:val="20"/>
          <w:color w:val="auto"/>
        </w:rPr>
      </w:pPr>
      <w:r>
        <w:rPr>
          <w:rFonts w:ascii="Arial" w:cs="Arial" w:eastAsia="Arial" w:hAnsi="Arial"/>
          <w:sz w:val="22"/>
          <w:szCs w:val="22"/>
          <w:color w:val="auto"/>
        </w:rPr>
        <w:t>The Corporation will credit an age-graded Company Automatic Contribution to the Plan on behalf of each eligible Participant under the Plan. The Contribution shall be a percentage of the Participant’s Eligible Compensation based on the Participant’s age as of December 31 of the current Plan Year for which the Contribution is credited. The applicable percentages shall be as follows:</w:t>
      </w:r>
    </w:p>
    <w:p>
      <w:pPr>
        <w:spacing w:after="0" w:line="260" w:lineRule="exact"/>
        <w:rPr>
          <w:sz w:val="20"/>
          <w:szCs w:val="20"/>
          <w:color w:val="auto"/>
        </w:rPr>
      </w:pPr>
    </w:p>
    <w:tbl>
      <w:tblPr>
        <w:tblLayout w:type="fixed"/>
        <w:tblInd w:w="3850" w:type="dxa"/>
        <w:tblCellMar>
          <w:top w:w="0" w:type="dxa"/>
          <w:left w:w="0" w:type="dxa"/>
          <w:bottom w:w="0" w:type="dxa"/>
          <w:right w:w="0" w:type="dxa"/>
        </w:tblCellMar>
      </w:tblPr>
      <w:tr>
        <w:trPr>
          <w:trHeight w:val="247"/>
        </w:trPr>
        <w:tc>
          <w:tcPr>
            <w:tcW w:w="190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4"/>
              </w:rPr>
              <w:t>Age as of</w:t>
            </w:r>
          </w:p>
        </w:tc>
        <w:tc>
          <w:tcPr>
            <w:tcW w:w="1900" w:type="dxa"/>
            <w:vAlign w:val="bottom"/>
            <w:tcBorders>
              <w:top w:val="single" w:sz="8" w:color="auto"/>
              <w:right w:val="single" w:sz="8" w:color="auto"/>
            </w:tcBorders>
            <w:shd w:val="clear" w:color="auto" w:fill="BFBFBF"/>
          </w:tcPr>
          <w:p>
            <w:pPr>
              <w:ind w:left="460"/>
              <w:spacing w:after="0"/>
              <w:rPr>
                <w:sz w:val="20"/>
                <w:szCs w:val="20"/>
                <w:color w:val="auto"/>
              </w:rPr>
            </w:pPr>
            <w:r>
              <w:rPr>
                <w:rFonts w:ascii="Arial" w:cs="Arial" w:eastAsia="Arial" w:hAnsi="Arial"/>
                <w:sz w:val="20"/>
                <w:szCs w:val="20"/>
                <w:b w:val="1"/>
                <w:bCs w:val="1"/>
                <w:color w:val="auto"/>
              </w:rPr>
              <w:t>Applicable</w:t>
            </w:r>
          </w:p>
        </w:tc>
      </w:tr>
      <w:tr>
        <w:trPr>
          <w:trHeight w:val="284"/>
        </w:trPr>
        <w:tc>
          <w:tcPr>
            <w:tcW w:w="190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December 31</w:t>
            </w:r>
          </w:p>
        </w:tc>
        <w:tc>
          <w:tcPr>
            <w:tcW w:w="1900" w:type="dxa"/>
            <w:vAlign w:val="bottom"/>
            <w:tcBorders>
              <w:bottom w:val="single" w:sz="8" w:color="BFBFBF"/>
              <w:right w:val="single" w:sz="8" w:color="auto"/>
            </w:tcBorders>
            <w:shd w:val="clear" w:color="auto" w:fill="BFBFBF"/>
          </w:tcPr>
          <w:p>
            <w:pPr>
              <w:ind w:left="460"/>
              <w:spacing w:after="0"/>
              <w:rPr>
                <w:sz w:val="20"/>
                <w:szCs w:val="20"/>
                <w:color w:val="auto"/>
              </w:rPr>
            </w:pPr>
            <w:r>
              <w:rPr>
                <w:rFonts w:ascii="Arial" w:cs="Arial" w:eastAsia="Arial" w:hAnsi="Arial"/>
                <w:sz w:val="20"/>
                <w:szCs w:val="20"/>
                <w:b w:val="1"/>
                <w:bCs w:val="1"/>
                <w:color w:val="auto"/>
              </w:rPr>
              <w:t>Percentage</w:t>
            </w:r>
          </w:p>
        </w:tc>
      </w:tr>
      <w:tr>
        <w:trPr>
          <w:trHeight w:val="254"/>
        </w:trPr>
        <w:tc>
          <w:tcPr>
            <w:tcW w:w="1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Under 30</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5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30-34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3.5%</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5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35-39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5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40-44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4.5%</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5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45-49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5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5.5%</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5.2 - Eligibility for Contribution</w:t>
      </w:r>
    </w:p>
    <w:p>
      <w:pPr>
        <w:spacing w:after="0" w:line="199" w:lineRule="exact"/>
        <w:rPr>
          <w:sz w:val="20"/>
          <w:szCs w:val="20"/>
          <w:color w:val="auto"/>
        </w:rPr>
      </w:pPr>
    </w:p>
    <w:p>
      <w:pPr>
        <w:jc w:val="both"/>
        <w:ind w:firstLine="1297"/>
        <w:spacing w:after="0" w:line="352" w:lineRule="auto"/>
        <w:rPr>
          <w:sz w:val="20"/>
          <w:szCs w:val="20"/>
          <w:color w:val="auto"/>
        </w:rPr>
      </w:pPr>
      <w:r>
        <w:rPr>
          <w:rFonts w:ascii="Arial" w:cs="Arial" w:eastAsia="Arial" w:hAnsi="Arial"/>
          <w:sz w:val="22"/>
          <w:szCs w:val="22"/>
          <w:color w:val="auto"/>
        </w:rPr>
        <w:t>Eligibility for Contribution shall be determined annually. A Participant shall be eligible for a Company Automatic Contribution for a Plan Year, if and to the extent, such Participant’s annual Pensionable Earnings for the Plan Year are in excess of the IRS Compensation Limit or if such Participant’s annual Qualified Savings Plan Contributions for the Plan Year are in excess of the IRS Contribution Limit.</w:t>
      </w:r>
    </w:p>
    <w:p>
      <w:pPr>
        <w:sectPr>
          <w:pgSz w:w="11900" w:h="16838" w:orient="portrait"/>
          <w:cols w:equalWidth="0" w:num="1">
            <w:col w:w="11420"/>
          </w:cols>
          <w:pgMar w:left="240" w:top="726" w:right="239" w:bottom="1440" w:gutter="0" w:footer="0" w:header="0"/>
        </w:sectPr>
      </w:pPr>
    </w:p>
    <w:bookmarkStart w:id="97" w:name="page98"/>
    <w:bookmarkEnd w:id="97"/>
    <w:p>
      <w:pPr>
        <w:ind w:right="180" w:firstLine="648"/>
        <w:spacing w:after="0" w:line="350" w:lineRule="auto"/>
        <w:rPr>
          <w:sz w:val="20"/>
          <w:szCs w:val="20"/>
          <w:color w:val="auto"/>
        </w:rPr>
      </w:pPr>
      <w:r>
        <w:rPr>
          <w:rFonts w:ascii="Arial" w:cs="Arial" w:eastAsia="Arial" w:hAnsi="Arial"/>
          <w:sz w:val="22"/>
          <w:szCs w:val="22"/>
          <w:color w:val="auto"/>
        </w:rPr>
        <w:t>Participants shall be immediately eligible to receive an allocation of Company Automatic Contributions for a Plan Year at the time such Participant’s annual Pensionable Earnings for the Plan Year are in excess of the IRS Compensation Limit or if such Participant’s annual Qualified Savings Plan Contributions for the Plan Year are in excess of the IRS Contribution Limit; and CAF contributions cease under the Qualified Savings Plan for the Plan Year. In no event shall a Participant be eligible for CAF contribution under the Qualified Savings Plan and Company Automatic Contribution under this Plan for the same Pensionable Earnings.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5.3 - Timing of Contribution</w:t>
      </w:r>
    </w:p>
    <w:p>
      <w:pPr>
        <w:spacing w:after="0" w:line="199" w:lineRule="exact"/>
        <w:rPr>
          <w:sz w:val="20"/>
          <w:szCs w:val="20"/>
          <w:color w:val="auto"/>
        </w:rPr>
      </w:pPr>
    </w:p>
    <w:p>
      <w:pPr>
        <w:ind w:right="20" w:firstLine="648"/>
        <w:spacing w:after="0" w:line="356" w:lineRule="auto"/>
        <w:rPr>
          <w:sz w:val="20"/>
          <w:szCs w:val="20"/>
          <w:color w:val="auto"/>
        </w:rPr>
      </w:pPr>
      <w:r>
        <w:rPr>
          <w:rFonts w:ascii="Arial" w:cs="Arial" w:eastAsia="Arial" w:hAnsi="Arial"/>
          <w:sz w:val="22"/>
          <w:szCs w:val="22"/>
          <w:color w:val="auto"/>
        </w:rPr>
        <w:t>Allocation of Company Automatic Contributions shall generally be made to each Participant’s Plan Account on or immediately following each pay period, but no less frequently than once with respect to each Plan Year. The Corporation may in its sole discretion credit additional amounts to Participants’ Plan Accounts.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Section 5.4 - Vesting of Contributions</w:t>
      </w:r>
    </w:p>
    <w:p>
      <w:pPr>
        <w:spacing w:after="0" w:line="212" w:lineRule="exact"/>
        <w:rPr>
          <w:sz w:val="20"/>
          <w:szCs w:val="20"/>
          <w:color w:val="auto"/>
        </w:rPr>
      </w:pPr>
    </w:p>
    <w:p>
      <w:pPr>
        <w:ind w:right="160" w:firstLine="648"/>
        <w:spacing w:after="0" w:line="410" w:lineRule="auto"/>
        <w:rPr>
          <w:sz w:val="20"/>
          <w:szCs w:val="20"/>
          <w:color w:val="auto"/>
        </w:rPr>
      </w:pPr>
      <w:r>
        <w:rPr>
          <w:rFonts w:ascii="Arial" w:cs="Arial" w:eastAsia="Arial" w:hAnsi="Arial"/>
          <w:sz w:val="19"/>
          <w:szCs w:val="19"/>
          <w:color w:val="auto"/>
        </w:rPr>
        <w:t>A Participant shall be vested in the value of Contributions credited to his or her Plan Account upon the first to occur of the following: participation in the Plan for two years; completion of three years of “Continuous Service” (as defined in the UTC Employee Retirement Plan as in effect on January 1, 2008), attainment of age 65, the death or disability of the Participant while employed by a UTC Company, the layoff of a Participant from a UTC Company due to lack of work, or the Participant’s entrance into the military service before completing two years of Plan participation. For purposes of this Section 5.4, a Participant's date of disability shall be the first day of the fifth month (or such other month as may from time to time be applicable under the federal Social Security Act) prior to the month for which a Participant first receives a disability benefit under the Social Security Act.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5.5 - Annual Contribution Limitation</w:t>
      </w:r>
    </w:p>
    <w:p>
      <w:pPr>
        <w:spacing w:after="0" w:line="199" w:lineRule="exact"/>
        <w:rPr>
          <w:sz w:val="20"/>
          <w:szCs w:val="20"/>
          <w:color w:val="auto"/>
        </w:rPr>
      </w:pPr>
    </w:p>
    <w:p>
      <w:pPr>
        <w:ind w:right="60" w:firstLine="648"/>
        <w:spacing w:after="0" w:line="366" w:lineRule="auto"/>
        <w:rPr>
          <w:sz w:val="20"/>
          <w:szCs w:val="20"/>
          <w:color w:val="auto"/>
        </w:rPr>
      </w:pPr>
      <w:r>
        <w:rPr>
          <w:rFonts w:ascii="Arial" w:cs="Arial" w:eastAsia="Arial" w:hAnsi="Arial"/>
          <w:sz w:val="22"/>
          <w:szCs w:val="22"/>
          <w:color w:val="auto"/>
        </w:rPr>
        <w:t>In no event shall the Company Automatic Contribution to any Participant's Plan Account for any calendar year exceed 25% of annual earnings for such calendar year.</w:t>
      </w:r>
    </w:p>
    <w:p>
      <w:pPr>
        <w:spacing w:after="0" w:line="33" w:lineRule="exact"/>
        <w:rPr>
          <w:sz w:val="20"/>
          <w:szCs w:val="20"/>
          <w:color w:val="auto"/>
        </w:rPr>
      </w:pPr>
    </w:p>
    <w:p>
      <w:pPr>
        <w:jc w:val="center"/>
        <w:ind w:right="8080"/>
        <w:spacing w:after="0"/>
        <w:rPr>
          <w:sz w:val="20"/>
          <w:szCs w:val="20"/>
          <w:color w:val="auto"/>
        </w:rPr>
      </w:pPr>
      <w:r>
        <w:rPr>
          <w:rFonts w:ascii="Arial" w:cs="Arial" w:eastAsia="Arial" w:hAnsi="Arial"/>
          <w:sz w:val="21"/>
          <w:szCs w:val="21"/>
          <w:b w:val="1"/>
          <w:bCs w:val="1"/>
          <w:u w:val="single" w:color="auto"/>
          <w:color w:val="auto"/>
        </w:rPr>
        <w:t>ARTICLE VI - PLAN ACCOUNTS</w:t>
      </w:r>
    </w:p>
    <w:p>
      <w:pPr>
        <w:spacing w:after="0" w:line="204" w:lineRule="exact"/>
        <w:rPr>
          <w:sz w:val="20"/>
          <w:szCs w:val="20"/>
          <w:color w:val="auto"/>
        </w:rPr>
      </w:pPr>
    </w:p>
    <w:p>
      <w:pPr>
        <w:jc w:val="center"/>
        <w:ind w:right="8060"/>
        <w:spacing w:after="0"/>
        <w:rPr>
          <w:sz w:val="20"/>
          <w:szCs w:val="20"/>
          <w:color w:val="auto"/>
        </w:rPr>
      </w:pPr>
      <w:r>
        <w:rPr>
          <w:rFonts w:ascii="Arial" w:cs="Arial" w:eastAsia="Arial" w:hAnsi="Arial"/>
          <w:sz w:val="22"/>
          <w:szCs w:val="22"/>
          <w:b w:val="1"/>
          <w:bCs w:val="1"/>
          <w:color w:val="auto"/>
        </w:rPr>
        <w:t>Section 6.1 - Accounts</w:t>
      </w:r>
    </w:p>
    <w:p>
      <w:pPr>
        <w:spacing w:after="0" w:line="199" w:lineRule="exact"/>
        <w:rPr>
          <w:sz w:val="20"/>
          <w:szCs w:val="20"/>
          <w:color w:val="auto"/>
        </w:rPr>
      </w:pPr>
    </w:p>
    <w:p>
      <w:pPr>
        <w:ind w:firstLine="648"/>
        <w:spacing w:after="0" w:line="356" w:lineRule="auto"/>
        <w:rPr>
          <w:sz w:val="20"/>
          <w:szCs w:val="20"/>
          <w:color w:val="auto"/>
        </w:rPr>
      </w:pPr>
      <w:r>
        <w:rPr>
          <w:rFonts w:ascii="Arial" w:cs="Arial" w:eastAsia="Arial" w:hAnsi="Arial"/>
          <w:sz w:val="22"/>
          <w:szCs w:val="22"/>
          <w:color w:val="auto"/>
        </w:rPr>
        <w:t>A Plan Account will be established for each Participant. Company Automatic Contributions shall be allocated or reallocated among Investment Funds in accordance with the Plan terms and each Participant’s instructions in the manner set forth in Section 4.3.</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6.2 - [Removed]</w:t>
      </w:r>
    </w:p>
    <w:p>
      <w:pPr>
        <w:sectPr>
          <w:pgSz w:w="11900" w:h="16838" w:orient="portrait"/>
          <w:cols w:equalWidth="0" w:num="1">
            <w:col w:w="11400"/>
          </w:cols>
          <w:pgMar w:left="240" w:top="726" w:right="259" w:bottom="1440" w:gutter="0" w:footer="0" w:header="0"/>
        </w:sectPr>
      </w:pPr>
    </w:p>
    <w:bookmarkStart w:id="98" w:name="page99"/>
    <w:bookmarkEnd w:id="98"/>
    <w:p>
      <w:pPr>
        <w:ind w:left="660"/>
        <w:spacing w:after="0"/>
        <w:rPr>
          <w:sz w:val="20"/>
          <w:szCs w:val="20"/>
          <w:color w:val="auto"/>
        </w:rPr>
      </w:pPr>
      <w:r>
        <w:rPr>
          <w:rFonts w:ascii="Arial" w:cs="Arial" w:eastAsia="Arial" w:hAnsi="Arial"/>
          <w:sz w:val="22"/>
          <w:szCs w:val="22"/>
          <w:b w:val="1"/>
          <w:bCs w:val="1"/>
          <w:color w:val="auto"/>
        </w:rPr>
        <w:t>Section 6.3 - Valuation of Investment Funds</w:t>
      </w:r>
    </w:p>
    <w:p>
      <w:pPr>
        <w:spacing w:after="0" w:line="280" w:lineRule="exact"/>
        <w:rPr>
          <w:sz w:val="20"/>
          <w:szCs w:val="20"/>
          <w:color w:val="auto"/>
        </w:rPr>
      </w:pPr>
    </w:p>
    <w:p>
      <w:pPr>
        <w:ind w:firstLine="648"/>
        <w:spacing w:after="0" w:line="352" w:lineRule="auto"/>
        <w:rPr>
          <w:sz w:val="20"/>
          <w:szCs w:val="20"/>
          <w:color w:val="auto"/>
        </w:rPr>
      </w:pPr>
      <w:r>
        <w:rPr>
          <w:rFonts w:ascii="Arial" w:cs="Arial" w:eastAsia="Arial" w:hAnsi="Arial"/>
          <w:sz w:val="22"/>
          <w:szCs w:val="22"/>
          <w:color w:val="auto"/>
        </w:rPr>
        <w:t>Company Automatic Contributions allocated to Investment Funds will be converted to the applicable Investment Fund units based on the closing share price of that Investment Fund as of date the Contribution is credited to the Participant’s applicable Investment Fund. The value of the units of an Investment Fund will fluctuate on each business day based on the performance of the applicable Investment Fund.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6.4 - Crediting of Benefit Reduction Contribution</w:t>
      </w:r>
    </w:p>
    <w:p>
      <w:pPr>
        <w:spacing w:after="0" w:line="280" w:lineRule="exact"/>
        <w:rPr>
          <w:sz w:val="20"/>
          <w:szCs w:val="20"/>
          <w:color w:val="auto"/>
        </w:rPr>
      </w:pPr>
    </w:p>
    <w:p>
      <w:pPr>
        <w:ind w:right="20" w:firstLine="648"/>
        <w:spacing w:after="0" w:line="421" w:lineRule="auto"/>
        <w:rPr>
          <w:sz w:val="20"/>
          <w:szCs w:val="20"/>
          <w:color w:val="auto"/>
        </w:rPr>
      </w:pPr>
      <w:r>
        <w:rPr>
          <w:rFonts w:ascii="Arial" w:cs="Arial" w:eastAsia="Arial" w:hAnsi="Arial"/>
          <w:sz w:val="19"/>
          <w:szCs w:val="19"/>
          <w:color w:val="auto"/>
        </w:rPr>
        <w:t>At the end of each Plan Year, the Committee will determine whether a Participant is eligible to receive a Benefit Reduction Contribution, and will credit any applicable Benefit Reduction Contribution to the affected Participant’s Plan Account as of the last business day of the Plan Year. Any such amounts will be allocated on a pro-rata basis to the Participant’s Investment Funds in accordance with the Participant’s Default Investment Option or current investment allocation election in effect for that Plan Year.</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6.5 - Reports to Participants</w:t>
      </w:r>
    </w:p>
    <w:p>
      <w:pPr>
        <w:spacing w:after="0" w:line="280" w:lineRule="exact"/>
        <w:rPr>
          <w:sz w:val="20"/>
          <w:szCs w:val="20"/>
          <w:color w:val="auto"/>
        </w:rPr>
      </w:pPr>
    </w:p>
    <w:p>
      <w:pPr>
        <w:ind w:right="20" w:firstLine="648"/>
        <w:spacing w:after="0" w:line="356" w:lineRule="auto"/>
        <w:rPr>
          <w:sz w:val="20"/>
          <w:szCs w:val="20"/>
          <w:color w:val="auto"/>
        </w:rPr>
      </w:pPr>
      <w:r>
        <w:rPr>
          <w:rFonts w:ascii="Arial" w:cs="Arial" w:eastAsia="Arial" w:hAnsi="Arial"/>
          <w:sz w:val="22"/>
          <w:szCs w:val="22"/>
          <w:color w:val="auto"/>
        </w:rPr>
        <w:t>The Committee will provide or make available detailed information to Participants regarding the credited value of Plan Accounts, distribution elections, Beneficiary designations, and Investment Fund allocations. Such information may be provided via electronic media as determined by the Committee.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 - DISTRIBUTION OF PLAN ACCOUNT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7.1 - Timing of Plan Distributions</w:t>
      </w:r>
    </w:p>
    <w:p>
      <w:pPr>
        <w:spacing w:after="0" w:line="280" w:lineRule="exact"/>
        <w:rPr>
          <w:sz w:val="20"/>
          <w:szCs w:val="20"/>
          <w:color w:val="auto"/>
        </w:rPr>
      </w:pPr>
    </w:p>
    <w:p>
      <w:pPr>
        <w:ind w:right="60" w:firstLine="648"/>
        <w:spacing w:after="0" w:line="373" w:lineRule="auto"/>
        <w:rPr>
          <w:sz w:val="20"/>
          <w:szCs w:val="20"/>
          <w:color w:val="auto"/>
        </w:rPr>
      </w:pPr>
      <w:r>
        <w:rPr>
          <w:rFonts w:ascii="Arial" w:cs="Arial" w:eastAsia="Arial" w:hAnsi="Arial"/>
          <w:sz w:val="21"/>
          <w:szCs w:val="21"/>
          <w:color w:val="auto"/>
        </w:rPr>
        <w:t>Except as provided in Section 4.4 (concerning the five-year delay following a Change in Distribution Election), Section 7.4 (concerning Separation from Service before Attaining Age Fifty), and Section 7.5 (concerning distributions to Specified Employees), the value of a Participant’s Plan Account will be distributed (or begin to be distributed) to the Participant in April of the calendar year following the calendar year of the Participant’s Separation from Service.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7.2 - Method of Distribution</w:t>
      </w:r>
    </w:p>
    <w:p>
      <w:pPr>
        <w:spacing w:after="0" w:line="280" w:lineRule="exact"/>
        <w:rPr>
          <w:sz w:val="20"/>
          <w:szCs w:val="20"/>
          <w:color w:val="auto"/>
        </w:rPr>
      </w:pPr>
    </w:p>
    <w:p>
      <w:pPr>
        <w:ind w:right="20" w:firstLine="648"/>
        <w:spacing w:after="0" w:line="415" w:lineRule="auto"/>
        <w:rPr>
          <w:sz w:val="20"/>
          <w:szCs w:val="20"/>
          <w:color w:val="auto"/>
        </w:rPr>
      </w:pPr>
      <w:r>
        <w:rPr>
          <w:rFonts w:ascii="Arial" w:cs="Arial" w:eastAsia="Arial" w:hAnsi="Arial"/>
          <w:sz w:val="19"/>
          <w:szCs w:val="19"/>
          <w:color w:val="auto"/>
        </w:rPr>
        <w:t>Except as provided in Section 7.4 (concerning Separation from Service before Attaining Age Fifty) or in the following sentence (concerning Company Automatic Contributions and Benefit Reduction Contributions based on compensation earned before the Participant’s benefit distribution election), a Plan Account will be distributed to the Participant in a single lump-sum payment, or in a series of annual installment payments, in accordance with the Participant’s election on file. As provided in Section 4.1, any Benefit Reduction Contribution or Company Automatic Contribution based on compensation that a</w:t>
      </w:r>
    </w:p>
    <w:p>
      <w:pPr>
        <w:sectPr>
          <w:pgSz w:w="11900" w:h="16838" w:orient="portrait"/>
          <w:cols w:equalWidth="0" w:num="1">
            <w:col w:w="11380"/>
          </w:cols>
          <w:pgMar w:left="240" w:top="720" w:right="279" w:bottom="1440" w:gutter="0" w:footer="0" w:header="0"/>
        </w:sectPr>
      </w:pPr>
    </w:p>
    <w:bookmarkStart w:id="99" w:name="page100"/>
    <w:bookmarkEnd w:id="99"/>
    <w:p>
      <w:pPr>
        <w:ind w:right="220"/>
        <w:spacing w:after="0" w:line="412" w:lineRule="auto"/>
        <w:rPr>
          <w:sz w:val="20"/>
          <w:szCs w:val="20"/>
          <w:color w:val="auto"/>
        </w:rPr>
      </w:pPr>
      <w:r>
        <w:rPr>
          <w:rFonts w:ascii="Arial" w:cs="Arial" w:eastAsia="Arial" w:hAnsi="Arial"/>
          <w:sz w:val="19"/>
          <w:szCs w:val="19"/>
          <w:color w:val="auto"/>
        </w:rPr>
        <w:t>Participant earns after the Participant becomes eligible to participate in the Plan, but before the Participant makes a valid distribution election, shall be paid in a lump sum, or as otherwise provided in a change in distribution election made pursuant to Section 4.4. Annual installment distributions shall be payable to the Participant beginning as of the payment commencement date and continuing as of each anniversary of the payment commencement date thereafter until all installments have been paid. To determine the amount of each installment, the value of the Participant’s Plan Account on the payment date will be multiplied by a fraction, the numerator of which is one and the denominator of which is the remaining number of scheduled installments.</w:t>
      </w:r>
    </w:p>
    <w:p>
      <w:pPr>
        <w:spacing w:after="0" w:line="18" w:lineRule="exact"/>
        <w:rPr>
          <w:sz w:val="20"/>
          <w:szCs w:val="20"/>
          <w:color w:val="auto"/>
        </w:rPr>
      </w:pPr>
    </w:p>
    <w:p>
      <w:pPr>
        <w:jc w:val="both"/>
        <w:ind w:firstLine="1297"/>
        <w:spacing w:after="0" w:line="356" w:lineRule="auto"/>
        <w:rPr>
          <w:sz w:val="20"/>
          <w:szCs w:val="20"/>
          <w:color w:val="auto"/>
        </w:rPr>
      </w:pPr>
      <w:r>
        <w:rPr>
          <w:rFonts w:ascii="Arial" w:cs="Arial" w:eastAsia="Arial" w:hAnsi="Arial"/>
          <w:sz w:val="22"/>
          <w:szCs w:val="22"/>
          <w:color w:val="auto"/>
        </w:rPr>
        <w:t>Regardless of the distribution option elected, if the aggregate value of a Participant’s Plan Account, determined as of the payment commencement date, is less than the stated IRS Section 402g limit, the Committee will distribute the Participant’s entire Plan Account balance in a lump sum on the payment commencement date.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7.3 - Form of Distribution</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 Account distributions will be made in cash.</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7.4 - Separation from Service before Attaining Age Fifty</w:t>
      </w:r>
    </w:p>
    <w:p>
      <w:pPr>
        <w:spacing w:after="0" w:line="280" w:lineRule="exact"/>
        <w:rPr>
          <w:sz w:val="20"/>
          <w:szCs w:val="20"/>
          <w:color w:val="auto"/>
        </w:rPr>
      </w:pPr>
    </w:p>
    <w:p>
      <w:pPr>
        <w:ind w:right="140" w:firstLine="648"/>
        <w:spacing w:after="0" w:line="351" w:lineRule="auto"/>
        <w:rPr>
          <w:sz w:val="20"/>
          <w:szCs w:val="20"/>
          <w:color w:val="auto"/>
        </w:rPr>
      </w:pPr>
      <w:r>
        <w:rPr>
          <w:rFonts w:ascii="Arial" w:cs="Arial" w:eastAsia="Arial" w:hAnsi="Arial"/>
          <w:sz w:val="22"/>
          <w:szCs w:val="22"/>
          <w:color w:val="auto"/>
        </w:rPr>
        <w:t>If a Participant’s Separation from Service occurs before the Participant attains age fifty (50), the full value of the Participant’s Plan Account will be distributed to the Participant in a lump-sum payment in April of the calendar year following the calendar year of the Participant's Separation from Service (or, if the Participant is a Specified Employee at the time of his or her Separation from Service, on the date provided in Section 7.5, below, if later) regardless of the distribution option elected and regardless of any change in the distribution election.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7.5 - Separation from Service of Specified Employees</w:t>
      </w:r>
    </w:p>
    <w:p>
      <w:pPr>
        <w:spacing w:after="0" w:line="199" w:lineRule="exact"/>
        <w:rPr>
          <w:sz w:val="20"/>
          <w:szCs w:val="20"/>
          <w:color w:val="auto"/>
        </w:rPr>
      </w:pPr>
    </w:p>
    <w:p>
      <w:pPr>
        <w:ind w:right="80" w:firstLine="648"/>
        <w:spacing w:after="0" w:line="356" w:lineRule="auto"/>
        <w:rPr>
          <w:sz w:val="20"/>
          <w:szCs w:val="20"/>
          <w:color w:val="auto"/>
        </w:rPr>
      </w:pPr>
      <w:r>
        <w:rPr>
          <w:rFonts w:ascii="Arial" w:cs="Arial" w:eastAsia="Arial" w:hAnsi="Arial"/>
          <w:sz w:val="22"/>
          <w:szCs w:val="22"/>
          <w:color w:val="auto"/>
        </w:rPr>
        <w:t>Distributions to Specified Employees will not be made or commence earlier than the first day of the seventh month following the date of Separation from Service. All Plan Accounts shall continue to accrue hypothetical investment gains and losses as provided in Article VI until the distribution date.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7.6 - Distribution in the Event of Death</w:t>
      </w:r>
    </w:p>
    <w:p>
      <w:pPr>
        <w:spacing w:after="0" w:line="280" w:lineRule="exact"/>
        <w:rPr>
          <w:sz w:val="20"/>
          <w:szCs w:val="20"/>
          <w:color w:val="auto"/>
        </w:rPr>
      </w:pPr>
    </w:p>
    <w:p>
      <w:pPr>
        <w:ind w:right="40" w:firstLine="648"/>
        <w:spacing w:after="0" w:line="352" w:lineRule="auto"/>
        <w:rPr>
          <w:sz w:val="20"/>
          <w:szCs w:val="20"/>
          <w:color w:val="auto"/>
        </w:rPr>
      </w:pPr>
      <w:r>
        <w:rPr>
          <w:rFonts w:ascii="Arial" w:cs="Arial" w:eastAsia="Arial" w:hAnsi="Arial"/>
          <w:sz w:val="22"/>
          <w:szCs w:val="22"/>
          <w:color w:val="auto"/>
        </w:rPr>
        <w:t>In the event of the death of a Participant before the Participant’s Plan Account has been fully distributed, the full remaining value of the Participant’s Plan Account will be distributed to the designated Beneficiary or the Participant’s estate in a lump sum on the first business day of the third month following the Participant’s death. Upon notification of death, pending distribution, the value of Participant plan accounts will be allocated to the Income Fund.</w:t>
      </w:r>
    </w:p>
    <w:p>
      <w:pPr>
        <w:sectPr>
          <w:pgSz w:w="11900" w:h="16838" w:orient="portrait"/>
          <w:cols w:equalWidth="0" w:num="1">
            <w:col w:w="11420"/>
          </w:cols>
          <w:pgMar w:left="240" w:top="726"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b w:val="1"/>
          <w:bCs w:val="1"/>
          <w:color w:val="auto"/>
        </w:rPr>
        <w:t>Section 7.7 - Accelerated Distribution in the Case of an Unforeseeable Emergency</w:t>
      </w:r>
    </w:p>
    <w:p>
      <w:pPr>
        <w:spacing w:after="0" w:line="280" w:lineRule="exact"/>
        <w:rPr>
          <w:sz w:val="20"/>
          <w:szCs w:val="20"/>
          <w:color w:val="auto"/>
        </w:rPr>
      </w:pPr>
    </w:p>
    <w:p>
      <w:pPr>
        <w:ind w:firstLine="656"/>
        <w:spacing w:after="0" w:line="407" w:lineRule="auto"/>
        <w:tabs>
          <w:tab w:leader="none" w:pos="1158" w:val="left"/>
        </w:tabs>
        <w:numPr>
          <w:ilvl w:val="0"/>
          <w:numId w:val="34"/>
        </w:numPr>
        <w:rPr>
          <w:rFonts w:ascii="Arial" w:cs="Arial" w:eastAsia="Arial" w:hAnsi="Arial"/>
          <w:sz w:val="19"/>
          <w:szCs w:val="19"/>
          <w:color w:val="auto"/>
        </w:rPr>
      </w:pPr>
      <w:r>
        <w:rPr>
          <w:rFonts w:ascii="Arial" w:cs="Arial" w:eastAsia="Arial" w:hAnsi="Arial"/>
          <w:sz w:val="19"/>
          <w:szCs w:val="19"/>
          <w:color w:val="auto"/>
        </w:rPr>
        <w:t>Unforeseeable Emergency. The Committee may, upon a Participant’s written application, agree to an accelerated distribution of some or all of the value of a Participant's Plan Account upon the occurrence of an unforeseeable emergency. An “unforeseeable emergency” is a severe financial hardship to the Participant resulting from (1) an illness or accident of the Participant, the Participant’s spouse, the Participant’s Beneficiary, or the Participant’s dependent (as defined in IRC Section 152, without regard to Section 152(b)(1), (b)(2), and (d)(1)(B)); (2) loss of the Participant’s property due to casualty; or (3) other similar extraordinary and unforeseeable circumstances arising as a result of events beyond the control of the Participant. Whether a Participant is faced with an unforeseeable emergency permitting a distribution is to be determined based on the relevant facts and circumstances of each case. Acceleration will not be granted if the emergency is or may be relieved through reimbursement or compensation from insurance or otherwise, or by liquidation of the Participant’s assets (to the extent the liquidation of such assets would not cause severe financial hardship).</w:t>
      </w:r>
    </w:p>
    <w:p>
      <w:pPr>
        <w:spacing w:after="0" w:line="103" w:lineRule="exact"/>
        <w:rPr>
          <w:rFonts w:ascii="Arial" w:cs="Arial" w:eastAsia="Arial" w:hAnsi="Arial"/>
          <w:sz w:val="19"/>
          <w:szCs w:val="19"/>
          <w:color w:val="auto"/>
        </w:rPr>
      </w:pPr>
    </w:p>
    <w:p>
      <w:pPr>
        <w:jc w:val="both"/>
        <w:ind w:right="20" w:firstLine="656"/>
        <w:spacing w:after="0" w:line="352" w:lineRule="auto"/>
        <w:tabs>
          <w:tab w:leader="none" w:pos="1158" w:val="left"/>
        </w:tabs>
        <w:numPr>
          <w:ilvl w:val="0"/>
          <w:numId w:val="34"/>
        </w:numPr>
        <w:rPr>
          <w:rFonts w:ascii="Arial" w:cs="Arial" w:eastAsia="Arial" w:hAnsi="Arial"/>
          <w:sz w:val="22"/>
          <w:szCs w:val="22"/>
          <w:color w:val="auto"/>
        </w:rPr>
      </w:pPr>
      <w:r>
        <w:rPr>
          <w:rFonts w:ascii="Arial" w:cs="Arial" w:eastAsia="Arial" w:hAnsi="Arial"/>
          <w:sz w:val="22"/>
          <w:szCs w:val="22"/>
          <w:color w:val="auto"/>
        </w:rPr>
        <w:t>Amount of Distribution Permitted Upon an Unforeseeable Emergency. Distributions on account of an unforeseeable emergency, as defined in Section 7.7(a), shall be limited to the amount reasonably necessary to satisfy the emergency need. Such amount may include amounts necessary to pay any Federal, state, local, or foreign income taxes or penalties reasonably anticipated to result from the distribution.</w:t>
      </w:r>
    </w:p>
    <w:p>
      <w:pPr>
        <w:spacing w:after="0" w:line="136" w:lineRule="exact"/>
        <w:rPr>
          <w:rFonts w:ascii="Arial" w:cs="Arial" w:eastAsia="Arial" w:hAnsi="Arial"/>
          <w:sz w:val="22"/>
          <w:szCs w:val="22"/>
          <w:color w:val="auto"/>
        </w:rPr>
      </w:pPr>
    </w:p>
    <w:p>
      <w:pPr>
        <w:jc w:val="both"/>
        <w:ind w:right="320" w:firstLine="656"/>
        <w:spacing w:after="0" w:line="356" w:lineRule="auto"/>
        <w:tabs>
          <w:tab w:leader="none" w:pos="115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Committee will determine from which Investment Funds hardship distributions will be made. Any Participant who is an officer or director of the Corporation within the meaning of Section 16 of the Securities Exchange Act of 1934 is not eligible for distributions on account of unforeseeable emergency.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7.8 - Disability</w:t>
      </w:r>
    </w:p>
    <w:p>
      <w:pPr>
        <w:spacing w:after="0" w:line="280" w:lineRule="exact"/>
        <w:rPr>
          <w:sz w:val="20"/>
          <w:szCs w:val="20"/>
          <w:color w:val="auto"/>
        </w:rPr>
      </w:pPr>
    </w:p>
    <w:p>
      <w:pPr>
        <w:ind w:right="120" w:firstLine="648"/>
        <w:spacing w:after="0" w:line="395" w:lineRule="auto"/>
        <w:rPr>
          <w:sz w:val="20"/>
          <w:szCs w:val="20"/>
          <w:color w:val="auto"/>
        </w:rPr>
      </w:pPr>
      <w:r>
        <w:rPr>
          <w:rFonts w:ascii="Arial" w:cs="Arial" w:eastAsia="Arial" w:hAnsi="Arial"/>
          <w:sz w:val="21"/>
          <w:szCs w:val="21"/>
          <w:color w:val="auto"/>
        </w:rPr>
        <w:t>In the event of the Disability of a Participant that qualifies as a “Separation from Service” for purposes of Section 409A of the Code, the Participant’s Plan Accounts will be distributed in accordance with the Participant’s elections on file.</w:t>
      </w:r>
    </w:p>
    <w:p>
      <w:pPr>
        <w:spacing w:after="0" w:line="9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7.9</w:t>
      </w:r>
      <w:r>
        <w:rPr>
          <w:sz w:val="20"/>
          <w:szCs w:val="20"/>
          <w:color w:val="auto"/>
        </w:rPr>
        <w:tab/>
      </w:r>
      <w:r>
        <w:rPr>
          <w:rFonts w:ascii="Arial" w:cs="Arial" w:eastAsia="Arial" w:hAnsi="Arial"/>
          <w:sz w:val="19"/>
          <w:szCs w:val="19"/>
          <w:b w:val="1"/>
          <w:bCs w:val="1"/>
          <w:color w:val="auto"/>
        </w:rPr>
        <w:t>Administrative Adjustments in Payment Date</w:t>
      </w:r>
    </w:p>
    <w:p>
      <w:pPr>
        <w:spacing w:after="0" w:line="280" w:lineRule="exact"/>
        <w:rPr>
          <w:sz w:val="20"/>
          <w:szCs w:val="20"/>
          <w:color w:val="auto"/>
        </w:rPr>
      </w:pPr>
    </w:p>
    <w:p>
      <w:pPr>
        <w:ind w:right="80" w:firstLine="648"/>
        <w:spacing w:after="0" w:line="351" w:lineRule="auto"/>
        <w:rPr>
          <w:sz w:val="20"/>
          <w:szCs w:val="20"/>
          <w:color w:val="auto"/>
        </w:rPr>
      </w:pPr>
      <w:r>
        <w:rPr>
          <w:rFonts w:ascii="Arial" w:cs="Arial" w:eastAsia="Arial" w:hAnsi="Arial"/>
          <w:sz w:val="22"/>
          <w:szCs w:val="22"/>
          <w:color w:val="auto"/>
        </w:rPr>
        <w:t>A payment is treated as being made on the date when it is due under the Plan if the payment is made on the due date specified by the Plan, or on a later date that is either (a) in the same calendar year (for a payment whose specified due date is on or before September 30), or (b) by the 15th day of the third calendar month following the date specified by the Plan (for a payment whose specified due date is on or after October 1). A payment also is treated as being made on the date when it is due under the Plan if the</w:t>
      </w:r>
    </w:p>
    <w:p>
      <w:pPr>
        <w:sectPr>
          <w:pgSz w:w="11900" w:h="16838" w:orient="portrait"/>
          <w:cols w:equalWidth="0" w:num="1">
            <w:col w:w="11360"/>
          </w:cols>
          <w:pgMar w:left="240" w:top="720" w:right="299" w:bottom="1440" w:gutter="0" w:footer="0" w:header="0"/>
        </w:sectPr>
      </w:pPr>
    </w:p>
    <w:bookmarkStart w:id="101" w:name="page102"/>
    <w:bookmarkEnd w:id="101"/>
    <w:p>
      <w:pPr>
        <w:ind w:right="240"/>
        <w:spacing w:after="0" w:line="352" w:lineRule="auto"/>
        <w:rPr>
          <w:sz w:val="20"/>
          <w:szCs w:val="20"/>
          <w:color w:val="auto"/>
        </w:rPr>
      </w:pPr>
      <w:r>
        <w:rPr>
          <w:rFonts w:ascii="Arial" w:cs="Arial" w:eastAsia="Arial" w:hAnsi="Arial"/>
          <w:sz w:val="22"/>
          <w:szCs w:val="22"/>
          <w:color w:val="auto"/>
        </w:rPr>
        <w:t>payment is made not more than 30 days before the due date specified by the Plan. In no event will a payment to a Specified Employee be made or commence earlier than the first day of the seventh month following the date of Separation from Service. A Participant may not, directly or indirectly, designate the taxable year of a payment made in reliance on the administrative rules in this Section 7.9.</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VIII - AMENDMENT AND TERMINATION OF PLAN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8.1 - Amendment</w:t>
      </w:r>
    </w:p>
    <w:p>
      <w:pPr>
        <w:spacing w:after="0" w:line="280" w:lineRule="exact"/>
        <w:rPr>
          <w:sz w:val="20"/>
          <w:szCs w:val="20"/>
          <w:color w:val="auto"/>
        </w:rPr>
      </w:pPr>
    </w:p>
    <w:p>
      <w:pPr>
        <w:jc w:val="both"/>
        <w:ind w:right="60" w:firstLine="648"/>
        <w:spacing w:after="0" w:line="415" w:lineRule="auto"/>
        <w:rPr>
          <w:sz w:val="20"/>
          <w:szCs w:val="20"/>
          <w:color w:val="auto"/>
        </w:rPr>
      </w:pPr>
      <w:r>
        <w:rPr>
          <w:rFonts w:ascii="Arial" w:cs="Arial" w:eastAsia="Arial" w:hAnsi="Arial"/>
          <w:sz w:val="19"/>
          <w:szCs w:val="19"/>
          <w:color w:val="auto"/>
        </w:rPr>
        <w:t>The Corporation may, at any time, amend the Plan in whole or in part, provided that no amendment may decrease the value of any Plan Accounts as of the date of such amendment. In the event of any change in law or regulation relating to the Plan and the tax treatment of Plan 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VII.</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8.2 - Plan Suspension and Termination</w:t>
      </w:r>
    </w:p>
    <w:p>
      <w:pPr>
        <w:spacing w:after="0" w:line="280" w:lineRule="exact"/>
        <w:rPr>
          <w:sz w:val="20"/>
          <w:szCs w:val="20"/>
          <w:color w:val="auto"/>
        </w:rPr>
      </w:pPr>
    </w:p>
    <w:p>
      <w:pPr>
        <w:jc w:val="both"/>
        <w:ind w:right="160" w:firstLine="656"/>
        <w:spacing w:after="0" w:line="356" w:lineRule="auto"/>
        <w:tabs>
          <w:tab w:leader="none" w:pos="1154"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Corporation’s Pension Administration Committee, may, at any time, suspend or terminate the Plan if, in its sole judgment, the continuance of the Plan, the tax, accounting, or other effects thereof, or potential payments thereunder would not be in the best interest of the Corporation or for any other reason.</w:t>
      </w:r>
    </w:p>
    <w:p>
      <w:pPr>
        <w:spacing w:after="0" w:line="130" w:lineRule="exact"/>
        <w:rPr>
          <w:rFonts w:ascii="Arial" w:cs="Arial" w:eastAsia="Arial" w:hAnsi="Arial"/>
          <w:sz w:val="22"/>
          <w:szCs w:val="22"/>
          <w:color w:val="auto"/>
        </w:rPr>
      </w:pPr>
    </w:p>
    <w:p>
      <w:pPr>
        <w:ind w:right="40" w:firstLine="656"/>
        <w:spacing w:after="0" w:line="356" w:lineRule="auto"/>
        <w:tabs>
          <w:tab w:leader="none" w:pos="117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event of the suspension of the Plan, no additional contributions shall be made under the Plan. All previous contributions shall be distributed in accordance with the otherwise applicable provisions of the Plan and the applicable elections on file.</w:t>
      </w:r>
    </w:p>
    <w:p>
      <w:pPr>
        <w:spacing w:after="0" w:line="130" w:lineRule="exact"/>
        <w:rPr>
          <w:rFonts w:ascii="Arial" w:cs="Arial" w:eastAsia="Arial" w:hAnsi="Arial"/>
          <w:sz w:val="22"/>
          <w:szCs w:val="22"/>
          <w:color w:val="auto"/>
        </w:rPr>
      </w:pPr>
    </w:p>
    <w:p>
      <w:pPr>
        <w:ind w:firstLine="656"/>
        <w:spacing w:after="0" w:line="348" w:lineRule="auto"/>
        <w:tabs>
          <w:tab w:leader="none" w:pos="1158" w:val="left"/>
        </w:tabs>
        <w:numPr>
          <w:ilvl w:val="0"/>
          <w:numId w:val="35"/>
        </w:numPr>
        <w:rPr>
          <w:rFonts w:ascii="Arial" w:cs="Arial" w:eastAsia="Arial" w:hAnsi="Arial"/>
          <w:sz w:val="22"/>
          <w:szCs w:val="22"/>
          <w:color w:val="auto"/>
        </w:rPr>
      </w:pPr>
      <w:r>
        <w:rPr>
          <w:rFonts w:ascii="Arial" w:cs="Arial" w:eastAsia="Arial" w:hAnsi="Arial"/>
          <w:sz w:val="22"/>
          <w:szCs w:val="22"/>
          <w:color w:val="auto"/>
        </w:rPr>
        <w:t>Upon the termination of the Plan with respect to all Participants, and the termination of all arrangements sponsored by the Corporation or its affiliates that would be aggregated with the Plan under Section 409A of the Code (“Section 409A”), the Corporation shall have the right, in its sole discretion, and notwithstanding any elections made by the Participant, to pay the Participant’s Plan Account in a lump sum, to the extent permitted under Section 409A. All payments that may be made pursuant to this Section 8.2(c) shall be made no earlier than the thirteenth month and no later than the twenty-fourth month after the termination of the Plan. The Corporation may not accelerate payments pursuant to this Section 8.2(c) if the termination of the Plan is proximate to a downturn in the Corporation’s financial health within the meaning of Treas. Reg. section 1.409A-3(j)(4)(ix)(C)(1). If the Corporation exercises its discretion to accelerate payments under this Section 8.2(c), it shall not adopt any new arrangement that</w:t>
      </w:r>
    </w:p>
    <w:p>
      <w:pPr>
        <w:sectPr>
          <w:pgSz w:w="11900" w:h="16838" w:orient="portrait"/>
          <w:cols w:equalWidth="0" w:num="1">
            <w:col w:w="11400"/>
          </w:cols>
          <w:pgMar w:left="240" w:top="726" w:right="25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would have been aggregated with the Plan under Section 409A within three years following the date of the Plan’s termination.</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8.3 - No Consent Required</w:t>
      </w:r>
    </w:p>
    <w:p>
      <w:pPr>
        <w:spacing w:after="0" w:line="280" w:lineRule="exact"/>
        <w:rPr>
          <w:sz w:val="20"/>
          <w:szCs w:val="20"/>
          <w:color w:val="auto"/>
        </w:rPr>
      </w:pPr>
    </w:p>
    <w:p>
      <w:pPr>
        <w:ind w:right="960" w:firstLine="648"/>
        <w:spacing w:after="0" w:line="366" w:lineRule="auto"/>
        <w:rPr>
          <w:sz w:val="20"/>
          <w:szCs w:val="20"/>
          <w:color w:val="auto"/>
        </w:rPr>
      </w:pPr>
      <w:r>
        <w:rPr>
          <w:rFonts w:ascii="Arial" w:cs="Arial" w:eastAsia="Arial" w:hAnsi="Arial"/>
          <w:sz w:val="22"/>
          <w:szCs w:val="22"/>
          <w:color w:val="auto"/>
        </w:rPr>
        <w:t>The consent of any Participant, Beneficiary, or other person shall not be required with respect to any amendment, suspension, or termination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IX - GENERAL PROVISIONS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9.1 - Unsecured General Creditor</w:t>
      </w:r>
    </w:p>
    <w:p>
      <w:pPr>
        <w:spacing w:after="0" w:line="280" w:lineRule="exact"/>
        <w:rPr>
          <w:sz w:val="20"/>
          <w:szCs w:val="20"/>
          <w:color w:val="auto"/>
        </w:rPr>
      </w:pPr>
    </w:p>
    <w:p>
      <w:pPr>
        <w:ind w:right="100" w:firstLine="648"/>
        <w:spacing w:after="0" w:line="352" w:lineRule="auto"/>
        <w:rPr>
          <w:sz w:val="20"/>
          <w:szCs w:val="20"/>
          <w:color w:val="auto"/>
        </w:rPr>
      </w:pPr>
      <w:r>
        <w:rPr>
          <w:rFonts w:ascii="Arial" w:cs="Arial" w:eastAsia="Arial" w:hAnsi="Arial"/>
          <w:sz w:val="22"/>
          <w:szCs w:val="22"/>
          <w:color w:val="auto"/>
        </w:rPr>
        <w:t>The Corporation’s obligations under the Plan constitute an unfunded and unsecured promise to pay money in the future. Participants’ and Beneficiaries’ rights under the Plan are solely those of a general unsecured creditor of the Corporation. No assets will be placed in trust, set aside or otherwise segregated to fund or offset liabilities in respect of the Plan or Participants’ Plan Accounts.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9.2 - Nonassignability</w:t>
      </w:r>
    </w:p>
    <w:p>
      <w:pPr>
        <w:spacing w:after="0" w:line="280" w:lineRule="exact"/>
        <w:rPr>
          <w:sz w:val="20"/>
          <w:szCs w:val="20"/>
          <w:color w:val="auto"/>
        </w:rPr>
      </w:pPr>
    </w:p>
    <w:p>
      <w:pPr>
        <w:ind w:firstLine="648"/>
        <w:spacing w:after="0" w:line="351" w:lineRule="auto"/>
        <w:rPr>
          <w:sz w:val="20"/>
          <w:szCs w:val="20"/>
          <w:color w:val="auto"/>
        </w:rPr>
      </w:pPr>
      <w:r>
        <w:rPr>
          <w:rFonts w:ascii="Arial" w:cs="Arial" w:eastAsia="Arial" w:hAnsi="Arial"/>
          <w:sz w:val="22"/>
          <w:szCs w:val="22"/>
          <w:color w:val="auto"/>
        </w:rPr>
        <w:t>No Participant or Beneficiary or any other person shall have the right to sell, assign, transfer, pledge, or otherwise encumber any interest in the Plan. All Plan Accounts and the rights to all payments are unassignable and non-transferable. Plan Accounts or payment hereunder, prior to actual payment, will not be subject to attachment or seizure for the payment of any debts, judgments or other obligations. Plan Accounts or other Plan benefit will not be transferred by operation of law in the event of a Participant’s or any Beneficiary’s bankruptcy or insolvency.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9.3 - No Contract of Employment</w:t>
      </w:r>
    </w:p>
    <w:p>
      <w:pPr>
        <w:spacing w:after="0" w:line="280" w:lineRule="exact"/>
        <w:rPr>
          <w:sz w:val="20"/>
          <w:szCs w:val="20"/>
          <w:color w:val="auto"/>
        </w:rPr>
      </w:pPr>
    </w:p>
    <w:p>
      <w:pPr>
        <w:ind w:right="180" w:firstLine="648"/>
        <w:spacing w:after="0" w:line="351" w:lineRule="auto"/>
        <w:rPr>
          <w:sz w:val="20"/>
          <w:szCs w:val="20"/>
          <w:color w:val="auto"/>
        </w:rPr>
      </w:pPr>
      <w:r>
        <w:rPr>
          <w:rFonts w:ascii="Arial" w:cs="Arial" w:eastAsia="Arial" w:hAnsi="Arial"/>
          <w:sz w:val="22"/>
          <w:szCs w:val="22"/>
          <w:color w:val="auto"/>
        </w:rPr>
        <w:t>Participation in the Plan shall not be construed to constitute a direct or indirect contract of employment between any UTC Company and any Participant. Participants and Beneficiaries will have no rights against any UTC Company resulting from participation in the Plan other than as specifically provided herein. Nothing in the Plan shall be deemed to give a Participant the right to be retained in the service of any UTC Company for any length of time or to interfere with the right of any UTC Company to terminate a Participant’s employment.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9.4 - Governing Law</w:t>
      </w:r>
    </w:p>
    <w:p>
      <w:pPr>
        <w:spacing w:after="0" w:line="280" w:lineRule="exact"/>
        <w:rPr>
          <w:sz w:val="20"/>
          <w:szCs w:val="20"/>
          <w:color w:val="auto"/>
        </w:rPr>
      </w:pPr>
    </w:p>
    <w:p>
      <w:pPr>
        <w:ind w:right="120" w:firstLine="648"/>
        <w:spacing w:after="0" w:line="366" w:lineRule="auto"/>
        <w:rPr>
          <w:sz w:val="20"/>
          <w:szCs w:val="20"/>
          <w:color w:val="auto"/>
        </w:rPr>
      </w:pPr>
      <w:r>
        <w:rPr>
          <w:rFonts w:ascii="Arial" w:cs="Arial" w:eastAsia="Arial" w:hAnsi="Arial"/>
          <w:sz w:val="22"/>
          <w:szCs w:val="22"/>
          <w:color w:val="auto"/>
        </w:rPr>
        <w:t>The provisions of the Plan will be construed and interpreted according to the laws of the State of Connecticut, to the extent not preempted by federal law.</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9.5 - Validity</w:t>
      </w:r>
    </w:p>
    <w:p>
      <w:pPr>
        <w:sectPr>
          <w:pgSz w:w="11900" w:h="16838" w:orient="portrait"/>
          <w:cols w:equalWidth="0" w:num="1">
            <w:col w:w="11400"/>
          </w:cols>
          <w:pgMar w:left="240" w:top="726" w:right="259" w:bottom="1440" w:gutter="0" w:footer="0" w:header="0"/>
        </w:sectPr>
      </w:pPr>
    </w:p>
    <w:bookmarkStart w:id="103" w:name="page104"/>
    <w:bookmarkEnd w:id="103"/>
    <w:p>
      <w:pPr>
        <w:ind w:right="620" w:firstLine="648"/>
        <w:spacing w:after="0" w:line="366" w:lineRule="auto"/>
        <w:rPr>
          <w:sz w:val="20"/>
          <w:szCs w:val="20"/>
          <w:color w:val="auto"/>
        </w:rPr>
      </w:pPr>
      <w:r>
        <w:rPr>
          <w:rFonts w:ascii="Arial" w:cs="Arial" w:eastAsia="Arial" w:hAnsi="Arial"/>
          <w:sz w:val="22"/>
          <w:szCs w:val="22"/>
          <w:color w:val="auto"/>
        </w:rPr>
        <w:t>If any provision of the Plan is held to be illegal or invalid for any reason, the remaining provisions of the Plan will be construed and enforced as if such illegal and invalid provision had never been inserted herein.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9.6 - Notice</w:t>
      </w:r>
    </w:p>
    <w:p>
      <w:pPr>
        <w:spacing w:after="0" w:line="280" w:lineRule="exact"/>
        <w:rPr>
          <w:sz w:val="20"/>
          <w:szCs w:val="20"/>
          <w:color w:val="auto"/>
        </w:rPr>
      </w:pPr>
    </w:p>
    <w:p>
      <w:pPr>
        <w:ind w:right="40" w:firstLine="648"/>
        <w:spacing w:after="0" w:line="349" w:lineRule="auto"/>
        <w:rPr>
          <w:sz w:val="20"/>
          <w:szCs w:val="20"/>
          <w:color w:val="auto"/>
        </w:rPr>
      </w:pPr>
      <w:r>
        <w:rPr>
          <w:rFonts w:ascii="Arial" w:cs="Arial" w:eastAsia="Arial" w:hAnsi="Arial"/>
          <w:sz w:val="22"/>
          <w:szCs w:val="22"/>
          <w:color w:val="auto"/>
        </w:rPr>
        <w:t>Any notice or filing required or permitted to be given to the Committee under the Plan shall be sufficient if sent by first-class mail, to the United Technologies Corporation Deferred Compensation Committee, 4 Farm Springs Road, MS4-2, Farmington, Connecticut 06032, Attn: Deferred Compensation Committee,.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9.7 - Successors</w:t>
      </w:r>
    </w:p>
    <w:p>
      <w:pPr>
        <w:spacing w:after="0" w:line="280" w:lineRule="exact"/>
        <w:rPr>
          <w:sz w:val="20"/>
          <w:szCs w:val="20"/>
          <w:color w:val="auto"/>
        </w:rPr>
      </w:pPr>
    </w:p>
    <w:p>
      <w:pPr>
        <w:ind w:right="240" w:firstLine="648"/>
        <w:spacing w:after="0" w:line="352"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9.8 - Incompetence</w:t>
      </w:r>
    </w:p>
    <w:p>
      <w:pPr>
        <w:spacing w:after="0" w:line="280" w:lineRule="exact"/>
        <w:rPr>
          <w:sz w:val="20"/>
          <w:szCs w:val="20"/>
          <w:color w:val="auto"/>
        </w:rPr>
      </w:pPr>
    </w:p>
    <w:p>
      <w:pPr>
        <w:ind w:firstLine="648"/>
        <w:spacing w:after="0" w:line="412"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 Beneficiary. Any such payment from a Participant’s Plan Account shall be a complete discharge of any liability under the Plan with respect to the amount so paid.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9.9 - Section 409A Compliance</w:t>
      </w:r>
    </w:p>
    <w:p>
      <w:pPr>
        <w:spacing w:after="0" w:line="199" w:lineRule="exact"/>
        <w:rPr>
          <w:sz w:val="20"/>
          <w:szCs w:val="20"/>
          <w:color w:val="auto"/>
        </w:rPr>
      </w:pPr>
    </w:p>
    <w:p>
      <w:pPr>
        <w:ind w:right="180" w:firstLine="648"/>
        <w:spacing w:after="0" w:line="351" w:lineRule="auto"/>
        <w:rPr>
          <w:sz w:val="20"/>
          <w:szCs w:val="20"/>
          <w:color w:val="auto"/>
        </w:rPr>
      </w:pPr>
      <w:r>
        <w:rPr>
          <w:rFonts w:ascii="Arial" w:cs="Arial" w:eastAsia="Arial" w:hAnsi="Arial"/>
          <w:sz w:val="22"/>
          <w:szCs w:val="22"/>
          <w:color w:val="auto"/>
        </w:rPr>
        <w:t>To the extent that rights or payments under this Plan are subject to Section 409A of the Internal Revenue Code,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w:t>
      </w:r>
    </w:p>
    <w:p>
      <w:pPr>
        <w:sectPr>
          <w:pgSz w:w="11900" w:h="16838" w:orient="portrait"/>
          <w:cols w:equalWidth="0" w:num="1">
            <w:col w:w="11420"/>
          </w:cols>
          <w:pgMar w:left="240" w:top="726" w:right="239" w:bottom="1440" w:gutter="0" w:footer="0" w:header="0"/>
        </w:sectPr>
      </w:pPr>
    </w:p>
    <w:bookmarkStart w:id="104" w:name="page105"/>
    <w:bookmarkEnd w:id="104"/>
    <w:p>
      <w:pPr>
        <w:spacing w:after="0" w:line="350" w:lineRule="auto"/>
        <w:rPr>
          <w:sz w:val="20"/>
          <w:szCs w:val="20"/>
          <w:color w:val="auto"/>
        </w:rPr>
      </w:pPr>
      <w:r>
        <w:rPr>
          <w:rFonts w:ascii="Arial" w:cs="Arial" w:eastAsia="Arial" w:hAnsi="Arial"/>
          <w:sz w:val="22"/>
          <w:szCs w:val="22"/>
          <w:color w:val="auto"/>
        </w:rPr>
        <w:t>Plan does not comply with Section 409A of the Code, such provision shall be void and without effect. The Corporation does not warrant that the Plan will comply with Section 409A of the Code with respect to any Participant or with respect to any payment. In no event shall any UTC Company; any director, officer, or employee of a UTC Company (other than the Participant); or any member of the Committee be liable for any additional tax, interest, or penalty incurred by a Participant or Beneficiary as a result of the Plan’s failure to satisfy the requirements of Section 409A of the Code, or as a result of the Plan’s failure to satisfy any other requirements of applicable tax laws.</w:t>
      </w:r>
    </w:p>
    <w:p>
      <w:pPr>
        <w:spacing w:after="0" w:line="4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9.10</w:t>
      </w:r>
      <w:r>
        <w:rPr>
          <w:sz w:val="20"/>
          <w:szCs w:val="20"/>
          <w:color w:val="auto"/>
        </w:rPr>
        <w:tab/>
      </w:r>
      <w:r>
        <w:rPr>
          <w:rFonts w:ascii="Arial" w:cs="Arial" w:eastAsia="Arial" w:hAnsi="Arial"/>
          <w:sz w:val="19"/>
          <w:szCs w:val="19"/>
          <w:b w:val="1"/>
          <w:bCs w:val="1"/>
          <w:color w:val="auto"/>
        </w:rPr>
        <w:t>Withholding Taxes</w:t>
      </w:r>
    </w:p>
    <w:p>
      <w:pPr>
        <w:spacing w:after="0" w:line="280" w:lineRule="exact"/>
        <w:rPr>
          <w:sz w:val="20"/>
          <w:szCs w:val="20"/>
          <w:color w:val="auto"/>
        </w:rPr>
      </w:pPr>
    </w:p>
    <w:p>
      <w:pPr>
        <w:ind w:right="280" w:firstLine="648"/>
        <w:spacing w:after="0" w:line="356" w:lineRule="auto"/>
        <w:rPr>
          <w:sz w:val="20"/>
          <w:szCs w:val="20"/>
          <w:color w:val="auto"/>
        </w:rPr>
      </w:pPr>
      <w:r>
        <w:rPr>
          <w:rFonts w:ascii="Arial" w:cs="Arial" w:eastAsia="Arial" w:hAnsi="Arial"/>
          <w:sz w:val="22"/>
          <w:szCs w:val="22"/>
          <w:color w:val="auto"/>
        </w:rPr>
        <w:t>The Committee may make any appropriate arrangements to deduct from all Contributions, vested Plan Accounts and distributions under the Plan any taxes that the Committee reasonably determines to be required by law to be withheld from such credits and payments.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X - ADMINISTRATION AND CLAIMS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10.1 - Plan Administration</w:t>
      </w:r>
    </w:p>
    <w:p>
      <w:pPr>
        <w:spacing w:after="0" w:line="280" w:lineRule="exact"/>
        <w:rPr>
          <w:sz w:val="20"/>
          <w:szCs w:val="20"/>
          <w:color w:val="auto"/>
        </w:rPr>
      </w:pPr>
    </w:p>
    <w:p>
      <w:pPr>
        <w:jc w:val="both"/>
        <w:ind w:right="120" w:firstLine="648"/>
        <w:spacing w:after="0" w:line="356" w:lineRule="auto"/>
        <w:rPr>
          <w:sz w:val="20"/>
          <w:szCs w:val="20"/>
          <w:color w:val="auto"/>
        </w:rPr>
      </w:pPr>
      <w:r>
        <w:rPr>
          <w:rFonts w:ascii="Arial" w:cs="Arial" w:eastAsia="Arial" w:hAnsi="Arial"/>
          <w:sz w:val="22"/>
          <w:szCs w:val="22"/>
          <w:color w:val="auto"/>
        </w:rPr>
        <w:t>The Committee shall be solely responsible for the administration and operation of the Plan. The Committee shall have full and exclusive authority and discretion to interpret the provisions of the Plan and to establish such administrative procedures as it deems necessary and appropriate to carry out the purposes of the Plan.</w:t>
      </w:r>
    </w:p>
    <w:p>
      <w:pPr>
        <w:spacing w:after="0" w:line="130" w:lineRule="exact"/>
        <w:rPr>
          <w:sz w:val="20"/>
          <w:szCs w:val="20"/>
          <w:color w:val="auto"/>
        </w:rPr>
      </w:pPr>
    </w:p>
    <w:p>
      <w:pPr>
        <w:ind w:right="300" w:firstLine="648"/>
        <w:spacing w:after="0" w:line="378" w:lineRule="auto"/>
        <w:rPr>
          <w:sz w:val="20"/>
          <w:szCs w:val="20"/>
          <w:color w:val="auto"/>
        </w:rPr>
      </w:pPr>
      <w:r>
        <w:rPr>
          <w:rFonts w:ascii="Arial" w:cs="Arial" w:eastAsia="Arial" w:hAnsi="Arial"/>
          <w:sz w:val="21"/>
          <w:szCs w:val="21"/>
          <w:color w:val="auto"/>
        </w:rPr>
        <w:t>Any person claiming a benefit, requesting an interpretation or ruling under the Plan, or requesting information under the Plan shall present the request in writing to the Committee at 4 Farm Springs Road, Farmington, CT 06032, Attn: Deferred Compensation Committee. The Committee shall respond in writing as soon as practicable.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10.2 - Claim Procedures</w:t>
      </w:r>
    </w:p>
    <w:p>
      <w:pPr>
        <w:spacing w:after="0" w:line="280" w:lineRule="exact"/>
        <w:rPr>
          <w:sz w:val="20"/>
          <w:szCs w:val="20"/>
          <w:color w:val="auto"/>
        </w:rPr>
      </w:pPr>
    </w:p>
    <w:p>
      <w:pPr>
        <w:jc w:val="both"/>
        <w:ind w:right="200" w:firstLine="648"/>
        <w:spacing w:after="0" w:line="356" w:lineRule="auto"/>
        <w:rPr>
          <w:sz w:val="20"/>
          <w:szCs w:val="20"/>
          <w:color w:val="auto"/>
        </w:rPr>
      </w:pPr>
      <w:r>
        <w:rPr>
          <w:rFonts w:ascii="Arial" w:cs="Arial" w:eastAsia="Arial" w:hAnsi="Arial"/>
          <w:sz w:val="22"/>
          <w:szCs w:val="22"/>
          <w:color w:val="auto"/>
        </w:rPr>
        <w:t>A Participant or Beneficiary who believes that he or she has been denied a benefit to which he or she is entitled under the Plan (referred to in this Section 10.2 as a “Claimant”) may file a written request with the Committee setting forth the claim. The Committee shall consider and resolve the claim as set forth below.</w:t>
      </w:r>
    </w:p>
    <w:p>
      <w:pPr>
        <w:spacing w:after="0" w:line="130" w:lineRule="exact"/>
        <w:rPr>
          <w:sz w:val="20"/>
          <w:szCs w:val="20"/>
          <w:color w:val="auto"/>
        </w:rPr>
      </w:pPr>
    </w:p>
    <w:p>
      <w:pPr>
        <w:jc w:val="both"/>
        <w:ind w:right="20" w:firstLine="656"/>
        <w:spacing w:after="0" w:line="352" w:lineRule="auto"/>
        <w:tabs>
          <w:tab w:leader="none" w:pos="1104" w:val="left"/>
        </w:tabs>
        <w:numPr>
          <w:ilvl w:val="0"/>
          <w:numId w:val="36"/>
        </w:numPr>
        <w:rPr>
          <w:rFonts w:ascii="Arial" w:cs="Arial" w:eastAsia="Arial" w:hAnsi="Arial"/>
          <w:sz w:val="22"/>
          <w:szCs w:val="22"/>
          <w:color w:val="auto"/>
        </w:rPr>
      </w:pPr>
      <w:r>
        <w:rPr>
          <w:rFonts w:ascii="Arial" w:cs="Arial" w:eastAsia="Arial" w:hAnsi="Arial"/>
          <w:sz w:val="22"/>
          <w:szCs w:val="22"/>
          <w:color w:val="auto"/>
        </w:rPr>
        <w:t>Upon receipt of a claim, the Committee shall advise the Claimant that a response will be forthcoming within 90 days. The Committee may, however, extend the response period for up to an additional 90 days for reasonable cause, and shall notify the Claimant of the reason for the extension and the expected response date. The Committee shall respond to the claim within the specified period.</w:t>
      </w:r>
    </w:p>
    <w:p>
      <w:pPr>
        <w:sectPr>
          <w:pgSz w:w="11900" w:h="16838" w:orient="portrait"/>
          <w:cols w:equalWidth="0" w:num="1">
            <w:col w:w="11340"/>
          </w:cols>
          <w:pgMar w:left="240" w:top="645" w:right="319" w:bottom="1440" w:gutter="0" w:footer="0" w:header="0"/>
        </w:sectPr>
      </w:pPr>
    </w:p>
    <w:bookmarkStart w:id="105" w:name="page106"/>
    <w:bookmarkEnd w:id="105"/>
    <w:p>
      <w:pPr>
        <w:ind w:right="60" w:firstLine="656"/>
        <w:spacing w:after="0" w:line="400" w:lineRule="auto"/>
        <w:tabs>
          <w:tab w:leader="none" w:pos="1116"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the claim is denied in whole or part, the Committee shall provide the Claimant with a written decision, using language calculated to be understood by the Claimant, setting forth (1) the specific reason or reasons for such denial; (2) the specific reference to relevant provisions of this Plan on which such denial is based; (3) a description of any additional material or information necessary for the Claimant to perfect his or her claim and an explanation why such material or such information is necessary; (4) appropriate information as to the steps to be taken if the Claimant wishes to submit the claim for review; (5) the time limits for requesting a review of the claim; and (6) the Claimant’s right to bring an action for benefits under Section 502(a)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273" w:lineRule="exact"/>
        <w:rPr>
          <w:rFonts w:ascii="Arial" w:cs="Arial" w:eastAsia="Arial" w:hAnsi="Arial"/>
          <w:sz w:val="19"/>
          <w:szCs w:val="19"/>
          <w:color w:val="auto"/>
        </w:rPr>
      </w:pPr>
    </w:p>
    <w:p>
      <w:pPr>
        <w:ind w:firstLine="656"/>
        <w:spacing w:after="0" w:line="351" w:lineRule="auto"/>
        <w:tabs>
          <w:tab w:leader="none" w:pos="11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Within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 in writing for consideration by the Committee. If the Claimant does not request a review of the initial determination within such 60-day period, the Claimant shall be barred from challenging the determination.</w:t>
      </w:r>
    </w:p>
    <w:p>
      <w:pPr>
        <w:spacing w:after="0" w:line="135" w:lineRule="exact"/>
        <w:rPr>
          <w:rFonts w:ascii="Arial" w:cs="Arial" w:eastAsia="Arial" w:hAnsi="Arial"/>
          <w:sz w:val="22"/>
          <w:szCs w:val="22"/>
          <w:color w:val="auto"/>
        </w:rPr>
      </w:pPr>
    </w:p>
    <w:p>
      <w:pPr>
        <w:ind w:right="380" w:firstLine="656"/>
        <w:spacing w:after="0" w:line="378" w:lineRule="auto"/>
        <w:tabs>
          <w:tab w:leader="none" w:pos="1112" w:val="left"/>
        </w:tabs>
        <w:numPr>
          <w:ilvl w:val="0"/>
          <w:numId w:val="37"/>
        </w:numPr>
        <w:rPr>
          <w:rFonts w:ascii="Arial" w:cs="Arial" w:eastAsia="Arial" w:hAnsi="Arial"/>
          <w:sz w:val="21"/>
          <w:szCs w:val="21"/>
          <w:color w:val="auto"/>
        </w:rPr>
      </w:pPr>
      <w:r>
        <w:rPr>
          <w:rFonts w:ascii="Arial" w:cs="Arial" w:eastAsia="Arial" w:hAnsi="Arial"/>
          <w:sz w:val="21"/>
          <w:szCs w:val="21"/>
          <w:color w:val="auto"/>
        </w:rPr>
        <w:t>Within 60 days after the Committee receives a request for review, it will review the initial determination. If special circumstances require that the 60-day time period be extended, the Committee will so notify the Claimant and will render the decision as soon as possible, but no later than 120 days after receipt of the request for review.</w:t>
      </w:r>
    </w:p>
    <w:p>
      <w:pPr>
        <w:spacing w:after="0" w:line="114" w:lineRule="exact"/>
        <w:rPr>
          <w:rFonts w:ascii="Arial" w:cs="Arial" w:eastAsia="Arial" w:hAnsi="Arial"/>
          <w:sz w:val="21"/>
          <w:szCs w:val="21"/>
          <w:color w:val="auto"/>
        </w:rPr>
      </w:pPr>
    </w:p>
    <w:p>
      <w:pPr>
        <w:ind w:right="120" w:firstLine="656"/>
        <w:spacing w:after="0" w:line="370" w:lineRule="auto"/>
        <w:tabs>
          <w:tab w:leader="none" w:pos="1092" w:val="left"/>
        </w:tabs>
        <w:numPr>
          <w:ilvl w:val="0"/>
          <w:numId w:val="37"/>
        </w:numPr>
        <w:rPr>
          <w:rFonts w:ascii="Arial" w:cs="Arial" w:eastAsia="Arial" w:hAnsi="Arial"/>
          <w:sz w:val="21"/>
          <w:szCs w:val="21"/>
          <w:color w:val="auto"/>
        </w:rPr>
      </w:pPr>
      <w:r>
        <w:rPr>
          <w:rFonts w:ascii="Arial" w:cs="Arial" w:eastAsia="Arial" w:hAnsi="Arial"/>
          <w:sz w:val="21"/>
          <w:szCs w:val="21"/>
          <w:color w:val="auto"/>
        </w:rPr>
        <w:t>All decisions on review shall be final and binding with respect to all concerned parties. The decision on review shall set forth, in a manner calculated to be understood by the Claimant, (1) the specific reasons for the decision, including references to the relevant Plan provisions upon which the decision is based; (2) the Claimant’s right to receive, upon request and free of charge, reasonable access to and copies of all documents, records, and other information, relevant to his or her benefits; and (3) the Claimant’s right to bring an action for benefits under Section 502(a) of ERISA.</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REGULATORY MATTERS</w:t>
      </w:r>
    </w:p>
    <w:p>
      <w:pPr>
        <w:spacing w:after="0" w:line="199" w:lineRule="exact"/>
        <w:rPr>
          <w:sz w:val="20"/>
          <w:szCs w:val="20"/>
          <w:color w:val="auto"/>
        </w:rPr>
      </w:pPr>
    </w:p>
    <w:p>
      <w:pPr>
        <w:ind w:right="300"/>
        <w:spacing w:after="0" w:line="415" w:lineRule="auto"/>
        <w:rPr>
          <w:sz w:val="20"/>
          <w:szCs w:val="20"/>
          <w:color w:val="auto"/>
        </w:rPr>
      </w:pPr>
      <w:r>
        <w:rPr>
          <w:rFonts w:ascii="Arial" w:cs="Arial" w:eastAsia="Arial" w:hAnsi="Arial"/>
          <w:sz w:val="19"/>
          <w:szCs w:val="19"/>
          <w:color w:val="auto"/>
        </w:rPr>
        <w:t>The Plan is subject to the Employee Retirement Income Security Act of 1974, as amended (“ERISA”). Because the Plan is an unfunded plan maintained by an employer primarily for the purpose of providing deferred compensation for a select group of management or highly compensated employees, the 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w:t>
      </w:r>
    </w:p>
    <w:p>
      <w:pPr>
        <w:sectPr>
          <w:pgSz w:w="11900" w:h="16838" w:orient="portrait"/>
          <w:cols w:equalWidth="0" w:num="1">
            <w:col w:w="11420"/>
          </w:cols>
          <w:pgMar w:left="240" w:top="726" w:right="2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b w:val="1"/>
          <w:bCs w:val="1"/>
          <w:color w:val="auto"/>
        </w:rPr>
        <w:t>TO WHOM SHOULD QUESTIONS CONCERNING THE PLAN BE DIRECTED?</w:t>
      </w:r>
    </w:p>
    <w:p>
      <w:pPr>
        <w:spacing w:after="0" w:line="199" w:lineRule="exact"/>
        <w:rPr>
          <w:sz w:val="20"/>
          <w:szCs w:val="20"/>
          <w:color w:val="auto"/>
        </w:rPr>
      </w:pPr>
    </w:p>
    <w:p>
      <w:pPr>
        <w:ind w:firstLine="648"/>
        <w:spacing w:after="0" w:line="345" w:lineRule="auto"/>
        <w:rPr>
          <w:sz w:val="20"/>
          <w:szCs w:val="20"/>
          <w:color w:val="auto"/>
        </w:rPr>
      </w:pPr>
      <w:r>
        <w:rPr>
          <w:rFonts w:ascii="Arial" w:cs="Arial" w:eastAsia="Arial" w:hAnsi="Arial"/>
          <w:sz w:val="22"/>
          <w:szCs w:val="22"/>
          <w:color w:val="auto"/>
        </w:rPr>
        <w:t>All questions concerning the operation of the Plan (including information concerning the administrators of the Plan) should be directed to:</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United Technologies Corporation</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 Farm Springs Road</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Farmington, CT 06032</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Deferred Compensation Committee</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860-728-7000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u w:val="single" w:color="auto"/>
          <w:color w:val="auto"/>
        </w:rPr>
        <w:t>/s/ Jeffrey W. Kridler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Dated: </w:t>
      </w:r>
      <w:r>
        <w:rPr>
          <w:rFonts w:ascii="Arial" w:cs="Arial" w:eastAsia="Arial" w:hAnsi="Arial"/>
          <w:sz w:val="22"/>
          <w:szCs w:val="22"/>
          <w:color w:val="auto"/>
        </w:rPr>
        <w:t>______</w:t>
      </w:r>
      <w:r>
        <w:rPr>
          <w:rFonts w:ascii="Arial" w:cs="Arial" w:eastAsia="Arial" w:hAnsi="Arial"/>
          <w:sz w:val="22"/>
          <w:szCs w:val="22"/>
          <w:u w:val="single" w:color="auto"/>
          <w:color w:val="auto"/>
        </w:rPr>
        <w:t>July 16, 2018</w:t>
      </w:r>
      <w:r>
        <w:rPr>
          <w:rFonts w:ascii="Arial" w:cs="Arial" w:eastAsia="Arial" w:hAnsi="Arial"/>
          <w:sz w:val="22"/>
          <w:szCs w:val="22"/>
          <w:color w:val="auto"/>
        </w:rPr>
        <w:t>____________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Attest: </w:t>
      </w:r>
      <w:r>
        <w:rPr>
          <w:rFonts w:ascii="Arial" w:cs="Arial" w:eastAsia="Arial" w:hAnsi="Arial"/>
          <w:sz w:val="22"/>
          <w:szCs w:val="22"/>
          <w:u w:val="single" w:color="auto"/>
          <w:color w:val="auto"/>
        </w:rPr>
        <w:t>/s/ Richard M. Kaplan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Vice President, Associate General Counsel</w:t>
      </w:r>
    </w:p>
    <w:p>
      <w:pPr>
        <w:sectPr>
          <w:pgSz w:w="11900" w:h="16838" w:orient="portrait"/>
          <w:cols w:equalWidth="0" w:num="1">
            <w:col w:w="11320"/>
          </w:cols>
          <w:pgMar w:left="240" w:top="720"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rPr>
        <w:t>UNITED TECHNOLOGIES CORPORATION</w:t>
      </w:r>
    </w:p>
    <w:p>
      <w:pPr>
        <w:spacing w:after="0" w:line="200" w:lineRule="exact"/>
        <w:rPr>
          <w:sz w:val="20"/>
          <w:szCs w:val="20"/>
          <w:color w:val="auto"/>
        </w:rPr>
      </w:pPr>
    </w:p>
    <w:p>
      <w:pPr>
        <w:spacing w:after="0" w:line="215" w:lineRule="exact"/>
        <w:rPr>
          <w:sz w:val="20"/>
          <w:szCs w:val="20"/>
          <w:color w:val="auto"/>
        </w:rPr>
      </w:pPr>
    </w:p>
    <w:p>
      <w:pPr>
        <w:ind w:left="2100"/>
        <w:spacing w:after="0"/>
        <w:rPr>
          <w:sz w:val="20"/>
          <w:szCs w:val="20"/>
          <w:color w:val="auto"/>
        </w:rPr>
      </w:pPr>
      <w:r>
        <w:rPr>
          <w:rFonts w:ascii="Arial" w:cs="Arial" w:eastAsia="Arial" w:hAnsi="Arial"/>
          <w:sz w:val="34"/>
          <w:szCs w:val="34"/>
          <w:color w:val="auto"/>
        </w:rPr>
        <w:t>SAVINGS RESTORATION PLAN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80"/>
        <w:spacing w:after="0"/>
        <w:rPr>
          <w:sz w:val="20"/>
          <w:szCs w:val="20"/>
          <w:color w:val="auto"/>
        </w:rPr>
      </w:pPr>
      <w:r>
        <w:rPr>
          <w:rFonts w:ascii="Arial" w:cs="Arial" w:eastAsia="Arial" w:hAnsi="Arial"/>
          <w:sz w:val="25"/>
          <w:szCs w:val="25"/>
          <w:color w:val="auto"/>
        </w:rPr>
        <w:t>Executed July 16, 2018</w:t>
      </w:r>
    </w:p>
    <w:p>
      <w:pPr>
        <w:spacing w:after="0" w:line="293" w:lineRule="exact"/>
        <w:rPr>
          <w:sz w:val="20"/>
          <w:szCs w:val="20"/>
          <w:color w:val="auto"/>
        </w:rPr>
      </w:pPr>
    </w:p>
    <w:p>
      <w:pPr>
        <w:ind w:left="2240"/>
        <w:spacing w:after="0"/>
        <w:rPr>
          <w:sz w:val="20"/>
          <w:szCs w:val="20"/>
          <w:color w:val="auto"/>
        </w:rPr>
      </w:pPr>
      <w:r>
        <w:rPr>
          <w:rFonts w:ascii="Arial" w:cs="Arial" w:eastAsia="Arial" w:hAnsi="Arial"/>
          <w:sz w:val="25"/>
          <w:szCs w:val="25"/>
          <w:color w:val="auto"/>
        </w:rPr>
        <w:t>Amended and Restated as of January 1, 2011</w:t>
      </w:r>
    </w:p>
    <w:p>
      <w:pPr>
        <w:sectPr>
          <w:pgSz w:w="11900" w:h="16838" w:orient="portrait"/>
          <w:cols w:equalWidth="0" w:num="1">
            <w:col w:w="10220"/>
          </w:cols>
          <w:pgMar w:left="1440" w:top="585" w:right="2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22"/>
          <w:szCs w:val="22"/>
          <w:b w:val="1"/>
          <w:bCs w:val="1"/>
          <w:color w:val="auto"/>
        </w:rPr>
        <w:t>UNITED TECHNOLOGIES CORPORATION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SAVINGS RESTORATION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Executed July 16, 2018</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amended and restated effective January 1, 2011)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 - PREAMBLE</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1.1 - Purpose of the Plan</w:t>
      </w:r>
    </w:p>
    <w:p>
      <w:pPr>
        <w:spacing w:after="0" w:line="280" w:lineRule="exact"/>
        <w:rPr>
          <w:sz w:val="20"/>
          <w:szCs w:val="20"/>
          <w:color w:val="auto"/>
        </w:rPr>
      </w:pPr>
    </w:p>
    <w:p>
      <w:pPr>
        <w:ind w:right="120" w:firstLine="648"/>
        <w:spacing w:after="0" w:line="412" w:lineRule="auto"/>
        <w:rPr>
          <w:sz w:val="20"/>
          <w:szCs w:val="20"/>
          <w:color w:val="auto"/>
        </w:rPr>
      </w:pPr>
      <w:r>
        <w:rPr>
          <w:rFonts w:ascii="Arial" w:cs="Arial" w:eastAsia="Arial" w:hAnsi="Arial"/>
          <w:sz w:val="19"/>
          <w:szCs w:val="19"/>
          <w:color w:val="auto"/>
        </w:rPr>
        <w:t>The United Technologies Corporation Savings Restoration Plan (“SRP” or the “Plan”) was established effective January 1, 2010 for the benefit of eligible employees of the Corporation and certain subsidiaries and affiliates of the Corporation (the “Employees”). The purpose of the SRP is to offer Employees the opportunity to defer a portion of their compensation in excess of the limitation imposed by Section 401(a)(17) of the Internal Revenue Code of 1986, as amended (the “IRS Compensation Limit”) and to accrue benefits which are not provided under the United Technologies Corporation Employee Savings Plan (the “Qualified Savings Plan”) due to limitations imposed by Section 415 of the Internal Revenue Code or the IRS Compensation Limit.</w:t>
      </w:r>
    </w:p>
    <w:p>
      <w:pPr>
        <w:spacing w:after="0" w:line="99" w:lineRule="exact"/>
        <w:rPr>
          <w:sz w:val="20"/>
          <w:szCs w:val="20"/>
          <w:color w:val="auto"/>
        </w:rPr>
      </w:pPr>
    </w:p>
    <w:p>
      <w:pPr>
        <w:ind w:right="20" w:firstLine="648"/>
        <w:spacing w:after="0" w:line="370" w:lineRule="auto"/>
        <w:rPr>
          <w:sz w:val="20"/>
          <w:szCs w:val="20"/>
          <w:color w:val="auto"/>
        </w:rPr>
      </w:pPr>
      <w:r>
        <w:rPr>
          <w:rFonts w:ascii="Arial" w:cs="Arial" w:eastAsia="Arial" w:hAnsi="Arial"/>
          <w:sz w:val="21"/>
          <w:szCs w:val="21"/>
          <w:color w:val="auto"/>
        </w:rPr>
        <w:t>The SRP shall constitute a “parallel excess plan” within the meaning of the New York Stock Exchange listing requirements. All or substantially all Employees who participate in the Qualified Savings Plan whose annual pensionable earnings are in excess of the IRS Compensation Limit are eligible to participate in the SRP under substantially similar terms and conditions as the Qualified Savings Plan, except for the elimination of specified limitations on contributions and benefits under the IRC. The SRP shall be administered and construed to effectuate the foregoing intent.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1.2 - Effective Date of Plan and Amendments</w:t>
      </w:r>
    </w:p>
    <w:p>
      <w:pPr>
        <w:spacing w:after="0" w:line="284" w:lineRule="exact"/>
        <w:rPr>
          <w:sz w:val="20"/>
          <w:szCs w:val="20"/>
          <w:color w:val="auto"/>
        </w:rPr>
      </w:pPr>
    </w:p>
    <w:p>
      <w:pPr>
        <w:ind w:firstLine="648"/>
        <w:spacing w:after="0" w:line="449" w:lineRule="auto"/>
        <w:rPr>
          <w:sz w:val="20"/>
          <w:szCs w:val="20"/>
          <w:color w:val="auto"/>
        </w:rPr>
      </w:pPr>
      <w:r>
        <w:rPr>
          <w:rFonts w:ascii="Arial" w:cs="Arial" w:eastAsia="Arial" w:hAnsi="Arial"/>
          <w:sz w:val="18"/>
          <w:szCs w:val="18"/>
          <w:color w:val="auto"/>
        </w:rPr>
        <w:t xml:space="preserve">The Plan as originally established effective January 1, 2010 is hereby amended and restated for the purpose of clarifying the intent of the Plan to provide for a Benefit Restoration Contribution credit </w:t>
      </w:r>
      <w:r>
        <w:rPr>
          <w:rFonts w:ascii="Arial" w:cs="Arial" w:eastAsia="Arial" w:hAnsi="Arial"/>
          <w:sz w:val="19"/>
          <w:szCs w:val="19"/>
          <w:color w:val="auto"/>
        </w:rPr>
        <w:t>to the United Technologies Corporation Deferred Compensation Plan</w:t>
      </w:r>
      <w:r>
        <w:rPr>
          <w:rFonts w:ascii="Arial" w:cs="Arial" w:eastAsia="Arial" w:hAnsi="Arial"/>
          <w:sz w:val="18"/>
          <w:szCs w:val="18"/>
          <w:color w:val="auto"/>
        </w:rPr>
        <w:t>; as well as other administrative revisions. Changes effected by this amendment and restatement are generally effective as of January 1, 2011.</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 - DEFINITIONS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indicated, capitalized terms herein shall have the same meaning ascribed under the Qualified Savings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74" w:lineRule="exact"/>
        <w:rPr>
          <w:sz w:val="20"/>
          <w:szCs w:val="20"/>
          <w:color w:val="auto"/>
        </w:rPr>
      </w:pPr>
    </w:p>
    <w:p>
      <w:pPr>
        <w:ind w:right="100" w:firstLine="486"/>
        <w:spacing w:after="0" w:line="356" w:lineRule="auto"/>
        <w:rPr>
          <w:sz w:val="20"/>
          <w:szCs w:val="20"/>
          <w:color w:val="auto"/>
        </w:rPr>
      </w:pPr>
      <w:r>
        <w:rPr>
          <w:rFonts w:ascii="Arial" w:cs="Arial" w:eastAsia="Arial" w:hAnsi="Arial"/>
          <w:sz w:val="22"/>
          <w:szCs w:val="22"/>
          <w:i w:val="1"/>
          <w:iCs w:val="1"/>
          <w:color w:val="auto"/>
        </w:rPr>
        <w:t xml:space="preserve">Beneficiary </w:t>
      </w:r>
      <w:r>
        <w:rPr>
          <w:rFonts w:ascii="Arial" w:cs="Arial" w:eastAsia="Arial" w:hAnsi="Arial"/>
          <w:sz w:val="22"/>
          <w:szCs w:val="22"/>
          <w:color w:val="auto"/>
        </w:rPr>
        <w:t>means the person, persons or entity designated on an electronic or written form by the Participant to receive the</w:t>
      </w:r>
      <w:r>
        <w:rPr>
          <w:rFonts w:ascii="Arial" w:cs="Arial" w:eastAsia="Arial" w:hAnsi="Arial"/>
          <w:sz w:val="22"/>
          <w:szCs w:val="22"/>
          <w:i w:val="1"/>
          <w:iCs w:val="1"/>
          <w:color w:val="auto"/>
        </w:rPr>
        <w:t xml:space="preserve"> </w:t>
      </w:r>
      <w:r>
        <w:rPr>
          <w:rFonts w:ascii="Arial" w:cs="Arial" w:eastAsia="Arial" w:hAnsi="Arial"/>
          <w:sz w:val="22"/>
          <w:szCs w:val="22"/>
          <w:color w:val="auto"/>
        </w:rPr>
        <w:t>value of his or her Plan Accounts in the event of the Participant’s death in accordance with the terms of this Plan. If the Participant fails to designate a Beneficiary, or the</w:t>
      </w:r>
    </w:p>
    <w:p>
      <w:pPr>
        <w:sectPr>
          <w:pgSz w:w="11900" w:h="16838" w:orient="portrait"/>
          <w:cols w:equalWidth="0" w:num="1">
            <w:col w:w="11400"/>
          </w:cols>
          <w:pgMar w:left="240" w:top="639" w:right="259" w:bottom="1440" w:gutter="0" w:footer="0" w:header="0"/>
        </w:sectPr>
      </w:pPr>
    </w:p>
    <w:bookmarkStart w:id="109" w:name="page110"/>
    <w:bookmarkEnd w:id="109"/>
    <w:p>
      <w:pPr>
        <w:ind w:right="180"/>
        <w:spacing w:after="0" w:line="366" w:lineRule="auto"/>
        <w:rPr>
          <w:sz w:val="20"/>
          <w:szCs w:val="20"/>
          <w:color w:val="auto"/>
        </w:rPr>
      </w:pPr>
      <w:r>
        <w:rPr>
          <w:rFonts w:ascii="Arial" w:cs="Arial" w:eastAsia="Arial" w:hAnsi="Arial"/>
          <w:sz w:val="22"/>
          <w:szCs w:val="22"/>
          <w:color w:val="auto"/>
        </w:rPr>
        <w:t>Beneficiary (and any contingent Beneficiary) does not survive the Participant, the value of the Participant’s Plan Accounts will be paid to the estate of the Participant.</w:t>
      </w:r>
    </w:p>
    <w:p>
      <w:pPr>
        <w:spacing w:after="0" w:line="120" w:lineRule="exact"/>
        <w:rPr>
          <w:sz w:val="20"/>
          <w:szCs w:val="20"/>
          <w:color w:val="auto"/>
        </w:rPr>
      </w:pPr>
    </w:p>
    <w:p>
      <w:pPr>
        <w:ind w:right="320" w:firstLine="486"/>
        <w:spacing w:after="0" w:line="415" w:lineRule="auto"/>
        <w:rPr>
          <w:sz w:val="20"/>
          <w:szCs w:val="20"/>
          <w:color w:val="auto"/>
        </w:rPr>
      </w:pPr>
      <w:r>
        <w:rPr>
          <w:rFonts w:ascii="Arial" w:cs="Arial" w:eastAsia="Arial" w:hAnsi="Arial"/>
          <w:sz w:val="19"/>
          <w:szCs w:val="19"/>
          <w:i w:val="1"/>
          <w:iCs w:val="1"/>
          <w:color w:val="auto"/>
        </w:rPr>
        <w:t xml:space="preserve">Benefit Restoration Contribution </w:t>
      </w:r>
      <w:r>
        <w:rPr>
          <w:rFonts w:ascii="Arial" w:cs="Arial" w:eastAsia="Arial" w:hAnsi="Arial"/>
          <w:sz w:val="19"/>
          <w:szCs w:val="19"/>
          <w:color w:val="auto"/>
        </w:rPr>
        <w:t>means an amount credited on behalf of the Participant to the United Technologies</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Deferred Compensation Plan (“DCP”) that would have been credited to the Participant’s UTC Contribution Plan Account under this Plan but for the reduction of such Participant’s Eligible Compensation due to an elective deferral of compensation by the Participant under the DCP. The Benefit Restoration Contribution will be determined in the same manner as provided for Benefit Reduction Contributions with respect to the Qualified Savings Plan under the terms of the DCP.</w:t>
      </w:r>
    </w:p>
    <w:p>
      <w:pPr>
        <w:spacing w:after="0" w:line="96" w:lineRule="exact"/>
        <w:rPr>
          <w:sz w:val="20"/>
          <w:szCs w:val="20"/>
          <w:color w:val="auto"/>
        </w:rPr>
      </w:pPr>
    </w:p>
    <w:p>
      <w:pPr>
        <w:ind w:right="200" w:firstLine="486"/>
        <w:spacing w:after="0" w:line="395" w:lineRule="auto"/>
        <w:rPr>
          <w:sz w:val="20"/>
          <w:szCs w:val="20"/>
          <w:color w:val="auto"/>
        </w:rPr>
      </w:pPr>
      <w:r>
        <w:rPr>
          <w:rFonts w:ascii="Arial" w:cs="Arial" w:eastAsia="Arial" w:hAnsi="Arial"/>
          <w:sz w:val="21"/>
          <w:szCs w:val="21"/>
          <w:i w:val="1"/>
          <w:iCs w:val="1"/>
          <w:color w:val="auto"/>
        </w:rPr>
        <w:t xml:space="preserve">Code </w:t>
      </w:r>
      <w:r>
        <w:rPr>
          <w:rFonts w:ascii="Arial" w:cs="Arial" w:eastAsia="Arial" w:hAnsi="Arial"/>
          <w:sz w:val="21"/>
          <w:szCs w:val="21"/>
          <w:color w:val="auto"/>
        </w:rPr>
        <w:t>means the Internal Revenue Code of 1986, as amended from time to time, and any successor thereto. Reference to any</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of the Internal Revenue Code shall include any final regulations or other applicable guidance.</w:t>
      </w:r>
    </w:p>
    <w:p>
      <w:pPr>
        <w:spacing w:after="0" w:line="96" w:lineRule="exact"/>
        <w:rPr>
          <w:sz w:val="20"/>
          <w:szCs w:val="20"/>
          <w:color w:val="auto"/>
        </w:rPr>
      </w:pPr>
    </w:p>
    <w:p>
      <w:pPr>
        <w:ind w:right="480" w:firstLine="486"/>
        <w:spacing w:after="0" w:line="462" w:lineRule="auto"/>
        <w:rPr>
          <w:sz w:val="20"/>
          <w:szCs w:val="20"/>
          <w:color w:val="auto"/>
        </w:rPr>
      </w:pPr>
      <w:r>
        <w:rPr>
          <w:rFonts w:ascii="Arial" w:cs="Arial" w:eastAsia="Arial" w:hAnsi="Arial"/>
          <w:sz w:val="19"/>
          <w:szCs w:val="19"/>
          <w:i w:val="1"/>
          <w:iCs w:val="1"/>
          <w:color w:val="auto"/>
        </w:rPr>
        <w:t xml:space="preserve">Committee </w:t>
      </w:r>
      <w:r>
        <w:rPr>
          <w:rFonts w:ascii="Arial" w:cs="Arial" w:eastAsia="Arial" w:hAnsi="Arial"/>
          <w:sz w:val="19"/>
          <w:szCs w:val="19"/>
          <w:color w:val="auto"/>
        </w:rPr>
        <w:t>means the United Technologies Corporation Deferred Compensation Committee, which is responsible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administration of the Plan. The Corporation’s Pension Administration Committee shall appoint the Committee’s members.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Corporation </w:t>
      </w:r>
      <w:r>
        <w:rPr>
          <w:rFonts w:ascii="Arial" w:cs="Arial" w:eastAsia="Arial" w:hAnsi="Arial"/>
          <w:sz w:val="22"/>
          <w:szCs w:val="22"/>
          <w:color w:val="auto"/>
        </w:rPr>
        <w:t>means the United Technologies Corporation.</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Deferral Period </w:t>
      </w:r>
      <w:r>
        <w:rPr>
          <w:rFonts w:ascii="Arial" w:cs="Arial" w:eastAsia="Arial" w:hAnsi="Arial"/>
          <w:sz w:val="22"/>
          <w:szCs w:val="22"/>
          <w:color w:val="auto"/>
        </w:rPr>
        <w:t>means the period prior to the receipt of Eligible Compensation deferred hereunder.</w:t>
      </w:r>
    </w:p>
    <w:p>
      <w:pPr>
        <w:spacing w:after="0" w:line="274" w:lineRule="exact"/>
        <w:rPr>
          <w:sz w:val="20"/>
          <w:szCs w:val="20"/>
          <w:color w:val="auto"/>
        </w:rPr>
      </w:pPr>
    </w:p>
    <w:p>
      <w:pPr>
        <w:jc w:val="both"/>
        <w:ind w:right="80" w:firstLine="486"/>
        <w:spacing w:after="0" w:line="352" w:lineRule="auto"/>
        <w:rPr>
          <w:sz w:val="20"/>
          <w:szCs w:val="20"/>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means permanent and total disability as determined under the Corporation’s long-term disability plan applicable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spacing w:after="0" w:line="137" w:lineRule="exact"/>
        <w:rPr>
          <w:sz w:val="20"/>
          <w:szCs w:val="20"/>
          <w:color w:val="auto"/>
        </w:rPr>
      </w:pPr>
    </w:p>
    <w:p>
      <w:pPr>
        <w:ind w:right="180" w:firstLine="486"/>
        <w:spacing w:after="0" w:line="351" w:lineRule="auto"/>
        <w:rPr>
          <w:sz w:val="20"/>
          <w:szCs w:val="20"/>
          <w:color w:val="auto"/>
        </w:rPr>
      </w:pPr>
      <w:r>
        <w:rPr>
          <w:rFonts w:ascii="Arial" w:cs="Arial" w:eastAsia="Arial" w:hAnsi="Arial"/>
          <w:sz w:val="22"/>
          <w:szCs w:val="22"/>
          <w:i w:val="1"/>
          <w:iCs w:val="1"/>
          <w:color w:val="auto"/>
        </w:rPr>
        <w:t xml:space="preserve">Election Form </w:t>
      </w:r>
      <w:r>
        <w:rPr>
          <w:rFonts w:ascii="Arial" w:cs="Arial" w:eastAsia="Arial" w:hAnsi="Arial"/>
          <w:sz w:val="22"/>
          <w:szCs w:val="22"/>
          <w:color w:val="auto"/>
        </w:rPr>
        <w:t>means the enrollment form provided by the Committee to Participants electronically or in paper form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purpose of deferring Eligible Compensation under the Plan. Each Participant’s Election Form must specify the percentage of Eligible Compensation to be deferred with respect to the following calendar year; the percentage allocation among the Investment Funds with respect to the Participant Contribution Account; and if not previously elected for the Plan Accounts, the method of distribution.</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 xml:space="preserve">Eligible Compensation </w:t>
      </w:r>
      <w:r>
        <w:rPr>
          <w:rFonts w:ascii="Arial" w:cs="Arial" w:eastAsia="Arial" w:hAnsi="Arial"/>
          <w:sz w:val="21"/>
          <w:szCs w:val="21"/>
          <w:color w:val="auto"/>
        </w:rPr>
        <w:t>means Pensionable Earnings in excess of the IRS Compensation Limit for any Plan Year.</w:t>
      </w:r>
    </w:p>
    <w:p>
      <w:pPr>
        <w:spacing w:after="0" w:line="285" w:lineRule="exact"/>
        <w:rPr>
          <w:sz w:val="20"/>
          <w:szCs w:val="20"/>
          <w:color w:val="auto"/>
        </w:rPr>
      </w:pPr>
    </w:p>
    <w:p>
      <w:pPr>
        <w:ind w:firstLine="486"/>
        <w:spacing w:after="0" w:line="356" w:lineRule="auto"/>
        <w:rPr>
          <w:sz w:val="20"/>
          <w:szCs w:val="20"/>
          <w:color w:val="auto"/>
        </w:rPr>
      </w:pPr>
      <w:r>
        <w:rPr>
          <w:rFonts w:ascii="Arial" w:cs="Arial" w:eastAsia="Arial" w:hAnsi="Arial"/>
          <w:sz w:val="22"/>
          <w:szCs w:val="22"/>
          <w:i w:val="1"/>
          <w:iCs w:val="1"/>
          <w:color w:val="auto"/>
        </w:rPr>
        <w:t xml:space="preserve">Employee </w:t>
      </w:r>
      <w:r>
        <w:rPr>
          <w:rFonts w:ascii="Arial" w:cs="Arial" w:eastAsia="Arial" w:hAnsi="Arial"/>
          <w:sz w:val="22"/>
          <w:szCs w:val="22"/>
          <w:color w:val="auto"/>
        </w:rPr>
        <w:t>means an employee of the Corporation or of certain subsidiaries and affiliates of the Corporation, but excluding any</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 who is included in a different tax qualified savings plan or is not eligible to participate in the Qualified Savings Plan pursuant to the terms of a collective bargaining</w:t>
      </w:r>
    </w:p>
    <w:p>
      <w:pPr>
        <w:sectPr>
          <w:pgSz w:w="11900" w:h="16838" w:orient="portrait"/>
          <w:cols w:equalWidth="0" w:num="1">
            <w:col w:w="11420"/>
          </w:cols>
          <w:pgMar w:left="240" w:top="726" w:right="239" w:bottom="1440" w:gutter="0" w:footer="0" w:header="0"/>
        </w:sectPr>
      </w:pPr>
    </w:p>
    <w:bookmarkStart w:id="110" w:name="page111"/>
    <w:bookmarkEnd w:id="110"/>
    <w:p>
      <w:pPr>
        <w:ind w:right="360"/>
        <w:spacing w:after="0" w:line="356" w:lineRule="auto"/>
        <w:rPr>
          <w:sz w:val="20"/>
          <w:szCs w:val="20"/>
          <w:color w:val="auto"/>
        </w:rPr>
      </w:pPr>
      <w:r>
        <w:rPr>
          <w:rFonts w:ascii="Arial" w:cs="Arial" w:eastAsia="Arial" w:hAnsi="Arial"/>
          <w:sz w:val="22"/>
          <w:szCs w:val="22"/>
          <w:color w:val="auto"/>
        </w:rPr>
        <w:t>agreement between employee representatives and a UTC Company (a "Represented Employee") unless such employee representatives and the UTC Company agree that the Represented Employees in such unit shall be eligible to participate in the Plan.</w:t>
      </w:r>
    </w:p>
    <w:p>
      <w:pPr>
        <w:spacing w:after="0" w:line="130" w:lineRule="exact"/>
        <w:rPr>
          <w:sz w:val="20"/>
          <w:szCs w:val="20"/>
          <w:color w:val="auto"/>
        </w:rPr>
      </w:pPr>
    </w:p>
    <w:p>
      <w:pPr>
        <w:ind w:firstLine="486"/>
        <w:spacing w:after="0" w:line="350" w:lineRule="auto"/>
        <w:rPr>
          <w:sz w:val="20"/>
          <w:szCs w:val="20"/>
          <w:color w:val="auto"/>
        </w:rPr>
      </w:pPr>
      <w:r>
        <w:rPr>
          <w:rFonts w:ascii="Arial" w:cs="Arial" w:eastAsia="Arial" w:hAnsi="Arial"/>
          <w:sz w:val="22"/>
          <w:szCs w:val="22"/>
          <w:i w:val="1"/>
          <w:iCs w:val="1"/>
          <w:color w:val="auto"/>
        </w:rPr>
        <w:t xml:space="preserve">Investment Fund </w:t>
      </w:r>
      <w:r>
        <w:rPr>
          <w:rFonts w:ascii="Arial" w:cs="Arial" w:eastAsia="Arial" w:hAnsi="Arial"/>
          <w:sz w:val="22"/>
          <w:szCs w:val="22"/>
          <w:color w:val="auto"/>
        </w:rPr>
        <w:t>means a hypothetical fund that tracks the value of an investment option offered under the Qualified Savings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Plan or the UTC Deferred Compensation Plan. Investment Funds offered under the SRP may be changed from time to time by the Committee and shall be valued in the manner set forth in Section 6.4. Available investments are described at </w:t>
      </w:r>
      <w:r>
        <w:rPr>
          <w:rFonts w:ascii="Arial" w:cs="Arial" w:eastAsia="Arial" w:hAnsi="Arial"/>
          <w:sz w:val="22"/>
          <w:szCs w:val="22"/>
          <w:u w:val="single" w:color="auto"/>
          <w:color w:val="0563C1"/>
        </w:rPr>
        <w:t>https://www.newportgroup.com</w:t>
      </w:r>
      <w:r>
        <w:rPr>
          <w:rFonts w:ascii="Arial" w:cs="Arial" w:eastAsia="Arial" w:hAnsi="Arial"/>
          <w:sz w:val="22"/>
          <w:szCs w:val="22"/>
          <w:color w:val="000000"/>
        </w:rPr>
        <w:t>. The value of Participants’ Accounts shall be adjusted to replicate the performance of the</w:t>
      </w:r>
      <w:r>
        <w:rPr>
          <w:rFonts w:ascii="Arial" w:cs="Arial" w:eastAsia="Arial" w:hAnsi="Arial"/>
          <w:sz w:val="22"/>
          <w:szCs w:val="22"/>
          <w:color w:val="0563C1"/>
        </w:rPr>
        <w:t xml:space="preserve"> </w:t>
      </w:r>
      <w:r>
        <w:rPr>
          <w:rFonts w:ascii="Arial" w:cs="Arial" w:eastAsia="Arial" w:hAnsi="Arial"/>
          <w:sz w:val="22"/>
          <w:szCs w:val="22"/>
          <w:color w:val="000000"/>
        </w:rPr>
        <w:t>applicable Investment Funds. Amounts credited to any Investment Fund do not result in the investment in actual assets corresponding to the Investment Fund.</w:t>
      </w:r>
    </w:p>
    <w:p>
      <w:pPr>
        <w:spacing w:after="0" w:line="136" w:lineRule="exact"/>
        <w:rPr>
          <w:sz w:val="20"/>
          <w:szCs w:val="20"/>
          <w:color w:val="auto"/>
        </w:rPr>
      </w:pPr>
    </w:p>
    <w:p>
      <w:pPr>
        <w:ind w:right="520" w:firstLine="486"/>
        <w:spacing w:after="0" w:line="366" w:lineRule="auto"/>
        <w:rPr>
          <w:sz w:val="20"/>
          <w:szCs w:val="20"/>
          <w:color w:val="auto"/>
        </w:rPr>
      </w:pPr>
      <w:r>
        <w:rPr>
          <w:rFonts w:ascii="Arial" w:cs="Arial" w:eastAsia="Arial" w:hAnsi="Arial"/>
          <w:sz w:val="22"/>
          <w:szCs w:val="22"/>
          <w:i w:val="1"/>
          <w:iCs w:val="1"/>
          <w:color w:val="auto"/>
        </w:rPr>
        <w:t xml:space="preserve">IRS Compensation Limit </w:t>
      </w:r>
      <w:r>
        <w:rPr>
          <w:rFonts w:ascii="Arial" w:cs="Arial" w:eastAsia="Arial" w:hAnsi="Arial"/>
          <w:sz w:val="22"/>
          <w:szCs w:val="22"/>
          <w:color w:val="auto"/>
        </w:rPr>
        <w:t>means the limitation imposed by Section 401(a)(17) of the Internal Revenue Code of 1986, as</w:t>
      </w:r>
      <w:r>
        <w:rPr>
          <w:rFonts w:ascii="Arial" w:cs="Arial" w:eastAsia="Arial" w:hAnsi="Arial"/>
          <w:sz w:val="22"/>
          <w:szCs w:val="22"/>
          <w:i w:val="1"/>
          <w:iCs w:val="1"/>
          <w:color w:val="auto"/>
        </w:rPr>
        <w:t xml:space="preserve"> </w:t>
      </w:r>
      <w:r>
        <w:rPr>
          <w:rFonts w:ascii="Arial" w:cs="Arial" w:eastAsia="Arial" w:hAnsi="Arial"/>
          <w:sz w:val="22"/>
          <w:szCs w:val="22"/>
          <w:color w:val="auto"/>
        </w:rPr>
        <w:t>amended.</w:t>
      </w:r>
    </w:p>
    <w:p>
      <w:pPr>
        <w:spacing w:after="0" w:line="120" w:lineRule="exact"/>
        <w:rPr>
          <w:sz w:val="20"/>
          <w:szCs w:val="20"/>
          <w:color w:val="auto"/>
        </w:rPr>
      </w:pPr>
    </w:p>
    <w:p>
      <w:pPr>
        <w:ind w:right="80" w:firstLine="486"/>
        <w:spacing w:after="0" w:line="356" w:lineRule="auto"/>
        <w:rPr>
          <w:sz w:val="20"/>
          <w:szCs w:val="20"/>
          <w:color w:val="auto"/>
        </w:rPr>
      </w:pPr>
      <w:r>
        <w:rPr>
          <w:rFonts w:ascii="Arial" w:cs="Arial" w:eastAsia="Arial" w:hAnsi="Arial"/>
          <w:sz w:val="22"/>
          <w:szCs w:val="22"/>
          <w:i w:val="1"/>
          <w:iCs w:val="1"/>
          <w:color w:val="auto"/>
        </w:rPr>
        <w:t xml:space="preserve">Participant </w:t>
      </w:r>
      <w:r>
        <w:rPr>
          <w:rFonts w:ascii="Arial" w:cs="Arial" w:eastAsia="Arial" w:hAnsi="Arial"/>
          <w:sz w:val="22"/>
          <w:szCs w:val="22"/>
          <w:color w:val="auto"/>
        </w:rPr>
        <w:t>means an eligible Employee who is a participant in the Qualified Savings Plan, whose annual Pensionable</w:t>
      </w:r>
      <w:r>
        <w:rPr>
          <w:rFonts w:ascii="Arial" w:cs="Arial" w:eastAsia="Arial" w:hAnsi="Arial"/>
          <w:sz w:val="22"/>
          <w:szCs w:val="22"/>
          <w:i w:val="1"/>
          <w:iCs w:val="1"/>
          <w:color w:val="auto"/>
        </w:rPr>
        <w:t xml:space="preserve"> </w:t>
      </w:r>
      <w:r>
        <w:rPr>
          <w:rFonts w:ascii="Arial" w:cs="Arial" w:eastAsia="Arial" w:hAnsi="Arial"/>
          <w:sz w:val="22"/>
          <w:szCs w:val="22"/>
          <w:color w:val="auto"/>
        </w:rPr>
        <w:t>Earnings are in excess of the limit of IRC Section 401(a)(17) or whose Corporation matching contribution is otherwise limited by the Code, and who elects to defer Eligible Compensation under the Plan.</w:t>
      </w:r>
    </w:p>
    <w:p>
      <w:pPr>
        <w:spacing w:after="0" w:line="130" w:lineRule="exact"/>
        <w:rPr>
          <w:sz w:val="20"/>
          <w:szCs w:val="20"/>
          <w:color w:val="auto"/>
        </w:rPr>
      </w:pPr>
    </w:p>
    <w:p>
      <w:pPr>
        <w:ind w:right="900" w:firstLine="486"/>
        <w:spacing w:after="0" w:line="366" w:lineRule="auto"/>
        <w:rPr>
          <w:sz w:val="20"/>
          <w:szCs w:val="20"/>
          <w:color w:val="auto"/>
        </w:rPr>
      </w:pPr>
      <w:r>
        <w:rPr>
          <w:rFonts w:ascii="Arial" w:cs="Arial" w:eastAsia="Arial" w:hAnsi="Arial"/>
          <w:sz w:val="22"/>
          <w:szCs w:val="22"/>
          <w:i w:val="1"/>
          <w:iCs w:val="1"/>
          <w:color w:val="auto"/>
        </w:rPr>
        <w:t xml:space="preserve">Participant Contribution Account </w:t>
      </w:r>
      <w:r>
        <w:rPr>
          <w:rFonts w:ascii="Arial" w:cs="Arial" w:eastAsia="Arial" w:hAnsi="Arial"/>
          <w:sz w:val="22"/>
          <w:szCs w:val="22"/>
          <w:color w:val="auto"/>
        </w:rPr>
        <w:t>means a Plan Account maintained on behalf of a Participant who defers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under this Plan.</w:t>
      </w:r>
    </w:p>
    <w:p>
      <w:pPr>
        <w:spacing w:after="0" w:line="120" w:lineRule="exact"/>
        <w:rPr>
          <w:sz w:val="20"/>
          <w:szCs w:val="20"/>
          <w:color w:val="auto"/>
        </w:rPr>
      </w:pPr>
    </w:p>
    <w:p>
      <w:pPr>
        <w:ind w:right="20" w:firstLine="486"/>
        <w:spacing w:after="0" w:line="412" w:lineRule="auto"/>
        <w:rPr>
          <w:sz w:val="20"/>
          <w:szCs w:val="20"/>
          <w:color w:val="auto"/>
        </w:rPr>
      </w:pPr>
      <w:r>
        <w:rPr>
          <w:rFonts w:ascii="Arial" w:cs="Arial" w:eastAsia="Arial" w:hAnsi="Arial"/>
          <w:sz w:val="19"/>
          <w:szCs w:val="19"/>
          <w:i w:val="1"/>
          <w:iCs w:val="1"/>
          <w:color w:val="auto"/>
        </w:rPr>
        <w:t xml:space="preserve">Pensionable Earnings </w:t>
      </w:r>
      <w:r>
        <w:rPr>
          <w:rFonts w:ascii="Arial" w:cs="Arial" w:eastAsia="Arial" w:hAnsi="Arial"/>
          <w:sz w:val="19"/>
          <w:szCs w:val="19"/>
          <w:color w:val="auto"/>
        </w:rPr>
        <w:t>means the total compensation paid with respect to a Plan Year by a UTC Company to a Participant for</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rendered to a UTC Company, before any Tax-Deferred Contribution Election or any election under Section 125 of the Code, including performance related awards, but excluding: other awards; foreign service premiums and allowances; long-term incentive compensation; stock option benefits; reimbursements or other payments related to relocation expenses; contributions to employee benefit plans including reimbursements or payments in lieu thereof, amounts credited to a Participant under a non-qualified deferred compensation plan; severance pay; and pay in lieu of vacation.</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9"/>
          <w:szCs w:val="19"/>
          <w:i w:val="1"/>
          <w:iCs w:val="1"/>
          <w:color w:val="auto"/>
        </w:rPr>
        <w:t xml:space="preserve">Performance-based Compensation </w:t>
      </w:r>
      <w:r>
        <w:rPr>
          <w:rFonts w:ascii="Arial" w:cs="Arial" w:eastAsia="Arial" w:hAnsi="Arial"/>
          <w:sz w:val="19"/>
          <w:szCs w:val="19"/>
          <w:color w:val="auto"/>
        </w:rPr>
        <w:t>means performance-based compensation as defined in Treas. Reg. §1.409A-1(e)).</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the United Technologies Corporation Savings Restoration Plan, as amended from time to time.</w:t>
      </w:r>
    </w:p>
    <w:p>
      <w:pPr>
        <w:spacing w:after="0" w:line="274" w:lineRule="exact"/>
        <w:rPr>
          <w:sz w:val="20"/>
          <w:szCs w:val="20"/>
          <w:color w:val="auto"/>
        </w:rPr>
      </w:pPr>
    </w:p>
    <w:p>
      <w:pPr>
        <w:ind w:right="320" w:firstLine="486"/>
        <w:spacing w:after="0" w:line="366" w:lineRule="auto"/>
        <w:rPr>
          <w:sz w:val="20"/>
          <w:szCs w:val="20"/>
          <w:color w:val="auto"/>
        </w:rPr>
      </w:pPr>
      <w:r>
        <w:rPr>
          <w:rFonts w:ascii="Arial" w:cs="Arial" w:eastAsia="Arial" w:hAnsi="Arial"/>
          <w:sz w:val="22"/>
          <w:szCs w:val="22"/>
          <w:i w:val="1"/>
          <w:iCs w:val="1"/>
          <w:color w:val="auto"/>
        </w:rPr>
        <w:t xml:space="preserve">Plan Accounts </w:t>
      </w:r>
      <w:r>
        <w:rPr>
          <w:rFonts w:ascii="Arial" w:cs="Arial" w:eastAsia="Arial" w:hAnsi="Arial"/>
          <w:sz w:val="22"/>
          <w:szCs w:val="22"/>
          <w:color w:val="auto"/>
        </w:rPr>
        <w:t>means the Participant Contribution Account and the UTC Contribution Account maintained on behalf of a</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Plan Year </w:t>
      </w:r>
      <w:r>
        <w:rPr>
          <w:rFonts w:ascii="Arial" w:cs="Arial" w:eastAsia="Arial" w:hAnsi="Arial"/>
          <w:sz w:val="22"/>
          <w:szCs w:val="22"/>
          <w:color w:val="auto"/>
        </w:rPr>
        <w:t>means the calendar year.</w:t>
      </w:r>
    </w:p>
    <w:p>
      <w:pPr>
        <w:sectPr>
          <w:pgSz w:w="11900" w:h="16838" w:orient="portrait"/>
          <w:cols w:equalWidth="0" w:num="1">
            <w:col w:w="11300"/>
          </w:cols>
          <w:pgMar w:left="240" w:top="726" w:right="359" w:bottom="1440" w:gutter="0" w:footer="0" w:header="0"/>
        </w:sectPr>
      </w:pPr>
    </w:p>
    <w:bookmarkStart w:id="111" w:name="page112"/>
    <w:bookmarkEnd w:id="111"/>
    <w:p>
      <w:pPr>
        <w:ind w:right="20" w:firstLine="486"/>
        <w:spacing w:after="0" w:line="367" w:lineRule="auto"/>
        <w:rPr>
          <w:sz w:val="20"/>
          <w:szCs w:val="20"/>
          <w:color w:val="auto"/>
        </w:rPr>
      </w:pPr>
      <w:r>
        <w:rPr>
          <w:rFonts w:ascii="Arial" w:cs="Arial" w:eastAsia="Arial" w:hAnsi="Arial"/>
          <w:sz w:val="21"/>
          <w:szCs w:val="21"/>
          <w:i w:val="1"/>
          <w:iCs w:val="1"/>
          <w:color w:val="auto"/>
        </w:rPr>
        <w:t xml:space="preserve">Separation from Service </w:t>
      </w:r>
      <w:r>
        <w:rPr>
          <w:rFonts w:ascii="Arial" w:cs="Arial" w:eastAsia="Arial" w:hAnsi="Arial"/>
          <w:sz w:val="21"/>
          <w:szCs w:val="21"/>
          <w:color w:val="auto"/>
        </w:rPr>
        <w:t>means a Participant’s termination of employment with all UTC Companies, other than by reason of</w:t>
      </w:r>
      <w:r>
        <w:rPr>
          <w:rFonts w:ascii="Arial" w:cs="Arial" w:eastAsia="Arial" w:hAnsi="Arial"/>
          <w:sz w:val="21"/>
          <w:szCs w:val="21"/>
          <w:i w:val="1"/>
          <w:iCs w:val="1"/>
          <w:color w:val="auto"/>
        </w:rPr>
        <w:t xml:space="preserve"> </w:t>
      </w:r>
      <w:r>
        <w:rPr>
          <w:rFonts w:ascii="Arial" w:cs="Arial" w:eastAsia="Arial" w:hAnsi="Arial"/>
          <w:sz w:val="21"/>
          <w:szCs w:val="21"/>
          <w:color w:val="auto"/>
        </w:rPr>
        <w:t>death. A Separation from Service will be deemed to occur where the Participant and the UTC Company that employs the Participant reasonably anticipate that the bona fide level of services the Participant will perform (whether as an employee or as an independent contractor) for UTC Companies will be permanently reduced to a level that is less than thirty-seven and a half percent (37.5%) of the average level of bona fide services the Participant performed during the immediately preceding 36 months (or the entire period the Participant has provided services if the Participant has been providing services to the UTC Companies for less than 36 months). A Participant shall not be considered to have had a Separation from Service as a result of a transfer from one UTC Company to another UTC Company.</w:t>
      </w:r>
    </w:p>
    <w:p>
      <w:pPr>
        <w:spacing w:after="0" w:line="125" w:lineRule="exact"/>
        <w:rPr>
          <w:sz w:val="20"/>
          <w:szCs w:val="20"/>
          <w:color w:val="auto"/>
        </w:rPr>
      </w:pPr>
    </w:p>
    <w:p>
      <w:pPr>
        <w:ind w:right="80" w:firstLine="486"/>
        <w:spacing w:after="0" w:line="334" w:lineRule="auto"/>
        <w:rPr>
          <w:sz w:val="20"/>
          <w:szCs w:val="20"/>
          <w:color w:val="auto"/>
        </w:rPr>
      </w:pPr>
      <w:r>
        <w:rPr>
          <w:rFonts w:ascii="Arial" w:cs="Arial" w:eastAsia="Arial" w:hAnsi="Arial"/>
          <w:sz w:val="22"/>
          <w:szCs w:val="22"/>
          <w:i w:val="1"/>
          <w:iCs w:val="1"/>
          <w:color w:val="auto"/>
        </w:rPr>
        <w:t xml:space="preserve">Specified Employee </w:t>
      </w:r>
      <w:r>
        <w:rPr>
          <w:rFonts w:ascii="Arial" w:cs="Arial" w:eastAsia="Arial" w:hAnsi="Arial"/>
          <w:sz w:val="22"/>
          <w:szCs w:val="22"/>
          <w:color w:val="auto"/>
        </w:rPr>
        <w:t>means each of the fifty (50) highest-paid officers and other executives of the Corporation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effective annually as of April 1</w:t>
      </w:r>
      <w:r>
        <w:rPr>
          <w:rFonts w:ascii="Arial" w:cs="Arial" w:eastAsia="Arial" w:hAnsi="Arial"/>
          <w:sz w:val="28"/>
          <w:szCs w:val="28"/>
          <w:color w:val="auto"/>
          <w:vertAlign w:val="superscript"/>
        </w:rPr>
        <w:t>st</w:t>
      </w:r>
      <w:r>
        <w:rPr>
          <w:rFonts w:ascii="Arial" w:cs="Arial" w:eastAsia="Arial" w:hAnsi="Arial"/>
          <w:sz w:val="22"/>
          <w:szCs w:val="22"/>
          <w:color w:val="auto"/>
        </w:rPr>
        <w:t>, based on wages subject to federal income tax withholding, and amounts that are excluded from taxable income by the employee’s election to make pre-tax contributions under a cafeteria plan, section 401(k) plan, or similar plan, determined for the preceding calendar year as provided in Treas. Reg. § 1.415(c)-2(d)(3). The term includes both U.S. and non-U.S. employees, and the compensation used to determine whether an employee is among the fifty (50) highest-paid officers and other executives shall be determined by treating non-U.S. compensation as if it had been earned in the U.S. by a U.S. citizen.</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 xml:space="preserve">UTC Common Stock </w:t>
      </w:r>
      <w:r>
        <w:rPr>
          <w:rFonts w:ascii="Arial" w:cs="Arial" w:eastAsia="Arial" w:hAnsi="Arial"/>
          <w:sz w:val="22"/>
          <w:szCs w:val="22"/>
          <w:color w:val="auto"/>
        </w:rPr>
        <w:t>means the common stock of United Technologies Corporation.</w:t>
      </w:r>
    </w:p>
    <w:p>
      <w:pPr>
        <w:spacing w:after="0" w:line="274" w:lineRule="exact"/>
        <w:rPr>
          <w:sz w:val="20"/>
          <w:szCs w:val="20"/>
          <w:color w:val="auto"/>
        </w:rPr>
      </w:pPr>
    </w:p>
    <w:p>
      <w:pPr>
        <w:jc w:val="both"/>
        <w:ind w:right="380" w:firstLine="486"/>
        <w:spacing w:after="0" w:line="356" w:lineRule="auto"/>
        <w:rPr>
          <w:sz w:val="20"/>
          <w:szCs w:val="20"/>
          <w:color w:val="auto"/>
        </w:rPr>
      </w:pPr>
      <w:r>
        <w:rPr>
          <w:rFonts w:ascii="Arial" w:cs="Arial" w:eastAsia="Arial" w:hAnsi="Arial"/>
          <w:sz w:val="22"/>
          <w:szCs w:val="22"/>
          <w:i w:val="1"/>
          <w:iCs w:val="1"/>
          <w:color w:val="auto"/>
        </w:rPr>
        <w:t xml:space="preserve">UTC Company </w:t>
      </w:r>
      <w:r>
        <w:rPr>
          <w:rFonts w:ascii="Arial" w:cs="Arial" w:eastAsia="Arial" w:hAnsi="Arial"/>
          <w:sz w:val="22"/>
          <w:szCs w:val="22"/>
          <w:color w:val="auto"/>
        </w:rPr>
        <w:t>means United Technologies Corporation or any entity controlled by or under common control with United</w:t>
      </w:r>
      <w:r>
        <w:rPr>
          <w:rFonts w:ascii="Arial" w:cs="Arial" w:eastAsia="Arial" w:hAnsi="Arial"/>
          <w:sz w:val="22"/>
          <w:szCs w:val="22"/>
          <w:i w:val="1"/>
          <w:iCs w:val="1"/>
          <w:color w:val="auto"/>
        </w:rPr>
        <w:t xml:space="preserve"> </w:t>
      </w:r>
      <w:r>
        <w:rPr>
          <w:rFonts w:ascii="Arial" w:cs="Arial" w:eastAsia="Arial" w:hAnsi="Arial"/>
          <w:sz w:val="22"/>
          <w:szCs w:val="22"/>
          <w:color w:val="auto"/>
        </w:rPr>
        <w:t>Technologies Corporation within the meaning of Section 414(b) or (c) of the Code (but substituting “at least 20 percent” for “at least 80 percent” as the control threshold used in applying Sections 414(b) and (c)).</w:t>
      </w:r>
    </w:p>
    <w:p>
      <w:pPr>
        <w:spacing w:after="0" w:line="130" w:lineRule="exact"/>
        <w:rPr>
          <w:sz w:val="20"/>
          <w:szCs w:val="20"/>
          <w:color w:val="auto"/>
        </w:rPr>
      </w:pPr>
    </w:p>
    <w:p>
      <w:pPr>
        <w:ind w:right="280" w:firstLine="486"/>
        <w:spacing w:after="0" w:line="366" w:lineRule="auto"/>
        <w:rPr>
          <w:sz w:val="20"/>
          <w:szCs w:val="20"/>
          <w:color w:val="auto"/>
        </w:rPr>
      </w:pPr>
      <w:r>
        <w:rPr>
          <w:rFonts w:ascii="Arial" w:cs="Arial" w:eastAsia="Arial" w:hAnsi="Arial"/>
          <w:sz w:val="22"/>
          <w:szCs w:val="22"/>
          <w:i w:val="1"/>
          <w:iCs w:val="1"/>
          <w:color w:val="auto"/>
        </w:rPr>
        <w:t xml:space="preserve">UTC Contribution </w:t>
      </w:r>
      <w:r>
        <w:rPr>
          <w:rFonts w:ascii="Arial" w:cs="Arial" w:eastAsia="Arial" w:hAnsi="Arial"/>
          <w:sz w:val="22"/>
          <w:szCs w:val="22"/>
          <w:color w:val="auto"/>
        </w:rPr>
        <w:t>means the amount credited to a Participant’s UTC Contribution Account in accordance with the formula</w:t>
      </w:r>
      <w:r>
        <w:rPr>
          <w:rFonts w:ascii="Arial" w:cs="Arial" w:eastAsia="Arial" w:hAnsi="Arial"/>
          <w:sz w:val="22"/>
          <w:szCs w:val="22"/>
          <w:i w:val="1"/>
          <w:iCs w:val="1"/>
          <w:color w:val="auto"/>
        </w:rPr>
        <w:t xml:space="preserve"> </w:t>
      </w:r>
      <w:r>
        <w:rPr>
          <w:rFonts w:ascii="Arial" w:cs="Arial" w:eastAsia="Arial" w:hAnsi="Arial"/>
          <w:sz w:val="22"/>
          <w:szCs w:val="22"/>
          <w:color w:val="auto"/>
        </w:rPr>
        <w:t>set forth in Article V.</w:t>
      </w:r>
    </w:p>
    <w:p>
      <w:pPr>
        <w:spacing w:after="0" w:line="120" w:lineRule="exact"/>
        <w:rPr>
          <w:sz w:val="20"/>
          <w:szCs w:val="20"/>
          <w:color w:val="auto"/>
        </w:rPr>
      </w:pPr>
    </w:p>
    <w:p>
      <w:pPr>
        <w:ind w:right="440" w:firstLine="486"/>
        <w:spacing w:after="0" w:line="366" w:lineRule="auto"/>
        <w:rPr>
          <w:sz w:val="20"/>
          <w:szCs w:val="20"/>
          <w:color w:val="auto"/>
        </w:rPr>
      </w:pPr>
      <w:r>
        <w:rPr>
          <w:rFonts w:ascii="Arial" w:cs="Arial" w:eastAsia="Arial" w:hAnsi="Arial"/>
          <w:sz w:val="22"/>
          <w:szCs w:val="22"/>
          <w:i w:val="1"/>
          <w:iCs w:val="1"/>
          <w:color w:val="auto"/>
        </w:rPr>
        <w:t xml:space="preserve">UTC Contribution Account </w:t>
      </w:r>
      <w:r>
        <w:rPr>
          <w:rFonts w:ascii="Arial" w:cs="Arial" w:eastAsia="Arial" w:hAnsi="Arial"/>
          <w:sz w:val="22"/>
          <w:szCs w:val="22"/>
          <w:color w:val="auto"/>
        </w:rPr>
        <w:t>means a Plan Account maintained on behalf of a Participant for the purpose of crediting UTC</w:t>
      </w:r>
      <w:r>
        <w:rPr>
          <w:rFonts w:ascii="Arial" w:cs="Arial" w:eastAsia="Arial" w:hAnsi="Arial"/>
          <w:sz w:val="22"/>
          <w:szCs w:val="22"/>
          <w:i w:val="1"/>
          <w:iCs w:val="1"/>
          <w:color w:val="auto"/>
        </w:rPr>
        <w:t xml:space="preserve"> </w:t>
      </w:r>
      <w:r>
        <w:rPr>
          <w:rFonts w:ascii="Arial" w:cs="Arial" w:eastAsia="Arial" w:hAnsi="Arial"/>
          <w:sz w:val="22"/>
          <w:szCs w:val="22"/>
          <w:color w:val="auto"/>
        </w:rPr>
        <w:t>Contributions.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III - ELIGIBILITY AND PARTICIPATION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3.1 - Eligibility</w:t>
      </w:r>
    </w:p>
    <w:p>
      <w:pPr>
        <w:spacing w:after="0" w:line="199" w:lineRule="exact"/>
        <w:rPr>
          <w:sz w:val="20"/>
          <w:szCs w:val="20"/>
          <w:color w:val="auto"/>
        </w:rPr>
      </w:pPr>
    </w:p>
    <w:p>
      <w:pPr>
        <w:jc w:val="both"/>
        <w:ind w:firstLine="1305"/>
        <w:spacing w:after="0" w:line="362" w:lineRule="auto"/>
        <w:tabs>
          <w:tab w:leader="none" w:pos="1811" w:val="left"/>
        </w:tabs>
        <w:numPr>
          <w:ilvl w:val="0"/>
          <w:numId w:val="38"/>
        </w:numPr>
        <w:rPr>
          <w:rFonts w:ascii="Arial" w:cs="Arial" w:eastAsia="Arial" w:hAnsi="Arial"/>
          <w:sz w:val="22"/>
          <w:szCs w:val="22"/>
          <w:color w:val="auto"/>
        </w:rPr>
      </w:pPr>
      <w:r>
        <w:rPr>
          <w:rFonts w:ascii="Arial" w:cs="Arial" w:eastAsia="Arial" w:hAnsi="Arial"/>
          <w:sz w:val="22"/>
          <w:szCs w:val="22"/>
          <w:color w:val="auto"/>
        </w:rPr>
        <w:t>Eligibility to Make Employee Contributions. Employees who are participants in the Qualified Savings Plan shall be eligible to participate in the SRP if and to the extent such Employee’s annual Pensionable Earnings are in excess of the limit of IRC Section 401(a)(17).</w:t>
      </w:r>
    </w:p>
    <w:p>
      <w:pPr>
        <w:sectPr>
          <w:pgSz w:w="11900" w:h="16838" w:orient="portrait"/>
          <w:cols w:equalWidth="0" w:num="1">
            <w:col w:w="11420"/>
          </w:cols>
          <w:pgMar w:left="240" w:top="726" w:right="239" w:bottom="1440" w:gutter="0" w:footer="0" w:header="0"/>
        </w:sectPr>
      </w:pPr>
    </w:p>
    <w:bookmarkStart w:id="112" w:name="page113"/>
    <w:bookmarkEnd w:id="112"/>
    <w:p>
      <w:pPr>
        <w:jc w:val="both"/>
        <w:ind w:firstLine="1305"/>
        <w:spacing w:after="0" w:line="362" w:lineRule="auto"/>
        <w:tabs>
          <w:tab w:leader="none" w:pos="1783" w:val="left"/>
        </w:tabs>
        <w:numPr>
          <w:ilvl w:val="0"/>
          <w:numId w:val="39"/>
        </w:numPr>
        <w:rPr>
          <w:rFonts w:ascii="Arial" w:cs="Arial" w:eastAsia="Arial" w:hAnsi="Arial"/>
          <w:sz w:val="22"/>
          <w:szCs w:val="22"/>
          <w:color w:val="auto"/>
        </w:rPr>
      </w:pPr>
      <w:r>
        <w:rPr>
          <w:rFonts w:ascii="Arial" w:cs="Arial" w:eastAsia="Arial" w:hAnsi="Arial"/>
          <w:sz w:val="22"/>
          <w:szCs w:val="22"/>
          <w:color w:val="auto"/>
        </w:rPr>
        <w:t>Eligibility for UTC Contributions. An Employee who is eligible to participate in the SRP and has completed one year of “Continuous Service” (as defined in the UTC Employee Retirement Plan as in effect on January 1, 2008) shall be eligible to receive UTC Contributions in accordance with Article V of the Plan.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3.2 - Participation</w:t>
      </w:r>
    </w:p>
    <w:p>
      <w:pPr>
        <w:spacing w:after="0" w:line="280" w:lineRule="exact"/>
        <w:rPr>
          <w:sz w:val="20"/>
          <w:szCs w:val="20"/>
          <w:color w:val="auto"/>
        </w:rPr>
      </w:pPr>
    </w:p>
    <w:p>
      <w:pPr>
        <w:ind w:right="200" w:firstLine="648"/>
        <w:spacing w:after="0" w:line="356" w:lineRule="auto"/>
        <w:rPr>
          <w:sz w:val="20"/>
          <w:szCs w:val="20"/>
          <w:color w:val="auto"/>
        </w:rPr>
      </w:pPr>
      <w:r>
        <w:rPr>
          <w:rFonts w:ascii="Arial" w:cs="Arial" w:eastAsia="Arial" w:hAnsi="Arial"/>
          <w:sz w:val="22"/>
          <w:szCs w:val="22"/>
          <w:color w:val="auto"/>
        </w:rPr>
        <w:t>With respect to any calendar year for which the Committee offers the opportunity to defer Eligible Compensation, each eligible Participant may elect to participate in the Plan by timely filing with the Committee an Election Form, properly completed in accordance with Section 4.1. Participation in the Plan is entirely voluntary.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IV - PARTICIPANT ELECTIONS AND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4.1 - Election</w:t>
      </w:r>
    </w:p>
    <w:p>
      <w:pPr>
        <w:spacing w:after="0" w:line="280" w:lineRule="exact"/>
        <w:rPr>
          <w:sz w:val="20"/>
          <w:szCs w:val="20"/>
          <w:color w:val="auto"/>
        </w:rPr>
      </w:pPr>
    </w:p>
    <w:p>
      <w:pPr>
        <w:jc w:val="both"/>
        <w:ind w:right="140" w:firstLine="648"/>
        <w:spacing w:after="0" w:line="356" w:lineRule="auto"/>
        <w:rPr>
          <w:sz w:val="20"/>
          <w:szCs w:val="20"/>
          <w:color w:val="auto"/>
        </w:rPr>
      </w:pPr>
      <w:r>
        <w:rPr>
          <w:rFonts w:ascii="Arial" w:cs="Arial" w:eastAsia="Arial" w:hAnsi="Arial"/>
          <w:sz w:val="22"/>
          <w:szCs w:val="22"/>
          <w:color w:val="auto"/>
        </w:rPr>
        <w:t>An eligible Participant may, on or before the election deadline established by the Committee, make an electronic or written election on the Election Form provided by the Committee to defer Eligible Compensation for the immediately following calendar year.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4.2 - Election Amount</w:t>
      </w:r>
    </w:p>
    <w:p>
      <w:pPr>
        <w:spacing w:after="0" w:line="280" w:lineRule="exact"/>
        <w:rPr>
          <w:sz w:val="20"/>
          <w:szCs w:val="20"/>
          <w:color w:val="auto"/>
        </w:rPr>
      </w:pPr>
    </w:p>
    <w:p>
      <w:pPr>
        <w:ind w:right="240" w:firstLine="648"/>
        <w:spacing w:after="0" w:line="366" w:lineRule="auto"/>
        <w:rPr>
          <w:sz w:val="20"/>
          <w:szCs w:val="20"/>
          <w:color w:val="auto"/>
        </w:rPr>
      </w:pPr>
      <w:r>
        <w:rPr>
          <w:rFonts w:ascii="Arial" w:cs="Arial" w:eastAsia="Arial" w:hAnsi="Arial"/>
          <w:sz w:val="22"/>
          <w:szCs w:val="22"/>
          <w:color w:val="auto"/>
        </w:rPr>
        <w:t>An eligible Participant must designate in the Election Form the percentage of Eligible Compensation that will be deferred under the Plan, in a whole percentage between one and six percent.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4.3 - Election Date</w:t>
      </w:r>
    </w:p>
    <w:p>
      <w:pPr>
        <w:spacing w:after="0" w:line="280" w:lineRule="exact"/>
        <w:rPr>
          <w:sz w:val="20"/>
          <w:szCs w:val="20"/>
          <w:color w:val="auto"/>
        </w:rPr>
      </w:pPr>
    </w:p>
    <w:p>
      <w:pPr>
        <w:ind w:right="20" w:firstLine="486"/>
        <w:spacing w:after="0" w:line="409" w:lineRule="auto"/>
        <w:rPr>
          <w:sz w:val="20"/>
          <w:szCs w:val="20"/>
          <w:color w:val="auto"/>
        </w:rPr>
      </w:pPr>
      <w:r>
        <w:rPr>
          <w:rFonts w:ascii="Arial" w:cs="Arial" w:eastAsia="Arial" w:hAnsi="Arial"/>
          <w:sz w:val="19"/>
          <w:szCs w:val="19"/>
          <w:color w:val="auto"/>
        </w:rPr>
        <w:t>To defer Eligible Compensation under the Plan, an electronic or written Election Form must be completed and submitted to the Committee no later than the December 31 immediately preceding the calendar year to which the election applies, or such earlier date as the Committee may specify. To the extent an election is made to defer Eligible Compensation that includes an incentive compensation payment that qualifies as Performance-based Compensation as defined in Treas. Reg. §1.409A-1(e)), with respect to services to be performed in the current calendar year and otherwise payable in the immediately following calendar year, such election must be submitted to the Committee no later than the June 30 of the current calendar year, or such earlier date as the Committee may specify. In all other cases, the deferral election must be submitted by December 31 preceding the calendar year in which the Eligible Compensation is earned or such earlier date as the Committee may specify.</w:t>
      </w:r>
    </w:p>
    <w:p>
      <w:pPr>
        <w:spacing w:after="0" w:line="100" w:lineRule="exact"/>
        <w:rPr>
          <w:sz w:val="20"/>
          <w:szCs w:val="20"/>
          <w:color w:val="auto"/>
        </w:rPr>
      </w:pPr>
    </w:p>
    <w:p>
      <w:pPr>
        <w:ind w:right="200" w:firstLine="648"/>
        <w:spacing w:after="0" w:line="356" w:lineRule="auto"/>
        <w:rPr>
          <w:sz w:val="20"/>
          <w:szCs w:val="20"/>
          <w:color w:val="auto"/>
        </w:rPr>
      </w:pPr>
      <w:r>
        <w:rPr>
          <w:rFonts w:ascii="Arial" w:cs="Arial" w:eastAsia="Arial" w:hAnsi="Arial"/>
          <w:sz w:val="22"/>
          <w:szCs w:val="22"/>
          <w:color w:val="auto"/>
        </w:rPr>
        <w:t>A deferral election shall be effective only if the individual making the election is still an eligible Participant at the election deadline. Except as provided below in Section 4.6 (Change in Election), the choices reflected on the Participant’s Election Form shall be irrevocable on the election deadline. An</w:t>
      </w:r>
    </w:p>
    <w:p>
      <w:pPr>
        <w:sectPr>
          <w:pgSz w:w="11900" w:h="16838" w:orient="portrait"/>
          <w:cols w:equalWidth="0" w:num="1">
            <w:col w:w="11420"/>
          </w:cols>
          <w:pgMar w:left="240" w:top="645" w:right="239" w:bottom="1440" w:gutter="0" w:footer="0" w:header="0"/>
        </w:sectPr>
      </w:pPr>
    </w:p>
    <w:bookmarkStart w:id="113" w:name="page114"/>
    <w:bookmarkEnd w:id="113"/>
    <w:p>
      <w:pPr>
        <w:jc w:val="both"/>
        <w:ind w:right="100"/>
        <w:spacing w:after="0" w:line="378" w:lineRule="auto"/>
        <w:rPr>
          <w:sz w:val="20"/>
          <w:szCs w:val="20"/>
          <w:color w:val="auto"/>
        </w:rPr>
      </w:pPr>
      <w:r>
        <w:rPr>
          <w:rFonts w:ascii="Arial" w:cs="Arial" w:eastAsia="Arial" w:hAnsi="Arial"/>
          <w:sz w:val="21"/>
          <w:szCs w:val="21"/>
          <w:color w:val="auto"/>
        </w:rPr>
        <w:t>eligible Employee must timely submit an election by the election deadline to be eligible to participate in the Plan. Once an election is made to defer Eligible Compensation, the election will be deemed an evergreen election and will be applied to future Plan years, unless the election is revised or cancelled during a subsequent annual enrollment period.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4.4 - Distribution Election</w:t>
      </w:r>
    </w:p>
    <w:p>
      <w:pPr>
        <w:spacing w:after="0" w:line="280" w:lineRule="exact"/>
        <w:rPr>
          <w:sz w:val="20"/>
          <w:szCs w:val="20"/>
          <w:color w:val="auto"/>
        </w:rPr>
      </w:pPr>
    </w:p>
    <w:p>
      <w:pPr>
        <w:ind w:firstLine="648"/>
        <w:spacing w:after="0" w:line="431" w:lineRule="auto"/>
        <w:rPr>
          <w:sz w:val="20"/>
          <w:szCs w:val="20"/>
          <w:color w:val="auto"/>
        </w:rPr>
      </w:pPr>
      <w:r>
        <w:rPr>
          <w:rFonts w:ascii="Arial" w:cs="Arial" w:eastAsia="Arial" w:hAnsi="Arial"/>
          <w:sz w:val="19"/>
          <w:szCs w:val="19"/>
          <w:color w:val="auto"/>
        </w:rPr>
        <w:t>At the time the Participant first elects to defer Eligible Compensation under this Plan, the Participant must at that time elect the method of distribution of the Participant’s Plan Accounts. Distribution options include a lump sum or two to fifteen annual installments. If no distribution election is made with respect to a Participant’s Plan Accounts, the distribution will be in a lump sum.</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4.5 - Investment Fund Allocations</w:t>
      </w:r>
    </w:p>
    <w:p>
      <w:pPr>
        <w:spacing w:after="0" w:line="280" w:lineRule="exact"/>
        <w:rPr>
          <w:sz w:val="20"/>
          <w:szCs w:val="20"/>
          <w:color w:val="auto"/>
        </w:rPr>
      </w:pPr>
    </w:p>
    <w:p>
      <w:pPr>
        <w:ind w:right="140" w:firstLine="648"/>
        <w:spacing w:after="0" w:line="350" w:lineRule="auto"/>
        <w:rPr>
          <w:sz w:val="20"/>
          <w:szCs w:val="20"/>
          <w:color w:val="auto"/>
        </w:rPr>
      </w:pPr>
      <w:r>
        <w:rPr>
          <w:rFonts w:ascii="Arial" w:cs="Arial" w:eastAsia="Arial" w:hAnsi="Arial"/>
          <w:sz w:val="22"/>
          <w:szCs w:val="22"/>
          <w:color w:val="auto"/>
        </w:rPr>
        <w:t>When completing the Election Form, the Participant must allocate the amount to be deferred, in whole percentages, among the available Investment Funds. To the extent that the Participant fails to make an effective allocation among the available Investment Funds, the deferral shall be allocated entirely to the Income Fund. Participants may change the asset allocation of their existing Participant Contribution Account balance or future deferrals as permitted by the Committee. The Committee currently allows for daily reallocation. Allocation requests submitted after 4 p.m. EST or during a weekend or holiday, become effective the following business day.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4.6 - Change in Election</w:t>
      </w:r>
    </w:p>
    <w:p>
      <w:pPr>
        <w:spacing w:after="0" w:line="199" w:lineRule="exact"/>
        <w:rPr>
          <w:sz w:val="20"/>
          <w:szCs w:val="20"/>
          <w:color w:val="auto"/>
        </w:rPr>
      </w:pPr>
    </w:p>
    <w:p>
      <w:pPr>
        <w:ind w:right="280" w:firstLine="648"/>
        <w:spacing w:after="0" w:line="366" w:lineRule="auto"/>
        <w:rPr>
          <w:sz w:val="20"/>
          <w:szCs w:val="20"/>
          <w:color w:val="auto"/>
        </w:rPr>
      </w:pPr>
      <w:r>
        <w:rPr>
          <w:rFonts w:ascii="Arial" w:cs="Arial" w:eastAsia="Arial" w:hAnsi="Arial"/>
          <w:sz w:val="22"/>
          <w:szCs w:val="22"/>
          <w:color w:val="auto"/>
        </w:rPr>
        <w:t>A Participant may make an irrevocable election to change the form of distribution for the Plan Accounts. A change to the form of distribution must meet all of the following requirements:</w:t>
      </w:r>
    </w:p>
    <w:p>
      <w:pPr>
        <w:spacing w:after="0" w:line="174" w:lineRule="exact"/>
        <w:rPr>
          <w:sz w:val="20"/>
          <w:szCs w:val="20"/>
          <w:color w:val="auto"/>
        </w:rPr>
      </w:pPr>
    </w:p>
    <w:p>
      <w:pPr>
        <w:ind w:right="100" w:firstLine="656"/>
        <w:spacing w:after="0" w:line="405" w:lineRule="auto"/>
        <w:tabs>
          <w:tab w:leader="none" w:pos="1496" w:val="left"/>
        </w:tabs>
        <w:numPr>
          <w:ilvl w:val="0"/>
          <w:numId w:val="40"/>
        </w:numPr>
        <w:rPr>
          <w:rFonts w:ascii="Arial" w:cs="Arial" w:eastAsia="Arial" w:hAnsi="Arial"/>
          <w:sz w:val="16"/>
          <w:szCs w:val="16"/>
          <w:color w:val="auto"/>
        </w:rPr>
      </w:pPr>
      <w:r>
        <w:rPr>
          <w:rFonts w:ascii="Arial" w:cs="Arial" w:eastAsia="Arial" w:hAnsi="Arial"/>
          <w:sz w:val="19"/>
          <w:szCs w:val="19"/>
          <w:color w:val="auto"/>
        </w:rPr>
        <w:t>The new election must be made at least twelve months prior to the date on which payments will commence under the current election and/or date of termination following attainment of age 50 (and the new election shall be ineffective if the payment commencement date under the current election occurs within twelve months after the date of the new election);</w:t>
      </w:r>
    </w:p>
    <w:p>
      <w:pPr>
        <w:spacing w:after="0" w:line="1" w:lineRule="exact"/>
        <w:rPr>
          <w:rFonts w:ascii="Arial" w:cs="Arial" w:eastAsia="Arial" w:hAnsi="Arial"/>
          <w:sz w:val="16"/>
          <w:szCs w:val="16"/>
          <w:color w:val="auto"/>
        </w:rPr>
      </w:pPr>
    </w:p>
    <w:p>
      <w:pPr>
        <w:ind w:right="40" w:firstLine="656"/>
        <w:spacing w:after="0" w:line="352" w:lineRule="auto"/>
        <w:tabs>
          <w:tab w:leader="none" w:pos="1506" w:val="left"/>
        </w:tabs>
        <w:numPr>
          <w:ilvl w:val="0"/>
          <w:numId w:val="40"/>
        </w:numPr>
        <w:rPr>
          <w:rFonts w:ascii="Arial" w:cs="Arial" w:eastAsia="Arial" w:hAnsi="Arial"/>
          <w:sz w:val="18"/>
          <w:szCs w:val="18"/>
          <w:color w:val="auto"/>
        </w:rPr>
      </w:pPr>
      <w:r>
        <w:rPr>
          <w:rFonts w:ascii="Arial" w:cs="Arial" w:eastAsia="Arial" w:hAnsi="Arial"/>
          <w:sz w:val="22"/>
          <w:szCs w:val="22"/>
          <w:color w:val="auto"/>
        </w:rPr>
        <w:t>The new election will not take effect until at least twelve months after the date when the new election is submitted in a manner acceptable to the Committee; and</w:t>
      </w:r>
    </w:p>
    <w:p>
      <w:pPr>
        <w:ind w:right="980" w:firstLine="656"/>
        <w:spacing w:after="0" w:line="352" w:lineRule="auto"/>
        <w:tabs>
          <w:tab w:leader="none" w:pos="1496" w:val="left"/>
        </w:tabs>
        <w:numPr>
          <w:ilvl w:val="0"/>
          <w:numId w:val="40"/>
        </w:numPr>
        <w:rPr>
          <w:rFonts w:ascii="Arial" w:cs="Arial" w:eastAsia="Arial" w:hAnsi="Arial"/>
          <w:sz w:val="18"/>
          <w:szCs w:val="18"/>
          <w:color w:val="auto"/>
        </w:rPr>
      </w:pPr>
      <w:r>
        <w:rPr>
          <w:rFonts w:ascii="Arial" w:cs="Arial" w:eastAsia="Arial" w:hAnsi="Arial"/>
          <w:sz w:val="22"/>
          <w:szCs w:val="22"/>
          <w:color w:val="auto"/>
        </w:rPr>
        <w:t>The new payment commencement date must be five years later than the date on which payments would commence under the current election.</w:t>
      </w:r>
    </w:p>
    <w:p>
      <w:pPr>
        <w:spacing w:after="0"/>
        <w:rPr>
          <w:rFonts w:ascii="Arial" w:cs="Arial" w:eastAsia="Arial" w:hAnsi="Arial"/>
          <w:sz w:val="18"/>
          <w:szCs w:val="18"/>
          <w:color w:val="auto"/>
        </w:rPr>
      </w:pPr>
      <w:r>
        <w:rPr>
          <w:rFonts w:ascii="Arial" w:cs="Arial" w:eastAsia="Arial" w:hAnsi="Arial"/>
          <w:sz w:val="22"/>
          <w:szCs w:val="22"/>
          <w:color w:val="auto"/>
        </w:rPr>
        <w:t>A maximum of three change elections are allowed under the Plan.</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4.7 - [Removed]</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4.8 - Designation of Beneficiary</w:t>
      </w:r>
    </w:p>
    <w:p>
      <w:pPr>
        <w:sectPr>
          <w:pgSz w:w="11900" w:h="16838" w:orient="portrait"/>
          <w:cols w:equalWidth="0" w:num="1">
            <w:col w:w="11420"/>
          </w:cols>
          <w:pgMar w:left="240" w:top="726" w:right="239" w:bottom="1440" w:gutter="0" w:footer="0" w:header="0"/>
        </w:sectPr>
      </w:pPr>
    </w:p>
    <w:bookmarkStart w:id="114" w:name="page115"/>
    <w:bookmarkEnd w:id="114"/>
    <w:p>
      <w:pPr>
        <w:ind w:firstLine="648"/>
        <w:spacing w:after="0" w:line="406" w:lineRule="auto"/>
        <w:rPr>
          <w:sz w:val="20"/>
          <w:szCs w:val="20"/>
          <w:color w:val="auto"/>
        </w:rPr>
      </w:pPr>
      <w:r>
        <w:rPr>
          <w:rFonts w:ascii="Arial" w:cs="Arial" w:eastAsia="Arial" w:hAnsi="Arial"/>
          <w:sz w:val="19"/>
          <w:szCs w:val="19"/>
          <w:color w:val="auto"/>
        </w:rPr>
        <w:t>Each Participant shall designate a Beneficiary for his or her Plan Account on an electronic or written form provided by the Committee. A Participant may change such designation on an electronic or written form acceptable to the Committee and will be effective on the date received by the Committee. Designations received after the date of the Participant’s death will not be effective. In the event that no Beneficiary designation is filed with the Committee before the Participant’s death, or if the Beneficiary (and any contingent Beneficiary) does not survive the Participant, the value of all Plan Accounts hereunder will be paid to the estate of the Participant.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4.8. In the event of the death of a Participant, distributions shall be made in accordance with Section 7.6.</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 - UTC CONTRIBUTIONS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5.1 - Contribution Amount</w:t>
      </w:r>
    </w:p>
    <w:p>
      <w:pPr>
        <w:spacing w:after="0" w:line="199" w:lineRule="exact"/>
        <w:rPr>
          <w:sz w:val="20"/>
          <w:szCs w:val="20"/>
          <w:color w:val="auto"/>
        </w:rPr>
      </w:pPr>
    </w:p>
    <w:p>
      <w:pPr>
        <w:ind w:right="580" w:firstLine="648"/>
        <w:spacing w:after="0" w:line="366" w:lineRule="auto"/>
        <w:rPr>
          <w:sz w:val="20"/>
          <w:szCs w:val="20"/>
          <w:color w:val="auto"/>
        </w:rPr>
      </w:pPr>
      <w:r>
        <w:rPr>
          <w:rFonts w:ascii="Arial" w:cs="Arial" w:eastAsia="Arial" w:hAnsi="Arial"/>
          <w:sz w:val="22"/>
          <w:szCs w:val="22"/>
          <w:color w:val="auto"/>
        </w:rPr>
        <w:t>The Corporation will credit a sixty percent (60%) matching contribution to the Plan on up to six percent (6%) of each Participant’s Eligible Compensation deferred under the Plan.</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5.2 - Eligibility for Contribution</w:t>
      </w:r>
    </w:p>
    <w:p>
      <w:pPr>
        <w:spacing w:after="0" w:line="199" w:lineRule="exact"/>
        <w:rPr>
          <w:sz w:val="20"/>
          <w:szCs w:val="20"/>
          <w:color w:val="auto"/>
        </w:rPr>
      </w:pPr>
    </w:p>
    <w:p>
      <w:pPr>
        <w:ind w:right="1140" w:firstLine="648"/>
        <w:spacing w:after="0" w:line="366" w:lineRule="auto"/>
        <w:rPr>
          <w:sz w:val="20"/>
          <w:szCs w:val="20"/>
          <w:color w:val="auto"/>
        </w:rPr>
      </w:pPr>
      <w:r>
        <w:rPr>
          <w:rFonts w:ascii="Arial" w:cs="Arial" w:eastAsia="Arial" w:hAnsi="Arial"/>
          <w:sz w:val="22"/>
          <w:szCs w:val="22"/>
          <w:color w:val="auto"/>
        </w:rPr>
        <w:t>No Participant shall receive an allocation of UTC Contributions until such Participant has met the participation requirements of Section 3.1(b) of the Plan.</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5.3 - Form of Contribution</w:t>
      </w:r>
    </w:p>
    <w:p>
      <w:pPr>
        <w:spacing w:after="0" w:line="199" w:lineRule="exact"/>
        <w:rPr>
          <w:sz w:val="20"/>
          <w:szCs w:val="20"/>
          <w:color w:val="auto"/>
        </w:rPr>
      </w:pPr>
    </w:p>
    <w:p>
      <w:pPr>
        <w:ind w:right="40" w:firstLine="648"/>
        <w:spacing w:after="0" w:line="352" w:lineRule="auto"/>
        <w:rPr>
          <w:sz w:val="20"/>
          <w:szCs w:val="20"/>
          <w:color w:val="auto"/>
        </w:rPr>
      </w:pPr>
      <w:r>
        <w:rPr>
          <w:rFonts w:ascii="Arial" w:cs="Arial" w:eastAsia="Arial" w:hAnsi="Arial"/>
          <w:sz w:val="22"/>
          <w:szCs w:val="22"/>
          <w:color w:val="auto"/>
        </w:rPr>
        <w:t>Except as provided in Section 5.6, the UTC Contribution shall be provided in the form of hypothetical shares or units of UTC Common Stock. Participants may not exchange amounts credited to their UTC Contribution Account to other investment options. In no event shall the UTC Contribution to any Participant's UTC Contribution Accounts for any calendar year exceed 25% of annual earnings for such calendar year.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5.4 - Timing of Contribution</w:t>
      </w:r>
    </w:p>
    <w:p>
      <w:pPr>
        <w:spacing w:after="0" w:line="199" w:lineRule="exact"/>
        <w:rPr>
          <w:sz w:val="20"/>
          <w:szCs w:val="20"/>
          <w:color w:val="auto"/>
        </w:rPr>
      </w:pPr>
    </w:p>
    <w:p>
      <w:pPr>
        <w:ind w:right="160" w:firstLine="648"/>
        <w:spacing w:after="0" w:line="431" w:lineRule="auto"/>
        <w:rPr>
          <w:sz w:val="20"/>
          <w:szCs w:val="20"/>
          <w:color w:val="auto"/>
        </w:rPr>
      </w:pPr>
      <w:r>
        <w:rPr>
          <w:rFonts w:ascii="Arial" w:cs="Arial" w:eastAsia="Arial" w:hAnsi="Arial"/>
          <w:sz w:val="19"/>
          <w:szCs w:val="19"/>
          <w:color w:val="auto"/>
        </w:rPr>
        <w:t>Allocation of UTC Contributions and Participant deferrals shall generally be made to each Participant’s UTC Contribution Account on or immediately following each pay period, but no less frequently than once with respect to each Plan Year. The Corporation may in its sole discretion credit additional amounts to Participants’ UTC Contribution Accounts.</w:t>
      </w:r>
    </w:p>
    <w:p>
      <w:pPr>
        <w:sectPr>
          <w:pgSz w:w="11900" w:h="16838" w:orient="portrait"/>
          <w:cols w:equalWidth="0" w:num="1">
            <w:col w:w="11400"/>
          </w:cols>
          <w:pgMar w:left="240" w:top="726" w:right="25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b w:val="1"/>
          <w:bCs w:val="1"/>
          <w:color w:val="auto"/>
        </w:rPr>
        <w:t>Section 5.5 - Vesting of Contributions</w:t>
      </w:r>
    </w:p>
    <w:p>
      <w:pPr>
        <w:spacing w:after="0" w:line="199" w:lineRule="exact"/>
        <w:rPr>
          <w:sz w:val="20"/>
          <w:szCs w:val="20"/>
          <w:color w:val="auto"/>
        </w:rPr>
      </w:pPr>
    </w:p>
    <w:p>
      <w:pPr>
        <w:ind w:firstLine="648"/>
        <w:spacing w:after="0" w:line="409" w:lineRule="auto"/>
        <w:rPr>
          <w:sz w:val="20"/>
          <w:szCs w:val="20"/>
          <w:color w:val="auto"/>
        </w:rPr>
      </w:pPr>
      <w:r>
        <w:rPr>
          <w:rFonts w:ascii="Arial" w:cs="Arial" w:eastAsia="Arial" w:hAnsi="Arial"/>
          <w:sz w:val="19"/>
          <w:szCs w:val="19"/>
          <w:color w:val="auto"/>
        </w:rPr>
        <w:t>A Participant is always 100% vested in his or her deferrals into the Plan and associated earnings. A Participant shall be vested in the value of UTC Contributions credited to his or her Plan Account upon the first to occur of the following: participation in the Plan for two years; completion of three years of “Continuous Service” (as defined in the UTC Employee Retirement Plan as in effect on January 1, 2008), attainment of age 65, the death or disability of the Participant while employed by a UTC Company, the layoff of a Participant from a UTC Company due to lack of work, or the Participant’s entrance into the military service before completing two years of Plan participation. For purposes of this Section 5.5, a Participant's date of disability shall be the first day of the fifth month (or such other month as may from time to time be applicable under the federal Social Security Act) prior to the month for which a Participant first receives a disability benefit under the Social Security Act.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5.6 - Benefit Restoration Contribution</w:t>
      </w:r>
    </w:p>
    <w:p>
      <w:pPr>
        <w:spacing w:after="0" w:line="280" w:lineRule="exact"/>
        <w:rPr>
          <w:sz w:val="20"/>
          <w:szCs w:val="20"/>
          <w:color w:val="auto"/>
        </w:rPr>
      </w:pPr>
    </w:p>
    <w:p>
      <w:pPr>
        <w:ind w:firstLine="648"/>
        <w:spacing w:after="0" w:line="352" w:lineRule="auto"/>
        <w:rPr>
          <w:sz w:val="20"/>
          <w:szCs w:val="20"/>
          <w:color w:val="auto"/>
        </w:rPr>
      </w:pPr>
      <w:r>
        <w:rPr>
          <w:rFonts w:ascii="Arial" w:cs="Arial" w:eastAsia="Arial" w:hAnsi="Arial"/>
          <w:sz w:val="22"/>
          <w:szCs w:val="22"/>
          <w:color w:val="auto"/>
        </w:rPr>
        <w:t>At the end of each Plan Year, the Committee will determine whether a Participant is eligible to receive a Benefit Restoration Contribution, and will credit any applicable Benefit Restoration Contribution to the affected Participant’s account under the DCP in the same manner as provided for Benefit Restoration Contributions with respect to the Qualified Savings Plan under the terms of the DCP.</w:t>
      </w:r>
    </w:p>
    <w:p>
      <w:pPr>
        <w:spacing w:after="0" w:line="131" w:lineRule="exact"/>
        <w:rPr>
          <w:sz w:val="20"/>
          <w:szCs w:val="20"/>
          <w:color w:val="auto"/>
        </w:rPr>
      </w:pPr>
    </w:p>
    <w:p>
      <w:pPr>
        <w:jc w:val="center"/>
        <w:ind w:right="8080"/>
        <w:spacing w:after="0"/>
        <w:rPr>
          <w:sz w:val="20"/>
          <w:szCs w:val="20"/>
          <w:color w:val="auto"/>
        </w:rPr>
      </w:pPr>
      <w:r>
        <w:rPr>
          <w:rFonts w:ascii="Arial" w:cs="Arial" w:eastAsia="Arial" w:hAnsi="Arial"/>
          <w:sz w:val="21"/>
          <w:szCs w:val="21"/>
          <w:b w:val="1"/>
          <w:bCs w:val="1"/>
          <w:u w:val="single" w:color="auto"/>
          <w:color w:val="auto"/>
        </w:rPr>
        <w:t>ARTICLE VI - PLAN ACCOUNTS</w:t>
      </w:r>
    </w:p>
    <w:p>
      <w:pPr>
        <w:spacing w:after="0" w:line="204" w:lineRule="exact"/>
        <w:rPr>
          <w:sz w:val="20"/>
          <w:szCs w:val="20"/>
          <w:color w:val="auto"/>
        </w:rPr>
      </w:pPr>
    </w:p>
    <w:p>
      <w:pPr>
        <w:jc w:val="center"/>
        <w:ind w:right="8060"/>
        <w:spacing w:after="0"/>
        <w:rPr>
          <w:sz w:val="20"/>
          <w:szCs w:val="20"/>
          <w:color w:val="auto"/>
        </w:rPr>
      </w:pPr>
      <w:r>
        <w:rPr>
          <w:rFonts w:ascii="Arial" w:cs="Arial" w:eastAsia="Arial" w:hAnsi="Arial"/>
          <w:sz w:val="22"/>
          <w:szCs w:val="22"/>
          <w:b w:val="1"/>
          <w:bCs w:val="1"/>
          <w:color w:val="auto"/>
        </w:rPr>
        <w:t>Section 6.1 - Accounts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Participant Contribution Account and a UTC Contribution Account will be established for each Participant.</w:t>
      </w:r>
    </w:p>
    <w:p>
      <w:pPr>
        <w:spacing w:after="0" w:line="274" w:lineRule="exact"/>
        <w:rPr>
          <w:sz w:val="20"/>
          <w:szCs w:val="20"/>
          <w:color w:val="auto"/>
        </w:rPr>
      </w:pPr>
    </w:p>
    <w:p>
      <w:pPr>
        <w:ind w:right="60" w:firstLine="656"/>
        <w:spacing w:after="0" w:line="352" w:lineRule="auto"/>
        <w:tabs>
          <w:tab w:leader="none" w:pos="1068" w:val="left"/>
        </w:tabs>
        <w:numPr>
          <w:ilvl w:val="0"/>
          <w:numId w:val="41"/>
        </w:numPr>
        <w:rPr>
          <w:rFonts w:ascii="Arial" w:cs="Arial" w:eastAsia="Arial" w:hAnsi="Arial"/>
          <w:sz w:val="22"/>
          <w:szCs w:val="22"/>
          <w:color w:val="auto"/>
        </w:rPr>
      </w:pPr>
      <w:r>
        <w:rPr>
          <w:rFonts w:ascii="Arial" w:cs="Arial" w:eastAsia="Arial" w:hAnsi="Arial"/>
          <w:sz w:val="22"/>
          <w:szCs w:val="22"/>
          <w:color w:val="auto"/>
        </w:rPr>
        <w:t>Participant Contribution Accounts. Participant Contribution Accounts shall be allocated or reallocated among Investment Funds in accordance with the Plan terms and each Participant’s instructions in the manner set forth in Section 4.5. Participant Contribution Accounts shall be credited with hypothetical investment fund shares or units on the applicable pay date on which Eligible Compensation would otherwise have been paid. Participant Contribution Accounts will be credited daily with investment earnings and losses, including dividends and capital gains, where applicable, in accordance with the Plan terms and a Participant’s investment elections.</w:t>
      </w:r>
    </w:p>
    <w:p>
      <w:pPr>
        <w:spacing w:after="0" w:line="137" w:lineRule="exact"/>
        <w:rPr>
          <w:rFonts w:ascii="Arial" w:cs="Arial" w:eastAsia="Arial" w:hAnsi="Arial"/>
          <w:sz w:val="22"/>
          <w:szCs w:val="22"/>
          <w:color w:val="auto"/>
        </w:rPr>
      </w:pPr>
    </w:p>
    <w:p>
      <w:pPr>
        <w:ind w:right="220" w:firstLine="656"/>
        <w:spacing w:after="0" w:line="357" w:lineRule="auto"/>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UTC Contribution Accounts. UTC Contribution Accounts shall be credited with hypothetical shares or units of UTC Common Stock (“UTC Deferred Stock Units”), in the manner set forth in Article V. UTC Deferred Stock Units may not be exchanged for any other Investment Funds. UTC Contribution Accounts will be credited daily with investment earnings and losses, including dividends, associated with UTC Common Stock.</w:t>
      </w:r>
    </w:p>
    <w:p>
      <w:pPr>
        <w:sectPr>
          <w:pgSz w:w="11900" w:h="16838" w:orient="portrait"/>
          <w:cols w:equalWidth="0" w:num="1">
            <w:col w:w="11400"/>
          </w:cols>
          <w:pgMar w:left="240" w:top="720" w:right="259" w:bottom="1440" w:gutter="0" w:footer="0" w:header="0"/>
        </w:sectPr>
      </w:pPr>
    </w:p>
    <w:bookmarkStart w:id="116" w:name="page117"/>
    <w:bookmarkEnd w:id="116"/>
    <w:p>
      <w:pPr>
        <w:ind w:left="660"/>
        <w:spacing w:after="0"/>
        <w:rPr>
          <w:sz w:val="20"/>
          <w:szCs w:val="20"/>
          <w:color w:val="auto"/>
        </w:rPr>
      </w:pPr>
      <w:r>
        <w:rPr>
          <w:rFonts w:ascii="Arial" w:cs="Arial" w:eastAsia="Arial" w:hAnsi="Arial"/>
          <w:sz w:val="22"/>
          <w:szCs w:val="22"/>
          <w:b w:val="1"/>
          <w:bCs w:val="1"/>
          <w:color w:val="auto"/>
        </w:rPr>
        <w:t>Section 6.2 - [Removed]</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6.3 - Valuation of UTC Stock Unit Fund</w:t>
      </w:r>
    </w:p>
    <w:p>
      <w:pPr>
        <w:spacing w:after="0" w:line="280" w:lineRule="exact"/>
        <w:rPr>
          <w:sz w:val="20"/>
          <w:szCs w:val="20"/>
          <w:color w:val="auto"/>
        </w:rPr>
      </w:pPr>
    </w:p>
    <w:p>
      <w:pPr>
        <w:ind w:firstLine="648"/>
        <w:spacing w:after="0" w:line="367" w:lineRule="auto"/>
        <w:rPr>
          <w:sz w:val="20"/>
          <w:szCs w:val="20"/>
          <w:color w:val="auto"/>
        </w:rPr>
      </w:pPr>
      <w:r>
        <w:rPr>
          <w:rFonts w:ascii="Arial" w:cs="Arial" w:eastAsia="Arial" w:hAnsi="Arial"/>
          <w:sz w:val="21"/>
          <w:szCs w:val="21"/>
          <w:color w:val="auto"/>
        </w:rPr>
        <w:t>Deferred compensation allocated to the UTC Stock Unit Fund will be converted to UTC Deferred Stock Units, including fractional Stock Units. A UTC Deferred Stock Unit is equal to the closing price of one share of UTC Common Stock as reported on the composite tape of the New York Stock Exchange. The number of UTC Deferred Stock Units will be calculated by dividing the amount of Eligible Compensation deferred by the closing price of UTC Common Stock on the date when the deferred amount is credited to the Participant’s UTC Stock Unit Fund. UTC Deferred Stock Units will be credited with dividend equivalent payments equal to the Corporation’s declared dividend on UTC Common Stock (if any). Such dividend equivalent payments will be converted to additional UTC Deferred Stock Units and fractional units using the closing price of UTC Common Stock as of the date such dividends are credited to the Participant’s UTC Stock Unit Fund.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6.4 - Valuation of Investment Funds</w:t>
      </w:r>
    </w:p>
    <w:p>
      <w:pPr>
        <w:spacing w:after="0" w:line="280" w:lineRule="exact"/>
        <w:rPr>
          <w:sz w:val="20"/>
          <w:szCs w:val="20"/>
          <w:color w:val="auto"/>
        </w:rPr>
      </w:pPr>
    </w:p>
    <w:p>
      <w:pPr>
        <w:ind w:right="80" w:firstLine="648"/>
        <w:spacing w:after="0" w:line="352" w:lineRule="auto"/>
        <w:rPr>
          <w:sz w:val="20"/>
          <w:szCs w:val="20"/>
          <w:color w:val="auto"/>
        </w:rPr>
      </w:pPr>
      <w:r>
        <w:rPr>
          <w:rFonts w:ascii="Arial" w:cs="Arial" w:eastAsia="Arial" w:hAnsi="Arial"/>
          <w:sz w:val="22"/>
          <w:szCs w:val="22"/>
          <w:color w:val="auto"/>
        </w:rPr>
        <w:t>Deferred compensation allocated to Investment Funds will be converted to the applicable Investment Fund units based on the closing share price of that Investment Fund as of date the deferred amount is credited to the Participant’s applicable Investment Fund. The value of the units of an Investment Fund will fluctuate on each business day based on the performance of the applicable Investment Fund.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6.5 - Allocation to Accounts</w:t>
      </w:r>
    </w:p>
    <w:p>
      <w:pPr>
        <w:spacing w:after="0" w:line="280" w:lineRule="exact"/>
        <w:rPr>
          <w:sz w:val="20"/>
          <w:szCs w:val="20"/>
          <w:color w:val="auto"/>
        </w:rPr>
      </w:pPr>
    </w:p>
    <w:p>
      <w:pPr>
        <w:ind w:right="360" w:firstLine="648"/>
        <w:spacing w:after="0" w:line="395" w:lineRule="auto"/>
        <w:rPr>
          <w:sz w:val="20"/>
          <w:szCs w:val="20"/>
          <w:color w:val="auto"/>
        </w:rPr>
      </w:pPr>
      <w:r>
        <w:rPr>
          <w:rFonts w:ascii="Arial" w:cs="Arial" w:eastAsia="Arial" w:hAnsi="Arial"/>
          <w:sz w:val="21"/>
          <w:szCs w:val="21"/>
          <w:color w:val="auto"/>
        </w:rPr>
        <w:t>During the year of deferral, deferred amounts will be allocated to the Participant’s Participant Contribution Account and Investment Funds as of the date the deferred amounts would otherwise have been paid to the Participant.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6.6 - Reports to Participants</w:t>
      </w:r>
    </w:p>
    <w:p>
      <w:pPr>
        <w:spacing w:after="0" w:line="280" w:lineRule="exact"/>
        <w:rPr>
          <w:sz w:val="20"/>
          <w:szCs w:val="20"/>
          <w:color w:val="auto"/>
        </w:rPr>
      </w:pPr>
    </w:p>
    <w:p>
      <w:pPr>
        <w:ind w:right="40" w:firstLine="648"/>
        <w:spacing w:after="0" w:line="356" w:lineRule="auto"/>
        <w:rPr>
          <w:sz w:val="20"/>
          <w:szCs w:val="20"/>
          <w:color w:val="auto"/>
        </w:rPr>
      </w:pPr>
      <w:r>
        <w:rPr>
          <w:rFonts w:ascii="Arial" w:cs="Arial" w:eastAsia="Arial" w:hAnsi="Arial"/>
          <w:sz w:val="22"/>
          <w:szCs w:val="22"/>
          <w:color w:val="auto"/>
        </w:rPr>
        <w:t>The Committee will provide or make available detailed information to Participants regarding the credited value of Plan Accounts, distribution elections, Beneficiary designations, and Investment Fund allocations. Such information may be provided via electronic media as determined by the Committee.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 - DISTRIBUTION OF ACCOUNTS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7.1 - Timing of Plan Distributions</w:t>
      </w:r>
    </w:p>
    <w:p>
      <w:pPr>
        <w:spacing w:after="0" w:line="280" w:lineRule="exact"/>
        <w:rPr>
          <w:sz w:val="20"/>
          <w:szCs w:val="20"/>
          <w:color w:val="auto"/>
        </w:rPr>
      </w:pPr>
    </w:p>
    <w:p>
      <w:pPr>
        <w:jc w:val="both"/>
        <w:ind w:right="80" w:firstLine="648"/>
        <w:spacing w:after="0" w:line="356" w:lineRule="auto"/>
        <w:rPr>
          <w:sz w:val="20"/>
          <w:szCs w:val="20"/>
          <w:color w:val="auto"/>
        </w:rPr>
      </w:pPr>
      <w:r>
        <w:rPr>
          <w:rFonts w:ascii="Arial" w:cs="Arial" w:eastAsia="Arial" w:hAnsi="Arial"/>
          <w:sz w:val="22"/>
          <w:szCs w:val="22"/>
          <w:color w:val="auto"/>
        </w:rPr>
        <w:t>Except as provided in Section 4.6 (concerning the five-year delay following a Change in Election), Section 7.4 (concerning Separation from Service before Attaining Age Fifty), and Section 7.5 (concerning distributions to Specified Employees), the value of a Participant’s Plan Accounts will be distributed (or</w:t>
      </w:r>
    </w:p>
    <w:p>
      <w:pPr>
        <w:sectPr>
          <w:pgSz w:w="11900" w:h="16838" w:orient="portrait"/>
          <w:cols w:equalWidth="0" w:num="1">
            <w:col w:w="11400"/>
          </w:cols>
          <w:pgMar w:left="240" w:top="720" w:right="259" w:bottom="1440" w:gutter="0" w:footer="0" w:header="0"/>
        </w:sectPr>
      </w:pPr>
    </w:p>
    <w:bookmarkStart w:id="117" w:name="page118"/>
    <w:bookmarkEnd w:id="117"/>
    <w:p>
      <w:pPr>
        <w:ind w:right="280"/>
        <w:spacing w:after="0" w:line="366" w:lineRule="auto"/>
        <w:rPr>
          <w:sz w:val="20"/>
          <w:szCs w:val="20"/>
          <w:color w:val="auto"/>
        </w:rPr>
      </w:pPr>
      <w:r>
        <w:rPr>
          <w:rFonts w:ascii="Arial" w:cs="Arial" w:eastAsia="Arial" w:hAnsi="Arial"/>
          <w:sz w:val="22"/>
          <w:szCs w:val="22"/>
          <w:color w:val="auto"/>
        </w:rPr>
        <w:t>begin to be distributed) to the Participant in April of the calendar year following the calendar year of the Participant’s Separation from Service.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7.2 - Method of Distribution</w:t>
      </w:r>
    </w:p>
    <w:p>
      <w:pPr>
        <w:spacing w:after="0" w:line="280" w:lineRule="exact"/>
        <w:rPr>
          <w:sz w:val="20"/>
          <w:szCs w:val="20"/>
          <w:color w:val="auto"/>
        </w:rPr>
      </w:pPr>
    </w:p>
    <w:p>
      <w:pPr>
        <w:ind w:right="60" w:firstLine="648"/>
        <w:spacing w:after="0" w:line="349" w:lineRule="auto"/>
        <w:rPr>
          <w:sz w:val="20"/>
          <w:szCs w:val="20"/>
          <w:color w:val="auto"/>
        </w:rPr>
      </w:pPr>
      <w:r>
        <w:rPr>
          <w:rFonts w:ascii="Arial" w:cs="Arial" w:eastAsia="Arial" w:hAnsi="Arial"/>
          <w:sz w:val="22"/>
          <w:szCs w:val="22"/>
          <w:color w:val="auto"/>
        </w:rPr>
        <w:t>Except as provided in Section 7.4 (concerning Separation from Service before Attaining Age Fifty), Plan Accounts will be distributed to the Participant in a single lump-sum payment, or in a series of annual installment payments, in accordance with the Participant’s election on file. Annual installment distributions shall be payable to the Participant beginning as of the payment commencement date and continuing as of each anniversary of the payment commencement date thereafter until all installments have been paid. To determine the amount of each installment, the value of the Participant’s Plan Accounts on the payment date will be multiplied by a fraction, the numerator of which is one and the denominator of which is the remaining number of scheduled installments.</w:t>
      </w:r>
    </w:p>
    <w:p>
      <w:pPr>
        <w:spacing w:after="0" w:line="59" w:lineRule="exact"/>
        <w:rPr>
          <w:sz w:val="20"/>
          <w:szCs w:val="20"/>
          <w:color w:val="auto"/>
        </w:rPr>
      </w:pPr>
    </w:p>
    <w:p>
      <w:pPr>
        <w:jc w:val="both"/>
        <w:ind w:firstLine="1297"/>
        <w:spacing w:after="0" w:line="356" w:lineRule="auto"/>
        <w:rPr>
          <w:sz w:val="20"/>
          <w:szCs w:val="20"/>
          <w:color w:val="auto"/>
        </w:rPr>
      </w:pPr>
      <w:r>
        <w:rPr>
          <w:rFonts w:ascii="Arial" w:cs="Arial" w:eastAsia="Arial" w:hAnsi="Arial"/>
          <w:sz w:val="22"/>
          <w:szCs w:val="22"/>
          <w:color w:val="auto"/>
        </w:rPr>
        <w:t>Regardless of the distribution option elected, if the aggregate value of a Participant’s Plan Accounts, determined as of the payment commencement date, is less than the stated IRS Section 402g limit, the Committee will distribute the Participant’s entire Plan Account balance in a lump sum on the payment commencement date.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7.3 - Form of Distribution</w:t>
      </w:r>
    </w:p>
    <w:p>
      <w:pPr>
        <w:spacing w:after="0" w:line="280" w:lineRule="exact"/>
        <w:rPr>
          <w:sz w:val="20"/>
          <w:szCs w:val="20"/>
          <w:color w:val="auto"/>
        </w:rPr>
      </w:pPr>
    </w:p>
    <w:p>
      <w:pPr>
        <w:ind w:right="340" w:firstLine="648"/>
        <w:spacing w:after="0" w:line="366" w:lineRule="auto"/>
        <w:rPr>
          <w:sz w:val="20"/>
          <w:szCs w:val="20"/>
          <w:color w:val="auto"/>
        </w:rPr>
      </w:pPr>
      <w:r>
        <w:rPr>
          <w:rFonts w:ascii="Arial" w:cs="Arial" w:eastAsia="Arial" w:hAnsi="Arial"/>
          <w:sz w:val="22"/>
          <w:szCs w:val="22"/>
          <w:color w:val="auto"/>
        </w:rPr>
        <w:t>Participant Contribution Account distributions will be made in cash and UTC Contribution Account distributions will be made in UTC Common Stock.</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7.4 - Separation from Service before Attaining Age Fifty</w:t>
      </w:r>
    </w:p>
    <w:p>
      <w:pPr>
        <w:spacing w:after="0" w:line="280" w:lineRule="exact"/>
        <w:rPr>
          <w:sz w:val="20"/>
          <w:szCs w:val="20"/>
          <w:color w:val="auto"/>
        </w:rPr>
      </w:pPr>
    </w:p>
    <w:p>
      <w:pPr>
        <w:ind w:right="60" w:firstLine="648"/>
        <w:spacing w:after="0" w:line="351" w:lineRule="auto"/>
        <w:rPr>
          <w:sz w:val="20"/>
          <w:szCs w:val="20"/>
          <w:color w:val="auto"/>
        </w:rPr>
      </w:pPr>
      <w:r>
        <w:rPr>
          <w:rFonts w:ascii="Arial" w:cs="Arial" w:eastAsia="Arial" w:hAnsi="Arial"/>
          <w:sz w:val="22"/>
          <w:szCs w:val="22"/>
          <w:color w:val="auto"/>
        </w:rPr>
        <w:t>If a Participant’s Separation from Service occurs before the Participant attains age fifty (50), the full value of the Participant’s Plan Accounts will be distributed to the Participant in a lump-sum payment in April of the calendar year following the calendar year of the Participant's Separation from Service (or, if the Participant is a Specified Employee at the time of his or her Separation from Service, on the date provided in Section 7.5, below, if later) regardless of the distribution option elected and regardless of any change in the distribution election.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7.5 - Separation from Service of Specified Employees</w:t>
      </w:r>
    </w:p>
    <w:p>
      <w:pPr>
        <w:spacing w:after="0" w:line="199" w:lineRule="exact"/>
        <w:rPr>
          <w:sz w:val="20"/>
          <w:szCs w:val="20"/>
          <w:color w:val="auto"/>
        </w:rPr>
      </w:pPr>
    </w:p>
    <w:p>
      <w:pPr>
        <w:ind w:right="80" w:firstLine="648"/>
        <w:spacing w:after="0" w:line="356" w:lineRule="auto"/>
        <w:rPr>
          <w:sz w:val="20"/>
          <w:szCs w:val="20"/>
          <w:color w:val="auto"/>
        </w:rPr>
      </w:pPr>
      <w:r>
        <w:rPr>
          <w:rFonts w:ascii="Arial" w:cs="Arial" w:eastAsia="Arial" w:hAnsi="Arial"/>
          <w:sz w:val="22"/>
          <w:szCs w:val="22"/>
          <w:color w:val="auto"/>
        </w:rPr>
        <w:t>Distributions to Specified Employees will not be made or commence earlier than the first day of the seventh month following the date of Separation from Service. All Plan Accounts shall continue to accrue hypothetical investment gains and losses as provided in Article VI until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7.6 - Distribution in the Event of Death</w:t>
      </w:r>
    </w:p>
    <w:p>
      <w:pPr>
        <w:sectPr>
          <w:pgSz w:w="11900" w:h="16838" w:orient="portrait"/>
          <w:cols w:equalWidth="0" w:num="1">
            <w:col w:w="11420"/>
          </w:cols>
          <w:pgMar w:left="240" w:top="726" w:right="239" w:bottom="1440" w:gutter="0" w:footer="0" w:header="0"/>
        </w:sectPr>
      </w:pPr>
    </w:p>
    <w:bookmarkStart w:id="118" w:name="page119"/>
    <w:bookmarkEnd w:id="118"/>
    <w:p>
      <w:pPr>
        <w:ind w:right="80" w:firstLine="648"/>
        <w:spacing w:after="0" w:line="373" w:lineRule="auto"/>
        <w:rPr>
          <w:sz w:val="20"/>
          <w:szCs w:val="20"/>
          <w:color w:val="auto"/>
        </w:rPr>
      </w:pPr>
      <w:r>
        <w:rPr>
          <w:rFonts w:ascii="Arial" w:cs="Arial" w:eastAsia="Arial" w:hAnsi="Arial"/>
          <w:sz w:val="21"/>
          <w:szCs w:val="21"/>
          <w:color w:val="auto"/>
        </w:rPr>
        <w:t>In the event of the death of a Participant before the Participant’s Plan Account has been fully distributed, the full remaining value of the Participant’s Plan Accounts will be distributed to the designated Beneficiary or the Participant’s estate in a lump sum on the first business day of the third month following the Participant’s death. Upon notification of death, pending distribution, the value of the Participant Contribution Account will be allocated to the Income Fund.</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7.7 - Accelerated Distribution in the Case of an Unforeseeable Emergency</w:t>
      </w:r>
    </w:p>
    <w:p>
      <w:pPr>
        <w:spacing w:after="0" w:line="280" w:lineRule="exact"/>
        <w:rPr>
          <w:sz w:val="20"/>
          <w:szCs w:val="20"/>
          <w:color w:val="auto"/>
        </w:rPr>
      </w:pPr>
    </w:p>
    <w:p>
      <w:pPr>
        <w:ind w:right="20" w:firstLine="656"/>
        <w:spacing w:after="0" w:line="409" w:lineRule="auto"/>
        <w:tabs>
          <w:tab w:leader="none" w:pos="1068" w:val="left"/>
        </w:tabs>
        <w:numPr>
          <w:ilvl w:val="0"/>
          <w:numId w:val="42"/>
        </w:numPr>
        <w:rPr>
          <w:rFonts w:ascii="Arial" w:cs="Arial" w:eastAsia="Arial" w:hAnsi="Arial"/>
          <w:sz w:val="19"/>
          <w:szCs w:val="19"/>
          <w:color w:val="auto"/>
        </w:rPr>
      </w:pPr>
      <w:r>
        <w:rPr>
          <w:rFonts w:ascii="Arial" w:cs="Arial" w:eastAsia="Arial" w:hAnsi="Arial"/>
          <w:sz w:val="19"/>
          <w:szCs w:val="19"/>
          <w:color w:val="auto"/>
        </w:rPr>
        <w:t>Unforeseeable Emergency. The Committee may, upon a Participant’s written application, agree to an accelerated distribution of some or all of the value of a Participant's Plan Accounts upon the occurrence of an unforeseeable emergency. An “unforeseeable emergency” is a severe financial hardship to the Participant resulting from (1) an illness or accident of the Participant, the Participant’s spouse, the Participant’s Beneficiary, or the Participant’s dependent (as defined in IRC Section 152, without regard to Section 152(b)(1), (b)(2), and (d)(1)(B)); (2) loss of the Participant’s property due to casualty; or (3) other similar extraordinary and unforeseeable circumstances arising as a result of events beyond the control of the Participant. Whether a Participant is faced with an unforeseeable emergency permitting a distribution is to be determined based on the relevant facts and circumstances of each case. Acceleration will not be granted if the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98" w:lineRule="exact"/>
        <w:rPr>
          <w:rFonts w:ascii="Arial" w:cs="Arial" w:eastAsia="Arial" w:hAnsi="Arial"/>
          <w:sz w:val="19"/>
          <w:szCs w:val="19"/>
          <w:color w:val="auto"/>
        </w:rPr>
      </w:pPr>
    </w:p>
    <w:p>
      <w:pPr>
        <w:jc w:val="both"/>
        <w:ind w:right="40" w:firstLine="656"/>
        <w:spacing w:after="0" w:line="357" w:lineRule="auto"/>
        <w:tabs>
          <w:tab w:leader="none" w:pos="10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Amount of Distribution Permitted Upon an Unforeseeable Emergency. Distributions on account of an unforeseeable emergency, as defined in Section 7.7(a), shall be limited to the amount reasonably necessary to satisfy the emergency need. Such amount may include amounts necessary to pay any Federal, state, local, or foreign income taxes or penalties reasonably anticipated to result from the distribution.</w:t>
      </w:r>
    </w:p>
    <w:p>
      <w:pPr>
        <w:spacing w:after="0" w:line="128" w:lineRule="exact"/>
        <w:rPr>
          <w:rFonts w:ascii="Arial" w:cs="Arial" w:eastAsia="Arial" w:hAnsi="Arial"/>
          <w:sz w:val="22"/>
          <w:szCs w:val="22"/>
          <w:color w:val="auto"/>
        </w:rPr>
      </w:pPr>
    </w:p>
    <w:p>
      <w:pPr>
        <w:ind w:firstLine="656"/>
        <w:spacing w:after="0" w:line="362" w:lineRule="auto"/>
        <w:tabs>
          <w:tab w:leader="none" w:pos="106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Committee will determine from which Investment Funds hardship distributions will be made. Any Participant who is an officer or director of the Corporation within the meaning of Section 16 of the Securities Exchange Act of 1934 is not eligible for distributions on account of unforeseeable emergency.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7.8 - Disability</w:t>
      </w:r>
    </w:p>
    <w:p>
      <w:pPr>
        <w:spacing w:after="0" w:line="280" w:lineRule="exact"/>
        <w:rPr>
          <w:sz w:val="20"/>
          <w:szCs w:val="20"/>
          <w:color w:val="auto"/>
        </w:rPr>
      </w:pPr>
    </w:p>
    <w:p>
      <w:pPr>
        <w:ind w:right="140" w:firstLine="648"/>
        <w:spacing w:after="0" w:line="395" w:lineRule="auto"/>
        <w:rPr>
          <w:sz w:val="20"/>
          <w:szCs w:val="20"/>
          <w:color w:val="auto"/>
        </w:rPr>
      </w:pPr>
      <w:r>
        <w:rPr>
          <w:rFonts w:ascii="Arial" w:cs="Arial" w:eastAsia="Arial" w:hAnsi="Arial"/>
          <w:sz w:val="21"/>
          <w:szCs w:val="21"/>
          <w:color w:val="auto"/>
        </w:rPr>
        <w:t>In the event of the Disability of a Participant that qualifies as a “Separation from Service” for purposes of Section 409A of the Code, the Participant’s Plan Accounts will be distributed in accordance with the Participant’s elections on file.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7.9 - Administrative Adjustments in Payment Date</w:t>
      </w:r>
    </w:p>
    <w:p>
      <w:pPr>
        <w:sectPr>
          <w:pgSz w:w="11900" w:h="16838" w:orient="portrait"/>
          <w:cols w:equalWidth="0" w:num="1">
            <w:col w:w="11380"/>
          </w:cols>
          <w:pgMar w:left="240" w:top="726" w:right="279" w:bottom="1440" w:gutter="0" w:footer="0" w:header="0"/>
        </w:sectPr>
      </w:pPr>
    </w:p>
    <w:bookmarkStart w:id="119" w:name="page120"/>
    <w:bookmarkEnd w:id="119"/>
    <w:p>
      <w:pPr>
        <w:ind w:right="120" w:firstLine="648"/>
        <w:spacing w:after="0" w:line="367" w:lineRule="auto"/>
        <w:rPr>
          <w:sz w:val="20"/>
          <w:szCs w:val="20"/>
          <w:color w:val="auto"/>
        </w:rPr>
      </w:pPr>
      <w:r>
        <w:rPr>
          <w:rFonts w:ascii="Arial" w:cs="Arial" w:eastAsia="Arial" w:hAnsi="Arial"/>
          <w:sz w:val="21"/>
          <w:szCs w:val="21"/>
          <w:color w:val="auto"/>
        </w:rPr>
        <w:t>A payment is treated as being made on the date when it is due under the Plan if the payment is made on the due date specified by the Plan, or on a later date that is either (a) in the same calendar year (for a payment whose specified due date is on or before September 30), or (b) by the 15th day of the third calendar month following the date specified by the Plan (for a payment whose specified due date is on or after October 1). A payment also is treated as being made on the date when it is due under the Plan if the payment is made not more than 30 days before the due date specified by the Plan. In no event will a payment to a Specified Employee be made or commence earlier than the first day of the seventh month following the date of Separation from Service. A Participant may not, directly or indirectly, designate the taxable year of a payment made in reliance on the administrative rules in this Section 7.9.</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VIII - AMENDMENT AND TERMINATION OF PLAN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8.1 - Amendment</w:t>
      </w:r>
    </w:p>
    <w:p>
      <w:pPr>
        <w:spacing w:after="0" w:line="280" w:lineRule="exact"/>
        <w:rPr>
          <w:sz w:val="20"/>
          <w:szCs w:val="20"/>
          <w:color w:val="auto"/>
        </w:rPr>
      </w:pPr>
    </w:p>
    <w:p>
      <w:pPr>
        <w:jc w:val="both"/>
        <w:ind w:right="60" w:firstLine="648"/>
        <w:spacing w:after="0" w:line="415" w:lineRule="auto"/>
        <w:rPr>
          <w:sz w:val="20"/>
          <w:szCs w:val="20"/>
          <w:color w:val="auto"/>
        </w:rPr>
      </w:pPr>
      <w:r>
        <w:rPr>
          <w:rFonts w:ascii="Arial" w:cs="Arial" w:eastAsia="Arial" w:hAnsi="Arial"/>
          <w:sz w:val="19"/>
          <w:szCs w:val="19"/>
          <w:color w:val="auto"/>
        </w:rPr>
        <w:t>The Corporation may, at any time, amend the Plan in whole or in part, provided that no amendment may decrease the value of any Plan Accounts as of the date of such amendment. In the event of any change in law or regulation relating to the Plan and the tax treatment of Plan 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VII.</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8.2 - Plan Suspension and Termination</w:t>
      </w:r>
    </w:p>
    <w:p>
      <w:pPr>
        <w:spacing w:after="0" w:line="280" w:lineRule="exact"/>
        <w:rPr>
          <w:sz w:val="20"/>
          <w:szCs w:val="20"/>
          <w:color w:val="auto"/>
        </w:rPr>
      </w:pPr>
    </w:p>
    <w:p>
      <w:pPr>
        <w:jc w:val="both"/>
        <w:ind w:right="100" w:firstLine="656"/>
        <w:spacing w:after="0" w:line="438" w:lineRule="auto"/>
        <w:tabs>
          <w:tab w:leader="none" w:pos="106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Corporation’s Pension Administration Committee, may, at any time, suspend or terminate the Plan with respect to new or existing Election Forms if, in its sole judgment, the continuance of the Plan, the tax, accounting, or other effects thereof, or potential payments thereunder would not be in the best interest of the Corporation or for any other reason.</w:t>
      </w:r>
    </w:p>
    <w:p>
      <w:pPr>
        <w:spacing w:after="0" w:line="73" w:lineRule="exact"/>
        <w:rPr>
          <w:rFonts w:ascii="Arial" w:cs="Arial" w:eastAsia="Arial" w:hAnsi="Arial"/>
          <w:sz w:val="19"/>
          <w:szCs w:val="19"/>
          <w:color w:val="auto"/>
        </w:rPr>
      </w:pPr>
    </w:p>
    <w:p>
      <w:pPr>
        <w:ind w:right="140" w:firstLine="656"/>
        <w:spacing w:after="0" w:line="362" w:lineRule="auto"/>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the event of the suspension of the Plan, no additional deferrals or UTC Contributions shall be made under the Plan. All previous deferrals and UTC Contributions shall accumulate and be distributed in accordance with the otherwise applicable provisions of the Plan and the applicable elections on file.</w:t>
      </w:r>
    </w:p>
    <w:p>
      <w:pPr>
        <w:spacing w:after="0" w:line="259" w:lineRule="exact"/>
        <w:rPr>
          <w:rFonts w:ascii="Arial" w:cs="Arial" w:eastAsia="Arial" w:hAnsi="Arial"/>
          <w:sz w:val="22"/>
          <w:szCs w:val="22"/>
          <w:color w:val="auto"/>
        </w:rPr>
      </w:pPr>
    </w:p>
    <w:p>
      <w:pPr>
        <w:ind w:firstLine="656"/>
        <w:spacing w:after="0" w:line="354" w:lineRule="auto"/>
        <w:tabs>
          <w:tab w:leader="none" w:pos="1068" w:val="left"/>
        </w:tabs>
        <w:numPr>
          <w:ilvl w:val="0"/>
          <w:numId w:val="43"/>
        </w:numPr>
        <w:rPr>
          <w:rFonts w:ascii="Arial" w:cs="Arial" w:eastAsia="Arial" w:hAnsi="Arial"/>
          <w:sz w:val="22"/>
          <w:szCs w:val="22"/>
          <w:color w:val="auto"/>
        </w:rPr>
      </w:pPr>
      <w:r>
        <w:rPr>
          <w:rFonts w:ascii="Arial" w:cs="Arial" w:eastAsia="Arial" w:hAnsi="Arial"/>
          <w:sz w:val="22"/>
          <w:szCs w:val="22"/>
          <w:color w:val="auto"/>
        </w:rPr>
        <w:t>Upon the termination of the Plan with respect to all Participants, and the termination of all arrangements sponsored by the Corporation or its affiliates that would be aggregated with the Plan under Section 409A of the Code (“Section 409A”), the Corporation shall have the right, in its sole discretion, and notwithstanding any elections made by the Participant, to pay the Participant’s Plan Accounts in a lump sum, to the extent permitted under Section 409A. All payments that may be made pursuant to this</w:t>
      </w:r>
    </w:p>
    <w:p>
      <w:pPr>
        <w:sectPr>
          <w:pgSz w:w="11900" w:h="16838" w:orient="portrait"/>
          <w:cols w:equalWidth="0" w:num="1">
            <w:col w:w="11400"/>
          </w:cols>
          <w:pgMar w:left="240" w:top="726" w:right="259" w:bottom="1440" w:gutter="0" w:footer="0" w:header="0"/>
        </w:sectPr>
      </w:pPr>
    </w:p>
    <w:bookmarkStart w:id="120" w:name="page121"/>
    <w:bookmarkEnd w:id="120"/>
    <w:p>
      <w:pPr>
        <w:ind w:right="40"/>
        <w:spacing w:after="0" w:line="415" w:lineRule="auto"/>
        <w:rPr>
          <w:sz w:val="20"/>
          <w:szCs w:val="20"/>
          <w:color w:val="auto"/>
        </w:rPr>
      </w:pPr>
      <w:r>
        <w:rPr>
          <w:rFonts w:ascii="Arial" w:cs="Arial" w:eastAsia="Arial" w:hAnsi="Arial"/>
          <w:sz w:val="19"/>
          <w:szCs w:val="19"/>
          <w:color w:val="auto"/>
        </w:rPr>
        <w:t>Section 8.2(c) shall be made no earlier than the thirteenth month and no later than the twenty-fourth month after the termination of the Plan. The Corporation may not accelerate payments pursuant to this Section 8.2(c) if the termination of the Plan is proximate to a downturn in the Corporation’s financial health within the meaning of Treas. Reg. section 1.409A-3(j)(4)(ix)(C)(1). If the Corporation exercises its discretion to accelerate payments under this Section 8.2(c), it shall not adopt any new arrangement that would have been aggregated with the Plan under Section 409A within three years following the date of the Plan’s termination.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8.3 - No Consent Required</w:t>
      </w:r>
    </w:p>
    <w:p>
      <w:pPr>
        <w:spacing w:after="0" w:line="280" w:lineRule="exact"/>
        <w:rPr>
          <w:sz w:val="20"/>
          <w:szCs w:val="20"/>
          <w:color w:val="auto"/>
        </w:rPr>
      </w:pPr>
    </w:p>
    <w:p>
      <w:pPr>
        <w:ind w:right="960" w:firstLine="648"/>
        <w:spacing w:after="0" w:line="366" w:lineRule="auto"/>
        <w:rPr>
          <w:sz w:val="20"/>
          <w:szCs w:val="20"/>
          <w:color w:val="auto"/>
        </w:rPr>
      </w:pPr>
      <w:r>
        <w:rPr>
          <w:rFonts w:ascii="Arial" w:cs="Arial" w:eastAsia="Arial" w:hAnsi="Arial"/>
          <w:sz w:val="22"/>
          <w:szCs w:val="22"/>
          <w:color w:val="auto"/>
        </w:rPr>
        <w:t>The consent of any Participant, Beneficiary, or other person shall not be required with respect to any amendment, suspension, or termination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IX - GENERAL PROVISIONS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9.1 - Unsecured General Creditor</w:t>
      </w:r>
    </w:p>
    <w:p>
      <w:pPr>
        <w:spacing w:after="0" w:line="280" w:lineRule="exact"/>
        <w:rPr>
          <w:sz w:val="20"/>
          <w:szCs w:val="20"/>
          <w:color w:val="auto"/>
        </w:rPr>
      </w:pPr>
    </w:p>
    <w:p>
      <w:pPr>
        <w:ind w:right="60" w:firstLine="648"/>
        <w:spacing w:after="0" w:line="352" w:lineRule="auto"/>
        <w:rPr>
          <w:sz w:val="20"/>
          <w:szCs w:val="20"/>
          <w:color w:val="auto"/>
        </w:rPr>
      </w:pPr>
      <w:r>
        <w:rPr>
          <w:rFonts w:ascii="Arial" w:cs="Arial" w:eastAsia="Arial" w:hAnsi="Arial"/>
          <w:sz w:val="22"/>
          <w:szCs w:val="22"/>
          <w:color w:val="auto"/>
        </w:rPr>
        <w:t>The Corporation’s obligations under the Plan constitute an unfunded and unsecured promise to pay money or deliver shares in the future. Participants’ and Beneficiaries’ rights under the Plan are solely those of a general unsecured creditor of the Corporation. No assets will be placed in trust, set aside or otherwise segregated to fund or offset liabilities in respect of the Plan or Participants’ Plan Accounts.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9.2 - Nonassignability</w:t>
      </w:r>
    </w:p>
    <w:p>
      <w:pPr>
        <w:spacing w:after="0" w:line="280" w:lineRule="exact"/>
        <w:rPr>
          <w:sz w:val="20"/>
          <w:szCs w:val="20"/>
          <w:color w:val="auto"/>
        </w:rPr>
      </w:pPr>
    </w:p>
    <w:p>
      <w:pPr>
        <w:ind w:firstLine="648"/>
        <w:spacing w:after="0" w:line="351" w:lineRule="auto"/>
        <w:rPr>
          <w:sz w:val="20"/>
          <w:szCs w:val="20"/>
          <w:color w:val="auto"/>
        </w:rPr>
      </w:pPr>
      <w:r>
        <w:rPr>
          <w:rFonts w:ascii="Arial" w:cs="Arial" w:eastAsia="Arial" w:hAnsi="Arial"/>
          <w:sz w:val="22"/>
          <w:szCs w:val="22"/>
          <w:color w:val="auto"/>
        </w:rPr>
        <w:t>No Participant or Beneficiary or any other person shall have the right to sell, assign, transfer, pledge, or otherwise encumber any interest in the Plan. All Plan Accounts and the rights to all payments are unassignable and non-transferable. Plan Accounts or payment hereunder, prior to actual payment, will not be subject to attachment or seizure for the payment of any debts, judgments or other obligations. Plan Accounts or other Plan benefit will not be transferred by operation of law in the event of a Participant’s or any Beneficiary’s bankruptcy or insolvency.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9.3 - No Contract of Employment</w:t>
      </w:r>
    </w:p>
    <w:p>
      <w:pPr>
        <w:spacing w:after="0" w:line="280" w:lineRule="exact"/>
        <w:rPr>
          <w:sz w:val="20"/>
          <w:szCs w:val="20"/>
          <w:color w:val="auto"/>
        </w:rPr>
      </w:pPr>
    </w:p>
    <w:p>
      <w:pPr>
        <w:ind w:right="180" w:firstLine="648"/>
        <w:spacing w:after="0" w:line="370" w:lineRule="auto"/>
        <w:rPr>
          <w:sz w:val="20"/>
          <w:szCs w:val="20"/>
          <w:color w:val="auto"/>
        </w:rPr>
      </w:pPr>
      <w:r>
        <w:rPr>
          <w:rFonts w:ascii="Arial" w:cs="Arial" w:eastAsia="Arial" w:hAnsi="Arial"/>
          <w:sz w:val="21"/>
          <w:szCs w:val="21"/>
          <w:color w:val="auto"/>
        </w:rPr>
        <w:t>Participation in the Plan shall not be construed to constitute a direct or indirect contract of employment between any UTC Company and any Participant. Participants and Beneficiaries will have no rights against any UTC Company resulting from participation in the Plan other than as specifically provided herein. Nothing in the Plan shall be deemed to give a Participant the right to be retained in the service of any UTC Company for any length of time or to interfere with the right of any UTC Company to terminate a Participant’s employment prior to the end of any Deferral Period.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9.4 - Governing Law</w:t>
      </w:r>
    </w:p>
    <w:p>
      <w:pPr>
        <w:sectPr>
          <w:pgSz w:w="11900" w:h="16838" w:orient="portrait"/>
          <w:cols w:equalWidth="0" w:num="1">
            <w:col w:w="11400"/>
          </w:cols>
          <w:pgMar w:left="240" w:top="861" w:right="259" w:bottom="1440" w:gutter="0" w:footer="0" w:header="0"/>
        </w:sectPr>
      </w:pPr>
    </w:p>
    <w:bookmarkStart w:id="121" w:name="page122"/>
    <w:bookmarkEnd w:id="121"/>
    <w:p>
      <w:pPr>
        <w:ind w:right="100" w:firstLine="648"/>
        <w:spacing w:after="0" w:line="366" w:lineRule="auto"/>
        <w:rPr>
          <w:sz w:val="20"/>
          <w:szCs w:val="20"/>
          <w:color w:val="auto"/>
        </w:rPr>
      </w:pPr>
      <w:r>
        <w:rPr>
          <w:rFonts w:ascii="Arial" w:cs="Arial" w:eastAsia="Arial" w:hAnsi="Arial"/>
          <w:sz w:val="22"/>
          <w:szCs w:val="22"/>
          <w:color w:val="auto"/>
        </w:rPr>
        <w:t>The provisions of the Plan will be construed and interpreted according to the laws of the State of Connecticut, to the extent not preempted by federal law.</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9.5 - Validity</w:t>
      </w:r>
    </w:p>
    <w:p>
      <w:pPr>
        <w:spacing w:after="0" w:line="280" w:lineRule="exact"/>
        <w:rPr>
          <w:sz w:val="20"/>
          <w:szCs w:val="20"/>
          <w:color w:val="auto"/>
        </w:rPr>
      </w:pPr>
    </w:p>
    <w:p>
      <w:pPr>
        <w:ind w:right="580" w:firstLine="648"/>
        <w:spacing w:after="0" w:line="366" w:lineRule="auto"/>
        <w:rPr>
          <w:sz w:val="20"/>
          <w:szCs w:val="20"/>
          <w:color w:val="auto"/>
        </w:rPr>
      </w:pPr>
      <w:r>
        <w:rPr>
          <w:rFonts w:ascii="Arial" w:cs="Arial" w:eastAsia="Arial" w:hAnsi="Arial"/>
          <w:sz w:val="22"/>
          <w:szCs w:val="22"/>
          <w:color w:val="auto"/>
        </w:rPr>
        <w:t>If any provision of the Plan is held to be illegal or invalid for any reason, the remaining provisions of the Plan will be construed and enforced as if such illegal and invalid provision had never been inserted herein.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9.6 - Notice</w:t>
      </w:r>
    </w:p>
    <w:p>
      <w:pPr>
        <w:spacing w:after="0" w:line="280" w:lineRule="exact"/>
        <w:rPr>
          <w:sz w:val="20"/>
          <w:szCs w:val="20"/>
          <w:color w:val="auto"/>
        </w:rPr>
      </w:pPr>
    </w:p>
    <w:p>
      <w:pPr>
        <w:ind w:right="80" w:firstLine="648"/>
        <w:spacing w:after="0" w:line="349" w:lineRule="auto"/>
        <w:rPr>
          <w:sz w:val="20"/>
          <w:szCs w:val="20"/>
          <w:color w:val="auto"/>
        </w:rPr>
      </w:pPr>
      <w:r>
        <w:rPr>
          <w:rFonts w:ascii="Arial" w:cs="Arial" w:eastAsia="Arial" w:hAnsi="Arial"/>
          <w:sz w:val="22"/>
          <w:szCs w:val="22"/>
          <w:color w:val="auto"/>
        </w:rPr>
        <w:t>Any notice or filing required or permitted to be given to the Committee under the Plan shall be sufficient if sent by first-class mail, to the United Technologies Corporation Deferred Compensation Committee, 4 Farm Springs Road, Farmington, CT 06032, Attn: Deferred Compensation Committee, MS 4FS-2.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9.7 - Successors</w:t>
      </w:r>
    </w:p>
    <w:p>
      <w:pPr>
        <w:spacing w:after="0" w:line="280" w:lineRule="exact"/>
        <w:rPr>
          <w:sz w:val="20"/>
          <w:szCs w:val="20"/>
          <w:color w:val="auto"/>
        </w:rPr>
      </w:pPr>
    </w:p>
    <w:p>
      <w:pPr>
        <w:ind w:right="200" w:firstLine="648"/>
        <w:spacing w:after="0" w:line="352"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9.8 - Incompetence</w:t>
      </w:r>
    </w:p>
    <w:p>
      <w:pPr>
        <w:spacing w:after="0" w:line="280" w:lineRule="exact"/>
        <w:rPr>
          <w:sz w:val="20"/>
          <w:szCs w:val="20"/>
          <w:color w:val="auto"/>
        </w:rPr>
      </w:pPr>
    </w:p>
    <w:p>
      <w:pPr>
        <w:ind w:firstLine="648"/>
        <w:spacing w:after="0" w:line="412"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 Beneficiary. Any such payment from a Participant’s Plan Accounts shall be a complete discharge of any liability under the Plan with respect to the amount so paid.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9.9 - Section 409A Compliance</w:t>
      </w:r>
    </w:p>
    <w:p>
      <w:pPr>
        <w:sectPr>
          <w:pgSz w:w="11900" w:h="16838" w:orient="portrait"/>
          <w:cols w:equalWidth="0" w:num="1">
            <w:col w:w="11380"/>
          </w:cols>
          <w:pgMar w:left="240" w:top="726" w:right="279" w:bottom="1440" w:gutter="0" w:footer="0" w:header="0"/>
        </w:sectPr>
      </w:pPr>
    </w:p>
    <w:bookmarkStart w:id="122" w:name="page123"/>
    <w:bookmarkEnd w:id="122"/>
    <w:p>
      <w:pPr>
        <w:ind w:right="20" w:firstLine="648"/>
        <w:spacing w:after="0" w:line="366" w:lineRule="auto"/>
        <w:rPr>
          <w:sz w:val="20"/>
          <w:szCs w:val="20"/>
          <w:color w:val="auto"/>
        </w:rPr>
      </w:pPr>
      <w:r>
        <w:rPr>
          <w:rFonts w:ascii="Arial" w:cs="Arial" w:eastAsia="Arial" w:hAnsi="Arial"/>
          <w:sz w:val="21"/>
          <w:szCs w:val="21"/>
          <w:color w:val="auto"/>
        </w:rPr>
        <w:t>To the extent that rights or payments under this Plan are subject to Section 409A of the Internal Revenue Code,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In no event shall any UTC Company; any director, officer, or employee of a UTC Company (other than the Participant); or any member of the Committee be liable for any additional tax, interest, or penalty incurred by a Participant or Beneficiary as a result of the Plan’s failure to satisfy the requirements of Section 409A of the Code, or as a result of the Plan’s failure to satisfy any other requirements of applicable tax laws.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9.10 - Withholding Taxes</w:t>
      </w:r>
    </w:p>
    <w:p>
      <w:pPr>
        <w:spacing w:after="0" w:line="280" w:lineRule="exact"/>
        <w:rPr>
          <w:sz w:val="20"/>
          <w:szCs w:val="20"/>
          <w:color w:val="auto"/>
        </w:rPr>
      </w:pPr>
    </w:p>
    <w:p>
      <w:pPr>
        <w:ind w:firstLine="648"/>
        <w:spacing w:after="0" w:line="356" w:lineRule="auto"/>
        <w:rPr>
          <w:sz w:val="20"/>
          <w:szCs w:val="20"/>
          <w:color w:val="auto"/>
        </w:rPr>
      </w:pPr>
      <w:r>
        <w:rPr>
          <w:rFonts w:ascii="Arial" w:cs="Arial" w:eastAsia="Arial" w:hAnsi="Arial"/>
          <w:sz w:val="22"/>
          <w:szCs w:val="22"/>
          <w:color w:val="auto"/>
        </w:rPr>
        <w:t>The Committee may make any appropriate arrangements to deduct from all deferrals, Contributions, vested Plan Accounts, and distributions under the Plan, any taxes that the Committee reasonably determines to be required by law to be withheld from such credits and payments.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X - ADMINISTRATION AND CLAIMS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10.1 - Plan Administration</w:t>
      </w:r>
    </w:p>
    <w:p>
      <w:pPr>
        <w:spacing w:after="0" w:line="280" w:lineRule="exact"/>
        <w:rPr>
          <w:sz w:val="20"/>
          <w:szCs w:val="20"/>
          <w:color w:val="auto"/>
        </w:rPr>
      </w:pPr>
    </w:p>
    <w:p>
      <w:pPr>
        <w:jc w:val="both"/>
        <w:ind w:right="80" w:firstLine="648"/>
        <w:spacing w:after="0" w:line="356" w:lineRule="auto"/>
        <w:rPr>
          <w:sz w:val="20"/>
          <w:szCs w:val="20"/>
          <w:color w:val="auto"/>
        </w:rPr>
      </w:pPr>
      <w:r>
        <w:rPr>
          <w:rFonts w:ascii="Arial" w:cs="Arial" w:eastAsia="Arial" w:hAnsi="Arial"/>
          <w:sz w:val="22"/>
          <w:szCs w:val="22"/>
          <w:color w:val="auto"/>
        </w:rPr>
        <w:t>The Committee shall be solely responsible for the administration and operation of the Plan. The Committee shall have full and exclusive authority and discretion to interpret the provisions of the Plan and to establish such administrative procedures as it deems necessary and appropriate to carry out the purposes of the Plan.</w:t>
      </w:r>
    </w:p>
    <w:p>
      <w:pPr>
        <w:spacing w:after="0" w:line="130" w:lineRule="exact"/>
        <w:rPr>
          <w:sz w:val="20"/>
          <w:szCs w:val="20"/>
          <w:color w:val="auto"/>
        </w:rPr>
      </w:pPr>
    </w:p>
    <w:p>
      <w:pPr>
        <w:ind w:right="40" w:firstLine="648"/>
        <w:spacing w:after="0" w:line="431" w:lineRule="auto"/>
        <w:rPr>
          <w:sz w:val="20"/>
          <w:szCs w:val="20"/>
          <w:color w:val="auto"/>
        </w:rPr>
      </w:pPr>
      <w:r>
        <w:rPr>
          <w:rFonts w:ascii="Arial" w:cs="Arial" w:eastAsia="Arial" w:hAnsi="Arial"/>
          <w:sz w:val="19"/>
          <w:szCs w:val="19"/>
          <w:color w:val="auto"/>
        </w:rPr>
        <w:t>Any person claiming a benefit, requesting an interpretation or ruling under the Plan, or requesting information under the Plan shall present the request in writing to the Committee at United Technologies Corporation, 4 Farm Springs Road, Farmington, CT 06032, Attn: Deferred Compensation Committee. The Committee shall respond in writing as soon as practicable.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10.2 - Claim Procedures</w:t>
      </w:r>
    </w:p>
    <w:p>
      <w:pPr>
        <w:spacing w:after="0" w:line="280" w:lineRule="exact"/>
        <w:rPr>
          <w:sz w:val="20"/>
          <w:szCs w:val="20"/>
          <w:color w:val="auto"/>
        </w:rPr>
      </w:pPr>
    </w:p>
    <w:p>
      <w:pPr>
        <w:jc w:val="both"/>
        <w:ind w:right="160" w:firstLine="648"/>
        <w:spacing w:after="0" w:line="356" w:lineRule="auto"/>
        <w:rPr>
          <w:sz w:val="20"/>
          <w:szCs w:val="20"/>
          <w:color w:val="auto"/>
        </w:rPr>
      </w:pPr>
      <w:r>
        <w:rPr>
          <w:rFonts w:ascii="Arial" w:cs="Arial" w:eastAsia="Arial" w:hAnsi="Arial"/>
          <w:sz w:val="22"/>
          <w:szCs w:val="22"/>
          <w:color w:val="auto"/>
        </w:rPr>
        <w:t>A Participant or Beneficiary who believes that he or she has been denied a benefit to which he or she is entitled under the Plan (referred to in this Section 10.2 as a “Claimant”) may file a written request with the Committee setting forth the claim. The Committee shall consider and resolve the claim as set forth below.</w:t>
      </w:r>
    </w:p>
    <w:p>
      <w:pPr>
        <w:sectPr>
          <w:pgSz w:w="11900" w:h="16838" w:orient="portrait"/>
          <w:cols w:equalWidth="0" w:num="1">
            <w:col w:w="11300"/>
          </w:cols>
          <w:pgMar w:left="240" w:top="645" w:right="359" w:bottom="1440" w:gutter="0" w:footer="0" w:header="0"/>
        </w:sectPr>
      </w:pPr>
    </w:p>
    <w:bookmarkStart w:id="123" w:name="page124"/>
    <w:bookmarkEnd w:id="123"/>
    <w:p>
      <w:pPr>
        <w:jc w:val="both"/>
        <w:ind w:right="100" w:firstLine="656"/>
        <w:spacing w:after="0" w:line="352" w:lineRule="auto"/>
        <w:tabs>
          <w:tab w:leader="none" w:pos="1104" w:val="left"/>
        </w:tabs>
        <w:numPr>
          <w:ilvl w:val="0"/>
          <w:numId w:val="44"/>
        </w:numPr>
        <w:rPr>
          <w:rFonts w:ascii="Arial" w:cs="Arial" w:eastAsia="Arial" w:hAnsi="Arial"/>
          <w:sz w:val="22"/>
          <w:szCs w:val="22"/>
          <w:color w:val="auto"/>
        </w:rPr>
      </w:pPr>
      <w:r>
        <w:rPr>
          <w:rFonts w:ascii="Arial" w:cs="Arial" w:eastAsia="Arial" w:hAnsi="Arial"/>
          <w:sz w:val="22"/>
          <w:szCs w:val="22"/>
          <w:color w:val="auto"/>
        </w:rPr>
        <w:t>Upon receipt of a claim, the Committee shall advise the Claimant that a response will be forthcoming within 90 days. The Committee may, however, extend the response period for up to an additional 90 days for reasonable cause, and shall notify the Claimant of the reason for the extension and the expected response date. The Committee shall respond to the claim within the specified period.</w:t>
      </w:r>
    </w:p>
    <w:p>
      <w:pPr>
        <w:spacing w:after="0" w:line="136" w:lineRule="exact"/>
        <w:rPr>
          <w:rFonts w:ascii="Arial" w:cs="Arial" w:eastAsia="Arial" w:hAnsi="Arial"/>
          <w:sz w:val="22"/>
          <w:szCs w:val="22"/>
          <w:color w:val="auto"/>
        </w:rPr>
      </w:pPr>
    </w:p>
    <w:p>
      <w:pPr>
        <w:ind w:right="60" w:firstLine="656"/>
        <w:spacing w:after="0" w:line="400" w:lineRule="auto"/>
        <w:tabs>
          <w:tab w:leader="none" w:pos="1116"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the claim is denied in whole or part, the Committee shall provide the Claimant with a written decision, using language calculated to be understood by the Claimant, setting forth (1) the specific reason or reasons for such denial; (2) the specific reference to relevant provisions of this Plan on which such denial is based; (3) a description of any additional material or information necessary for the Claimant to perfect his or her claim and an explanation why such material or such information is necessary; (4) appropriate information as to the steps to be taken if the Claimant wishes to submit the claim for review; (5) the time limits for requesting a review of the claim; and (6) the Claimant’s right to bring an action for benefits under Section 502(a)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273" w:lineRule="exact"/>
        <w:rPr>
          <w:rFonts w:ascii="Arial" w:cs="Arial" w:eastAsia="Arial" w:hAnsi="Arial"/>
          <w:sz w:val="19"/>
          <w:szCs w:val="19"/>
          <w:color w:val="auto"/>
        </w:rPr>
      </w:pPr>
    </w:p>
    <w:p>
      <w:pPr>
        <w:ind w:firstLine="656"/>
        <w:spacing w:after="0" w:line="351" w:lineRule="auto"/>
        <w:tabs>
          <w:tab w:leader="none" w:pos="11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Within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 in writing for consideration by the Committee. If the Claimant does not request a review of the initial determination within such 60-day period, the Claimant shall be barred from challenging the determination.</w:t>
      </w:r>
    </w:p>
    <w:p>
      <w:pPr>
        <w:spacing w:after="0" w:line="135" w:lineRule="exact"/>
        <w:rPr>
          <w:rFonts w:ascii="Arial" w:cs="Arial" w:eastAsia="Arial" w:hAnsi="Arial"/>
          <w:sz w:val="22"/>
          <w:szCs w:val="22"/>
          <w:color w:val="auto"/>
        </w:rPr>
      </w:pPr>
    </w:p>
    <w:p>
      <w:pPr>
        <w:ind w:right="380" w:firstLine="656"/>
        <w:spacing w:after="0" w:line="378" w:lineRule="auto"/>
        <w:tabs>
          <w:tab w:leader="none" w:pos="1112" w:val="left"/>
        </w:tabs>
        <w:numPr>
          <w:ilvl w:val="0"/>
          <w:numId w:val="44"/>
        </w:numPr>
        <w:rPr>
          <w:rFonts w:ascii="Arial" w:cs="Arial" w:eastAsia="Arial" w:hAnsi="Arial"/>
          <w:sz w:val="21"/>
          <w:szCs w:val="21"/>
          <w:color w:val="auto"/>
        </w:rPr>
      </w:pPr>
      <w:r>
        <w:rPr>
          <w:rFonts w:ascii="Arial" w:cs="Arial" w:eastAsia="Arial" w:hAnsi="Arial"/>
          <w:sz w:val="21"/>
          <w:szCs w:val="21"/>
          <w:color w:val="auto"/>
        </w:rPr>
        <w:t>Within 60 days after the Committee receives a request for review, it will review the initial determination. If special circumstances require that the 60-day time period be extended, the Committee will so notify the Claimant and will render the decision as soon as possible, but no later than 120 days after receipt of the request for review.</w:t>
      </w:r>
    </w:p>
    <w:p>
      <w:pPr>
        <w:spacing w:after="0" w:line="114" w:lineRule="exact"/>
        <w:rPr>
          <w:rFonts w:ascii="Arial" w:cs="Arial" w:eastAsia="Arial" w:hAnsi="Arial"/>
          <w:sz w:val="21"/>
          <w:szCs w:val="21"/>
          <w:color w:val="auto"/>
        </w:rPr>
      </w:pPr>
    </w:p>
    <w:p>
      <w:pPr>
        <w:ind w:right="120" w:firstLine="656"/>
        <w:spacing w:after="0" w:line="370" w:lineRule="auto"/>
        <w:tabs>
          <w:tab w:leader="none" w:pos="1092" w:val="left"/>
        </w:tabs>
        <w:numPr>
          <w:ilvl w:val="0"/>
          <w:numId w:val="44"/>
        </w:numPr>
        <w:rPr>
          <w:rFonts w:ascii="Arial" w:cs="Arial" w:eastAsia="Arial" w:hAnsi="Arial"/>
          <w:sz w:val="21"/>
          <w:szCs w:val="21"/>
          <w:color w:val="auto"/>
        </w:rPr>
      </w:pPr>
      <w:r>
        <w:rPr>
          <w:rFonts w:ascii="Arial" w:cs="Arial" w:eastAsia="Arial" w:hAnsi="Arial"/>
          <w:sz w:val="21"/>
          <w:szCs w:val="21"/>
          <w:color w:val="auto"/>
        </w:rPr>
        <w:t>All decisions on review shall be final and binding with respect to all concerned parties. The decision on review shall set forth, in a manner calculated to be understood by the Claimant, (1) the specific reasons for the decision, including references to the relevant Plan provisions upon which the decision is based; (2) the Claimant’s right to receive, upon request and free of charge, reasonable access to and copies of all documents, records, and other information, relevant to his or her benefits; and (3) the Claimant’s right to bring an action for benefits under Section 502(a) of ERISA.</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REGULATORY MATTERS</w:t>
      </w:r>
    </w:p>
    <w:p>
      <w:pPr>
        <w:spacing w:after="0" w:line="280" w:lineRule="exact"/>
        <w:rPr>
          <w:sz w:val="20"/>
          <w:szCs w:val="20"/>
          <w:color w:val="auto"/>
        </w:rPr>
      </w:pPr>
    </w:p>
    <w:p>
      <w:pPr>
        <w:ind w:right="160" w:firstLine="648"/>
        <w:spacing w:after="0" w:line="356" w:lineRule="auto"/>
        <w:rPr>
          <w:sz w:val="20"/>
          <w:szCs w:val="20"/>
          <w:color w:val="auto"/>
        </w:rPr>
      </w:pPr>
      <w:r>
        <w:rPr>
          <w:rFonts w:ascii="Arial" w:cs="Arial" w:eastAsia="Arial" w:hAnsi="Arial"/>
          <w:sz w:val="22"/>
          <w:szCs w:val="22"/>
          <w:color w:val="auto"/>
        </w:rPr>
        <w:t>The Plan is subject to the Employee Retirement Income Security Act of 1974, as amended (“ERISA”). Because the Plan is an unfunded plan maintained by an employer primarily for the purpose of providing deferred compensation for a select group of management or highly compensated employees, the</w:t>
      </w:r>
    </w:p>
    <w:p>
      <w:pPr>
        <w:sectPr>
          <w:pgSz w:w="11900" w:h="16838" w:orient="portrait"/>
          <w:cols w:equalWidth="0" w:num="1">
            <w:col w:w="11420"/>
          </w:cols>
          <w:pgMar w:left="240" w:top="726" w:right="239" w:bottom="1440" w:gutter="0" w:footer="0" w:header="0"/>
        </w:sectPr>
      </w:pPr>
    </w:p>
    <w:bookmarkStart w:id="124" w:name="page125"/>
    <w:bookmarkEnd w:id="124"/>
    <w:p>
      <w:pPr>
        <w:jc w:val="both"/>
        <w:ind w:right="200"/>
        <w:spacing w:after="0" w:line="356" w:lineRule="auto"/>
        <w:rPr>
          <w:sz w:val="20"/>
          <w:szCs w:val="20"/>
          <w:color w:val="auto"/>
        </w:rPr>
      </w:pPr>
      <w:r>
        <w:rPr>
          <w:rFonts w:ascii="Arial" w:cs="Arial" w:eastAsia="Arial" w:hAnsi="Arial"/>
          <w:sz w:val="22"/>
          <w:szCs w:val="22"/>
          <w:color w:val="auto"/>
        </w:rPr>
        <w:t>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WHOM SHOULD QUESTIONS CONCERNING THE PLAN BE DIRECTED?</w:t>
      </w:r>
    </w:p>
    <w:p>
      <w:pPr>
        <w:spacing w:after="0" w:line="280" w:lineRule="exact"/>
        <w:rPr>
          <w:sz w:val="20"/>
          <w:szCs w:val="20"/>
          <w:color w:val="auto"/>
        </w:rPr>
      </w:pPr>
    </w:p>
    <w:p>
      <w:pPr>
        <w:ind w:firstLine="648"/>
        <w:spacing w:after="0" w:line="345" w:lineRule="auto"/>
        <w:rPr>
          <w:sz w:val="20"/>
          <w:szCs w:val="20"/>
          <w:color w:val="auto"/>
        </w:rPr>
      </w:pPr>
      <w:r>
        <w:rPr>
          <w:rFonts w:ascii="Arial" w:cs="Arial" w:eastAsia="Arial" w:hAnsi="Arial"/>
          <w:sz w:val="22"/>
          <w:szCs w:val="22"/>
          <w:color w:val="auto"/>
        </w:rPr>
        <w:t>All questions concerning the operation of the Plan (including information concerning the administrators of the Plan) should be directed to:</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United Technologies Corporation</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 Farm Springs Road, MS 4FS-2</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Farmington, CT 06032</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Deferred Compensation Committee</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860-728-7000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u w:val="single" w:color="auto"/>
          <w:color w:val="auto"/>
        </w:rPr>
        <w:t>/s/ Jeffrey W. Kridler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Dated: </w:t>
      </w:r>
      <w:r>
        <w:rPr>
          <w:rFonts w:ascii="Arial" w:cs="Arial" w:eastAsia="Arial" w:hAnsi="Arial"/>
          <w:sz w:val="22"/>
          <w:szCs w:val="22"/>
          <w:color w:val="auto"/>
        </w:rPr>
        <w:t>______</w:t>
      </w:r>
      <w:r>
        <w:rPr>
          <w:rFonts w:ascii="Arial" w:cs="Arial" w:eastAsia="Arial" w:hAnsi="Arial"/>
          <w:sz w:val="22"/>
          <w:szCs w:val="22"/>
          <w:u w:val="single" w:color="auto"/>
          <w:color w:val="auto"/>
        </w:rPr>
        <w:t>July 16, 2018</w:t>
      </w:r>
      <w:r>
        <w:rPr>
          <w:rFonts w:ascii="Arial" w:cs="Arial" w:eastAsia="Arial" w:hAnsi="Arial"/>
          <w:sz w:val="22"/>
          <w:szCs w:val="22"/>
          <w:color w:val="auto"/>
        </w:rPr>
        <w:t>____________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Attest: </w:t>
      </w:r>
      <w:r>
        <w:rPr>
          <w:rFonts w:ascii="Arial" w:cs="Arial" w:eastAsia="Arial" w:hAnsi="Arial"/>
          <w:sz w:val="22"/>
          <w:szCs w:val="22"/>
          <w:u w:val="single" w:color="auto"/>
          <w:color w:val="auto"/>
        </w:rPr>
        <w:t>/s/ Richard M. Kaplan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Vice President, Associate General Counsel</w:t>
      </w:r>
    </w:p>
    <w:p>
      <w:pPr>
        <w:sectPr>
          <w:pgSz w:w="11900" w:h="16838" w:orient="portrait"/>
          <w:cols w:equalWidth="0" w:num="1">
            <w:col w:w="11320"/>
          </w:cols>
          <w:pgMar w:left="240" w:top="726" w:right="339" w:bottom="1440" w:gutter="0" w:footer="0" w:header="0"/>
        </w:sectPr>
      </w:pPr>
    </w:p>
    <w:bookmarkStart w:id="125" w:name="page126"/>
    <w:bookmarkEnd w:id="125"/>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40" w:hanging="332"/>
        <w:spacing w:after="0" w:line="232"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$9 million and $7 million for the six months ended June 30, 2018 and 2017, respectively. The ratio of earnings to fixed charges would have been 8.98 and 8.31 for the six months ended June 30, 2018 and 2017,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aware that our report dated July 27, 2018 on our review of interim financial information of United Technologies Corporation, which appears in this Quarterly Report on Form 10-Q, is incorporated by reference in the Registration Statements on Form S-3 (No. 333-211035) and S-8 (Nos. 333-225839, 333-207193, 333-197704, 333-183123, 333-177517, 333-175781, 333-150643, 333-125293, 333-110020, 333-100724, 333-100723, 333-100718 and 033-51385) of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27, 2018</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27,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27, 2018</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Quarterly Report on Form 10-Q for the quarter ended June 30, 2018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2018</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2018</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bullet"/>
      <w:start w:val="1"/>
    </w:lvl>
  </w:abstractNum>
  <w:abstractNum w:abstractNumId="3">
    <w:nsid w:val="189A769B"/>
    <w:multiLevelType w:val="hybridMultilevel"/>
    <w:lvl w:ilvl="0">
      <w:lvlJc w:val="left"/>
      <w:lvlText w:val="2"/>
      <w:numFmt w:val="bullet"/>
      <w:start w:val="1"/>
    </w:lvl>
  </w:abstractNum>
  <w:abstractNum w:abstractNumId="4">
    <w:nsid w:val="54E49EB4"/>
    <w:multiLevelType w:val="hybridMultilevel"/>
    <w:lvl w:ilvl="0">
      <w:lvlJc w:val="left"/>
      <w:lvlText w:val="3"/>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amp;"/>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2"/>
    </w:lvl>
  </w:abstractNum>
  <w:abstractNum w:abstractNumId="22">
    <w:nsid w:val="5072367"/>
    <w:multiLevelType w:val="hybridMultilevel"/>
    <w:lvl w:ilvl="0">
      <w:lvlJc w:val="left"/>
      <w:lvlText w:val="%1"/>
      <w:numFmt w:val="decimal"/>
      <w:start w:val="15"/>
    </w:lvl>
  </w:abstractNum>
  <w:abstractNum w:abstractNumId="23">
    <w:nsid w:val="3804823E"/>
    <w:multiLevelType w:val="hybridMultilevel"/>
    <w:lvl w:ilvl="0">
      <w:lvlJc w:val="left"/>
      <w:lvlText w:val="%1"/>
      <w:numFmt w:val="decimal"/>
      <w:start w:val="32"/>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Roman"/>
      <w:start w:val="4"/>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1"/>
      <w:numFmt w:val="lowerLetter"/>
      <w:start w:val="1"/>
    </w:lvl>
    <w:lvl w:ilvl="1">
      <w:lvlJc w:val="left"/>
      <w:lvlText w:val="(%2)"/>
      <w:numFmt w:val="lowerLetter"/>
      <w:start w:val="1"/>
    </w:lvl>
  </w:abstractNum>
  <w:abstractNum w:abstractNumId="32">
    <w:nsid w:val="153EA438"/>
    <w:multiLevelType w:val="hybridMultilevel"/>
    <w:lvl w:ilvl="0">
      <w:lvlJc w:val="left"/>
      <w:lvlText w:val="(%1)"/>
      <w:numFmt w:val="lowerLetter"/>
      <w:start w:val="2"/>
    </w:lvl>
    <w:lvl w:ilvl="1">
      <w:lvlJc w:val="left"/>
      <w:lvlText w:val="%2"/>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bullet"/>
      <w:start w:val="1"/>
    </w:lvl>
  </w:abstractNum>
  <w:abstractNum w:abstractNumId="45">
    <w:nsid w:val="38437FDB"/>
    <w:multiLevelType w:val="hybridMultilevel"/>
    <w:lvl w:ilvl="0">
      <w:lvlJc w:val="left"/>
      <w:lvlText w:val="2"/>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2019-12-28T21:04:32Z</dcterms:created>
  <dcterms:modified xsi:type="dcterms:W3CDTF">2019-12-28T21:04:32Z</dcterms:modified>
</cp:coreProperties>
</file>