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19"/>
        <w:spacing w:after="0" w:line="236" w:lineRule="auto"/>
        <w:rPr>
          <w:sz w:val="20"/>
          <w:szCs w:val="20"/>
          <w:color w:val="auto"/>
        </w:rPr>
      </w:pPr>
      <w:r>
        <w:rPr>
          <w:rFonts w:ascii="Times New Roman" w:cs="Times New Roman" w:eastAsia="Times New Roman" w:hAnsi="Times New Roman"/>
          <w:sz w:val="22"/>
          <w:szCs w:val="22"/>
          <w:b w:val="1"/>
          <w:bCs w:val="1"/>
          <w:color w:val="auto"/>
        </w:rPr>
        <w:t>Washington, D.C. 20549</w:t>
      </w:r>
    </w:p>
    <w:p>
      <w:pPr>
        <w:ind w:left="400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45"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30, 2026</w:t>
      </w:r>
    </w:p>
    <w:p>
      <w:pPr>
        <w:spacing w:after="0" w:line="31"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RTX CORPORATION</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ectPr>
          <w:pgSz w:w="11900" w:h="16838" w:orient="portrait"/>
          <w:cols w:equalWidth="0" w:num="1">
            <w:col w:w="11240"/>
          </w:cols>
          <w:pgMar w:left="320" w:top="516" w:right="339" w:bottom="1440" w:gutter="0" w:footer="0" w:header="0"/>
        </w:sectPr>
      </w:pPr>
    </w:p>
    <w:p>
      <w:pPr>
        <w:spacing w:after="0" w:line="203"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(State of Incorporation)</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001-00812</w:t>
      </w:r>
    </w:p>
    <w:p>
      <w:pPr>
        <w:spacing w:after="0" w:line="3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06-0570975</w:t>
      </w:r>
    </w:p>
    <w:p>
      <w:pPr>
        <w:spacing w:after="0" w:line="31"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(IRS Employer Identification Number)</w:t>
      </w:r>
    </w:p>
    <w:p>
      <w:pPr>
        <w:spacing w:after="0" w:line="200" w:lineRule="exact"/>
        <w:rPr>
          <w:sz w:val="24"/>
          <w:szCs w:val="24"/>
          <w:color w:val="auto"/>
        </w:rPr>
      </w:pPr>
    </w:p>
    <w:p>
      <w:pPr>
        <w:sectPr>
          <w:pgSz w:w="11900" w:h="16838" w:orient="portrait"/>
          <w:cols w:equalWidth="0" w:num="3">
            <w:col w:w="3860" w:space="720"/>
            <w:col w:w="2580" w:space="720"/>
            <w:col w:w="3360"/>
          </w:cols>
          <w:pgMar w:left="320" w:top="516" w:right="339" w:bottom="1440" w:gutter="0" w:footer="0" w:header="0"/>
          <w:type w:val="continuous"/>
        </w:sectPr>
      </w:pPr>
    </w:p>
    <w:p>
      <w:pPr>
        <w:spacing w:after="0" w:line="3" w:lineRule="exact"/>
        <w:rPr>
          <w:sz w:val="24"/>
          <w:szCs w:val="24"/>
          <w:color w:val="auto"/>
        </w:rPr>
      </w:pPr>
    </w:p>
    <w:p>
      <w:pPr>
        <w:ind w:left="3140"/>
        <w:spacing w:after="0"/>
        <w:tabs>
          <w:tab w:leader="none" w:pos="6180" w:val="left"/>
        </w:tabs>
        <w:rPr>
          <w:sz w:val="20"/>
          <w:szCs w:val="20"/>
          <w:color w:val="auto"/>
        </w:rPr>
      </w:pPr>
      <w:r>
        <w:rPr>
          <w:rFonts w:ascii="Times New Roman" w:cs="Times New Roman" w:eastAsia="Times New Roman" w:hAnsi="Times New Roman"/>
          <w:sz w:val="18"/>
          <w:szCs w:val="18"/>
          <w:b w:val="1"/>
          <w:bCs w:val="1"/>
          <w:color w:val="auto"/>
        </w:rPr>
        <w:t>1000 Wilson Blvd.,</w:t>
      </w:r>
      <w:r>
        <w:rPr>
          <w:sz w:val="20"/>
          <w:szCs w:val="20"/>
          <w:color w:val="auto"/>
        </w:rPr>
        <w:tab/>
      </w:r>
      <w:r>
        <w:rPr>
          <w:rFonts w:ascii="Times New Roman" w:cs="Times New Roman" w:eastAsia="Times New Roman" w:hAnsi="Times New Roman"/>
          <w:sz w:val="17"/>
          <w:szCs w:val="17"/>
          <w:b w:val="1"/>
          <w:bCs w:val="1"/>
          <w:color w:val="auto"/>
        </w:rPr>
        <w:t>Arlington, Virginia 22209</w:t>
      </w:r>
    </w:p>
    <w:p>
      <w:pPr>
        <w:sectPr>
          <w:pgSz w:w="11900" w:h="16838" w:orient="portrait"/>
          <w:cols w:equalWidth="0" w:num="1">
            <w:col w:w="11240"/>
          </w:cols>
          <w:pgMar w:left="320" w:top="516" w:right="339" w:bottom="1440" w:gutter="0" w:footer="0" w:header="0"/>
          <w:type w:val="continuous"/>
        </w:sectPr>
      </w:pP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including zip code)</w:t>
      </w:r>
    </w:p>
    <w:p>
      <w:pPr>
        <w:spacing w:after="0" w:line="2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(781)  522-3000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280" w:hanging="272"/>
        <w:spacing w:after="0"/>
        <w:tabs>
          <w:tab w:leader="none" w:pos="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80" w:hanging="272"/>
        <w:spacing w:after="0"/>
        <w:tabs>
          <w:tab w:leader="none" w:pos="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80" w:hanging="272"/>
        <w:spacing w:after="0"/>
        <w:tabs>
          <w:tab w:leader="none" w:pos="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80" w:hanging="272"/>
        <w:spacing w:after="0"/>
        <w:tabs>
          <w:tab w:leader="none" w:pos="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00" w:firstLine="405"/>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480" w:type="dxa"/>
            <w:vAlign w:val="bottom"/>
          </w:tcPr>
          <w:p>
            <w:pPr>
              <w:spacing w:after="0"/>
              <w:rPr>
                <w:sz w:val="18"/>
                <w:szCs w:val="18"/>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20" w:type="dxa"/>
            <w:vAlign w:val="bottom"/>
            <w:vMerge w:val="restart"/>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60" w:type="dxa"/>
            <w:vAlign w:val="bottom"/>
            <w:gridSpan w:val="3"/>
          </w:tcPr>
          <w:p>
            <w:pPr>
              <w:jc w:val="center"/>
              <w:ind w:right="154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8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1360" w:type="dxa"/>
            <w:vAlign w:val="bottom"/>
            <w:vMerge w:val="continue"/>
          </w:tcPr>
          <w:p>
            <w:pPr>
              <w:spacing w:after="0" w:line="20" w:lineRule="exact"/>
              <w:rPr>
                <w:sz w:val="1"/>
                <w:szCs w:val="1"/>
                <w:color w:val="auto"/>
              </w:rPr>
            </w:pPr>
          </w:p>
        </w:tc>
        <w:tc>
          <w:tcPr>
            <w:tcW w:w="1220" w:type="dxa"/>
            <w:vAlign w:val="bottom"/>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340" w:type="dxa"/>
            <w:vAlign w:val="bottom"/>
            <w:vMerge w:val="continue"/>
          </w:tcPr>
          <w:p>
            <w:pPr>
              <w:spacing w:after="0" w:line="20" w:lineRule="exact"/>
              <w:rPr>
                <w:sz w:val="1"/>
                <w:szCs w:val="1"/>
                <w:color w:val="auto"/>
              </w:rPr>
            </w:pPr>
          </w:p>
        </w:tc>
        <w:tc>
          <w:tcPr>
            <w:tcW w:w="8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Borders>
              <w:bottom w:val="single" w:sz="8" w:color="auto"/>
            </w:tcBorders>
            <w:gridSpan w:val="3"/>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rPr>
              <w:t>Symbol(s)</w:t>
            </w:r>
          </w:p>
        </w:tc>
        <w:tc>
          <w:tcPr>
            <w:tcW w:w="1460" w:type="dxa"/>
            <w:vAlign w:val="bottom"/>
          </w:tcPr>
          <w:p>
            <w:pPr>
              <w:spacing w:after="0"/>
              <w:rPr>
                <w:sz w:val="17"/>
                <w:szCs w:val="17"/>
                <w:color w:val="auto"/>
              </w:rPr>
            </w:pPr>
          </w:p>
        </w:tc>
        <w:tc>
          <w:tcPr>
            <w:tcW w:w="3340" w:type="dxa"/>
            <w:vAlign w:val="bottom"/>
            <w:tcBorders>
              <w:bottom w:val="single" w:sz="8" w:color="auto"/>
            </w:tcBorders>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406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Common Stock ($1 par value)</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60" w:type="dxa"/>
            <w:vAlign w:val="bottom"/>
            <w:gridSpan w:val="3"/>
          </w:tcPr>
          <w:p>
            <w:pPr>
              <w:jc w:val="center"/>
              <w:ind w:right="1540"/>
              <w:spacing w:after="0"/>
              <w:rPr>
                <w:sz w:val="20"/>
                <w:szCs w:val="20"/>
                <w:color w:val="auto"/>
              </w:rPr>
            </w:pPr>
            <w:r>
              <w:rPr>
                <w:rFonts w:ascii="Times New Roman" w:cs="Times New Roman" w:eastAsia="Times New Roman" w:hAnsi="Times New Roman"/>
                <w:sz w:val="18"/>
                <w:szCs w:val="18"/>
                <w:b w:val="1"/>
                <w:bCs w:val="1"/>
                <w:color w:val="auto"/>
                <w:w w:val="99"/>
              </w:rPr>
              <w:t>RTX</w:t>
            </w:r>
          </w:p>
        </w:tc>
        <w:tc>
          <w:tcPr>
            <w:tcW w:w="4200" w:type="dxa"/>
            <w:vAlign w:val="bottom"/>
            <w:gridSpan w:val="2"/>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c>
          <w:tcPr>
            <w:tcW w:w="0" w:type="dxa"/>
            <w:vAlign w:val="bottom"/>
          </w:tcPr>
          <w:p>
            <w:pPr>
              <w:spacing w:after="0"/>
              <w:rPr>
                <w:sz w:val="1"/>
                <w:szCs w:val="1"/>
                <w:color w:val="auto"/>
              </w:rPr>
            </w:pPr>
          </w:p>
        </w:tc>
      </w:tr>
      <w:tr>
        <w:trPr>
          <w:trHeight w:val="287"/>
        </w:trPr>
        <w:tc>
          <w:tcPr>
            <w:tcW w:w="1480" w:type="dxa"/>
            <w:vAlign w:val="bottom"/>
          </w:tcPr>
          <w:p>
            <w:pPr>
              <w:spacing w:after="0"/>
              <w:rPr>
                <w:sz w:val="24"/>
                <w:szCs w:val="24"/>
                <w:color w:val="auto"/>
              </w:rPr>
            </w:pPr>
          </w:p>
        </w:tc>
        <w:tc>
          <w:tcPr>
            <w:tcW w:w="2580" w:type="dxa"/>
            <w:vAlign w:val="bottom"/>
            <w:gridSpan w:val="2"/>
          </w:tcPr>
          <w:p>
            <w:pPr>
              <w:jc w:val="center"/>
              <w:ind w:right="1220"/>
              <w:spacing w:after="0"/>
              <w:rPr>
                <w:sz w:val="20"/>
                <w:szCs w:val="20"/>
                <w:color w:val="auto"/>
              </w:rPr>
            </w:pPr>
            <w:r>
              <w:rPr>
                <w:rFonts w:ascii="Times New Roman" w:cs="Times New Roman" w:eastAsia="Times New Roman" w:hAnsi="Times New Roman"/>
                <w:sz w:val="14"/>
                <w:szCs w:val="14"/>
                <w:b w:val="1"/>
                <w:bCs w:val="1"/>
                <w:color w:val="auto"/>
              </w:rPr>
              <w:t>(CUSIP 75513E 101)</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406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2.150% Notes due 2030</w:t>
            </w: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160" w:type="dxa"/>
            <w:vAlign w:val="bottom"/>
            <w:gridSpan w:val="3"/>
          </w:tcPr>
          <w:p>
            <w:pPr>
              <w:jc w:val="center"/>
              <w:ind w:right="1520"/>
              <w:spacing w:after="0"/>
              <w:rPr>
                <w:sz w:val="20"/>
                <w:szCs w:val="20"/>
                <w:color w:val="auto"/>
              </w:rPr>
            </w:pPr>
            <w:r>
              <w:rPr>
                <w:rFonts w:ascii="Times New Roman" w:cs="Times New Roman" w:eastAsia="Times New Roman" w:hAnsi="Times New Roman"/>
                <w:sz w:val="18"/>
                <w:szCs w:val="18"/>
                <w:b w:val="1"/>
                <w:bCs w:val="1"/>
                <w:color w:val="auto"/>
                <w:w w:val="99"/>
              </w:rPr>
              <w:t>RTX 30</w:t>
            </w:r>
          </w:p>
        </w:tc>
        <w:tc>
          <w:tcPr>
            <w:tcW w:w="4200" w:type="dxa"/>
            <w:vAlign w:val="bottom"/>
            <w:gridSpan w:val="2"/>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c>
          <w:tcPr>
            <w:tcW w:w="0" w:type="dxa"/>
            <w:vAlign w:val="bottom"/>
          </w:tcPr>
          <w:p>
            <w:pPr>
              <w:spacing w:after="0"/>
              <w:rPr>
                <w:sz w:val="1"/>
                <w:szCs w:val="1"/>
                <w:color w:val="auto"/>
              </w:rPr>
            </w:pPr>
          </w:p>
        </w:tc>
      </w:tr>
      <w:tr>
        <w:trPr>
          <w:trHeight w:val="287"/>
        </w:trPr>
        <w:tc>
          <w:tcPr>
            <w:tcW w:w="1480" w:type="dxa"/>
            <w:vAlign w:val="bottom"/>
          </w:tcPr>
          <w:p>
            <w:pPr>
              <w:spacing w:after="0"/>
              <w:rPr>
                <w:sz w:val="24"/>
                <w:szCs w:val="24"/>
                <w:color w:val="auto"/>
              </w:rPr>
            </w:pPr>
          </w:p>
        </w:tc>
        <w:tc>
          <w:tcPr>
            <w:tcW w:w="2580" w:type="dxa"/>
            <w:vAlign w:val="bottom"/>
            <w:gridSpan w:val="2"/>
          </w:tcPr>
          <w:p>
            <w:pPr>
              <w:jc w:val="center"/>
              <w:ind w:right="1220"/>
              <w:spacing w:after="0"/>
              <w:rPr>
                <w:sz w:val="20"/>
                <w:szCs w:val="20"/>
                <w:color w:val="auto"/>
              </w:rPr>
            </w:pPr>
            <w:r>
              <w:rPr>
                <w:rFonts w:ascii="Times New Roman" w:cs="Times New Roman" w:eastAsia="Times New Roman" w:hAnsi="Times New Roman"/>
                <w:sz w:val="14"/>
                <w:szCs w:val="14"/>
                <w:b w:val="1"/>
                <w:bCs w:val="1"/>
                <w:color w:val="auto"/>
              </w:rPr>
              <w:t>(CUSIP 75513E AB7)</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14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4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33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4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3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16"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held its 2026 Annual Meeting of Shareowners on April 30, 2026. As of March 3, 2026, the record date for the meeting, 1,345,974,220 shares of Company common stock were issued and outstanding. A quorum of 1,194,489,831 shares of common stock was present or represented at the meeting. Set forth below are the final voting results for each of the matters submitted to a vote of the shareowners. For more information about the proposals set forth below, please see the Company’s definitive proxy statement filed with the Securities and Exchange Commission on March 9, 2026.</w:t>
      </w:r>
    </w:p>
    <w:p>
      <w:pPr>
        <w:spacing w:after="0" w:line="180" w:lineRule="exact"/>
        <w:rPr>
          <w:sz w:val="20"/>
          <w:szCs w:val="20"/>
          <w:color w:val="auto"/>
        </w:rPr>
      </w:pPr>
    </w:p>
    <w:p>
      <w:pPr>
        <w:ind w:left="340" w:right="18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Directors. The following individuals were elected to serve as directors for a term expiring at the 2027 Annual Meeting of Shareowners or upon the election and qualification of their successors. The voting results for each of the nominees are as follows:</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Nominee</w:t>
            </w:r>
          </w:p>
        </w:tc>
        <w:tc>
          <w:tcPr>
            <w:tcW w:w="25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Votes For</w:t>
            </w:r>
          </w:p>
        </w:tc>
        <w:tc>
          <w:tcPr>
            <w:tcW w:w="17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Votes Against</w:t>
            </w:r>
          </w:p>
        </w:tc>
        <w:tc>
          <w:tcPr>
            <w:tcW w:w="16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Abstentions</w:t>
            </w:r>
          </w:p>
        </w:tc>
        <w:tc>
          <w:tcPr>
            <w:tcW w:w="15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Broker Non-Votes</w:t>
            </w:r>
          </w:p>
        </w:tc>
      </w:tr>
      <w:tr>
        <w:trPr>
          <w:trHeight w:val="210"/>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Tracy A. Atkinson</w:t>
            </w:r>
          </w:p>
        </w:tc>
        <w:tc>
          <w:tcPr>
            <w:tcW w:w="25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1,024,829,855</w:t>
            </w:r>
          </w:p>
        </w:tc>
        <w:tc>
          <w:tcPr>
            <w:tcW w:w="17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19,226,248</w:t>
            </w: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1,880,156</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148,553,572</w:t>
            </w: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Christopher T. Calio</w:t>
            </w:r>
          </w:p>
        </w:tc>
        <w:tc>
          <w:tcPr>
            <w:tcW w:w="2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1,016,311,707</w:t>
            </w:r>
          </w:p>
        </w:tc>
        <w:tc>
          <w:tcPr>
            <w:tcW w:w="17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27,803,159</w:t>
            </w: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1,821,393</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148,553,572</w:t>
            </w:r>
          </w:p>
        </w:tc>
      </w:tr>
      <w:tr>
        <w:trPr>
          <w:trHeight w:val="216"/>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Leanne G. Caret</w:t>
            </w:r>
          </w:p>
        </w:tc>
        <w:tc>
          <w:tcPr>
            <w:tcW w:w="25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1,030,281,922</w:t>
            </w:r>
          </w:p>
        </w:tc>
        <w:tc>
          <w:tcPr>
            <w:tcW w:w="17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13,729,836</w:t>
            </w: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1,924,501</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148,553,572</w:t>
            </w: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Bernard A. Harris, Jr.</w:t>
            </w:r>
          </w:p>
        </w:tc>
        <w:tc>
          <w:tcPr>
            <w:tcW w:w="2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1,031,640,417</w:t>
            </w:r>
          </w:p>
        </w:tc>
        <w:tc>
          <w:tcPr>
            <w:tcW w:w="17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12,309,610</w:t>
            </w: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1,986,232</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148,553,572</w:t>
            </w:r>
          </w:p>
        </w:tc>
      </w:tr>
      <w:tr>
        <w:trPr>
          <w:trHeight w:val="216"/>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George R. Oliver</w:t>
            </w:r>
          </w:p>
        </w:tc>
        <w:tc>
          <w:tcPr>
            <w:tcW w:w="25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1,009,990,771</w:t>
            </w:r>
          </w:p>
        </w:tc>
        <w:tc>
          <w:tcPr>
            <w:tcW w:w="17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33,352,993</w:t>
            </w: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2,592,495</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148,553,572</w:t>
            </w: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Ellen M. Pawlikowski</w:t>
            </w:r>
          </w:p>
        </w:tc>
        <w:tc>
          <w:tcPr>
            <w:tcW w:w="2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1,032,314,692</w:t>
            </w:r>
          </w:p>
        </w:tc>
        <w:tc>
          <w:tcPr>
            <w:tcW w:w="17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11,763,835</w:t>
            </w: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1,857,732</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148,553,572</w:t>
            </w:r>
          </w:p>
        </w:tc>
      </w:tr>
      <w:tr>
        <w:trPr>
          <w:trHeight w:val="216"/>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Denise L. Ramos</w:t>
            </w:r>
          </w:p>
        </w:tc>
        <w:tc>
          <w:tcPr>
            <w:tcW w:w="25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1,020,920,779</w:t>
            </w:r>
          </w:p>
        </w:tc>
        <w:tc>
          <w:tcPr>
            <w:tcW w:w="17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22,468,559</w:t>
            </w: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2,546,921</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148,553,572</w:t>
            </w: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Fredric G. Reynolds</w:t>
            </w:r>
          </w:p>
        </w:tc>
        <w:tc>
          <w:tcPr>
            <w:tcW w:w="2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1,019,834,007</w:t>
            </w:r>
          </w:p>
        </w:tc>
        <w:tc>
          <w:tcPr>
            <w:tcW w:w="17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24,120,266</w:t>
            </w: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1,981,986</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148,553,572</w:t>
            </w:r>
          </w:p>
        </w:tc>
      </w:tr>
      <w:tr>
        <w:trPr>
          <w:trHeight w:val="216"/>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C. Rogers</w:t>
            </w:r>
          </w:p>
        </w:tc>
        <w:tc>
          <w:tcPr>
            <w:tcW w:w="25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1,030,612,420</w:t>
            </w:r>
          </w:p>
        </w:tc>
        <w:tc>
          <w:tcPr>
            <w:tcW w:w="17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13,355,210</w:t>
            </w: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1,968,629</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148,553,572</w:t>
            </w:r>
          </w:p>
        </w:tc>
      </w:tr>
      <w:tr>
        <w:trPr>
          <w:trHeight w:val="23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Robert O. Work</w:t>
            </w:r>
          </w:p>
        </w:tc>
        <w:tc>
          <w:tcPr>
            <w:tcW w:w="2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975,945,794</w:t>
            </w:r>
          </w:p>
        </w:tc>
        <w:tc>
          <w:tcPr>
            <w:tcW w:w="17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67,932,773</w:t>
            </w: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2,057,692</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148,553,572</w:t>
            </w:r>
          </w:p>
        </w:tc>
      </w:tr>
    </w:tbl>
    <w:p>
      <w:pPr>
        <w:spacing w:after="0" w:line="179" w:lineRule="exact"/>
        <w:rPr>
          <w:sz w:val="20"/>
          <w:szCs w:val="20"/>
          <w:color w:val="auto"/>
        </w:rPr>
      </w:pPr>
    </w:p>
    <w:p>
      <w:pPr>
        <w:ind w:left="340" w:right="2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that shareowners approve, on an advisory basis, the compensation of the Company’s named executive officers. The proposal was approved, and the voting results are as follows:</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Votes For</w:t>
            </w:r>
          </w:p>
        </w:tc>
        <w:tc>
          <w:tcPr>
            <w:tcW w:w="2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Votes Against</w:t>
            </w:r>
          </w:p>
        </w:tc>
        <w:tc>
          <w:tcPr>
            <w:tcW w:w="244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Abstentions</w:t>
            </w:r>
          </w:p>
        </w:tc>
        <w:tc>
          <w:tcPr>
            <w:tcW w:w="264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7"/>
              </w:rPr>
              <w:t>Broker Non-Votes</w:t>
            </w:r>
          </w:p>
        </w:tc>
      </w:tr>
      <w:tr>
        <w:trPr>
          <w:trHeight w:val="210"/>
        </w:trPr>
        <w:tc>
          <w:tcPr>
            <w:tcW w:w="260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1,006,669,958</w:t>
            </w:r>
          </w:p>
        </w:tc>
        <w:tc>
          <w:tcPr>
            <w:tcW w:w="266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35,108,448</w:t>
            </w:r>
          </w:p>
        </w:tc>
        <w:tc>
          <w:tcPr>
            <w:tcW w:w="244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4,157,853</w:t>
            </w:r>
          </w:p>
        </w:tc>
        <w:tc>
          <w:tcPr>
            <w:tcW w:w="264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148,553,572</w:t>
            </w:r>
          </w:p>
        </w:tc>
      </w:tr>
    </w:tbl>
    <w:p>
      <w:pPr>
        <w:spacing w:after="0" w:line="198" w:lineRule="exact"/>
        <w:rPr>
          <w:sz w:val="20"/>
          <w:szCs w:val="20"/>
          <w:color w:val="auto"/>
        </w:rPr>
      </w:pPr>
    </w:p>
    <w:p>
      <w:pPr>
        <w:ind w:left="340" w:right="46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appoint PricewaterhouseCoopers LLP, a firm of independent registered public accountants, to serve as the Company’s Independent Auditor for 2026 until the next Annual Meeting in 2027. The proposal was approved, and the voting results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3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Votes For</w:t>
            </w:r>
          </w:p>
        </w:tc>
        <w:tc>
          <w:tcPr>
            <w:tcW w:w="3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Votes Against</w:t>
            </w:r>
          </w:p>
        </w:tc>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Abstentions</w:t>
            </w:r>
          </w:p>
        </w:tc>
        <w:tc>
          <w:tcPr>
            <w:tcW w:w="5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3480" w:type="dxa"/>
            <w:vAlign w:val="bottom"/>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rPr>
              <w:t>1,136,798,685</w:t>
            </w:r>
          </w:p>
        </w:tc>
        <w:tc>
          <w:tcPr>
            <w:tcW w:w="3480" w:type="dxa"/>
            <w:vAlign w:val="bottom"/>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rPr>
              <w:t>56,260,230</w:t>
            </w:r>
          </w:p>
        </w:tc>
        <w:tc>
          <w:tcPr>
            <w:tcW w:w="3380" w:type="dxa"/>
            <w:vAlign w:val="bottom"/>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rPr>
              <w:t>1,430,916</w:t>
            </w:r>
          </w:p>
        </w:tc>
        <w:tc>
          <w:tcPr>
            <w:tcW w:w="560" w:type="dxa"/>
            <w:vAlign w:val="bottom"/>
          </w:tcPr>
          <w:p>
            <w:pPr>
              <w:spacing w:after="0"/>
              <w:rPr>
                <w:sz w:val="18"/>
                <w:szCs w:val="18"/>
                <w:color w:val="auto"/>
              </w:rPr>
            </w:pPr>
          </w:p>
        </w:tc>
      </w:tr>
      <w:tr>
        <w:trPr>
          <w:trHeight w:val="398"/>
        </w:trPr>
        <w:tc>
          <w:tcPr>
            <w:tcW w:w="34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20" w:type="dxa"/>
            <w:vAlign w:val="bottom"/>
          </w:tcPr>
          <w:p>
            <w:pPr>
              <w:spacing w:after="0"/>
              <w:rPr>
                <w:sz w:val="18"/>
                <w:szCs w:val="18"/>
                <w:color w:val="auto"/>
              </w:rPr>
            </w:pPr>
          </w:p>
        </w:tc>
        <w:tc>
          <w:tcPr>
            <w:tcW w:w="8020" w:type="dxa"/>
            <w:vAlign w:val="bottom"/>
            <w:gridSpan w:val="2"/>
          </w:tcPr>
          <w:p>
            <w:pPr>
              <w:ind w:left="1860"/>
              <w:spacing w:after="0"/>
              <w:rPr>
                <w:sz w:val="20"/>
                <w:szCs w:val="20"/>
                <w:color w:val="auto"/>
              </w:rPr>
            </w:pPr>
            <w:r>
              <w:rPr>
                <w:rFonts w:ascii="Times New Roman" w:cs="Times New Roman" w:eastAsia="Times New Roman" w:hAnsi="Times New Roman"/>
                <w:sz w:val="18"/>
                <w:szCs w:val="18"/>
                <w:b w:val="1"/>
                <w:bCs w:val="1"/>
                <w:color w:val="auto"/>
              </w:rPr>
              <w:t>RTX CORPORATION</w:t>
            </w:r>
          </w:p>
        </w:tc>
      </w:tr>
      <w:tr>
        <w:trPr>
          <w:trHeight w:val="238"/>
        </w:trPr>
        <w:tc>
          <w:tcPr>
            <w:tcW w:w="3220" w:type="dxa"/>
            <w:vAlign w:val="bottom"/>
          </w:tcPr>
          <w:p>
            <w:pPr>
              <w:spacing w:after="0"/>
              <w:rPr>
                <w:sz w:val="20"/>
                <w:szCs w:val="20"/>
                <w:color w:val="auto"/>
              </w:rPr>
            </w:pPr>
          </w:p>
        </w:tc>
        <w:tc>
          <w:tcPr>
            <w:tcW w:w="8020" w:type="dxa"/>
            <w:vAlign w:val="bottom"/>
            <w:gridSpan w:val="2"/>
          </w:tcPr>
          <w:p>
            <w:pPr>
              <w:ind w:left="1860"/>
              <w:spacing w:after="0"/>
              <w:rPr>
                <w:sz w:val="20"/>
                <w:szCs w:val="20"/>
                <w:color w:val="auto"/>
              </w:rPr>
            </w:pPr>
            <w:r>
              <w:rPr>
                <w:rFonts w:ascii="Times New Roman" w:cs="Times New Roman" w:eastAsia="Times New Roman" w:hAnsi="Times New Roman"/>
                <w:sz w:val="18"/>
                <w:szCs w:val="18"/>
                <w:b w:val="1"/>
                <w:bCs w:val="1"/>
                <w:color w:val="auto"/>
              </w:rPr>
              <w:t>(Registrant)</w:t>
            </w:r>
          </w:p>
        </w:tc>
      </w:tr>
      <w:tr>
        <w:trPr>
          <w:trHeight w:val="445"/>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Date: May 4, 2026</w:t>
            </w:r>
          </w:p>
        </w:tc>
        <w:tc>
          <w:tcPr>
            <w:tcW w:w="802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By:  /s/ Edward G. Perrault</w:t>
            </w:r>
          </w:p>
        </w:tc>
      </w:tr>
      <w:tr>
        <w:trPr>
          <w:trHeight w:val="191"/>
        </w:trPr>
        <w:tc>
          <w:tcPr>
            <w:tcW w:w="32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5840" w:type="dxa"/>
            <w:vAlign w:val="bottom"/>
            <w:tcBorders>
              <w:top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Edward G. Perrault</w:t>
            </w:r>
          </w:p>
        </w:tc>
      </w:tr>
      <w:tr>
        <w:trPr>
          <w:trHeight w:val="234"/>
        </w:trPr>
        <w:tc>
          <w:tcPr>
            <w:tcW w:w="32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Senior Vice President &amp; Secretary</w:t>
            </w:r>
          </w:p>
        </w:tc>
      </w:tr>
      <w:tr>
        <w:trPr>
          <w:trHeight w:val="533"/>
        </w:trPr>
        <w:tc>
          <w:tcPr>
            <w:tcW w:w="32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58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2026-05-04T16:37:50Z</dcterms:created>
  <dcterms:modified xsi:type="dcterms:W3CDTF">2026-05-04T16:37:50Z</dcterms:modified>
</cp:coreProperties>
</file>