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21" w:lineRule="exact"/>
        <w:rPr>
          <w:sz w:val="24"/>
          <w:szCs w:val="24"/>
          <w:color w:val="auto"/>
        </w:rPr>
      </w:pPr>
    </w:p>
    <w:p>
      <w:pPr>
        <w:ind w:left="680" w:right="2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0"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gridSpan w:val="3"/>
          </w:tcPr>
          <w:p>
            <w:pPr>
              <w:ind w:left="240"/>
              <w:spacing w:after="0"/>
              <w:rPr>
                <w:sz w:val="20"/>
                <w:szCs w:val="20"/>
                <w:color w:val="auto"/>
              </w:rPr>
            </w:pPr>
            <w:r>
              <w:rPr>
                <w:rFonts w:ascii="Arial" w:cs="Arial" w:eastAsia="Arial" w:hAnsi="Arial"/>
                <w:sz w:val="18"/>
                <w:szCs w:val="18"/>
                <w:b w:val="1"/>
                <w:bCs w:val="1"/>
                <w:color w:val="auto"/>
                <w:w w:val="92"/>
              </w:rPr>
              <w:t>For the transition period from</w:t>
            </w:r>
          </w:p>
        </w:tc>
        <w:tc>
          <w:tcPr>
            <w:tcW w:w="42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384"/>
        </w:trPr>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gridSpan w:val="8"/>
          </w:tcPr>
          <w:p>
            <w:pPr>
              <w:jc w:val="center"/>
              <w:ind w:left="565"/>
              <w:spacing w:after="0"/>
              <w:rPr>
                <w:sz w:val="20"/>
                <w:szCs w:val="20"/>
                <w:color w:val="auto"/>
              </w:rPr>
            </w:pPr>
            <w:r>
              <w:rPr>
                <w:rFonts w:ascii="Arial" w:cs="Arial" w:eastAsia="Arial" w:hAnsi="Arial"/>
                <w:sz w:val="18"/>
                <w:szCs w:val="18"/>
                <w:b w:val="1"/>
                <w:bCs w:val="1"/>
                <w:color w:val="auto"/>
                <w:w w:val="90"/>
              </w:rPr>
              <w:t>Commission file number 001-00812</w:t>
            </w: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gridSpan w:val="8"/>
          </w:tcPr>
          <w:p>
            <w:pPr>
              <w:jc w:val="right"/>
              <w:spacing w:after="0"/>
              <w:rPr>
                <w:sz w:val="20"/>
                <w:szCs w:val="20"/>
                <w:color w:val="auto"/>
              </w:rPr>
            </w:pPr>
            <w:r>
              <w:rPr>
                <w:rFonts w:ascii="Arial" w:cs="Arial" w:eastAsia="Arial" w:hAnsi="Arial"/>
                <w:sz w:val="18"/>
                <w:szCs w:val="18"/>
                <w:color w:val="auto"/>
              </w:rPr>
              <w:t>____________________________________</w:t>
            </w: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643"/>
        </w:trPr>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0" w:type="dxa"/>
            <w:vAlign w:val="bottom"/>
            <w:gridSpan w:val="10"/>
          </w:tcPr>
          <w:p>
            <w:pPr>
              <w:jc w:val="center"/>
              <w:ind w:right="2570"/>
              <w:spacing w:after="0"/>
              <w:rPr>
                <w:sz w:val="20"/>
                <w:szCs w:val="20"/>
                <w:color w:val="auto"/>
              </w:rPr>
            </w:pPr>
            <w:r>
              <w:rPr>
                <w:rFonts w:ascii="Arial" w:cs="Arial" w:eastAsia="Arial" w:hAnsi="Arial"/>
                <w:sz w:val="43"/>
                <w:szCs w:val="43"/>
                <w:b w:val="1"/>
                <w:bCs w:val="1"/>
                <w:color w:val="auto"/>
              </w:rPr>
              <w:t>RTX CORPORATION</w:t>
            </w:r>
          </w:p>
        </w:tc>
      </w:tr>
      <w:tr>
        <w:trPr>
          <w:trHeight w:val="243"/>
        </w:trPr>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60" w:type="dxa"/>
            <w:vAlign w:val="bottom"/>
            <w:gridSpan w:val="8"/>
          </w:tcPr>
          <w:p>
            <w:pPr>
              <w:jc w:val="center"/>
              <w:ind w:left="585"/>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2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182"/>
        </w:trPr>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60" w:type="dxa"/>
            <w:vAlign w:val="bottom"/>
            <w:gridSpan w:val="7"/>
          </w:tcPr>
          <w:p>
            <w:pPr>
              <w:jc w:val="right"/>
              <w:spacing w:after="0"/>
              <w:rPr>
                <w:sz w:val="20"/>
                <w:szCs w:val="20"/>
                <w:color w:val="auto"/>
              </w:rPr>
            </w:pPr>
            <w:r>
              <w:rPr>
                <w:rFonts w:ascii="Arial" w:cs="Arial" w:eastAsia="Arial" w:hAnsi="Arial"/>
                <w:sz w:val="14"/>
                <w:szCs w:val="14"/>
                <w:color w:val="auto"/>
              </w:rPr>
              <w:t>____________________________________</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259"/>
        </w:trPr>
        <w:tc>
          <w:tcPr>
            <w:tcW w:w="540" w:type="dxa"/>
            <w:vAlign w:val="bottom"/>
          </w:tcPr>
          <w:p>
            <w:pPr>
              <w:spacing w:after="0"/>
              <w:rPr>
                <w:sz w:val="22"/>
                <w:szCs w:val="22"/>
                <w:color w:val="auto"/>
              </w:rPr>
            </w:pPr>
          </w:p>
        </w:tc>
        <w:tc>
          <w:tcPr>
            <w:tcW w:w="1880" w:type="dxa"/>
            <w:vAlign w:val="bottom"/>
            <w:gridSpan w:val="2"/>
          </w:tcPr>
          <w:p>
            <w:pPr>
              <w:jc w:val="center"/>
              <w:ind w:left="659"/>
              <w:spacing w:after="0"/>
              <w:rPr>
                <w:sz w:val="20"/>
                <w:szCs w:val="20"/>
                <w:color w:val="auto"/>
              </w:rPr>
            </w:pPr>
            <w:r>
              <w:rPr>
                <w:rFonts w:ascii="Arial" w:cs="Arial" w:eastAsia="Arial" w:hAnsi="Arial"/>
                <w:sz w:val="18"/>
                <w:szCs w:val="18"/>
                <w:b w:val="1"/>
                <w:bCs w:val="1"/>
                <w:color w:val="auto"/>
                <w:w w:val="93"/>
              </w:rPr>
              <w:t>Delaware</w:t>
            </w: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34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rPr>
              <w:t>06-0570975</w:t>
            </w:r>
          </w:p>
        </w:tc>
      </w:tr>
      <w:tr>
        <w:trPr>
          <w:trHeight w:val="186"/>
        </w:trPr>
        <w:tc>
          <w:tcPr>
            <w:tcW w:w="3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75"/>
        </w:trPr>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8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1000 Wilson Boulevard,</w:t>
            </w:r>
          </w:p>
        </w:tc>
        <w:tc>
          <w:tcPr>
            <w:tcW w:w="1480" w:type="dxa"/>
            <w:vAlign w:val="bottom"/>
            <w:gridSpan w:val="3"/>
          </w:tcPr>
          <w:p>
            <w:pPr>
              <w:ind w:left="420"/>
              <w:spacing w:after="0"/>
              <w:rPr>
                <w:sz w:val="20"/>
                <w:szCs w:val="20"/>
                <w:color w:val="auto"/>
              </w:rPr>
            </w:pPr>
            <w:r>
              <w:rPr>
                <w:rFonts w:ascii="Arial" w:cs="Arial" w:eastAsia="Arial" w:hAnsi="Arial"/>
                <w:sz w:val="18"/>
                <w:szCs w:val="18"/>
                <w:b w:val="1"/>
                <w:bCs w:val="1"/>
                <w:color w:val="auto"/>
              </w:rPr>
              <w:t>Arlington,</w:t>
            </w:r>
          </w:p>
        </w:tc>
        <w:tc>
          <w:tcPr>
            <w:tcW w:w="840" w:type="dxa"/>
            <w:vAlign w:val="bottom"/>
            <w:gridSpan w:val="3"/>
          </w:tcPr>
          <w:p>
            <w:pPr>
              <w:ind w:left="60"/>
              <w:spacing w:after="0"/>
              <w:rPr>
                <w:sz w:val="20"/>
                <w:szCs w:val="20"/>
                <w:color w:val="auto"/>
              </w:rPr>
            </w:pPr>
            <w:r>
              <w:rPr>
                <w:rFonts w:ascii="Arial" w:cs="Arial" w:eastAsia="Arial" w:hAnsi="Arial"/>
                <w:sz w:val="18"/>
                <w:szCs w:val="18"/>
                <w:b w:val="1"/>
                <w:bCs w:val="1"/>
                <w:color w:val="auto"/>
              </w:rPr>
              <w:t>Virginia</w:t>
            </w:r>
          </w:p>
        </w:tc>
        <w:tc>
          <w:tcPr>
            <w:tcW w:w="3340" w:type="dxa"/>
            <w:vAlign w:val="bottom"/>
            <w:gridSpan w:val="2"/>
          </w:tcPr>
          <w:p>
            <w:pPr>
              <w:jc w:val="right"/>
              <w:ind w:right="2410"/>
              <w:spacing w:after="0"/>
              <w:rPr>
                <w:sz w:val="20"/>
                <w:szCs w:val="20"/>
                <w:color w:val="auto"/>
              </w:rPr>
            </w:pPr>
            <w:r>
              <w:rPr>
                <w:rFonts w:ascii="Arial" w:cs="Arial" w:eastAsia="Arial" w:hAnsi="Arial"/>
                <w:sz w:val="18"/>
                <w:szCs w:val="18"/>
                <w:b w:val="1"/>
                <w:bCs w:val="1"/>
                <w:color w:val="auto"/>
              </w:rPr>
              <w:t>22209</w:t>
            </w:r>
          </w:p>
        </w:tc>
      </w:tr>
      <w:tr>
        <w:trPr>
          <w:trHeight w:val="186"/>
        </w:trPr>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20" w:type="dxa"/>
            <w:vAlign w:val="bottom"/>
            <w:gridSpan w:val="5"/>
          </w:tcPr>
          <w:p>
            <w:pPr>
              <w:ind w:left="6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2"/>
          </w:tcPr>
          <w:p>
            <w:pPr>
              <w:jc w:val="center"/>
              <w:ind w:right="1990"/>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(781) 522-3000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8"/>
        </w:trPr>
        <w:tc>
          <w:tcPr>
            <w:tcW w:w="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0" w:type="dxa"/>
            <w:vAlign w:val="bottom"/>
            <w:gridSpan w:val="10"/>
          </w:tcPr>
          <w:p>
            <w:pPr>
              <w:jc w:val="center"/>
              <w:ind w:right="259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36"/>
        </w:trPr>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0" w:type="dxa"/>
            <w:vAlign w:val="bottom"/>
            <w:gridSpan w:val="10"/>
          </w:tcPr>
          <w:p>
            <w:pPr>
              <w:jc w:val="center"/>
              <w:ind w:right="25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16"/>
        </w:trPr>
        <w:tc>
          <w:tcPr>
            <w:tcW w:w="540" w:type="dxa"/>
            <w:vAlign w:val="bottom"/>
          </w:tcPr>
          <w:p>
            <w:pPr>
              <w:spacing w:after="0"/>
              <w:rPr>
                <w:sz w:val="18"/>
                <w:szCs w:val="18"/>
                <w:color w:val="auto"/>
              </w:rPr>
            </w:pPr>
          </w:p>
        </w:tc>
        <w:tc>
          <w:tcPr>
            <w:tcW w:w="18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6"/>
              </w:rPr>
              <w:t>Title of each class</w:t>
            </w:r>
          </w:p>
        </w:tc>
        <w:tc>
          <w:tcPr>
            <w:tcW w:w="3020" w:type="dxa"/>
            <w:vAlign w:val="bottom"/>
            <w:gridSpan w:val="5"/>
          </w:tcPr>
          <w:p>
            <w:pPr>
              <w:jc w:val="center"/>
              <w:ind w:left="885"/>
              <w:spacing w:after="0"/>
              <w:rPr>
                <w:sz w:val="20"/>
                <w:szCs w:val="20"/>
                <w:color w:val="auto"/>
              </w:rPr>
            </w:pPr>
            <w:r>
              <w:rPr>
                <w:rFonts w:ascii="Arial" w:cs="Arial" w:eastAsia="Arial" w:hAnsi="Arial"/>
                <w:sz w:val="18"/>
                <w:szCs w:val="18"/>
                <w:b w:val="1"/>
                <w:bCs w:val="1"/>
                <w:color w:val="auto"/>
                <w:w w:val="91"/>
              </w:rPr>
              <w:t>Trading Symbol(s)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41"/>
        </w:trPr>
        <w:tc>
          <w:tcPr>
            <w:tcW w:w="2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Common Stock ($1 par value)</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9"/>
              </w:rPr>
              <w:t>RTX</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540" w:type="dxa"/>
            <w:vAlign w:val="bottom"/>
          </w:tcPr>
          <w:p>
            <w:pPr>
              <w:spacing w:after="0"/>
              <w:rPr>
                <w:sz w:val="16"/>
                <w:szCs w:val="16"/>
                <w:color w:val="auto"/>
              </w:rPr>
            </w:pPr>
          </w:p>
        </w:tc>
        <w:tc>
          <w:tcPr>
            <w:tcW w:w="188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5"/>
              </w:rPr>
              <w:t>(CUSIP 75513E 101)</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46"/>
        </w:trPr>
        <w:tc>
          <w:tcPr>
            <w:tcW w:w="2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2.150% Notes due 2030</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8"/>
              </w:rPr>
              <w:t>RTX 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New York Stock Exchange</w:t>
            </w:r>
          </w:p>
        </w:tc>
      </w:tr>
      <w:tr>
        <w:trPr>
          <w:trHeight w:val="186"/>
        </w:trPr>
        <w:tc>
          <w:tcPr>
            <w:tcW w:w="540" w:type="dxa"/>
            <w:vAlign w:val="bottom"/>
          </w:tcPr>
          <w:p>
            <w:pPr>
              <w:spacing w:after="0"/>
              <w:rPr>
                <w:sz w:val="16"/>
                <w:szCs w:val="16"/>
                <w:color w:val="auto"/>
              </w:rPr>
            </w:pPr>
          </w:p>
        </w:tc>
        <w:tc>
          <w:tcPr>
            <w:tcW w:w="188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8"/>
              </w:rPr>
              <w:t>(CUSIP 75513E AB7)</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r>
    </w:tbl>
    <w:p>
      <w:pPr>
        <w:spacing w:after="0" w:line="33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1" w:lineRule="exact"/>
        <w:rPr>
          <w:sz w:val="24"/>
          <w:szCs w:val="24"/>
          <w:color w:val="auto"/>
        </w:rPr>
      </w:pPr>
    </w:p>
    <w:p>
      <w:pPr>
        <w:ind w:right="60" w:firstLine="445"/>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2" w:lineRule="exact"/>
        <w:rPr>
          <w:sz w:val="24"/>
          <w:szCs w:val="24"/>
          <w:color w:val="auto"/>
        </w:rPr>
      </w:pPr>
    </w:p>
    <w:p>
      <w:pPr>
        <w:ind w:right="160" w:firstLine="44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company,” and “emerging growth company” in Rule 12b-2 of the Exchange Act.</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0"/>
          <w:szCs w:val="20"/>
          <w:color w:val="auto"/>
        </w:rPr>
      </w:pPr>
    </w:p>
    <w:p>
      <w:pPr>
        <w:ind w:firstLine="40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2023 there were 1,437,901,284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RTX CORPORATION</w:t>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2023</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26"/>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11"/>
          </w:tcPr>
          <w:p>
            <w:pPr>
              <w:spacing w:after="0"/>
              <w:rPr>
                <w:sz w:val="20"/>
                <w:szCs w:val="20"/>
                <w:color w:val="auto"/>
              </w:rPr>
            </w:pPr>
            <w:r>
              <w:rPr>
                <w:rFonts w:ascii="Arial" w:cs="Arial" w:eastAsia="Arial" w:hAnsi="Arial"/>
                <w:sz w:val="18"/>
                <w:szCs w:val="18"/>
                <w:color w:val="0000FF"/>
                <w:w w:val="97"/>
              </w:rPr>
              <w:t>PART I – FINANCIAL INFORMATION</w:t>
            </w:r>
          </w:p>
        </w:tc>
        <w:tc>
          <w:tcPr>
            <w:tcW w:w="7640" w:type="dxa"/>
            <w:vAlign w:val="bottom"/>
            <w:gridSpan w:val="12"/>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0" w:type="dxa"/>
            <w:vAlign w:val="bottom"/>
            <w:gridSpan w:val="10"/>
          </w:tcPr>
          <w:p>
            <w:pPr>
              <w:spacing w:after="0"/>
              <w:rPr>
                <w:sz w:val="20"/>
                <w:szCs w:val="20"/>
                <w:color w:val="auto"/>
              </w:rPr>
            </w:pPr>
            <w:r>
              <w:rPr>
                <w:rFonts w:ascii="Arial" w:cs="Arial" w:eastAsia="Arial" w:hAnsi="Arial"/>
                <w:sz w:val="18"/>
                <w:szCs w:val="18"/>
                <w:color w:val="0000FF"/>
                <w:w w:val="89"/>
              </w:rPr>
              <w:t>Item 1. Unaudited Financial Statements:</w:t>
            </w:r>
          </w:p>
        </w:tc>
        <w:tc>
          <w:tcPr>
            <w:tcW w:w="7580" w:type="dxa"/>
            <w:vAlign w:val="bottom"/>
            <w:gridSpan w:val="11"/>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Arial" w:cs="Arial" w:eastAsia="Arial" w:hAnsi="Arial"/>
                <w:sz w:val="18"/>
                <w:szCs w:val="18"/>
                <w:color w:val="0000FF"/>
              </w:rPr>
              <w:t>Condensed Consolidated Statement of Operations for the quarters and nine months ended September 30, 2023 and 2022</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80" w:type="dxa"/>
            <w:vAlign w:val="bottom"/>
            <w:gridSpan w:val="19"/>
          </w:tcPr>
          <w:p>
            <w:pPr>
              <w:ind w:left="20"/>
              <w:spacing w:after="0"/>
              <w:rPr>
                <w:sz w:val="20"/>
                <w:szCs w:val="20"/>
                <w:color w:val="auto"/>
              </w:rPr>
            </w:pPr>
            <w:r>
              <w:rPr>
                <w:rFonts w:ascii="Arial" w:cs="Arial" w:eastAsia="Arial" w:hAnsi="Arial"/>
                <w:sz w:val="18"/>
                <w:szCs w:val="18"/>
                <w:color w:val="0000FF"/>
                <w:w w:val="89"/>
              </w:rPr>
              <w:t>Condensed Consolidated Statement of Comprehensive Income (Loss) for the quarters and nine months ended September 30, 2023 and 2022</w:t>
            </w:r>
          </w:p>
        </w:tc>
        <w:tc>
          <w:tcPr>
            <w:tcW w:w="22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80" w:type="dxa"/>
            <w:vAlign w:val="bottom"/>
            <w:gridSpan w:val="19"/>
          </w:tcPr>
          <w:p>
            <w:pPr>
              <w:ind w:left="20"/>
              <w:spacing w:after="0"/>
              <w:rPr>
                <w:sz w:val="20"/>
                <w:szCs w:val="20"/>
                <w:color w:val="auto"/>
              </w:rPr>
            </w:pPr>
            <w:r>
              <w:rPr>
                <w:rFonts w:ascii="Arial" w:cs="Arial" w:eastAsia="Arial" w:hAnsi="Arial"/>
                <w:sz w:val="18"/>
                <w:szCs w:val="18"/>
                <w:color w:val="0000FF"/>
              </w:rPr>
              <w:t>Condensed Consolidated Balance Sheet at September 30, 2023 and December 31, 2022</w:t>
            </w:r>
          </w:p>
        </w:tc>
        <w:tc>
          <w:tcPr>
            <w:tcW w:w="22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780" w:type="dxa"/>
            <w:vAlign w:val="bottom"/>
            <w:gridSpan w:val="16"/>
          </w:tcPr>
          <w:p>
            <w:pPr>
              <w:ind w:left="20"/>
              <w:spacing w:after="0"/>
              <w:rPr>
                <w:sz w:val="20"/>
                <w:szCs w:val="20"/>
                <w:color w:val="auto"/>
              </w:rPr>
            </w:pPr>
            <w:r>
              <w:rPr>
                <w:rFonts w:ascii="Arial" w:cs="Arial" w:eastAsia="Arial" w:hAnsi="Arial"/>
                <w:sz w:val="18"/>
                <w:szCs w:val="18"/>
                <w:color w:val="0000FF"/>
                <w:w w:val="88"/>
              </w:rPr>
              <w:t>Condensed Consolidated Statement of Cash Flows for the nine months ended September 30, 2023 and 2022</w:t>
            </w:r>
          </w:p>
        </w:tc>
        <w:tc>
          <w:tcPr>
            <w:tcW w:w="2520" w:type="dxa"/>
            <w:vAlign w:val="bottom"/>
            <w:gridSpan w:val="4"/>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Arial" w:cs="Arial" w:eastAsia="Arial" w:hAnsi="Arial"/>
                <w:sz w:val="18"/>
                <w:szCs w:val="18"/>
                <w:color w:val="0000FF"/>
                <w:w w:val="99"/>
              </w:rPr>
              <w:t>Condensed Consolidated Statement of Changes in Equity for the quarters and nine months ended September 30, 2023 and 2022</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180" w:type="dxa"/>
            <w:vAlign w:val="bottom"/>
            <w:gridSpan w:val="18"/>
          </w:tcPr>
          <w:p>
            <w:pPr>
              <w:ind w:left="20"/>
              <w:spacing w:after="0"/>
              <w:rPr>
                <w:sz w:val="20"/>
                <w:szCs w:val="20"/>
                <w:color w:val="auto"/>
              </w:rPr>
            </w:pPr>
            <w:r>
              <w:rPr>
                <w:rFonts w:ascii="Arial" w:cs="Arial" w:eastAsia="Arial" w:hAnsi="Arial"/>
                <w:sz w:val="18"/>
                <w:szCs w:val="18"/>
                <w:color w:val="0000FF"/>
              </w:rPr>
              <w:t>Notes to Condensed Consolidated Financial Statements</w:t>
            </w:r>
          </w:p>
        </w:tc>
        <w:tc>
          <w:tcPr>
            <w:tcW w:w="1120" w:type="dxa"/>
            <w:vAlign w:val="bottom"/>
            <w:gridSpan w:val="2"/>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Arial" w:cs="Arial" w:eastAsia="Arial" w:hAnsi="Arial"/>
                <w:sz w:val="18"/>
                <w:szCs w:val="18"/>
                <w:color w:val="0000FF"/>
              </w:rPr>
              <w:t>Report of Independent Registered Public Accounting Firm</w:t>
            </w: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0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480" w:type="dxa"/>
            <w:vAlign w:val="bottom"/>
            <w:gridSpan w:val="5"/>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Item 4. Controls and Procedures</w:t>
            </w:r>
          </w:p>
        </w:tc>
        <w:tc>
          <w:tcPr>
            <w:tcW w:w="8160" w:type="dxa"/>
            <w:vAlign w:val="bottom"/>
            <w:gridSpan w:val="14"/>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2"/>
                <w:szCs w:val="22"/>
                <w:color w:val="auto"/>
              </w:rPr>
            </w:pPr>
          </w:p>
        </w:tc>
      </w:tr>
      <w:tr>
        <w:trPr>
          <w:trHeight w:val="264"/>
        </w:trPr>
        <w:tc>
          <w:tcPr>
            <w:tcW w:w="10620" w:type="dxa"/>
            <w:vAlign w:val="bottom"/>
            <w:gridSpan w:val="23"/>
          </w:tcPr>
          <w:p>
            <w:pPr>
              <w:spacing w:after="0"/>
              <w:rPr>
                <w:sz w:val="20"/>
                <w:szCs w:val="20"/>
                <w:color w:val="auto"/>
              </w:rPr>
            </w:pPr>
            <w:r>
              <w:rPr>
                <w:rFonts w:ascii="Arial" w:cs="Arial" w:eastAsia="Arial" w:hAnsi="Arial"/>
                <w:sz w:val="18"/>
                <w:szCs w:val="18"/>
                <w:color w:val="0000FF"/>
              </w:rPr>
              <w:t>PART II – OTHER INFORMATION</w:t>
            </w: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55</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Item 1. Legal Proceedings</w:t>
            </w:r>
          </w:p>
        </w:tc>
        <w:tc>
          <w:tcPr>
            <w:tcW w:w="640" w:type="dxa"/>
            <w:vAlign w:val="bottom"/>
            <w:tcBorders>
              <w:top w:val="single" w:sz="8" w:color="0000FF"/>
            </w:tcBorders>
            <w:gridSpan w:val="2"/>
          </w:tcPr>
          <w:p>
            <w:pPr>
              <w:spacing w:after="0"/>
              <w:rPr>
                <w:sz w:val="22"/>
                <w:szCs w:val="22"/>
                <w:color w:val="auto"/>
              </w:rPr>
            </w:pPr>
          </w:p>
        </w:tc>
        <w:tc>
          <w:tcPr>
            <w:tcW w:w="7960" w:type="dxa"/>
            <w:vAlign w:val="bottom"/>
            <w:gridSpan w:val="13"/>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Item 1A. Risk Factors</w:t>
            </w:r>
          </w:p>
        </w:tc>
        <w:tc>
          <w:tcPr>
            <w:tcW w:w="8900" w:type="dxa"/>
            <w:vAlign w:val="bottom"/>
            <w:gridSpan w:val="17"/>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500" w:type="dxa"/>
            <w:vAlign w:val="bottom"/>
            <w:gridSpan w:val="22"/>
          </w:tcPr>
          <w:p>
            <w:pPr>
              <w:spacing w:after="0"/>
              <w:rPr>
                <w:sz w:val="20"/>
                <w:szCs w:val="20"/>
                <w:color w:val="auto"/>
              </w:rPr>
            </w:pPr>
            <w:r>
              <w:rPr>
                <w:rFonts w:ascii="Arial" w:cs="Arial" w:eastAsia="Arial" w:hAnsi="Arial"/>
                <w:sz w:val="18"/>
                <w:szCs w:val="18"/>
                <w:color w:val="0000FF"/>
              </w:rPr>
              <w:t>Item 5. Other Information</w:t>
            </w: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58</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Item 6. Exhibits</w:t>
            </w:r>
          </w:p>
        </w:tc>
        <w:tc>
          <w:tcPr>
            <w:tcW w:w="8640" w:type="dxa"/>
            <w:vAlign w:val="bottom"/>
            <w:gridSpan w:val="16"/>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2"/>
                <w:szCs w:val="22"/>
                <w:color w:val="auto"/>
              </w:rPr>
            </w:pPr>
          </w:p>
        </w:tc>
      </w:tr>
      <w:tr>
        <w:trPr>
          <w:trHeight w:val="20"/>
        </w:trPr>
        <w:tc>
          <w:tcPr>
            <w:tcW w:w="14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2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580" w:type="dxa"/>
            <w:vAlign w:val="bottom"/>
            <w:gridSpan w:val="3"/>
          </w:tcPr>
          <w:p>
            <w:pPr>
              <w:jc w:val="right"/>
              <w:spacing w:after="0"/>
              <w:rPr>
                <w:sz w:val="20"/>
                <w:szCs w:val="20"/>
                <w:color w:val="auto"/>
              </w:rPr>
            </w:pPr>
            <w:r>
              <w:rPr>
                <w:rFonts w:ascii="Arial" w:cs="Arial" w:eastAsia="Arial" w:hAnsi="Arial"/>
                <w:sz w:val="18"/>
                <w:szCs w:val="18"/>
                <w:color w:val="0000FF"/>
              </w:rPr>
              <w:t>59</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22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rPr>
                <w:sz w:val="20"/>
                <w:szCs w:val="20"/>
                <w:color w:val="auto"/>
              </w:rPr>
            </w:pPr>
            <w:r>
              <w:rPr>
                <w:rFonts w:ascii="Arial" w:cs="Arial" w:eastAsia="Arial" w:hAnsi="Arial"/>
                <w:sz w:val="17"/>
                <w:szCs w:val="17"/>
                <w:color w:val="auto"/>
              </w:rPr>
              <w:t>Products sales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8,615</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12,756</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34,813</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36,876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Services sales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4,849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4,195</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14,180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12,105</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13,464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48,993</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48,981</w:t>
            </w: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rPr>
                <w:sz w:val="20"/>
                <w:szCs w:val="20"/>
                <w:color w:val="auto"/>
              </w:rPr>
            </w:pPr>
            <w:r>
              <w:rPr>
                <w:rFonts w:ascii="Arial" w:cs="Arial" w:eastAsia="Arial" w:hAnsi="Arial"/>
                <w:sz w:val="17"/>
                <w:szCs w:val="17"/>
                <w:color w:val="auto"/>
              </w:rPr>
              <w:t>Cost of sales - products</w:t>
            </w: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9,289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31,078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30,353</w:t>
            </w: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sales - services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3,461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9,835</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8,527</w:t>
            </w: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712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2,048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1,995</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1,401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4,364</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4,184</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7"/>
                <w:szCs w:val="17"/>
                <w:color w:val="auto"/>
              </w:rPr>
              <w:t>Total costs and expenses</w:t>
            </w: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14,863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15,477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47,325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45,059</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116</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7"/>
                <w:szCs w:val="17"/>
                <w:color w:val="auto"/>
              </w:rPr>
              <w:t>Operating profit (loss)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(1,396)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1,784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4,013</w:t>
            </w: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Non-operating expense (income), net: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rPr>
                <w:sz w:val="20"/>
                <w:szCs w:val="20"/>
                <w:color w:val="auto"/>
              </w:rPr>
            </w:pPr>
            <w:r>
              <w:rPr>
                <w:rFonts w:ascii="Arial" w:cs="Arial" w:eastAsia="Arial" w:hAnsi="Arial"/>
                <w:sz w:val="17"/>
                <w:szCs w:val="17"/>
                <w:color w:val="auto"/>
              </w:rPr>
              <w:t>Non-service pension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(443)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(1,334)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(1,422)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369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1,017</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non-operating expense (income), net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(317)</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2,101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Income tax expense (benefit)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194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(933)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1,907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3,859</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Noncontrolling interest in subsidiaries’ earnings from continuing operations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51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138</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from continuing operations attributable to common shareowners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1,769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3,794</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Loss from discontinued operations attributable to common shareowners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shareowners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(984)</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1,769</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03"/>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Basic:</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(0.68)</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0.94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1.22</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(0.68)</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1.22</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 attributable to common shareowners - Diluted: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rPr>
                <w:sz w:val="20"/>
                <w:szCs w:val="20"/>
                <w:color w:val="auto"/>
              </w:rPr>
            </w:pPr>
            <w:r>
              <w:rPr>
                <w:rFonts w:ascii="Arial" w:cs="Arial" w:eastAsia="Arial" w:hAnsi="Arial"/>
                <w:sz w:val="17"/>
                <w:szCs w:val="17"/>
                <w:color w:val="auto"/>
              </w:rPr>
              <w:t>Income (loss) from continuing operations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(0.68)</w:t>
            </w:r>
          </w:p>
        </w:tc>
        <w:tc>
          <w:tcPr>
            <w:tcW w:w="3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0.94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1.21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Loss from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income (loss) attributable to common shareowners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(0.68)</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1.21</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and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1,907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1,809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78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September 30, 2023</w:t>
            </w:r>
          </w:p>
        </w:tc>
        <w:tc>
          <w:tcPr>
            <w:tcW w:w="22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6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7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6"/>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5,456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w:t>
            </w:r>
          </w:p>
        </w:tc>
      </w:tr>
      <w:tr>
        <w:trPr>
          <w:trHeight w:val="225"/>
        </w:trPr>
        <w:tc>
          <w:tcPr>
            <w:tcW w:w="6280" w:type="dxa"/>
            <w:vAlign w:val="bottom"/>
          </w:tcPr>
          <w:p>
            <w:pPr>
              <w:ind w:left="120"/>
              <w:spacing w:after="0"/>
              <w:rPr>
                <w:sz w:val="20"/>
                <w:szCs w:val="20"/>
                <w:color w:val="auto"/>
              </w:rPr>
            </w:pPr>
            <w:r>
              <w:rPr>
                <w:rFonts w:ascii="Arial" w:cs="Arial" w:eastAsia="Arial" w:hAnsi="Arial"/>
                <w:sz w:val="17"/>
                <w:szCs w:val="17"/>
                <w:color w:val="auto"/>
              </w:rPr>
              <w:t>Accounts receivable,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10,058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9,108</w:t>
            </w:r>
          </w:p>
        </w:tc>
      </w:tr>
      <w:tr>
        <w:trPr>
          <w:trHeight w:val="234"/>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Contract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12,696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11,534</w:t>
            </w:r>
          </w:p>
        </w:tc>
      </w:tr>
      <w:tr>
        <w:trPr>
          <w:trHeight w:val="225"/>
        </w:trPr>
        <w:tc>
          <w:tcPr>
            <w:tcW w:w="6280" w:type="dxa"/>
            <w:vAlign w:val="bottom"/>
          </w:tcPr>
          <w:p>
            <w:pPr>
              <w:ind w:left="120"/>
              <w:spacing w:after="0"/>
              <w:rPr>
                <w:sz w:val="20"/>
                <w:szCs w:val="20"/>
                <w:color w:val="auto"/>
              </w:rPr>
            </w:pPr>
            <w:r>
              <w:rPr>
                <w:rFonts w:ascii="Arial" w:cs="Arial" w:eastAsia="Arial" w:hAnsi="Arial"/>
                <w:sz w:val="17"/>
                <w:szCs w:val="17"/>
                <w:color w:val="auto"/>
              </w:rPr>
              <w:t>Inventory,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12,050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10,617</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 assets, current</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6,258</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w:t>
            </w:r>
          </w:p>
        </w:tc>
      </w:tr>
      <w:tr>
        <w:trPr>
          <w:trHeight w:val="223"/>
        </w:trPr>
        <w:tc>
          <w:tcPr>
            <w:tcW w:w="62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46,518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42,443</w:t>
            </w: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financing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2,452</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w:t>
            </w:r>
          </w:p>
        </w:tc>
      </w:tr>
      <w:tr>
        <w:trPr>
          <w:trHeight w:val="225"/>
        </w:trPr>
        <w:tc>
          <w:tcPr>
            <w:tcW w:w="6280" w:type="dxa"/>
            <w:vAlign w:val="bottom"/>
          </w:tcPr>
          <w:p>
            <w:pPr>
              <w:ind w:left="20"/>
              <w:spacing w:after="0"/>
              <w:rPr>
                <w:sz w:val="20"/>
                <w:szCs w:val="20"/>
                <w:color w:val="auto"/>
              </w:rPr>
            </w:pPr>
            <w:r>
              <w:rPr>
                <w:rFonts w:ascii="Arial" w:cs="Arial" w:eastAsia="Arial" w:hAnsi="Arial"/>
                <w:sz w:val="17"/>
                <w:szCs w:val="17"/>
                <w:color w:val="auto"/>
              </w:rPr>
              <w:t>Fixed assets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30,554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29,116</w:t>
            </w:r>
          </w:p>
        </w:tc>
      </w:tr>
      <w:tr>
        <w:trPr>
          <w:trHeight w:val="229"/>
        </w:trPr>
        <w:tc>
          <w:tcPr>
            <w:tcW w:w="62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Accumulated depreciation</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(15,207)</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(13,946)</w:t>
            </w:r>
          </w:p>
        </w:tc>
      </w:tr>
      <w:tr>
        <w:trPr>
          <w:trHeight w:val="223"/>
        </w:trPr>
        <w:tc>
          <w:tcPr>
            <w:tcW w:w="6280" w:type="dxa"/>
            <w:vAlign w:val="bottom"/>
          </w:tcPr>
          <w:p>
            <w:pPr>
              <w:ind w:left="500"/>
              <w:spacing w:after="0"/>
              <w:rPr>
                <w:sz w:val="20"/>
                <w:szCs w:val="20"/>
                <w:color w:val="auto"/>
              </w:rPr>
            </w:pPr>
            <w:r>
              <w:rPr>
                <w:rFonts w:ascii="Arial" w:cs="Arial" w:eastAsia="Arial" w:hAnsi="Arial"/>
                <w:sz w:val="17"/>
                <w:szCs w:val="17"/>
                <w:color w:val="auto"/>
              </w:rPr>
              <w:t>Fixed assets, net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15,347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15,170</w:t>
            </w: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1,755</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r>
      <w:tr>
        <w:trPr>
          <w:trHeight w:val="225"/>
        </w:trPr>
        <w:tc>
          <w:tcPr>
            <w:tcW w:w="62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53,883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53,840</w:t>
            </w: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35,865</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36,823</w:t>
            </w:r>
          </w:p>
        </w:tc>
      </w:tr>
      <w:tr>
        <w:trPr>
          <w:trHeight w:val="22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6,623</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6,156</w:t>
            </w:r>
          </w:p>
        </w:tc>
      </w:tr>
      <w:tr>
        <w:trPr>
          <w:trHeight w:val="235"/>
        </w:trPr>
        <w:tc>
          <w:tcPr>
            <w:tcW w:w="62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162,443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158,864</w:t>
            </w:r>
          </w:p>
        </w:tc>
      </w:tr>
      <w:tr>
        <w:trPr>
          <w:trHeight w:val="225"/>
        </w:trPr>
        <w:tc>
          <w:tcPr>
            <w:tcW w:w="6280" w:type="dxa"/>
            <w:vAlign w:val="bottom"/>
          </w:tcPr>
          <w:p>
            <w:pPr>
              <w:ind w:left="20"/>
              <w:spacing w:after="0"/>
              <w:rPr>
                <w:sz w:val="20"/>
                <w:szCs w:val="20"/>
                <w:color w:val="auto"/>
              </w:rPr>
            </w:pPr>
            <w:r>
              <w:rPr>
                <w:rFonts w:ascii="Arial" w:cs="Arial" w:eastAsia="Arial" w:hAnsi="Arial"/>
                <w:sz w:val="17"/>
                <w:szCs w:val="17"/>
                <w:b w:val="1"/>
                <w:bCs w:val="1"/>
                <w:color w:val="auto"/>
              </w:rPr>
              <w:t>Liabilities, Redeemable Noncontrolling Interest, and Equity</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5"/>
        </w:trPr>
        <w:tc>
          <w:tcPr>
            <w:tcW w:w="6280" w:type="dxa"/>
            <w:vAlign w:val="bottom"/>
          </w:tcPr>
          <w:p>
            <w:pPr>
              <w:ind w:left="120"/>
              <w:spacing w:after="0"/>
              <w:rPr>
                <w:sz w:val="20"/>
                <w:szCs w:val="20"/>
                <w:color w:val="auto"/>
              </w:rPr>
            </w:pPr>
            <w:r>
              <w:rPr>
                <w:rFonts w:ascii="Arial" w:cs="Arial" w:eastAsia="Arial" w:hAnsi="Arial"/>
                <w:sz w:val="17"/>
                <w:szCs w:val="17"/>
                <w:color w:val="auto"/>
              </w:rPr>
              <w:t>Short-term borrowings</w:t>
            </w:r>
          </w:p>
        </w:tc>
        <w:tc>
          <w:tcPr>
            <w:tcW w:w="17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1,170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625</w:t>
            </w:r>
          </w:p>
        </w:tc>
      </w:tr>
      <w:tr>
        <w:trPr>
          <w:trHeight w:val="234"/>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10,315</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9,896</w:t>
            </w:r>
          </w:p>
        </w:tc>
      </w:tr>
      <w:tr>
        <w:trPr>
          <w:trHeight w:val="225"/>
        </w:trPr>
        <w:tc>
          <w:tcPr>
            <w:tcW w:w="6280" w:type="dxa"/>
            <w:vAlign w:val="bottom"/>
          </w:tcPr>
          <w:p>
            <w:pPr>
              <w:ind w:left="120"/>
              <w:spacing w:after="0"/>
              <w:rPr>
                <w:sz w:val="20"/>
                <w:szCs w:val="20"/>
                <w:color w:val="auto"/>
              </w:rPr>
            </w:pPr>
            <w:r>
              <w:rPr>
                <w:rFonts w:ascii="Arial" w:cs="Arial" w:eastAsia="Arial" w:hAnsi="Arial"/>
                <w:sz w:val="17"/>
                <w:szCs w:val="17"/>
                <w:color w:val="auto"/>
              </w:rPr>
              <w:t>Accrued employee compensation</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2,597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2,401</w:t>
            </w:r>
          </w:p>
        </w:tc>
      </w:tr>
      <w:tr>
        <w:trPr>
          <w:trHeight w:val="234"/>
        </w:trPr>
        <w:tc>
          <w:tcPr>
            <w:tcW w:w="6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accrued liabilities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14,283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10,999</w:t>
            </w:r>
          </w:p>
        </w:tc>
      </w:tr>
      <w:tr>
        <w:trPr>
          <w:trHeight w:val="225"/>
        </w:trPr>
        <w:tc>
          <w:tcPr>
            <w:tcW w:w="6280" w:type="dxa"/>
            <w:vAlign w:val="bottom"/>
          </w:tcPr>
          <w:p>
            <w:pPr>
              <w:ind w:left="120"/>
              <w:spacing w:after="0"/>
              <w:rPr>
                <w:sz w:val="20"/>
                <w:szCs w:val="20"/>
                <w:color w:val="auto"/>
              </w:rPr>
            </w:pPr>
            <w:r>
              <w:rPr>
                <w:rFonts w:ascii="Arial" w:cs="Arial" w:eastAsia="Arial" w:hAnsi="Arial"/>
                <w:sz w:val="17"/>
                <w:szCs w:val="17"/>
                <w:color w:val="auto"/>
              </w:rPr>
              <w:t>Contract liabilities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15,248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14,598</w:t>
            </w:r>
          </w:p>
        </w:tc>
      </w:tr>
      <w:tr>
        <w:trPr>
          <w:trHeight w:val="229"/>
        </w:trPr>
        <w:tc>
          <w:tcPr>
            <w:tcW w:w="6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Long-term debt currently due</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1,389</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w:t>
            </w:r>
          </w:p>
        </w:tc>
      </w:tr>
      <w:tr>
        <w:trPr>
          <w:trHeight w:val="223"/>
        </w:trPr>
        <w:tc>
          <w:tcPr>
            <w:tcW w:w="6280" w:type="dxa"/>
            <w:vAlign w:val="bottom"/>
          </w:tcPr>
          <w:p>
            <w:pPr>
              <w:ind w:left="500"/>
              <w:spacing w:after="0"/>
              <w:rPr>
                <w:sz w:val="20"/>
                <w:szCs w:val="20"/>
                <w:color w:val="auto"/>
              </w:rPr>
            </w:pPr>
            <w:r>
              <w:rPr>
                <w:rFonts w:ascii="Arial" w:cs="Arial" w:eastAsia="Arial" w:hAnsi="Arial"/>
                <w:sz w:val="17"/>
                <w:szCs w:val="17"/>
                <w:color w:val="auto"/>
              </w:rPr>
              <w:t>Total current liabilities</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45,002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39,114</w:t>
            </w: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32,701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30,694</w:t>
            </w:r>
          </w:p>
        </w:tc>
      </w:tr>
      <w:tr>
        <w:trPr>
          <w:trHeight w:val="225"/>
        </w:trPr>
        <w:tc>
          <w:tcPr>
            <w:tcW w:w="628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1,523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1,586</w:t>
            </w:r>
          </w:p>
        </w:tc>
      </w:tr>
      <w:tr>
        <w:trPr>
          <w:trHeight w:val="234"/>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Future pension and postretirement benefit obligations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4,457</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w:t>
            </w:r>
          </w:p>
        </w:tc>
      </w:tr>
      <w:tr>
        <w:trPr>
          <w:trHeight w:val="22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long-term liabilities</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7,514</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8,449</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91,197</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84,650</w:t>
            </w:r>
          </w:p>
        </w:tc>
      </w:tr>
      <w:tr>
        <w:trPr>
          <w:trHeight w:val="221"/>
        </w:trPr>
        <w:tc>
          <w:tcPr>
            <w:tcW w:w="6280" w:type="dxa"/>
            <w:vAlign w:val="bottom"/>
          </w:tcPr>
          <w:p>
            <w:pPr>
              <w:ind w:left="20"/>
              <w:spacing w:after="0"/>
              <w:rPr>
                <w:sz w:val="20"/>
                <w:szCs w:val="20"/>
                <w:color w:val="auto"/>
              </w:rPr>
            </w:pPr>
            <w:r>
              <w:rPr>
                <w:rFonts w:ascii="Arial" w:cs="Arial" w:eastAsia="Arial" w:hAnsi="Arial"/>
                <w:sz w:val="17"/>
                <w:szCs w:val="17"/>
                <w:color w:val="auto"/>
              </w:rPr>
              <w:t>Commitments and contingencies (Note 15)</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noncontrolling interest</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Shareowners’ Equity:</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6"/>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38,388</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37,939</w:t>
            </w:r>
          </w:p>
        </w:tc>
      </w:tr>
      <w:tr>
        <w:trPr>
          <w:trHeight w:val="225"/>
        </w:trPr>
        <w:tc>
          <w:tcPr>
            <w:tcW w:w="6280" w:type="dxa"/>
            <w:vAlign w:val="bottom"/>
          </w:tcPr>
          <w:p>
            <w:pPr>
              <w:ind w:left="340"/>
              <w:spacing w:after="0"/>
              <w:rPr>
                <w:sz w:val="20"/>
                <w:szCs w:val="20"/>
                <w:color w:val="auto"/>
              </w:rPr>
            </w:pPr>
            <w:r>
              <w:rPr>
                <w:rFonts w:ascii="Arial" w:cs="Arial" w:eastAsia="Arial" w:hAnsi="Arial"/>
                <w:sz w:val="17"/>
                <w:szCs w:val="17"/>
                <w:color w:val="auto"/>
              </w:rPr>
              <w:t>Treasury stock</w:t>
            </w:r>
          </w:p>
        </w:tc>
        <w:tc>
          <w:tcPr>
            <w:tcW w:w="17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(18,170)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(15,530)</w:t>
            </w:r>
          </w:p>
        </w:tc>
      </w:tr>
      <w:tr>
        <w:trPr>
          <w:trHeight w:val="23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Retained earnings</w:t>
            </w:r>
          </w:p>
        </w:tc>
        <w:tc>
          <w:tcPr>
            <w:tcW w:w="17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51,513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52,269</w:t>
            </w:r>
          </w:p>
        </w:tc>
      </w:tr>
      <w:tr>
        <w:trPr>
          <w:trHeight w:val="225"/>
        </w:trPr>
        <w:tc>
          <w:tcPr>
            <w:tcW w:w="6280" w:type="dxa"/>
            <w:vAlign w:val="bottom"/>
          </w:tcPr>
          <w:p>
            <w:pPr>
              <w:ind w:left="340"/>
              <w:spacing w:after="0"/>
              <w:rPr>
                <w:sz w:val="20"/>
                <w:szCs w:val="20"/>
                <w:color w:val="auto"/>
              </w:rPr>
            </w:pPr>
            <w:r>
              <w:rPr>
                <w:rFonts w:ascii="Arial" w:cs="Arial" w:eastAsia="Arial" w:hAnsi="Arial"/>
                <w:sz w:val="17"/>
                <w:szCs w:val="17"/>
                <w:color w:val="auto"/>
              </w:rPr>
              <w:t>Unearned ESOP shares</w:t>
            </w:r>
          </w:p>
        </w:tc>
        <w:tc>
          <w:tcPr>
            <w:tcW w:w="17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(19)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9"/>
        </w:trPr>
        <w:tc>
          <w:tcPr>
            <w:tcW w:w="62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(2,116)</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r>
      <w:tr>
        <w:trPr>
          <w:trHeight w:val="223"/>
        </w:trPr>
        <w:tc>
          <w:tcPr>
            <w:tcW w:w="6280" w:type="dxa"/>
            <w:vAlign w:val="bottom"/>
          </w:tcPr>
          <w:p>
            <w:pPr>
              <w:ind w:left="500"/>
              <w:spacing w:after="0"/>
              <w:rPr>
                <w:sz w:val="20"/>
                <w:szCs w:val="20"/>
                <w:color w:val="auto"/>
              </w:rPr>
            </w:pPr>
            <w:r>
              <w:rPr>
                <w:rFonts w:ascii="Arial" w:cs="Arial" w:eastAsia="Arial" w:hAnsi="Arial"/>
                <w:sz w:val="17"/>
                <w:szCs w:val="17"/>
                <w:color w:val="auto"/>
              </w:rPr>
              <w:t>Total shareowners’ equity</w:t>
            </w:r>
          </w:p>
        </w:tc>
        <w:tc>
          <w:tcPr>
            <w:tcW w:w="178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69,596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72,632</w:t>
            </w: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17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1,617</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w:t>
            </w:r>
          </w:p>
        </w:tc>
      </w:tr>
      <w:tr>
        <w:trPr>
          <w:trHeight w:val="223"/>
        </w:trPr>
        <w:tc>
          <w:tcPr>
            <w:tcW w:w="62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equity</w:t>
            </w:r>
          </w:p>
        </w:tc>
        <w:tc>
          <w:tcPr>
            <w:tcW w:w="1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71,213</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74,178</w:t>
            </w:r>
          </w:p>
        </w:tc>
      </w:tr>
      <w:tr>
        <w:trPr>
          <w:trHeight w:val="235"/>
        </w:trPr>
        <w:tc>
          <w:tcPr>
            <w:tcW w:w="62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Total liabilities, redeemable noncontrolling interest, and equity</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162,443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158,864</w:t>
            </w:r>
          </w:p>
        </w:tc>
      </w:tr>
    </w:tbl>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8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Net income from continuing operations</w:t>
            </w: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1,907</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3,859</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Adjustments to reconcile net income from continuing operations to net cash flows provided by operating activities: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3,152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Deferred income tax benefit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w:t>
            </w:r>
          </w:p>
        </w:tc>
        <w:tc>
          <w:tcPr>
            <w:tcW w:w="0" w:type="dxa"/>
            <w:vAlign w:val="bottom"/>
          </w:tcPr>
          <w:p>
            <w:pPr>
              <w:spacing w:after="0"/>
              <w:rPr>
                <w:sz w:val="1"/>
                <w:szCs w:val="1"/>
                <w:color w:val="auto"/>
              </w:rPr>
            </w:pPr>
          </w:p>
        </w:tc>
      </w:tr>
      <w:tr>
        <w:trPr>
          <w:trHeight w:val="225"/>
        </w:trPr>
        <w:tc>
          <w:tcPr>
            <w:tcW w:w="8460" w:type="dxa"/>
            <w:vAlign w:val="bottom"/>
          </w:tcPr>
          <w:p>
            <w:pPr>
              <w:ind w:left="660"/>
              <w:spacing w:after="0"/>
              <w:rPr>
                <w:sz w:val="20"/>
                <w:szCs w:val="20"/>
                <w:color w:val="auto"/>
              </w:rPr>
            </w:pPr>
            <w:r>
              <w:rPr>
                <w:rFonts w:ascii="Arial" w:cs="Arial" w:eastAsia="Arial" w:hAnsi="Arial"/>
                <w:sz w:val="17"/>
                <w:szCs w:val="17"/>
                <w:color w:val="auto"/>
              </w:rPr>
              <w:t>Stock compensation cost</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319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periodic pension and other postretirement income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0" w:type="dxa"/>
            <w:vAlign w:val="bottom"/>
          </w:tcPr>
          <w:p>
            <w:pPr>
              <w:spacing w:after="0"/>
              <w:rPr>
                <w:sz w:val="1"/>
                <w:szCs w:val="1"/>
                <w:color w:val="auto"/>
              </w:rPr>
            </w:pPr>
          </w:p>
        </w:tc>
      </w:tr>
      <w:tr>
        <w:trPr>
          <w:trHeight w:val="223"/>
        </w:trPr>
        <w:tc>
          <w:tcPr>
            <w:tcW w:w="8460" w:type="dxa"/>
            <w:vAlign w:val="bottom"/>
          </w:tcPr>
          <w:p>
            <w:pPr>
              <w:ind w:left="460"/>
              <w:spacing w:after="0"/>
              <w:rPr>
                <w:sz w:val="20"/>
                <w:szCs w:val="20"/>
                <w:color w:val="auto"/>
              </w:rPr>
            </w:pPr>
            <w:r>
              <w:rPr>
                <w:rFonts w:ascii="Arial" w:cs="Arial" w:eastAsia="Arial" w:hAnsi="Arial"/>
                <w:sz w:val="17"/>
                <w:szCs w:val="17"/>
                <w:color w:val="auto"/>
              </w:rPr>
              <w:t>Change in: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5"/>
        </w:trPr>
        <w:tc>
          <w:tcPr>
            <w:tcW w:w="8460" w:type="dxa"/>
            <w:vAlign w:val="bottom"/>
          </w:tcPr>
          <w:p>
            <w:pPr>
              <w:ind w:left="660"/>
              <w:spacing w:after="0"/>
              <w:rPr>
                <w:sz w:val="20"/>
                <w:szCs w:val="20"/>
                <w:color w:val="auto"/>
              </w:rPr>
            </w:pPr>
            <w:r>
              <w:rPr>
                <w:rFonts w:ascii="Arial" w:cs="Arial" w:eastAsia="Arial" w:hAnsi="Arial"/>
                <w:sz w:val="17"/>
                <w:szCs w:val="17"/>
                <w:color w:val="auto"/>
              </w:rPr>
              <w:t>Contract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(1,163)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Inventory</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0" w:type="dxa"/>
            <w:vAlign w:val="bottom"/>
          </w:tcPr>
          <w:p>
            <w:pPr>
              <w:spacing w:after="0"/>
              <w:rPr>
                <w:sz w:val="1"/>
                <w:szCs w:val="1"/>
                <w:color w:val="auto"/>
              </w:rPr>
            </w:pPr>
          </w:p>
        </w:tc>
      </w:tr>
      <w:tr>
        <w:trPr>
          <w:trHeight w:val="225"/>
        </w:trPr>
        <w:tc>
          <w:tcPr>
            <w:tcW w:w="8460" w:type="dxa"/>
            <w:vAlign w:val="bottom"/>
          </w:tcPr>
          <w:p>
            <w:pPr>
              <w:ind w:left="66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(878)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3,422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0" w:type="dxa"/>
            <w:vAlign w:val="bottom"/>
          </w:tcPr>
          <w:p>
            <w:pPr>
              <w:spacing w:after="0"/>
              <w:rPr>
                <w:sz w:val="1"/>
                <w:szCs w:val="1"/>
                <w:color w:val="auto"/>
              </w:rPr>
            </w:pPr>
          </w:p>
        </w:tc>
      </w:tr>
      <w:tr>
        <w:trPr>
          <w:trHeight w:val="225"/>
        </w:trPr>
        <w:tc>
          <w:tcPr>
            <w:tcW w:w="8460" w:type="dxa"/>
            <w:vAlign w:val="bottom"/>
          </w:tcPr>
          <w:p>
            <w:pPr>
              <w:ind w:left="660"/>
              <w:spacing w:after="0"/>
              <w:rPr>
                <w:sz w:val="20"/>
                <w:szCs w:val="20"/>
                <w:color w:val="auto"/>
              </w:rPr>
            </w:pPr>
            <w:r>
              <w:rPr>
                <w:rFonts w:ascii="Arial" w:cs="Arial" w:eastAsia="Arial" w:hAnsi="Arial"/>
                <w:sz w:val="17"/>
                <w:szCs w:val="17"/>
                <w:color w:val="auto"/>
              </w:rPr>
              <w:t>Contract liabilities</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429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operating activities,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219</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Net cash flows provided by operating activities from continuing operations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3,172</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2,540</w:t>
            </w: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(1,610)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(1,433)</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Investments in businesses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Dispositions of businesses, net of cash transferred</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financing assets receipts, net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Increase in other intangible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(536)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from settlements of derivative contracts, net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investing activities, net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Net cash flows used in investing activities from continuing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of long-term debt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2,974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Repayment of long-term debt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(175)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commercial paper, net (Note 8)</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473</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Change in other short-term borrowings, net</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68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(2,472)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(2,587)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(2,395)</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financing activities,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(190)</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Net cash flows used in financing activities from continuing operations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(1,909)</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Arial" w:cs="Arial" w:eastAsia="Arial" w:hAnsi="Arial"/>
                <w:sz w:val="17"/>
                <w:szCs w:val="17"/>
                <w:color w:val="auto"/>
              </w:rPr>
              <w:t>Net decrease in cash, cash equivalents, and restricted cash</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(794)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(2,418)</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6,291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7,853</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5,497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5,435</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Less: Restricted cash, included in Other assets, current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5,456</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 Ended September 30,</w:t>
            </w:r>
          </w:p>
        </w:tc>
        <w:tc>
          <w:tcPr>
            <w:tcW w:w="200" w:type="dxa"/>
            <w:vAlign w:val="bottom"/>
          </w:tcPr>
          <w:p>
            <w:pPr>
              <w:spacing w:after="0"/>
              <w:rPr>
                <w:sz w:val="16"/>
                <w:szCs w:val="16"/>
                <w:color w:val="auto"/>
              </w:rPr>
            </w:pPr>
          </w:p>
        </w:tc>
        <w:tc>
          <w:tcPr>
            <w:tcW w:w="2560" w:type="dxa"/>
            <w:vAlign w:val="bottom"/>
            <w:gridSpan w:val="3"/>
          </w:tcPr>
          <w:p>
            <w:pPr>
              <w:jc w:val="right"/>
              <w:ind w:right="215"/>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74,056</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71,990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74,178</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74,664</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38,228</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37,939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37,483</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Common stock plans activity</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auto"/>
              </w:rPr>
              <w:t>160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450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Purchase of subsidiary shares from noncontrolling interest,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38,388</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38,388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37,829</w:t>
            </w:r>
          </w:p>
        </w:tc>
        <w:tc>
          <w:tcPr>
            <w:tcW w:w="0" w:type="dxa"/>
            <w:vAlign w:val="bottom"/>
          </w:tcPr>
          <w:p>
            <w:pPr>
              <w:spacing w:after="0"/>
              <w:rPr>
                <w:sz w:val="1"/>
                <w:szCs w:val="1"/>
                <w:color w:val="auto"/>
              </w:rPr>
            </w:pPr>
          </w:p>
        </w:tc>
      </w:tr>
      <w:tr>
        <w:trPr>
          <w:trHeight w:val="228"/>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Treasury Stock</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(16,713)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(15,530)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(12,727)</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Common stock repurchased</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(1,457)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(2,640)</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(18,170)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(18,170)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(15,141)</w:t>
            </w:r>
          </w:p>
        </w:tc>
        <w:tc>
          <w:tcPr>
            <w:tcW w:w="0" w:type="dxa"/>
            <w:vAlign w:val="bottom"/>
          </w:tcPr>
          <w:p>
            <w:pPr>
              <w:spacing w:after="0"/>
              <w:rPr>
                <w:sz w:val="1"/>
                <w:szCs w:val="1"/>
                <w:color w:val="auto"/>
              </w:rPr>
            </w:pPr>
          </w:p>
        </w:tc>
      </w:tr>
      <w:tr>
        <w:trPr>
          <w:trHeight w:val="228"/>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Retained Earnings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auto"/>
              </w:rPr>
              <w:t>52,489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52,269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50,265</w:t>
            </w: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(984)</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1,769</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auto"/>
              </w:rPr>
              <w:t>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(2,472)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(2,337)</w:t>
            </w: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ESOP common stock</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51,513</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51,652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51,513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51,652</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Unearned ESOP Shares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Common stock plans activity</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Accumulated Other Comprehensive Loss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(1,502)</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(2,116)</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(2,116)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(4,122)</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Arial" w:cs="Arial" w:eastAsia="Arial" w:hAnsi="Arial"/>
                <w:sz w:val="17"/>
                <w:szCs w:val="17"/>
                <w:b w:val="1"/>
                <w:bCs w:val="1"/>
                <w:color w:val="auto"/>
              </w:rPr>
              <w:t>Noncontrolling Interest</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1,576</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1,546</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auto"/>
              </w:rPr>
              <w:t>51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138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Redeemable noncontrolling interest net income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Dividends attributable to noncontrolling interest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subsidiary shares from noncontrolling interest, net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5"/>
        </w:trPr>
        <w:tc>
          <w:tcPr>
            <w:tcW w:w="5600" w:type="dxa"/>
            <w:vAlign w:val="bottom"/>
          </w:tcPr>
          <w:p>
            <w:pPr>
              <w:ind w:left="220"/>
              <w:spacing w:after="0"/>
              <w:rPr>
                <w:sz w:val="20"/>
                <w:szCs w:val="20"/>
                <w:color w:val="auto"/>
              </w:rPr>
            </w:pPr>
            <w:r>
              <w:rPr>
                <w:rFonts w:ascii="Arial" w:cs="Arial" w:eastAsia="Arial" w:hAnsi="Arial"/>
                <w:sz w:val="17"/>
                <w:szCs w:val="17"/>
                <w:color w:val="auto"/>
              </w:rPr>
              <w:t>Disposition of noncontrolling interest, net</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Capital contributions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1,617</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1,617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1,548</w:t>
            </w:r>
          </w:p>
        </w:tc>
        <w:tc>
          <w:tcPr>
            <w:tcW w:w="0" w:type="dxa"/>
            <w:vAlign w:val="bottom"/>
          </w:tcPr>
          <w:p>
            <w:pPr>
              <w:spacing w:after="0"/>
              <w:rPr>
                <w:sz w:val="1"/>
                <w:szCs w:val="1"/>
                <w:color w:val="auto"/>
              </w:rPr>
            </w:pPr>
          </w:p>
        </w:tc>
      </w:tr>
      <w:tr>
        <w:trPr>
          <w:trHeight w:val="235"/>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at September 30</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71,213</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71,735</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71,213</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71,735</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issued under employee plans,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202</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1,432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7"/>
                <w:szCs w:val="17"/>
                <w:color w:val="auto"/>
              </w:rPr>
              <w:t>Shares of common stock repurchased</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auto"/>
              </w:rPr>
              <w:t>17,816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29,770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25,688</w:t>
            </w:r>
          </w:p>
        </w:tc>
        <w:tc>
          <w:tcPr>
            <w:tcW w:w="0" w:type="dxa"/>
            <w:vAlign w:val="bottom"/>
          </w:tcPr>
          <w:p>
            <w:pPr>
              <w:spacing w:after="0"/>
              <w:rPr>
                <w:sz w:val="1"/>
                <w:szCs w:val="1"/>
                <w:color w:val="auto"/>
              </w:rPr>
            </w:pPr>
          </w:p>
        </w:tc>
      </w:tr>
      <w:tr>
        <w:trPr>
          <w:trHeight w:val="241"/>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declared per share of common stock</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1.730</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RTX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at September 30, 2023 and for the quarters and nine months ended September 30, 2023 and 2022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2022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17, 2023, we changed our legal name from Raytheon Technologies Corporation to RTX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Raytheon follows a 4-4-5 fiscal calendar while Collins Aerospace (Collins) and Pratt &amp; Whitney use a quarter calendar end. Throughout this Quarterly Report on Form 10-Q, when we refer to the quarters ended September 30, 2023 and 2022 with respect to Raytheon, we are referring to their October 1, 2023 and October 2, 2022 fiscal quarter ends, respectively.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reclassified certain immaterial prior period amounts within the Condensed Consolidated Statement of Cash Flows to conform to our current period presentation.</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Organizational Structure. </w:t>
      </w:r>
      <w:r>
        <w:rPr>
          <w:rFonts w:ascii="Arial" w:cs="Arial" w:eastAsia="Arial" w:hAnsi="Arial"/>
          <w:sz w:val="16"/>
          <w:szCs w:val="16"/>
          <w:color w:val="auto"/>
        </w:rPr>
        <w:t>As previously announced, effective July 1, 2023, we streamlined the structure of our core businesses to three principal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Collins Aerospace, Pratt &amp; Whitney, and Raytheon. All segment information included in this Form 10-Q is reflective of this new structure and prior period information has been recast to conform to our current period presentation. In conjunction with the segment realignment, the Company revised its accounting policy with respect to the financial statement presentation of an immaterial amount of state income taxes allocable to U.S. government contracts related to our legacy Raytheon Intelligence &amp; Space (RIS) and Raytheon Missiles &amp; Defense (RMD) segments. Prior to July 1, 2023, these state income taxes were classified as Selling, general and administrative expenses. Effective with the segment change, state income tax amounts previously reported within Selling, general and administrative expenses were reclassified to Income tax expense (benefit) within the Condensed Consolidated Statement of Operations, and prior period amounts have been reclassified to conform to our current period presentation.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Pratt &amp; Whitney Powder Metal Matter. </w:t>
      </w:r>
      <w:r>
        <w:rPr>
          <w:rFonts w:ascii="Arial" w:cs="Arial" w:eastAsia="Arial" w:hAnsi="Arial"/>
          <w:sz w:val="17"/>
          <w:szCs w:val="17"/>
          <w:color w:val="auto"/>
        </w:rPr>
        <w:t>Pratt &amp; Whitney has determined that a rare condition in powder metal used to manufacture certain engine parts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accelerated inspection of the PW1100G-JM (PW1100) Geared Turbofan (GTF) fleet, which powers the A320neo family of aircraft (A320neo) (herein referred to as the “Powder Metal Matter”). See “Note 15: Commitments and Contingencies” for additional information.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Russia Sanctions. </w:t>
      </w:r>
      <w:r>
        <w:rPr>
          <w:rFonts w:ascii="Arial" w:cs="Arial" w:eastAsia="Arial" w:hAnsi="Arial"/>
          <w:sz w:val="16"/>
          <w:szCs w:val="16"/>
          <w:color w:val="auto"/>
        </w:rPr>
        <w:t>In response to the Russian military’s invasion of Ukraine on February 24, 2022, the U.S. government and the governments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these sanctions on Russia and export controls, in the first quarter of 2022, we recorded pretax charges of $290 million, $210 million net of tax, and the impact of noncontrolling interest, within our Collins and Pratt &amp; Whitney businesses primarily related to increased estimates for credit losses on both our accounts receivable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We continue to monitor developments, including additional sanctions and other measures, that could adversely affect the Company and/or our supply chain, business partners, or customers.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Coronavirus Disease 2019 (COVID-19) Pandemic. </w:t>
      </w:r>
      <w:r>
        <w:rPr>
          <w:rFonts w:ascii="Arial" w:cs="Arial" w:eastAsia="Arial" w:hAnsi="Arial"/>
          <w:sz w:val="18"/>
          <w:szCs w:val="18"/>
          <w:color w:val="auto"/>
        </w:rPr>
        <w:t>The COVID-19 pandemic caused continuing negative effects on the global economy, our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 labor market, supply chains, inflation, and the industries in which we operate. We believe the long-term outlook for the aerospace industry remains positive due to the fundamental drivers of air travel demand.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expectations regarding the negative effects of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Dispositions, Goodwill, and Intangible Assets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On July 20, 2023, we entered into a definitive agreement to sell our actuation and flight control business within our Collins segment for gross</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approximately $1.8 billion. The closing of the transaction is subject to regulatory approvals and other customary closing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nine months ended September 30, 2023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Balance as of December</w:t>
            </w:r>
          </w:p>
        </w:tc>
        <w:tc>
          <w:tcPr>
            <w:tcW w:w="30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4"/>
                <w:szCs w:val="14"/>
                <w:b w:val="1"/>
                <w:bCs w:val="1"/>
                <w:color w:val="auto"/>
              </w:rPr>
              <w:t>Acquisitions and</w:t>
            </w:r>
          </w:p>
        </w:tc>
        <w:tc>
          <w:tcPr>
            <w:tcW w:w="220" w:type="dxa"/>
            <w:vAlign w:val="bottom"/>
          </w:tcPr>
          <w:p>
            <w:pPr>
              <w:spacing w:after="0"/>
              <w:rPr>
                <w:sz w:val="14"/>
                <w:szCs w:val="14"/>
                <w:color w:val="auto"/>
              </w:rPr>
            </w:pPr>
          </w:p>
        </w:tc>
        <w:tc>
          <w:tcPr>
            <w:tcW w:w="1720" w:type="dxa"/>
            <w:vAlign w:val="bottom"/>
          </w:tcPr>
          <w:p>
            <w:pPr>
              <w:ind w:left="200"/>
              <w:spacing w:after="0"/>
              <w:rPr>
                <w:sz w:val="20"/>
                <w:szCs w:val="20"/>
                <w:color w:val="auto"/>
              </w:rPr>
            </w:pPr>
            <w:r>
              <w:rPr>
                <w:rFonts w:ascii="Arial" w:cs="Arial" w:eastAsia="Arial" w:hAnsi="Arial"/>
                <w:sz w:val="14"/>
                <w:szCs w:val="14"/>
                <w:b w:val="1"/>
                <w:bCs w:val="1"/>
                <w:color w:val="auto"/>
              </w:rPr>
              <w:t>Foreign Currency</w:t>
            </w:r>
          </w:p>
        </w:tc>
        <w:tc>
          <w:tcPr>
            <w:tcW w:w="240" w:type="dxa"/>
            <w:vAlign w:val="bottom"/>
          </w:tcPr>
          <w:p>
            <w:pPr>
              <w:spacing w:after="0"/>
              <w:rPr>
                <w:sz w:val="14"/>
                <w:szCs w:val="14"/>
                <w:color w:val="auto"/>
              </w:rPr>
            </w:pPr>
          </w:p>
        </w:tc>
        <w:tc>
          <w:tcPr>
            <w:tcW w:w="1520" w:type="dxa"/>
            <w:vAlign w:val="bottom"/>
          </w:tcPr>
          <w:p>
            <w:pPr>
              <w:jc w:val="right"/>
              <w:ind w:right="355"/>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31, 2022</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Translation and Other</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September 30, 2023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15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32,846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32,891</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1,563</w:t>
            </w:r>
          </w:p>
        </w:tc>
        <w:tc>
          <w:tcPr>
            <w:tcW w:w="300" w:type="dxa"/>
            <w:vAlign w:val="bottom"/>
          </w:tcPr>
          <w:p>
            <w:pPr>
              <w:spacing w:after="0"/>
              <w:rPr>
                <w:sz w:val="19"/>
                <w:szCs w:val="19"/>
                <w:color w:val="auto"/>
              </w:rPr>
            </w:pPr>
          </w:p>
        </w:tc>
        <w:tc>
          <w:tcPr>
            <w:tcW w:w="1520" w:type="dxa"/>
            <w:vAlign w:val="bottom"/>
          </w:tcPr>
          <w:p>
            <w:pPr>
              <w:ind w:left="1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720" w:type="dxa"/>
            <w:vAlign w:val="bottom"/>
          </w:tcPr>
          <w:p>
            <w:pPr>
              <w:ind w:left="14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19,414</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19,412</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 Segments</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53,823</w:t>
            </w:r>
          </w:p>
        </w:tc>
        <w:tc>
          <w:tcPr>
            <w:tcW w:w="30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1720" w:type="dxa"/>
            <w:vAlign w:val="bottom"/>
          </w:tcPr>
          <w:p>
            <w:pPr>
              <w:ind w:left="1420"/>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53,866</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53,840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53,883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July 1, 2023, we implemented a new organizational structure resulting in a change from four segments to three segments. As a result, we reassigned goodwill and customer relationship intangibles to our new segment structure. Goodwill was reassigned on a relative fair value basis and we tested goodwill related to the impacted reporting units immediately before and after the reassignment and determined that no impairment existed.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3140" w:type="dxa"/>
            <w:vAlign w:val="bottom"/>
            <w:gridSpan w:val="3"/>
          </w:tcPr>
          <w:p>
            <w:pPr>
              <w:jc w:val="right"/>
              <w:ind w:right="101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Pr>
          <w:p>
            <w:pPr>
              <w:spacing w:after="0"/>
              <w:rPr>
                <w:sz w:val="11"/>
                <w:szCs w:val="11"/>
                <w:color w:val="auto"/>
              </w:rPr>
            </w:pPr>
          </w:p>
        </w:tc>
        <w:tc>
          <w:tcPr>
            <w:tcW w:w="136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Collaboration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b w:val="1"/>
                <w:bCs w:val="1"/>
                <w:color w:val="auto"/>
              </w:rPr>
              <w:t>5,742</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5,536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Exclusivity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3,290</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2,911</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Developed technology and other</w:t>
            </w:r>
          </w:p>
        </w:tc>
        <w:tc>
          <w:tcPr>
            <w:tcW w:w="24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b w:val="1"/>
                <w:bCs w:val="1"/>
                <w:color w:val="auto"/>
              </w:rPr>
              <w:t>1,212</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29,830</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(10,282)</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29,775</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40,074</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(12,855)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39,424</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Trademarks and other</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8,646</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8,641</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48,720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(12,855)</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48,065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intangible assets for the quarters and nine months ended September 30, 2023 and 2022 was $545 million and $1,564 million and $497 million and $1,451 million, respectively. The following is the expected amortization of intangible assets for the remainder of 2023 through 2028:</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 2023</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2027</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2028</w:t>
            </w:r>
          </w:p>
        </w:tc>
      </w:tr>
      <w:tr>
        <w:trPr>
          <w:trHeight w:val="25"/>
        </w:trPr>
        <w:tc>
          <w:tcPr>
            <w:tcW w:w="2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2,195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2,102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1,905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3"/>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(984)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1,769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1,769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1,448.1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1,455.7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10.2</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1,448.1</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1,465.9</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w w:val="94"/>
              </w:rPr>
              <w:t>Earnings (Loss) Per Share attributable to common shareowners - Basic:</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w w:val="92"/>
              </w:rPr>
              <w:t>Earnings (Loss) Per Share attributable to common shareowners - Diluted: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common shareowners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 and nine months ended September 30, 2023, the number of stock awards excluded from the computation was 20.5 million and 7.0 million, respectively. For the quarter and nine months ended September 30, 2022, the number of stock awards excluded from the computation was 10.4 million and 7.1 million, respectively. All outstanding stock awards are excluded in the computation of diluted EPS in the quarter ended September 30, 2023 because their effect was antidilutive due to the loss from continuing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Changes in Contract Estimates at Completion</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periods based on a performance obligation’s percentage of 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 of completion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65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(loss) from continuing operations attributable to common shareowners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line="176" w:lineRule="exact"/>
              <w:rPr>
                <w:sz w:val="20"/>
                <w:szCs w:val="20"/>
                <w:color w:val="auto"/>
              </w:rPr>
            </w:pPr>
            <w:r>
              <w:rPr>
                <w:rFonts w:ascii="Arial" w:cs="Arial" w:eastAsia="Arial" w:hAnsi="Arial"/>
                <w:sz w:val="18"/>
                <w:szCs w:val="18"/>
                <w:color w:val="auto"/>
                <w:w w:val="97"/>
              </w:rPr>
              <w:t>Diluted earnings (loss) per share from continuing operations attributable to common</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8"/>
                <w:szCs w:val="18"/>
                <w:color w:val="auto"/>
              </w:rPr>
              <w:t xml:space="preserve">shareowners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approximates our tax rate on our EAC adjustments.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3"/>
              </w:rPr>
              <w:t>September 30, 2023</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53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10,422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expected credit losses</w:t>
            </w:r>
          </w:p>
        </w:tc>
        <w:tc>
          <w:tcPr>
            <w:tcW w:w="2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10,058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Contract Assets and Liabilities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6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Arial" w:cs="Arial" w:eastAsia="Arial" w:hAnsi="Arial"/>
                <w:sz w:val="14"/>
                <w:szCs w:val="14"/>
                <w:b w:val="1"/>
                <w:bCs w:val="1"/>
                <w:color w:val="auto"/>
                <w:w w:val="94"/>
              </w:rPr>
              <w:t>September 30, 2023</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47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12,696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3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(15,248)</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r>
    </w:tbl>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Contract assets increased $1,162 million during the nine months ended September 30, 2023 primarily due to sales in excess of billings on certain contracts at Raytheon and Pratt &amp; Whitney, partially offset by a decrease in contract assets driven by a customer insolvency charge recorded in the second quarter of 2023 and the EAC impacts related to the Powder Metal Matter, both at Pratt &amp; Whitney. Contract liabilities increased $650 million during the nine months ended September 30, 2023 primarily due to billings in excess of sales on certain contracts at Pratt &amp; Whitney and Collins. We recognized revenue of $0.9 billion and $4.4 billion during the quarter and nine months ended September 30, 2023, respectively, related to contract liabilities as of January 1, 2023 and $1.1 billion and $4.1 billion during the quarter and nine months ended September 30, 2022, respectively, related to contract liabilities as of January 1, 2022.</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our Contract liabilities include approximately $390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assets include an allowance for expected credit losses of $235 million and $318 million as of September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60" w:type="dxa"/>
            <w:vAlign w:val="bottom"/>
          </w:tcPr>
          <w:p>
            <w:pPr>
              <w:spacing w:after="0"/>
              <w:rPr>
                <w:sz w:val="16"/>
                <w:szCs w:val="16"/>
                <w:color w:val="auto"/>
              </w:rPr>
            </w:pPr>
          </w:p>
        </w:tc>
        <w:tc>
          <w:tcPr>
            <w:tcW w:w="150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September 30, 2023</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4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36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b w:val="1"/>
                <w:bCs w:val="1"/>
                <w:color w:val="auto"/>
              </w:rPr>
              <w:t>4,297</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3,859</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inventory, net</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12,050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 and Lines of Credit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we had a revolving credit agreement with various banks permitting aggregate borrowings of up to $5.0 billion. This agreement was renewed in August 2023 and expires in August 2028. As of September 30, 2023, there were no borrowings outstanding under this agreement. The Company’s $2.0 billion revolving credit agreement scheduled to expire September 2023, was terminated in August 2023, and there were no outstanding borrowings at the time of termination.</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2023, our maximum commercial paper borrowing limit was $5.0 billion as the commercial paper is backed by our $5.0 billion revolving credit agreement. We had $1.0 billion and $0.5 billion of commercial paper borrowings outstanding at September 30, 2023 and December 31, 2022, respectively, which is reflected in Short-term borrowings in our Condensed Consolidated Balance Sheet. At September 30, 2023 and December 31, 2022, short-term commercial paper borrowings outstanding had a weighted-average interest rate of 5.6% and 4.4%, respectively.</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we had no new borrowings, and $200 million of repayments, of commercial paper with maturities greater than 90 days. During the nine months ended September 30, 2022, we had $1.4 billion of proceeds from issuance, and no repayments, of commercial paper with maturities greater than 90 days.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issuances of long-term debt during the nine months ended September 30, 2023:</w:t>
      </w:r>
    </w:p>
    <w:p>
      <w:pPr>
        <w:spacing w:after="0" w:line="13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43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Description of Notes</w:t>
            </w:r>
          </w:p>
        </w:tc>
        <w:tc>
          <w:tcPr>
            <w:tcW w:w="3320" w:type="dxa"/>
            <w:vAlign w:val="bottom"/>
          </w:tcPr>
          <w:p>
            <w:pPr>
              <w:jc w:val="center"/>
              <w:ind w:left="1288"/>
              <w:spacing w:after="0"/>
              <w:rPr>
                <w:sz w:val="20"/>
                <w:szCs w:val="20"/>
                <w:color w:val="auto"/>
              </w:rPr>
            </w:pPr>
            <w:r>
              <w:rPr>
                <w:rFonts w:ascii="Arial" w:cs="Arial" w:eastAsia="Arial" w:hAnsi="Arial"/>
                <w:sz w:val="14"/>
                <w:szCs w:val="14"/>
                <w:b w:val="1"/>
                <w:bCs w:val="1"/>
                <w:color w:val="auto"/>
                <w:w w:val="92"/>
              </w:rPr>
              <w:t>Aggregate Principal Balance (in</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4300" w:type="dxa"/>
            <w:vAlign w:val="bottom"/>
            <w:vMerge w:val="continue"/>
          </w:tcPr>
          <w:p>
            <w:pPr>
              <w:spacing w:after="0"/>
              <w:rPr>
                <w:sz w:val="16"/>
                <w:szCs w:val="16"/>
                <w:color w:val="auto"/>
              </w:rPr>
            </w:pPr>
          </w:p>
        </w:tc>
        <w:tc>
          <w:tcPr>
            <w:tcW w:w="3320" w:type="dxa"/>
            <w:vAlign w:val="bottom"/>
          </w:tcPr>
          <w:p>
            <w:pPr>
              <w:jc w:val="center"/>
              <w:ind w:left="1308"/>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27, 2023</w:t>
            </w:r>
          </w:p>
        </w:tc>
        <w:tc>
          <w:tcPr>
            <w:tcW w:w="54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5.000% notes due 2026</w:t>
            </w:r>
          </w:p>
        </w:tc>
        <w:tc>
          <w:tcPr>
            <w:tcW w:w="32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5.150% notes due 2033</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shd w:val="clear" w:color="auto" w:fill="CCEEFF"/>
          </w:tcPr>
          <w:p>
            <w:pPr>
              <w:spacing w:after="0"/>
              <w:rPr>
                <w:sz w:val="20"/>
                <w:szCs w:val="20"/>
                <w:color w:val="auto"/>
              </w:rPr>
            </w:pPr>
          </w:p>
        </w:tc>
        <w:tc>
          <w:tcPr>
            <w:tcW w:w="5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5.375% notes due 2053</w:t>
            </w:r>
          </w:p>
        </w:tc>
        <w:tc>
          <w:tcPr>
            <w:tcW w:w="3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392"/>
        </w:trPr>
        <w:tc>
          <w:tcPr>
            <w:tcW w:w="7700" w:type="dxa"/>
            <w:vAlign w:val="bottom"/>
            <w:gridSpan w:val="2"/>
          </w:tcPr>
          <w:p>
            <w:pPr>
              <w:spacing w:after="0"/>
              <w:rPr>
                <w:sz w:val="20"/>
                <w:szCs w:val="20"/>
                <w:color w:val="auto"/>
              </w:rPr>
            </w:pPr>
            <w:r>
              <w:rPr>
                <w:rFonts w:ascii="Arial" w:cs="Arial" w:eastAsia="Arial" w:hAnsi="Arial"/>
                <w:sz w:val="18"/>
                <w:szCs w:val="18"/>
                <w:color w:val="auto"/>
                <w:w w:val="92"/>
              </w:rPr>
              <w:t>We made the following repayment of long-term debt during the nine months ended September 30, 2023:</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2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Repayment Date</w:t>
            </w:r>
          </w:p>
        </w:tc>
        <w:tc>
          <w:tcPr>
            <w:tcW w:w="546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Description of Notes</w:t>
            </w:r>
          </w:p>
        </w:tc>
        <w:tc>
          <w:tcPr>
            <w:tcW w:w="320" w:type="dxa"/>
            <w:vAlign w:val="bottom"/>
          </w:tcPr>
          <w:p>
            <w:pPr>
              <w:spacing w:after="0"/>
              <w:rPr>
                <w:sz w:val="14"/>
                <w:szCs w:val="14"/>
                <w:color w:val="auto"/>
              </w:rPr>
            </w:pPr>
          </w:p>
        </w:tc>
        <w:tc>
          <w:tcPr>
            <w:tcW w:w="32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Aggregate Principal Balance (in</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vMerge w:val="continue"/>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16, 2023</w:t>
            </w:r>
          </w:p>
        </w:tc>
        <w:tc>
          <w:tcPr>
            <w:tcW w:w="5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3.650% notes due 2023</w:t>
            </w:r>
          </w:p>
        </w:tc>
        <w:tc>
          <w:tcPr>
            <w:tcW w:w="3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405"/>
        </w:trPr>
        <w:tc>
          <w:tcPr>
            <w:tcW w:w="77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jc w:val="right"/>
              <w:ind w:right="372"/>
              <w:spacing w:after="0"/>
              <w:rPr>
                <w:sz w:val="20"/>
                <w:szCs w:val="20"/>
                <w:color w:val="auto"/>
              </w:rPr>
            </w:pPr>
            <w:r>
              <w:rPr>
                <w:rFonts w:ascii="Arial" w:cs="Arial" w:eastAsia="Arial" w:hAnsi="Arial"/>
                <w:sz w:val="14"/>
                <w:szCs w:val="14"/>
                <w:b w:val="1"/>
                <w:bCs w:val="1"/>
                <w:color w:val="auto"/>
                <w:w w:val="94"/>
              </w:rPr>
              <w:t>September 30, 2023</w:t>
            </w:r>
          </w:p>
        </w:tc>
        <w:tc>
          <w:tcPr>
            <w:tcW w:w="150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5"/>
        </w:trPr>
        <w:tc>
          <w:tcPr>
            <w:tcW w:w="224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tc>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3.700% notes due 2023 </w:t>
            </w:r>
            <w:r>
              <w:rPr>
                <w:rFonts w:ascii="Arial" w:cs="Arial" w:eastAsia="Arial" w:hAnsi="Arial"/>
                <w:sz w:val="23"/>
                <w:szCs w:val="23"/>
                <w:color w:val="auto"/>
                <w:vertAlign w:val="superscript"/>
              </w:rPr>
              <w:t>(1)</w:t>
            </w:r>
          </w:p>
        </w:tc>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400</w:t>
            </w: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3.200% notes due 2024 </w:t>
            </w:r>
            <w:r>
              <w:rPr>
                <w:rFonts w:ascii="Arial" w:cs="Arial" w:eastAsia="Arial" w:hAnsi="Arial"/>
                <w:sz w:val="23"/>
                <w:szCs w:val="23"/>
                <w:color w:val="auto"/>
                <w:vertAlign w:val="superscript"/>
              </w:rPr>
              <w:t>(1)</w:t>
            </w:r>
          </w:p>
        </w:tc>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950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3.150% notes due 2024 </w:t>
            </w:r>
            <w:r>
              <w:rPr>
                <w:rFonts w:ascii="Arial" w:cs="Arial" w:eastAsia="Arial" w:hAnsi="Arial"/>
                <w:sz w:val="23"/>
                <w:szCs w:val="23"/>
                <w:color w:val="auto"/>
                <w:vertAlign w:val="superscript"/>
              </w:rPr>
              <w:t>(1)</w:t>
            </w:r>
          </w:p>
        </w:tc>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300</w:t>
            </w: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tc>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1,500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tc>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719</w:t>
            </w:r>
          </w:p>
        </w:tc>
        <w:tc>
          <w:tcPr>
            <w:tcW w:w="15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5.000% notes due 2026 </w:t>
            </w:r>
            <w:r>
              <w:rPr>
                <w:rFonts w:ascii="Arial" w:cs="Arial" w:eastAsia="Arial" w:hAnsi="Arial"/>
                <w:sz w:val="23"/>
                <w:szCs w:val="23"/>
                <w:color w:val="auto"/>
                <w:vertAlign w:val="superscript"/>
              </w:rPr>
              <w:t>(1)</w:t>
            </w:r>
          </w:p>
        </w:tc>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tc>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1,100</w:t>
            </w:r>
          </w:p>
        </w:tc>
        <w:tc>
          <w:tcPr>
            <w:tcW w:w="15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3.500% notes due 2027 </w:t>
            </w:r>
            <w:r>
              <w:rPr>
                <w:rFonts w:ascii="Arial" w:cs="Arial" w:eastAsia="Arial" w:hAnsi="Arial"/>
                <w:sz w:val="23"/>
                <w:szCs w:val="23"/>
                <w:color w:val="auto"/>
                <w:vertAlign w:val="superscript"/>
              </w:rPr>
              <w:t>(1)</w:t>
            </w:r>
          </w:p>
        </w:tc>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7.200% notes due 2027 </w:t>
            </w:r>
            <w:r>
              <w:rPr>
                <w:rFonts w:ascii="Arial" w:cs="Arial" w:eastAsia="Arial" w:hAnsi="Arial"/>
                <w:sz w:val="23"/>
                <w:szCs w:val="23"/>
                <w:color w:val="auto"/>
                <w:vertAlign w:val="superscript"/>
              </w:rPr>
              <w:t>(1)</w:t>
            </w:r>
          </w:p>
        </w:tc>
        <w:tc>
          <w:tcPr>
            <w:tcW w:w="5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382</w:t>
            </w:r>
          </w:p>
        </w:tc>
        <w:tc>
          <w:tcPr>
            <w:tcW w:w="150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7.100% notes due 2027</w:t>
            </w:r>
          </w:p>
        </w:tc>
        <w:tc>
          <w:tcPr>
            <w:tcW w:w="5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135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4"/>
        </w:trPr>
        <w:tc>
          <w:tcPr>
            <w:tcW w:w="2240" w:type="dxa"/>
            <w:vAlign w:val="bottom"/>
          </w:tcPr>
          <w:p>
            <w:pPr>
              <w:ind w:left="20"/>
              <w:spacing w:after="0"/>
              <w:rPr>
                <w:sz w:val="20"/>
                <w:szCs w:val="20"/>
                <w:color w:val="auto"/>
              </w:rPr>
            </w:pPr>
            <w:r>
              <w:rPr>
                <w:rFonts w:ascii="Arial" w:cs="Arial" w:eastAsia="Arial" w:hAnsi="Arial"/>
                <w:sz w:val="18"/>
                <w:szCs w:val="18"/>
                <w:color w:val="auto"/>
              </w:rPr>
              <w:t>6.700% notes due 2028</w:t>
            </w:r>
          </w:p>
        </w:tc>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285</w:t>
            </w:r>
          </w:p>
        </w:tc>
        <w:tc>
          <w:tcPr>
            <w:tcW w:w="15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7.000% notes due 2028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414</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533</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2.250% notes due 2030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1.900% notes due 2031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2.375% notes due 2032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5.150% notes due 2033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7.000% notes due 2038</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4.875% notes due 2040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4.700% notes due 2041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4.800% notes due 2043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4.200% notes due 2044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4.350% notes due 2047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3.125% notes due 2050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2.820% notes due 2051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3.030% notes due 2052 </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5.375% notes due 2053 </w:t>
            </w:r>
            <w:r>
              <w:rPr>
                <w:rFonts w:ascii="Arial" w:cs="Arial" w:eastAsia="Arial" w:hAnsi="Arial"/>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(including finance leases)</w:t>
            </w:r>
          </w:p>
        </w:tc>
        <w:tc>
          <w:tcPr>
            <w:tcW w:w="1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long-term debt</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34,087</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31,249</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(fair market value adjustments, (discounts)/premiums, and debt issuance costs)</w:t>
            </w:r>
          </w:p>
        </w:tc>
        <w:tc>
          <w:tcPr>
            <w:tcW w:w="1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34,090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31,289</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portion</w:t>
            </w:r>
          </w:p>
        </w:tc>
        <w:tc>
          <w:tcPr>
            <w:tcW w:w="1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1,389</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4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32,701</w:t>
            </w:r>
          </w:p>
        </w:tc>
        <w:tc>
          <w:tcPr>
            <w:tcW w:w="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r>
    </w:tbl>
    <w:p>
      <w:pPr>
        <w:spacing w:after="0" w:line="17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average maturity of our long-term debt at September 30, 2023 is approximately 14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Benefit Plans</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benefit pension and postretirement benefit (PRB)</w:t>
      </w:r>
      <w:r>
        <w:rPr>
          <w:rFonts w:ascii="Arial" w:cs="Arial" w:eastAsia="Arial" w:hAnsi="Arial"/>
          <w:sz w:val="18"/>
          <w:szCs w:val="18"/>
          <w:b w:val="1"/>
          <w:bCs w:val="1"/>
          <w:color w:val="auto"/>
        </w:rPr>
        <w:t xml:space="preserve"> </w:t>
      </w:r>
      <w:r>
        <w:rPr>
          <w:rFonts w:ascii="Arial" w:cs="Arial" w:eastAsia="Arial" w:hAnsi="Arial"/>
          <w:sz w:val="18"/>
          <w:szCs w:val="18"/>
          <w:color w:val="auto"/>
        </w:rPr>
        <w:t>plans and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our plans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qualified defined benefit plans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International defined benefit plans</w:t>
            </w:r>
          </w:p>
        </w:tc>
        <w:tc>
          <w:tcPr>
            <w:tcW w:w="1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b w:val="1"/>
                <w:bCs w:val="1"/>
                <w:color w:val="auto"/>
              </w:rPr>
              <w:t>42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PRB plans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Defined contribution plans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296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985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2020, we approved a change to the Raytheon Company domestic defined benefit pension plans for non-union participants to cease future benefit accruals based on an employee’s years of service and compensation under the historical formula effective December 31, 2022. The plan change does not impact participants’ historical benefit accruals. Benefits for service after December 31, 2022 are based on a cash balance formula. This plan change resulted in lower pension service cost beginning January 1,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Condensed Consolidated Balance Sheet consist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0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pension assets (included in Other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Current pension and PRB liabilities (included in Accrued employee compensation)</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307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7"/>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8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4,457</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r>
      <w:tr>
        <w:trPr>
          <w:trHeight w:val="405"/>
        </w:trPr>
        <w:tc>
          <w:tcPr>
            <w:tcW w:w="7320" w:type="dxa"/>
            <w:vAlign w:val="bottom"/>
          </w:tcPr>
          <w:p>
            <w:pPr>
              <w:spacing w:after="0"/>
              <w:rPr>
                <w:sz w:val="20"/>
                <w:szCs w:val="20"/>
                <w:color w:val="auto"/>
              </w:rPr>
            </w:pPr>
            <w:r>
              <w:rPr>
                <w:rFonts w:ascii="Arial" w:cs="Arial" w:eastAsia="Arial" w:hAnsi="Arial"/>
                <w:sz w:val="18"/>
                <w:szCs w:val="18"/>
                <w:color w:val="auto"/>
                <w:w w:val="99"/>
              </w:rPr>
              <w:t>The amounts recognized in Future pension and postretirement benefit obligations consist of:</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2"/>
        </w:trPr>
        <w:tc>
          <w:tcPr>
            <w:tcW w:w="7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00" w:type="dxa"/>
            <w:vAlign w:val="bottom"/>
          </w:tcPr>
          <w:p>
            <w:pPr>
              <w:spacing w:after="0"/>
              <w:rPr>
                <w:sz w:val="24"/>
                <w:szCs w:val="24"/>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Pr>
          <w:p>
            <w:pPr>
              <w:spacing w:after="0"/>
              <w:rPr>
                <w:sz w:val="24"/>
                <w:szCs w:val="24"/>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pension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Noncurrent PRB liabilities</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581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57"/>
        </w:trPr>
        <w:tc>
          <w:tcPr>
            <w:tcW w:w="7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pension and PRB related items</w:t>
            </w:r>
          </w:p>
        </w:tc>
        <w:tc>
          <w:tcPr>
            <w:tcW w:w="8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60</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Future pension and postretirement benefit obligations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(income) expense for our defined pension and PRB plans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9"/>
              </w:rPr>
              <w:t>Pension Benefits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92"/>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Quarter Ended September 30,</w:t>
            </w:r>
          </w:p>
        </w:tc>
        <w:tc>
          <w:tcPr>
            <w:tcW w:w="280" w:type="dxa"/>
            <w:vAlign w:val="bottom"/>
          </w:tcPr>
          <w:p>
            <w:pPr>
              <w:spacing w:after="0"/>
              <w:rPr>
                <w:sz w:val="16"/>
                <w:szCs w:val="16"/>
                <w:color w:val="auto"/>
              </w:rPr>
            </w:pPr>
          </w:p>
        </w:tc>
        <w:tc>
          <w:tcPr>
            <w:tcW w:w="250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Quarter Ended September 30,</w:t>
            </w:r>
          </w:p>
        </w:tc>
      </w:tr>
      <w:tr>
        <w:trPr>
          <w:trHeight w:val="19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Service cost</w:t>
            </w: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56</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627</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Recognized actuarial net (gain) loss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Net settlement, curtailment, and special termination benefit (gain) loss</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986"/>
        </w:trPr>
        <w:tc>
          <w:tcPr>
            <w:tcW w:w="542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Pension Benefits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PRB</w:t>
            </w:r>
          </w:p>
        </w:tc>
        <w:tc>
          <w:tcPr>
            <w:tcW w:w="1020" w:type="dxa"/>
            <w:vAlign w:val="bottom"/>
          </w:tcPr>
          <w:p>
            <w:pPr>
              <w:spacing w:after="0"/>
              <w:rPr>
                <w:sz w:val="14"/>
                <w:szCs w:val="14"/>
                <w:color w:val="auto"/>
              </w:rPr>
            </w:pPr>
          </w:p>
        </w:tc>
      </w:tr>
      <w:tr>
        <w:trPr>
          <w:trHeight w:val="192"/>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c>
          <w:tcPr>
            <w:tcW w:w="25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167</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1,880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36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actuarial net (gain)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Net settlement, curtailment, and special termination benefit (gain) loss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Non-service pension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periodic benefit (income) expense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(1,164)</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5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737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2023, the Internal Revenue Service (IRS) issued Notice 2023-63 providing interim guidance regarding the capitalization and amortization of research and experimental expenditures for U.S. tax purposes that became effective in 2022; prior to 2022 research and experimental expenditures were generally deductible in the period incurred. The IRS notice also provides that the Department of the Treasury and the IRS intend to issue proposed regulations consistent with the guidance set forth in the notice and that taxpayers may rely on the guidance in the notice prior to the issuance of the proposed regulations.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analysis indicates the guidance provided in the notice will result in fewer costs being subject to capitalization, and as such, costs previously required to be capitalized will now be deductible in the year incurred. Accordingly, the financial statements for the quarter and nine months ended September 30, 2023 include the estimated impacts of the interim guidance provided in the notice for both the 2022 and 2023 tax years. The Company will continue to review the applicability of the notice to our businesses and will review the proposed regulations when issued and adjust the estimates as necessary.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quarter and nine months ended September 30, 2023 was 29.4% and 9.2%, respectively, as compared to 16.8% and 13.8% for the quarter and nine months ended September 30, 2022, respectively. The change in our effective tax rate for the quarter and nine months ended September 30, 2023 primarily relates to a $2.9 billion charge related to the Powder Metal Matter. We recorded a deferred income tax benefit related to this charge of $663 million. The remaining change is primarily driven by a higher forecasted annualized effective tax rate for 2023 principally due to a lower forecasted Foreign Derived Intangible Income (FDII) benefit.</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2013.</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Examination Division of the Internal Revenue Service (IRS) is concluding the examination phase of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examination phase of these audits is expected to close in 2023. The Company expects to dispute certain IRS proposed adjustments for each exam at the Appeals Division of the IRS.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that it is reasonably possible that the closure of the audit examination phase for the RTX 2017 and 2018 and Rockwell Collins 2016, 2017, and 2018 tax years, as well as the expected expiration of U.S. federal income tax statute of limitations for RTX’s 2019 tax year in the fourth quarter of 2023, will result in a net income benefit in the range of $275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million to $365 million. This range includes the effects of adjusting interest accruals and certain tax related indemnity receivables related to the separation and distributions of Carrier Global Corporation (Carrier) and Otis Worldwide Corporation (Otis). The tax components of this range are included in the revaluation range discussed below.</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$350 million to $475 million of unrecognized tax benefits may occur within the next 12 months as a result of the revaluation of uncertain tax positions arising from developments in examinations, in appeals, or in the courts, or the closure of tax statutes.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4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The present value of aggregate notional principal of our outstanding foreign currency hedges was $12.7 billion and $11.2 billion at September 30, 2023 and December 31, 2022, respectively. At September 30, 2023, all derivative contracts accounted for as cash flow hedges will mature by February 2030.</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tcPr>
          <w:p>
            <w:pPr>
              <w:spacing w:after="0"/>
              <w:rPr>
                <w:sz w:val="16"/>
                <w:szCs w:val="16"/>
                <w:color w:val="auto"/>
              </w:rPr>
            </w:pPr>
          </w:p>
        </w:tc>
        <w:tc>
          <w:tcPr>
            <w:tcW w:w="156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September 30, 2023</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tcPr>
          <w:p>
            <w:pPr>
              <w:ind w:left="480"/>
              <w:spacing w:after="0"/>
              <w:rPr>
                <w:sz w:val="20"/>
                <w:szCs w:val="20"/>
                <w:color w:val="auto"/>
              </w:rPr>
            </w:pPr>
            <w:r>
              <w:rPr>
                <w:rFonts w:ascii="Arial" w:cs="Arial" w:eastAsia="Arial" w:hAnsi="Arial"/>
                <w:sz w:val="18"/>
                <w:szCs w:val="18"/>
                <w:color w:val="auto"/>
              </w:rPr>
              <w:t>Other assets, current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125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231</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2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 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 accrued liabilities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cash flow hedging relationships on Accumulated other comprehensive income (loss) and on the Condensed Consolidated Statement of Operations in the quarters and nine months ended September 30, 2023 and 2022 are presented in “Note 16: Accumulated Other Comprehensive Loss.” The amounts of gain or loss are attributable to foreign exchange contract activity and are primarily recorded as a component of Products sales when reclassified from Accumulated other comprehensive loss.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our €500 million principal value of euro-denominated long-term debt qualifies as a net investment hedge against our investments in European businesses, which is deemed to be effective.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derivatives not designated as hedging instruments is included within Other income, net, on the Condensed Consolidated Statement of Operations and is not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September 30, 2023</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737</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675</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151</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274</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274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715"/>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386</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derivative assets and liabilities include foreign exchange contracts that are measured at fair value using internal models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observable market inputs such as forward rates, interest rates, our own credit risk, and our counterparties’ credit risks.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2023,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ind w:left="52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2520" w:type="dxa"/>
            <w:vAlign w:val="bottom"/>
            <w:gridSpan w:val="3"/>
          </w:tcPr>
          <w:p>
            <w:pPr>
              <w:jc w:val="right"/>
              <w:ind w:right="71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right"/>
              <w:ind w:right="321"/>
              <w:spacing w:after="0" w:line="12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39"/>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21"/>
              <w:spacing w:after="0" w:line="12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9"/>
              <w:spacing w:after="0" w:line="12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88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33,995</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31,201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provide the valuation hierarchy classification of assets and liabilities that are not carried at fair value in our Condensed Consolidated Balance Sheet: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80" w:type="dxa"/>
            <w:vAlign w:val="bottom"/>
            <w:gridSpan w:val="2"/>
          </w:tcPr>
          <w:p>
            <w:pPr>
              <w:ind w:left="860"/>
              <w:spacing w:after="0"/>
              <w:rPr>
                <w:sz w:val="20"/>
                <w:szCs w:val="20"/>
                <w:color w:val="auto"/>
              </w:rPr>
            </w:pPr>
            <w:r>
              <w:rPr>
                <w:rFonts w:ascii="Arial" w:cs="Arial" w:eastAsia="Arial" w:hAnsi="Arial"/>
                <w:sz w:val="14"/>
                <w:szCs w:val="14"/>
                <w:b w:val="1"/>
                <w:bCs w:val="1"/>
                <w:color w:val="auto"/>
              </w:rPr>
              <w:t>September 30, 2023</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Total</w:t>
            </w:r>
          </w:p>
        </w:tc>
        <w:tc>
          <w:tcPr>
            <w:tcW w:w="1460" w:type="dxa"/>
            <w:vAlign w:val="bottom"/>
          </w:tcPr>
          <w:p>
            <w:pPr>
              <w:ind w:left="520"/>
              <w:spacing w:after="0"/>
              <w:rPr>
                <w:sz w:val="20"/>
                <w:szCs w:val="20"/>
                <w:color w:val="auto"/>
              </w:rPr>
            </w:pPr>
            <w:r>
              <w:rPr>
                <w:rFonts w:ascii="Arial" w:cs="Arial" w:eastAsia="Arial" w:hAnsi="Arial"/>
                <w:sz w:val="14"/>
                <w:szCs w:val="14"/>
                <w:b w:val="1"/>
                <w:bCs w:val="1"/>
                <w:color w:val="auto"/>
              </w:rPr>
              <w:t>Level 1</w:t>
            </w:r>
          </w:p>
        </w:tc>
        <w:tc>
          <w:tcPr>
            <w:tcW w:w="1420" w:type="dxa"/>
            <w:vAlign w:val="bottom"/>
          </w:tcPr>
          <w:p>
            <w:pPr>
              <w:ind w:left="480"/>
              <w:spacing w:after="0"/>
              <w:rPr>
                <w:sz w:val="20"/>
                <w:szCs w:val="20"/>
                <w:color w:val="auto"/>
              </w:rPr>
            </w:pPr>
            <w:r>
              <w:rPr>
                <w:rFonts w:ascii="Arial" w:cs="Arial" w:eastAsia="Arial" w:hAnsi="Arial"/>
                <w:sz w:val="14"/>
                <w:szCs w:val="14"/>
                <w:b w:val="1"/>
                <w:bCs w:val="1"/>
                <w:color w:val="auto"/>
              </w:rPr>
              <w:t>Level 2</w:t>
            </w:r>
          </w:p>
        </w:tc>
        <w:tc>
          <w:tcPr>
            <w:tcW w:w="1380" w:type="dxa"/>
            <w:vAlign w:val="bottom"/>
          </w:tcPr>
          <w:p>
            <w:pPr>
              <w:ind w:left="5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82</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82</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29,125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29,080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393"/>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right"/>
              <w:ind w:right="734"/>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28,049</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28,003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Short-term borrowings approximates the carrying value due to their short-term nature, with commercial paper classified as level 2 and other short-term borrowings classified as level 3 within the fair value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IAE and IAE LLC, after considering its sub-collaborator share, is 57% and 51%, respectively. The carrying amounts and classification of assets and liabilities for variable interest entities in our Condensed Consolidated Balance Sheet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30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September 30, 2023</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47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8,516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w:t>
            </w:r>
          </w:p>
        </w:tc>
        <w:tc>
          <w:tcPr>
            <w:tcW w:w="3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857</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b w:val="1"/>
                <w:bCs w:val="1"/>
                <w:color w:val="auto"/>
              </w:rPr>
              <w:t>12,198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9,154</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99</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liabilities</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12,297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These instruments expire on various dates through 2036. Additional guarantees of project performance for which there is no stated value also remain outstanding. A portion of our third party guarantees are subject to indemnification for our benefit for any liabilities that could arise. As of September 30, 2023 and December 31, 2022, the following financial guarantees were outstanding: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940"/>
              <w:spacing w:after="0"/>
              <w:rPr>
                <w:sz w:val="20"/>
                <w:szCs w:val="20"/>
                <w:color w:val="auto"/>
              </w:rPr>
            </w:pPr>
            <w:r>
              <w:rPr>
                <w:rFonts w:ascii="Arial" w:cs="Arial" w:eastAsia="Arial" w:hAnsi="Arial"/>
                <w:sz w:val="14"/>
                <w:szCs w:val="14"/>
                <w:b w:val="1"/>
                <w:bCs w:val="1"/>
                <w:color w:val="auto"/>
              </w:rPr>
              <w:t>September 30, 2023</w:t>
            </w:r>
          </w:p>
        </w:tc>
        <w:tc>
          <w:tcPr>
            <w:tcW w:w="3240" w:type="dxa"/>
            <w:vAlign w:val="bottom"/>
            <w:gridSpan w:val="3"/>
          </w:tcPr>
          <w:p>
            <w:pPr>
              <w:jc w:val="right"/>
              <w:ind w:right="103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61"/>
              <w:spacing w:after="0" w:line="129" w:lineRule="exact"/>
              <w:rPr>
                <w:sz w:val="20"/>
                <w:szCs w:val="20"/>
                <w:color w:val="auto"/>
              </w:rPr>
            </w:pPr>
            <w:r>
              <w:rPr>
                <w:rFonts w:ascii="Arial" w:cs="Arial" w:eastAsia="Arial" w:hAnsi="Arial"/>
                <w:sz w:val="14"/>
                <w:szCs w:val="14"/>
                <w:b w:val="1"/>
                <w:bCs w:val="1"/>
                <w:color w:val="auto"/>
                <w:w w:val="98"/>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97"/>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Arial" w:cs="Arial" w:eastAsia="Arial" w:hAnsi="Arial"/>
                <w:sz w:val="14"/>
                <w:szCs w:val="14"/>
                <w:b w:val="1"/>
                <w:bCs w:val="1"/>
                <w:color w:val="auto"/>
                <w:w w:val="98"/>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7"/>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Payment</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8"/>
              </w:rPr>
              <w:t>Liability</w:t>
            </w: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422</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335</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were $139 million and $140 million at September 30, 2023 and December 31, 2022, respectively.</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$96 million and $97 million at September 30, 2023 and December 31, 2022, respectively. These primarily relate to environmental liabilities, which are included in our total environmental liabilities as further discussed in “Note 15: Commitments and Contingencies.”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nine months ended September 30, 2023 and 2022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25"/>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244</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1,111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and service guarantees incurred in connection with long term production contracts and certain aftermarket arrangements are generally accounted for within the contract estimates at completion.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Environmental. </w:t>
      </w:r>
      <w:r>
        <w:rPr>
          <w:rFonts w:ascii="Arial" w:cs="Arial" w:eastAsia="Arial" w:hAnsi="Arial"/>
          <w:sz w:val="17"/>
          <w:szCs w:val="17"/>
          <w:color w:val="auto"/>
        </w:rPr>
        <w:t>Our operations are subject to environmental regulation by federal, state, and local authorities in the United States and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September 30, 2023 and December 31, 2022, we had $770 million and $798 million, respectively, reserved for environmental remediation.</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Commercial Aerospace Financing and Other Commitments. </w:t>
      </w:r>
      <w:r>
        <w:rPr>
          <w:rFonts w:ascii="Arial" w:cs="Arial" w:eastAsia="Arial" w:hAnsi="Arial"/>
          <w:sz w:val="17"/>
          <w:szCs w:val="17"/>
          <w:color w:val="auto"/>
        </w:rPr>
        <w:t>We had commercial aerospace financing commitments and other contractual commitments</w:t>
      </w:r>
      <w:r>
        <w:rPr>
          <w:rFonts w:ascii="Arial" w:cs="Arial" w:eastAsia="Arial" w:hAnsi="Arial"/>
          <w:sz w:val="17"/>
          <w:szCs w:val="17"/>
          <w:b w:val="1"/>
          <w:bCs w:val="1"/>
          <w:color w:val="auto"/>
        </w:rPr>
        <w:t xml:space="preserve"> </w:t>
      </w:r>
      <w:r>
        <w:rPr>
          <w:rFonts w:ascii="Arial" w:cs="Arial" w:eastAsia="Arial" w:hAnsi="Arial"/>
          <w:sz w:val="17"/>
          <w:szCs w:val="17"/>
          <w:color w:val="auto"/>
        </w:rPr>
        <w:t>of approximately $14.5 billion and $15.3 billion as of September 30, 2023 and December 31, 2022,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our customers. As a result, the fair value of these financing commitments is expected to equal the amounts funded.</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Financing Arrangements. </w:t>
      </w:r>
      <w:r>
        <w:rPr>
          <w:rFonts w:ascii="Arial" w:cs="Arial" w:eastAsia="Arial" w:hAnsi="Arial"/>
          <w:sz w:val="18"/>
          <w:szCs w:val="18"/>
          <w:color w:val="auto"/>
        </w:rPr>
        <w:t>We have entered into standby letters of credit and surety bonds with financial institutions to meet various bid,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$3.1 billion as of September 30, 2023.</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Offset Obligations. </w:t>
      </w:r>
      <w:r>
        <w:rPr>
          <w:rFonts w:ascii="Arial" w:cs="Arial" w:eastAsia="Arial" w:hAnsi="Arial"/>
          <w:sz w:val="16"/>
          <w:szCs w:val="16"/>
          <w:color w:val="auto"/>
        </w:rPr>
        <w:t>We have entered into industrial cooperation agreements, sometimes in the form of either offset agreements or ICIP agreements, as a</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obtaining orders for our products and services from certain customers in foreign countries. At September 30, 2023, the aggregate amount of our offset agreements, both agreed to and anticipated to be agreed to, had an outstanding notional value of approximately $12.4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Government Oversight. </w:t>
      </w:r>
      <w:r>
        <w:rPr>
          <w:rFonts w:ascii="Arial" w:cs="Arial" w:eastAsia="Arial" w:hAnsi="Arial"/>
          <w:sz w:val="18"/>
          <w:szCs w:val="18"/>
          <w:color w:val="auto"/>
        </w:rPr>
        <w:t>In the ordinary course of business, the Company and its subsidiaries and our properties are subject to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examinations, information gathering requests, inquiries, investigations, and threatened legal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actions and proceedings. For example, we are now, and believe that, in light of the current U.S. government contracting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The U.S. government also reserves the right to debar a contractor from receiving new 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Tax Treatment of Carrier and Otis Dispositions. </w:t>
      </w:r>
      <w:r>
        <w:rPr>
          <w:rFonts w:ascii="Arial" w:cs="Arial" w:eastAsia="Arial" w:hAnsi="Arial"/>
          <w:sz w:val="17"/>
          <w:szCs w:val="17"/>
          <w:color w:val="auto"/>
        </w:rPr>
        <w:t>Management has determined that the distributions of Carrier and Otis on April 3, 2020,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Pratt &amp; Whitney Powder Metal Matter. </w:t>
      </w:r>
      <w:r>
        <w:rPr>
          <w:rFonts w:ascii="Arial" w:cs="Arial" w:eastAsia="Arial" w:hAnsi="Arial"/>
          <w:sz w:val="18"/>
          <w:szCs w:val="18"/>
          <w:color w:val="auto"/>
        </w:rPr>
        <w:t>Pratt &amp; Whitney has determined that a rare condition in powder metal used to manufacture certain engine parts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accelerated inspection of the PW1100G-JM (PW1100) Geared Turbofan (GTF) fleet, which powers the A320neo family of aircraft (A320neo). This determination was made pursuant to Pratt &amp; Whitney’s safety management system.</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through its safety management system, Pratt &amp; Whitney continued its engineering and industrial assessment which resulted in an updated fleet management plan for the remaining PW1100 fleet. This updated plan requires a repetitive inspection protocol for high pressure turbine disks as well as part life limits for high pressure turbine disks and high pressure compressor disks. This fleet management plan is expected to be released in one or more service bulletins (SB) beginning in the fourth quarter of 2023, following alignment with regulators. The actions set forth in the SI and SBs are expected to result in significant incremental shop visits through the end of 2026. These incremental shop visits are above Pratt &amp; Whitney's prior estimates as of June 30, 2023. As a result, Pratt &amp; Whitney expects a significant increase in aircraft on ground levels for the PW1100 powered A320neo fleet through 2026.</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anticipated increased aircraft on ground levels and expected compensation to customers for this disruption, as well as incremental maintenance costs resulting from increased inspections and shop visits, RTX recorded a pre-tax operating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profit charge in the third quarter of 2023 of $2.9 billion, reflecting Pratt &amp; Whitney’s net 51% program share of the PW1100 program. This reflects our current best estimate of expected customer compensation for the estimated duration of the disruption as well as the third quarter Estimate-at-Completion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$2.9 billion charge is reflected in the Condensed Consolidated Statement of Operations as a reduction of sales of $5.4 billion which was partially offset by a net reduction of cost of sales of $2.5 billion primarily representing our partners’ 49% share of this charge. This resulted in a net increase in Other accrued liabilities of $2.8 billion, which principally relates to our 51% share of an accrual for expected customer compensation.</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Pratt &amp; Whitney continues to evaluate the impact of this powder metal issue on other engine models within its fleet, we do not currently believe there will be any significant financial impact with respect to these other engine models. The financial impact of the powder metal issue is based on historical experience and is subject to various assumptions and judgments, most notably, the number and expected timing of shop visits, inspection results and scope of work to be performed, turnaround time, availability of new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The Company and its subsidiaries are subject to various contract pricing disputes, government investigations, and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jurisdictions, updates to certain of which are set forth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April 2019, a Divisional Administrative Contracting Officer (DACO) of the United States DCMA asserted a claim against Pratt</w:t>
      </w:r>
    </w:p>
    <w:p>
      <w:pPr>
        <w:spacing w:after="0" w:line="46"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Whitney to recover alleged overpayments of approximately $1.73 billion plus interest ($982 million at September 30, 2023). The claim is based on Pratt</w:t>
      </w:r>
    </w:p>
    <w:p>
      <w:pPr>
        <w:spacing w:after="0" w:line="32" w:lineRule="exact"/>
        <w:rPr>
          <w:rFonts w:ascii="Arial" w:cs="Arial" w:eastAsia="Arial" w:hAnsi="Arial"/>
          <w:sz w:val="16"/>
          <w:szCs w:val="16"/>
          <w:color w:val="auto"/>
        </w:rPr>
      </w:pPr>
    </w:p>
    <w:p>
      <w:pPr>
        <w:jc w:val="both"/>
        <w:ind w:firstLine="8"/>
        <w:spacing w:after="0" w:line="255"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previously disclosed, in December 2013, a DCMA DACO asserted a claim against Pratt &amp; Whitney to recover alleged overpayments of approximately $177 million plus interest ($149 million at September 30, 2023).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recent decision, demands payment of $269 million plus interest ($116 million at September 30, 2023). Pratt &amp; Whitney appealed this second claim to the ASBCA in January 2019. Although subject to further litigation at the ASBCA and potentially further appellate proceedings, we continue to believe that the November 22, 2021 decision in the first claim will apply with equal legal effect to the second claim. Accordingly, we believe that the amounts demanded by the DCMA as set forth in the two claims are without legal basis and that any damages owed to the U.S. government for the two claims will not have a material adverse effect on our results of operations, financial condition, or liquidity.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and Related Matters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2019, Raytheon Company received a subpoena from the Securities and Exchange Commission (SEC) seeking information in connection with an investigation into whether there were improper payments made by Raytheon Company, our joint venture known as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subpoena from the SEC, seeking information and documents as part of its ongoing investigation. The Company maintains a rigorous anti-corruption compliance program, and continues to cooperate fully with the SEC’s and DOJ’s inquiries, and to examine through our own investigation whether there were any improper payments or any such conduct that was in violation of Raytheon Company policy. At this time, the Company is unable to predict the outcome of the SEC’s or DOJ’s inquiries. Based on the information available to date, however, we cannot reasonably estimate the range of any potential loss or impact to the business that may result, but do not believe that the results of these inquiries will have a material adverse effect on our results of operations, financial condition, or liquidity.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 Investigation, Contract Pricing Disputes, and Related Civil Litigation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68" w:lineRule="auto"/>
        <w:tabs>
          <w:tab w:leader="none" w:pos="217" w:val="left"/>
        </w:tabs>
        <w:numPr>
          <w:ilvl w:val="0"/>
          <w:numId w:val="6"/>
        </w:numPr>
        <w:rPr>
          <w:rFonts w:ascii="Arial" w:cs="Arial" w:eastAsia="Arial" w:hAnsi="Arial"/>
          <w:sz w:val="17"/>
          <w:szCs w:val="17"/>
          <w:color w:val="auto"/>
        </w:rPr>
      </w:pPr>
      <w:r>
        <w:rPr>
          <w:rFonts w:ascii="Arial" w:cs="Arial" w:eastAsia="Arial" w:hAnsi="Arial"/>
          <w:sz w:val="17"/>
          <w:szCs w:val="17"/>
          <w:color w:val="auto"/>
        </w:rPr>
        <w:t>Defense (RMD) business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We continue to make substantial progress in our internal review of the issues raised by the DOJ investigation. Although we believe we have defenses to the potential claims, the Company has determined that there is a probable risk of liability for damages, interest, and potential penalties, and has accrued approximately $300 million for this matter. We are currently unable to estimate an incremental loss, if any, which may result when the DOJ investigation is complete. Based on the information available to date, we do not believe the results of the DOJ investigation, or of any pending or potential civil litigation, will have a material adverse effect on our results of operations, financial condition, or liquidity.</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the Company’s initial disclosure of the DOJ subpoena, three shareholder derivative lawsuits were also filed in the United States District Court for the District of Delaware against the former Raytheon Company Board of Directors, the 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Those shareholder derivative lawsuits were consolidated and remain pending. We continue to believe that the consolidated action lacks merit.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Darnis, et al. and Related Matter</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previously disclosed, on August 12, 2020, several former employees of United Technologies Corporation (UTC) or its subsidiaries filed a putative class action complaint in the United States District Court for the District of Connecticut against the Company, Otis, Carrier, the former members of the UTC Board of Directors, and the members of the Carrier and Otis Boards of Directors.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superseded the initial complaint, and continued to assert claims for breach of the equity compensation plans against the Company, Otis, and Carrier, but no longer asserted ERISA claims. Further, no claim was made in the amended complaint against any current or former director of any of the three companies. Plaintiffs sought money damages, attorneys’ fees, and other relief. On September 30, 2022, in response to motions to dismiss filed by the Company, Otis and Carrier, the Court dismissed the class action in its entirety with prejudice. On October 26, 2022, Plaintiffs filed an appeal to the United States Court of Appeals for the Second Circuit, which affirmed the dismissal on August 3, 2023.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UTC equity awards were converted to certain Company equity awards following the separation of UTC into three independent, publicly-traded companies. We believe that the lawsuit lacks merit.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Civil Litigation Related to Employee Hiring Practices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Pratt &amp; Whitney is one of multiple defendants in a putative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Plaintiffs seek to represent different purported classes of engineers and skilled laborers employed by Pratt &amp; Whitney and other supplier-defendants since 2011, and are seeking to recover treble damages in an undetermined amount, plus attorneys’ fees and costs of suit. We believe that the claims asserted lack merit. Based on the information available to date, we do not believe that this matter will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Suit Related to Powder Metal Disclosure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Company’s disclosures of a rare condition in powder metal used to manufacture certain Pratt &amp; Whitney engine parts,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Geared Turbofan engine fleet, including the impact of the powder metal issue on the fleet, in various regulatory filings. Based on the information available to date, we do not believe that this matter will have a material adverse effect on our results of operations, financial condition, or liquidity.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appropriate, we have recorded loss contingency accruals for the above-referenced matters, and the amounts individually, or in the aggregate, are not material.</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14: Guarantees,” we extend performance and operating cost guarantees beyond our normal warranty and service policies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each component of Accumulated other comprehensive loss, net of tax for the quarters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and 2022 is provided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Foreign Currency</w:t>
            </w:r>
          </w:p>
        </w:tc>
        <w:tc>
          <w:tcPr>
            <w:tcW w:w="160" w:type="dxa"/>
            <w:vAlign w:val="bottom"/>
          </w:tcPr>
          <w:p>
            <w:pPr>
              <w:spacing w:after="0"/>
              <w:rPr>
                <w:sz w:val="14"/>
                <w:szCs w:val="14"/>
                <w:color w:val="auto"/>
              </w:rPr>
            </w:pPr>
          </w:p>
        </w:tc>
        <w:tc>
          <w:tcPr>
            <w:tcW w:w="14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14"/>
                <w:szCs w:val="14"/>
                <w:color w:val="auto"/>
              </w:rPr>
            </w:pP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91"/>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 2023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(2,116)</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b w:val="1"/>
                <w:bCs w:val="1"/>
                <w:color w:val="auto"/>
              </w:rPr>
              <w:t>101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5"/>
              </w:rPr>
              <w:t>Foreign Currency</w:t>
            </w:r>
          </w:p>
        </w:tc>
        <w:tc>
          <w:tcPr>
            <w:tcW w:w="160" w:type="dxa"/>
            <w:vAlign w:val="bottom"/>
          </w:tcPr>
          <w:p>
            <w:pPr>
              <w:spacing w:after="0"/>
              <w:rPr>
                <w:sz w:val="14"/>
                <w:szCs w:val="14"/>
                <w:color w:val="auto"/>
              </w:rPr>
            </w:pPr>
          </w:p>
        </w:tc>
        <w:tc>
          <w:tcPr>
            <w:tcW w:w="14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Unrealized Hedging</w:t>
            </w:r>
          </w:p>
        </w:tc>
        <w:tc>
          <w:tcPr>
            <w:tcW w:w="200" w:type="dxa"/>
            <w:vAlign w:val="bottom"/>
          </w:tcPr>
          <w:p>
            <w:pPr>
              <w:spacing w:after="0"/>
              <w:rPr>
                <w:sz w:val="14"/>
                <w:szCs w:val="14"/>
                <w:color w:val="auto"/>
              </w:rPr>
            </w:pPr>
          </w:p>
        </w:tc>
        <w:tc>
          <w:tcPr>
            <w:tcW w:w="14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91"/>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Comprehensive Income</w:t>
            </w:r>
          </w:p>
        </w:tc>
        <w:tc>
          <w:tcPr>
            <w:tcW w:w="0" w:type="dxa"/>
            <w:vAlign w:val="bottom"/>
          </w:tcPr>
          <w:p>
            <w:pPr>
              <w:spacing w:after="0"/>
              <w:rPr>
                <w:sz w:val="1"/>
                <w:szCs w:val="1"/>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 2022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September 30, 2022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w w:val="92"/>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Financial Data</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segments are generally based on the management structure of the businesses and the grouping of similar operating companies, where each management organization has general operating autonomy over diversified products and services. As previously announced, effective July 1, 2023, we streamlined the structure of our core businesses to three principal business segments: Collins Aerospace (Collins), Pratt &amp; Whitney, and Raytheon. All segment information is reflective of this new structure and prior period information has been recast to conform to our current period presentation.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Collins Aerospace </w:t>
      </w:r>
      <w:r>
        <w:rPr>
          <w:rFonts w:ascii="Arial" w:cs="Arial" w:eastAsia="Arial" w:hAnsi="Arial"/>
          <w:sz w:val="16"/>
          <w:szCs w:val="16"/>
          <w:color w:val="auto"/>
        </w:rPr>
        <w:t>is a leading global provider of technologically advanced aerospace and defense products and aftermarket service solutions for aircraft</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manufacturers, airlines, and regional, business, and general aviation, as well as for defense and commercial space operations. Collins’ product lines include integrated avionics systems, aviation systems, communications systems, navigation systems, electric power generation, management and distribution systems, environmental control systems, flight control systems, air data and aircraft sensing systems, engine control systems, engine components, engine nacelle systems, including thrust reversers and mounting pylons, interior and exterior aircraft lighting, aircraft seating and cargo systems, evacuation systems, landing systems (including landing gear, wheels, and braking systems), hoists and winches, fire and ice detection and protection systems, actuation systems, and propeller systems. Collins also designs, manufactures, and supports cabin interior, oxygen systems, food and beverage preparation, storage and galley systems, lavatory, and wastewater management systems. Collins’ solutions support human space exploration with environmental control and power systems and extravehicular activity suits and support government and defense customer missions by providing connected battlespace systems, test and training range systems, crew escape systems, and simulation and training solutions. Collins also provides connected aviation solutions and services through worldwide voice and data communication networks and air traffic management solutions. Aftermarket services include spare parts, overhaul and repair, engineering and technical support, training and fleet management solutions, asset management services, and information management services.</w:t>
      </w:r>
    </w:p>
    <w:p>
      <w:pPr>
        <w:spacing w:after="0" w:line="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Pratt &amp; Whitney </w:t>
      </w:r>
      <w:r>
        <w:rPr>
          <w:rFonts w:ascii="Arial" w:cs="Arial" w:eastAsia="Arial" w:hAnsi="Arial"/>
          <w:sz w:val="17"/>
          <w:szCs w:val="17"/>
          <w:color w:val="auto"/>
        </w:rPr>
        <w:t>is among the world’s leading suppliers of aircraft engines for commercial, military, business jet and general aviation customers. Pratt &amp;</w:t>
      </w:r>
      <w:r>
        <w:rPr>
          <w:rFonts w:ascii="Arial" w:cs="Arial" w:eastAsia="Arial" w:hAnsi="Arial"/>
          <w:sz w:val="17"/>
          <w:szCs w:val="17"/>
          <w:b w:val="1"/>
          <w:bCs w:val="1"/>
          <w:color w:val="auto"/>
        </w:rPr>
        <w:t xml:space="preserve"> </w:t>
      </w:r>
      <w:r>
        <w:rPr>
          <w:rFonts w:ascii="Arial" w:cs="Arial" w:eastAsia="Arial" w:hAnsi="Arial"/>
          <w:sz w:val="17"/>
          <w:szCs w:val="17"/>
          <w:color w:val="auto"/>
        </w:rPr>
        <w:t>Whitney’s Commercial Engines and Military Engines businesses design, develop, produce, and maintain families of large engines for wide- and narrow-body and large regional aircraft for commercial customers and for fighter, bomber, tanker, and transport aircraft for military customers. Pratt &amp; Whitney’s small engine business, Pratt &amp; Whitney Canada, is among the world’s leading suppliers of engines powering regional airlines, general and business aviation, as well as helicopters. Pratt &amp; Whitney also produces, sells, and services military and commercial auxiliary power units. Pratt &amp; Whitney provides fleet management services and aftermarket maintenance, repair, and overhaul services in all of these segments.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Raytheon </w:t>
      </w:r>
      <w:r>
        <w:rPr>
          <w:rFonts w:ascii="Arial" w:cs="Arial" w:eastAsia="Arial" w:hAnsi="Arial"/>
          <w:sz w:val="18"/>
          <w:szCs w:val="18"/>
          <w:color w:val="auto"/>
        </w:rPr>
        <w:t>is a leading provider of defensive and offensive threat detection, tracking and mitigation capabilities for U.S. and foreign government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customers. Raytheon designs, develops, and provides advanced capabilities in integrated air and missile defense, smart weapons, missiles, advanced sensors and radars, offensive and defensive cybersecurity tools, interceptors, space-based systems, hypersonics, and missile defense across land, air, sea, and space.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 In connection with the segment realignment, prior period results were recast in order to maintain the segment cost recognition patterns described above.</w:t>
      </w:r>
    </w:p>
    <w:p>
      <w:pPr>
        <w:spacing w:after="0" w:line="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These adjustments are not considered part of management’s evaluation of segment results</w:t>
      </w:r>
      <w:r>
        <w:rPr>
          <w:rFonts w:ascii="Arial" w:cs="Arial" w:eastAsia="Arial" w:hAnsi="Arial"/>
          <w:sz w:val="16"/>
          <w:szCs w:val="16"/>
          <w:b w:val="1"/>
          <w:bCs w:val="1"/>
          <w:color w:val="auto"/>
        </w:rPr>
        <w:t>.</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sales and operating profit (loss)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September 30, 2023 and 2022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8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Operating Profit (Loss)</w:t>
            </w:r>
          </w:p>
        </w:tc>
        <w:tc>
          <w:tcPr>
            <w:tcW w:w="250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Operating Profit (Loss) Margins</w:t>
            </w:r>
          </w:p>
        </w:tc>
        <w:tc>
          <w:tcPr>
            <w:tcW w:w="0" w:type="dxa"/>
            <w:vAlign w:val="bottom"/>
          </w:tcPr>
          <w:p>
            <w:pPr>
              <w:spacing w:after="0"/>
              <w:rPr>
                <w:sz w:val="1"/>
                <w:szCs w:val="1"/>
                <w:color w:val="auto"/>
              </w:rPr>
            </w:pPr>
          </w:p>
        </w:tc>
      </w:tr>
      <w:tr>
        <w:trPr>
          <w:trHeight w:val="26"/>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6,629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5,718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903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742</w:t>
            </w:r>
          </w:p>
        </w:tc>
        <w:tc>
          <w:tcPr>
            <w:tcW w:w="14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13.6 %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Pratt &amp; Whitney</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926</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5,380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(2,482)</w:t>
            </w:r>
          </w:p>
        </w:tc>
        <w:tc>
          <w:tcPr>
            <w:tcW w:w="32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316</w:t>
            </w:r>
          </w:p>
        </w:tc>
        <w:tc>
          <w:tcPr>
            <w:tcW w:w="1460" w:type="dxa"/>
            <w:vAlign w:val="bottom"/>
          </w:tcPr>
          <w:p>
            <w:pPr>
              <w:jc w:val="right"/>
              <w:ind w:right="215"/>
              <w:spacing w:after="0"/>
              <w:rPr>
                <w:sz w:val="20"/>
                <w:szCs w:val="20"/>
                <w:color w:val="auto"/>
              </w:rPr>
            </w:pPr>
            <w:r>
              <w:rPr>
                <w:rFonts w:ascii="Arial" w:cs="Arial" w:eastAsia="Arial" w:hAnsi="Arial"/>
                <w:sz w:val="18"/>
                <w:szCs w:val="18"/>
                <w:b w:val="1"/>
                <w:bCs w:val="1"/>
                <w:color w:val="auto"/>
              </w:rPr>
              <w:t>(268.0)%</w:t>
            </w:r>
          </w:p>
        </w:tc>
        <w:tc>
          <w:tcPr>
            <w:tcW w:w="104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Raytheon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6,472</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6,308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560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686</w:t>
            </w:r>
          </w:p>
        </w:tc>
        <w:tc>
          <w:tcPr>
            <w:tcW w:w="14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8.7 %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14,027</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17,406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c>
          <w:tcPr>
            <w:tcW w:w="32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1,744</w:t>
            </w:r>
          </w:p>
        </w:tc>
        <w:tc>
          <w:tcPr>
            <w:tcW w:w="1460" w:type="dxa"/>
            <w:vAlign w:val="bottom"/>
          </w:tcPr>
          <w:p>
            <w:pPr>
              <w:jc w:val="right"/>
              <w:ind w:right="215"/>
              <w:spacing w:after="0"/>
              <w:rPr>
                <w:sz w:val="20"/>
                <w:szCs w:val="20"/>
                <w:color w:val="auto"/>
              </w:rPr>
            </w:pPr>
            <w:r>
              <w:rPr>
                <w:rFonts w:ascii="Arial" w:cs="Arial" w:eastAsia="Arial" w:hAnsi="Arial"/>
                <w:sz w:val="18"/>
                <w:szCs w:val="18"/>
                <w:b w:val="1"/>
                <w:bCs w:val="1"/>
                <w:color w:val="auto"/>
              </w:rPr>
              <w:t>(7.3)%</w:t>
            </w: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Eliminations and other</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w w:val="95"/>
              </w:rPr>
              <w:t>Corporate expenses and other unallocated items</w:t>
            </w:r>
            <w:r>
              <w:rPr>
                <w:rFonts w:ascii="Arial" w:cs="Arial" w:eastAsia="Arial" w:hAnsi="Arial"/>
                <w:sz w:val="23"/>
                <w:szCs w:val="23"/>
                <w:color w:val="auto"/>
                <w:w w:val="95"/>
                <w:vertAlign w:val="superscript"/>
              </w:rPr>
              <w:t>(3)</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(77)</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348</w:t>
            </w:r>
          </w:p>
        </w:tc>
        <w:tc>
          <w:tcPr>
            <w:tcW w:w="1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(482)</w:t>
            </w:r>
          </w:p>
        </w:tc>
        <w:tc>
          <w:tcPr>
            <w:tcW w:w="1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13,464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16,951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1,520</w:t>
            </w:r>
          </w:p>
        </w:tc>
        <w:tc>
          <w:tcPr>
            <w:tcW w:w="14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operations.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2023 includes the impacts of the Powder Metal Matter.</w:t>
      </w:r>
    </w:p>
    <w:p>
      <w:pPr>
        <w:spacing w:after="0" w:line="14" w:lineRule="exact"/>
        <w:rPr>
          <w:rFonts w:ascii="Arial" w:cs="Arial" w:eastAsia="Arial" w:hAnsi="Arial"/>
          <w:sz w:val="14"/>
          <w:szCs w:val="14"/>
          <w:color w:val="auto"/>
        </w:rPr>
      </w:pPr>
    </w:p>
    <w:p>
      <w:pPr>
        <w:ind w:left="340" w:right="20" w:hanging="332"/>
        <w:spacing w:after="0" w:line="283" w:lineRule="auto"/>
        <w:tabs>
          <w:tab w:leader="none" w:pos="392"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2022 included the net expenses related to the U.S. Army’s Lower Tier Air and Missile Defense Sensor (LTAMDS) program. Beginning in 2023, LTAMDS results are included in the Raytheon segment.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nine months ended September 30, 2023 and 2022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Sales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Operating Profit (Loss)</w:t>
            </w:r>
          </w:p>
        </w:tc>
        <w:tc>
          <w:tcPr>
            <w:tcW w:w="250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Operating Profit (Loss) Margins</w:t>
            </w:r>
          </w:p>
        </w:tc>
        <w:tc>
          <w:tcPr>
            <w:tcW w:w="0" w:type="dxa"/>
            <w:vAlign w:val="bottom"/>
          </w:tcPr>
          <w:p>
            <w:pPr>
              <w:spacing w:after="0"/>
              <w:rPr>
                <w:sz w:val="1"/>
                <w:szCs w:val="1"/>
                <w:color w:val="auto"/>
              </w:rPr>
            </w:pPr>
          </w:p>
        </w:tc>
      </w:tr>
      <w:tr>
        <w:trPr>
          <w:trHeight w:val="25"/>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19,133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16,821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2,699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1,973</w:t>
            </w:r>
          </w:p>
        </w:tc>
        <w:tc>
          <w:tcPr>
            <w:tcW w:w="144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14.1 %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Pratt &amp; Whitney</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11,857</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14,878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(1,837)</w:t>
            </w:r>
          </w:p>
        </w:tc>
        <w:tc>
          <w:tcPr>
            <w:tcW w:w="30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769</w:t>
            </w:r>
          </w:p>
        </w:tc>
        <w:tc>
          <w:tcPr>
            <w:tcW w:w="1440" w:type="dxa"/>
            <w:vAlign w:val="bottom"/>
          </w:tcPr>
          <w:p>
            <w:pPr>
              <w:jc w:val="right"/>
              <w:ind w:right="215"/>
              <w:spacing w:after="0"/>
              <w:rPr>
                <w:sz w:val="20"/>
                <w:szCs w:val="20"/>
                <w:color w:val="auto"/>
              </w:rPr>
            </w:pPr>
            <w:r>
              <w:rPr>
                <w:rFonts w:ascii="Arial" w:cs="Arial" w:eastAsia="Arial" w:hAnsi="Arial"/>
                <w:sz w:val="18"/>
                <w:szCs w:val="18"/>
                <w:b w:val="1"/>
                <w:bCs w:val="1"/>
                <w:color w:val="auto"/>
              </w:rPr>
              <w:t>(15.5)%</w:t>
            </w:r>
          </w:p>
        </w:tc>
        <w:tc>
          <w:tcPr>
            <w:tcW w:w="106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Raytheon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19,464</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18,515</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1,775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1,920</w:t>
            </w: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9.1 %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50,454</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50,214</w:t>
            </w:r>
          </w:p>
        </w:tc>
        <w:tc>
          <w:tcPr>
            <w:tcW w:w="3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2,637</w:t>
            </w:r>
          </w:p>
        </w:tc>
        <w:tc>
          <w:tcPr>
            <w:tcW w:w="30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4,662</w:t>
            </w:r>
          </w:p>
        </w:tc>
        <w:tc>
          <w:tcPr>
            <w:tcW w:w="1440" w:type="dxa"/>
            <w:vAlign w:val="bottom"/>
          </w:tcPr>
          <w:p>
            <w:pPr>
              <w:jc w:val="right"/>
              <w:ind w:right="215"/>
              <w:spacing w:after="0"/>
              <w:rPr>
                <w:sz w:val="20"/>
                <w:szCs w:val="20"/>
                <w:color w:val="auto"/>
              </w:rPr>
            </w:pPr>
            <w:r>
              <w:rPr>
                <w:rFonts w:ascii="Arial" w:cs="Arial" w:eastAsia="Arial" w:hAnsi="Arial"/>
                <w:sz w:val="18"/>
                <w:szCs w:val="18"/>
                <w:b w:val="1"/>
                <w:bCs w:val="1"/>
                <w:color w:val="auto"/>
              </w:rPr>
              <w:t>5.2 %</w:t>
            </w:r>
          </w:p>
        </w:tc>
        <w:tc>
          <w:tcPr>
            <w:tcW w:w="106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Eliminations and other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w w:val="94"/>
              </w:rPr>
              <w:t xml:space="preserve">Corporate expenses and other unallocated items </w:t>
            </w:r>
            <w:r>
              <w:rPr>
                <w:rFonts w:ascii="Arial" w:cs="Arial" w:eastAsia="Arial" w:hAnsi="Arial"/>
                <w:sz w:val="23"/>
                <w:szCs w:val="23"/>
                <w:color w:val="auto"/>
                <w:w w:val="94"/>
                <w:vertAlign w:val="superscript"/>
              </w:rPr>
              <w:t>(3)</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30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(255)</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845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1,045</w:t>
            </w:r>
          </w:p>
        </w:tc>
        <w:tc>
          <w:tcPr>
            <w:tcW w:w="1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(1,414)</w:t>
            </w:r>
          </w:p>
        </w:tc>
        <w:tc>
          <w:tcPr>
            <w:tcW w:w="1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48,993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48,981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1,784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4,013</w:t>
            </w:r>
          </w:p>
        </w:tc>
        <w:tc>
          <w:tcPr>
            <w:tcW w:w="14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3.6 %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operations.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2023 includes the impacts of the Powder Metal Matter.</w:t>
      </w:r>
    </w:p>
    <w:p>
      <w:pPr>
        <w:spacing w:after="0" w:line="14" w:lineRule="exact"/>
        <w:rPr>
          <w:rFonts w:ascii="Arial" w:cs="Arial" w:eastAsia="Arial" w:hAnsi="Arial"/>
          <w:sz w:val="14"/>
          <w:szCs w:val="14"/>
          <w:color w:val="auto"/>
        </w:rPr>
      </w:pPr>
    </w:p>
    <w:p>
      <w:pPr>
        <w:ind w:left="340" w:right="20" w:hanging="332"/>
        <w:spacing w:after="0" w:line="283" w:lineRule="auto"/>
        <w:tabs>
          <w:tab w:leader="none" w:pos="392" w:val="left"/>
        </w:tabs>
        <w:numPr>
          <w:ilvl w:val="0"/>
          <w:numId w:val="8"/>
        </w:numPr>
        <w:rPr>
          <w:rFonts w:ascii="Arial" w:cs="Arial" w:eastAsia="Arial" w:hAnsi="Arial"/>
          <w:sz w:val="14"/>
          <w:szCs w:val="14"/>
          <w:color w:val="auto"/>
        </w:rPr>
      </w:pPr>
      <w:r>
        <w:rPr>
          <w:rFonts w:ascii="Arial" w:cs="Arial" w:eastAsia="Arial" w:hAnsi="Arial"/>
          <w:sz w:val="14"/>
          <w:szCs w:val="14"/>
          <w:color w:val="auto"/>
        </w:rPr>
        <w:t>2022 included the net expenses related to the U.S. Army’s Lower Tier Air and Missile Defense Sensor (LTAMDS) program. Beginning in 2023, LTAMDS results are included in the Raytheon segment.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60" w:type="dxa"/>
            <w:vAlign w:val="bottom"/>
          </w:tcPr>
          <w:p>
            <w:pPr>
              <w:spacing w:after="0"/>
              <w:rPr>
                <w:sz w:val="16"/>
                <w:szCs w:val="16"/>
                <w:color w:val="auto"/>
              </w:rPr>
            </w:pPr>
          </w:p>
        </w:tc>
        <w:tc>
          <w:tcPr>
            <w:tcW w:w="1680" w:type="dxa"/>
            <w:vAlign w:val="bottom"/>
          </w:tcPr>
          <w:p>
            <w:pPr>
              <w:jc w:val="right"/>
              <w:ind w:right="273"/>
              <w:spacing w:after="0"/>
              <w:rPr>
                <w:sz w:val="20"/>
                <w:szCs w:val="20"/>
                <w:color w:val="auto"/>
              </w:rPr>
            </w:pPr>
            <w:r>
              <w:rPr>
                <w:rFonts w:ascii="Arial" w:cs="Arial" w:eastAsia="Arial" w:hAnsi="Arial"/>
                <w:sz w:val="14"/>
                <w:szCs w:val="14"/>
                <w:b w:val="1"/>
                <w:bCs w:val="1"/>
                <w:color w:val="auto"/>
                <w:w w:val="99"/>
              </w:rPr>
              <w:t>September 30, 2023</w:t>
            </w:r>
          </w:p>
        </w:tc>
        <w:tc>
          <w:tcPr>
            <w:tcW w:w="320" w:type="dxa"/>
            <w:vAlign w:val="bottom"/>
          </w:tcPr>
          <w:p>
            <w:pPr>
              <w:spacing w:after="0"/>
              <w:rPr>
                <w:sz w:val="16"/>
                <w:szCs w:val="16"/>
                <w:color w:val="auto"/>
              </w:rPr>
            </w:pPr>
          </w:p>
        </w:tc>
        <w:tc>
          <w:tcPr>
            <w:tcW w:w="1620" w:type="dxa"/>
            <w:vAlign w:val="bottom"/>
          </w:tcPr>
          <w:p>
            <w:pPr>
              <w:jc w:val="right"/>
              <w:ind w:right="273"/>
              <w:spacing w:after="0"/>
              <w:rPr>
                <w:sz w:val="20"/>
                <w:szCs w:val="20"/>
                <w:color w:val="auto"/>
              </w:rPr>
            </w:pPr>
            <w:r>
              <w:rPr>
                <w:rFonts w:ascii="Arial" w:cs="Arial" w:eastAsia="Arial" w:hAnsi="Arial"/>
                <w:sz w:val="14"/>
                <w:szCs w:val="14"/>
                <w:color w:val="auto"/>
              </w:rPr>
              <w:t>December 31, 2022</w:t>
            </w:r>
          </w:p>
        </w:tc>
      </w:tr>
      <w:tr>
        <w:trPr>
          <w:trHeight w:val="26"/>
        </w:trPr>
        <w:tc>
          <w:tcPr>
            <w:tcW w:w="49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Collins Aerospace </w:t>
            </w:r>
            <w:r>
              <w:rPr>
                <w:rFonts w:ascii="Arial" w:cs="Arial" w:eastAsia="Arial" w:hAnsi="Arial"/>
                <w:sz w:val="23"/>
                <w:szCs w:val="23"/>
                <w:color w:val="auto"/>
                <w:vertAlign w:val="superscript"/>
              </w:rPr>
              <w:t>(1)</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72,006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70,404</w:t>
            </w:r>
          </w:p>
        </w:tc>
      </w:tr>
      <w:tr>
        <w:trPr>
          <w:trHeight w:val="230"/>
        </w:trPr>
        <w:tc>
          <w:tcPr>
            <w:tcW w:w="49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Pratt &amp; Whitney </w:t>
            </w:r>
            <w:r>
              <w:rPr>
                <w:rFonts w:ascii="Arial" w:cs="Arial" w:eastAsia="Arial" w:hAnsi="Arial"/>
                <w:sz w:val="23"/>
                <w:szCs w:val="23"/>
                <w:color w:val="auto"/>
                <w:vertAlign w:val="superscript"/>
              </w:rPr>
              <w:t>(1)</w:t>
            </w:r>
          </w:p>
        </w:tc>
        <w:tc>
          <w:tcPr>
            <w:tcW w:w="2660" w:type="dxa"/>
            <w:vAlign w:val="bottom"/>
          </w:tcPr>
          <w:p>
            <w:pPr>
              <w:spacing w:after="0"/>
              <w:rPr>
                <w:sz w:val="19"/>
                <w:szCs w:val="19"/>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b w:val="1"/>
                <w:bCs w:val="1"/>
                <w:color w:val="auto"/>
              </w:rPr>
              <w:t>39,619</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36,205</w:t>
            </w:r>
          </w:p>
        </w:tc>
      </w:tr>
      <w:tr>
        <w:trPr>
          <w:trHeight w:val="229"/>
        </w:trPr>
        <w:tc>
          <w:tcPr>
            <w:tcW w:w="49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Raytheon </w:t>
            </w:r>
            <w:r>
              <w:rPr>
                <w:rFonts w:ascii="Arial" w:cs="Arial" w:eastAsia="Arial" w:hAnsi="Arial"/>
                <w:sz w:val="23"/>
                <w:szCs w:val="23"/>
                <w:color w:val="auto"/>
                <w:vertAlign w:val="superscript"/>
              </w:rPr>
              <w:t>(1)</w:t>
            </w:r>
          </w:p>
        </w:tc>
        <w:tc>
          <w:tcPr>
            <w:tcW w:w="26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46,075</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45,666</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Total segment</w:t>
            </w:r>
          </w:p>
        </w:tc>
        <w:tc>
          <w:tcPr>
            <w:tcW w:w="2660" w:type="dxa"/>
            <w:vAlign w:val="bottom"/>
          </w:tcPr>
          <w:p>
            <w:pPr>
              <w:spacing w:after="0"/>
              <w:rPr>
                <w:sz w:val="19"/>
                <w:szCs w:val="19"/>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b w:val="1"/>
                <w:bCs w:val="1"/>
                <w:color w:val="auto"/>
              </w:rPr>
              <w:t>157,700</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152,275</w:t>
            </w:r>
          </w:p>
        </w:tc>
      </w:tr>
      <w:tr>
        <w:trPr>
          <w:trHeight w:val="229"/>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eliminations, and other</w:t>
            </w:r>
          </w:p>
        </w:tc>
        <w:tc>
          <w:tcPr>
            <w:tcW w:w="26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4,743</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162,443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158,864</w:t>
            </w: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Total assets include acquired intangible assets and the property, plant, and equipment fair value adjustment. Related amortization expense is included in Acquisition accounting adjustments.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disaggregate our contracts from customers by geographic region based on customer location, by customer, and by sales type. Our geographic region based on customer location uses end user customer location where known or practical to determine, or in instances where the end user customer is not known or not practical to determine, we utilize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quarters ended September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w w:val="96"/>
              </w:rPr>
              <w:t>2023</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4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6" w:lineRule="exact"/>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10,422</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1,533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3,514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469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regions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Powder Metal Matter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(5,401)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(5,401)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6,099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16,951</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3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geographic region for the nine months ended September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0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6" w:lineRule="exact"/>
              <w:rPr>
                <w:sz w:val="20"/>
                <w:szCs w:val="20"/>
                <w:color w:val="auto"/>
              </w:rPr>
            </w:pPr>
            <w:r>
              <w:rPr>
                <w:rFonts w:ascii="Arial" w:cs="Arial" w:eastAsia="Arial" w:hAnsi="Arial"/>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32,930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30,337</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4,580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3,998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1,209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9,790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7,913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3,068</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531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382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1,525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regions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Powder Metal Matter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(5,401)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(5,401)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17,682</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11,856</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19,370</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48,993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3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48,993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type of customer for the quarters ended September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8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74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Pratt &amp;</w:t>
            </w:r>
          </w:p>
        </w:tc>
        <w:tc>
          <w:tcPr>
            <w:tcW w:w="120" w:type="dxa"/>
            <w:vAlign w:val="bottom"/>
          </w:tcPr>
          <w:p>
            <w:pPr>
              <w:spacing w:after="0"/>
              <w:rPr>
                <w:sz w:val="11"/>
                <w:szCs w:val="11"/>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Raytheon</w:t>
            </w:r>
          </w:p>
        </w:tc>
        <w:tc>
          <w:tcPr>
            <w:tcW w:w="180" w:type="dxa"/>
            <w:vAlign w:val="bottom"/>
          </w:tcPr>
          <w:p>
            <w:pPr>
              <w:spacing w:after="0"/>
              <w:rPr>
                <w:sz w:val="11"/>
                <w:szCs w:val="11"/>
                <w:color w:val="auto"/>
              </w:rPr>
            </w:pPr>
          </w:p>
        </w:tc>
        <w:tc>
          <w:tcPr>
            <w:tcW w:w="5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6" w:lineRule="exact"/>
              <w:rPr>
                <w:sz w:val="20"/>
                <w:szCs w:val="20"/>
                <w:color w:val="auto"/>
              </w:rPr>
            </w:pPr>
            <w:r>
              <w:rPr>
                <w:rFonts w:ascii="Arial" w:cs="Arial" w:eastAsia="Arial" w:hAnsi="Arial"/>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6" w:lineRule="exact"/>
              <w:rPr>
                <w:sz w:val="20"/>
                <w:szCs w:val="20"/>
                <w:color w:val="auto"/>
              </w:rPr>
            </w:pPr>
            <w:r>
              <w:rPr>
                <w:rFonts w:ascii="Arial" w:cs="Arial" w:eastAsia="Arial" w:hAnsi="Arial"/>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line="189" w:lineRule="exact"/>
              <w:rPr>
                <w:sz w:val="20"/>
                <w:szCs w:val="20"/>
                <w:color w:val="auto"/>
              </w:rPr>
            </w:pPr>
            <w:r>
              <w:rPr>
                <w:rFonts w:ascii="Arial" w:cs="Arial" w:eastAsia="Arial" w:hAnsi="Arial"/>
                <w:sz w:val="13"/>
                <w:szCs w:val="13"/>
                <w:b w:val="1"/>
                <w:bCs w:val="1"/>
                <w:color w:val="auto"/>
                <w:w w:val="93"/>
              </w:rPr>
              <w:t>Whitney</w:t>
            </w:r>
            <w:r>
              <w:rPr>
                <w:rFonts w:ascii="Arial" w:cs="Arial" w:eastAsia="Arial" w:hAnsi="Arial"/>
                <w:sz w:val="17"/>
                <w:szCs w:val="17"/>
                <w:b w:val="1"/>
                <w:bCs w:val="1"/>
                <w:color w:val="auto"/>
                <w:w w:val="93"/>
                <w:vertAlign w:val="superscript"/>
              </w:rPr>
              <w:t>(2)</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Whitney</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Sales to the U.S. government </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767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6"/>
                <w:szCs w:val="16"/>
                <w:color w:val="auto"/>
                <w:w w:val="91"/>
              </w:rPr>
              <w:t>Commercial aerospace and other commercial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4,264</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(914)</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3,336</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3,643</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6,099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16,951</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(560)</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reduction in sales from the Powder Metal Matter.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type of customer for the nine months ended September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8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720" w:type="dxa"/>
            <w:vAlign w:val="bottom"/>
          </w:tcPr>
          <w:p>
            <w:pPr>
              <w:jc w:val="right"/>
              <w:ind w:right="10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Raytheon</w:t>
            </w:r>
          </w:p>
        </w:tc>
        <w:tc>
          <w:tcPr>
            <w:tcW w:w="180" w:type="dxa"/>
            <w:vAlign w:val="bottom"/>
          </w:tcPr>
          <w:p>
            <w:pPr>
              <w:spacing w:after="0"/>
              <w:rPr>
                <w:sz w:val="11"/>
                <w:szCs w:val="11"/>
                <w:color w:val="auto"/>
              </w:rPr>
            </w:pPr>
          </w:p>
        </w:tc>
        <w:tc>
          <w:tcPr>
            <w:tcW w:w="5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6" w:lineRule="exact"/>
              <w:rPr>
                <w:sz w:val="20"/>
                <w:szCs w:val="20"/>
                <w:color w:val="auto"/>
              </w:rPr>
            </w:pPr>
            <w:r>
              <w:rPr>
                <w:rFonts w:ascii="Arial" w:cs="Arial" w:eastAsia="Arial" w:hAnsi="Arial"/>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
              <w:spacing w:after="0" w:line="189" w:lineRule="exact"/>
              <w:rPr>
                <w:sz w:val="20"/>
                <w:szCs w:val="20"/>
                <w:color w:val="auto"/>
              </w:rPr>
            </w:pPr>
            <w:r>
              <w:rPr>
                <w:rFonts w:ascii="Arial" w:cs="Arial" w:eastAsia="Arial" w:hAnsi="Arial"/>
                <w:sz w:val="13"/>
                <w:szCs w:val="13"/>
                <w:b w:val="1"/>
                <w:bCs w:val="1"/>
                <w:color w:val="auto"/>
                <w:w w:val="93"/>
              </w:rPr>
              <w:t>Whitney</w:t>
            </w:r>
            <w:r>
              <w:rPr>
                <w:rFonts w:ascii="Arial" w:cs="Arial" w:eastAsia="Arial" w:hAnsi="Arial"/>
                <w:sz w:val="17"/>
                <w:szCs w:val="17"/>
                <w:b w:val="1"/>
                <w:bCs w:val="1"/>
                <w:color w:val="auto"/>
                <w:w w:val="93"/>
                <w:vertAlign w:val="superscript"/>
              </w:rPr>
              <w:t>(2)</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Whitney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Sales to the U.S. government </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3,774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22,452</w:t>
            </w: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1,158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2,436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2,565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793</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1,970</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6"/>
                <w:szCs w:val="16"/>
                <w:color w:val="auto"/>
                <w:w w:val="91"/>
              </w:rPr>
              <w:t>Commercial aerospace and other commercial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11,993</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6,577</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18,867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9,830</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19,779</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17,682</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11,856</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19,370</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48,993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18,413</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(1,546)</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48,993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the reduction in sales from the Powder Metal Matter.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quarters ended September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rPr>
              <w:t>Pratt &amp;</w:t>
            </w:r>
          </w:p>
        </w:tc>
        <w:tc>
          <w:tcPr>
            <w:tcW w:w="12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89"/>
              <w:spacing w:after="0" w:line="135"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line="189" w:lineRule="exact"/>
              <w:rPr>
                <w:sz w:val="20"/>
                <w:szCs w:val="20"/>
                <w:color w:val="auto"/>
              </w:rPr>
            </w:pPr>
            <w:r>
              <w:rPr>
                <w:rFonts w:ascii="Arial" w:cs="Arial" w:eastAsia="Arial" w:hAnsi="Arial"/>
                <w:sz w:val="13"/>
                <w:szCs w:val="13"/>
                <w:b w:val="1"/>
                <w:bCs w:val="1"/>
                <w:color w:val="auto"/>
                <w:w w:val="93"/>
              </w:rPr>
              <w:t>Whitney</w:t>
            </w:r>
            <w:r>
              <w:rPr>
                <w:rFonts w:ascii="Arial" w:cs="Arial" w:eastAsia="Arial" w:hAnsi="Arial"/>
                <w:sz w:val="17"/>
                <w:szCs w:val="17"/>
                <w:b w:val="1"/>
                <w:bCs w:val="1"/>
                <w:color w:val="auto"/>
                <w:w w:val="93"/>
                <w:vertAlign w:val="superscript"/>
              </w:rPr>
              <w:t>(1)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12,756</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1,338</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2,412</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1,103</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4,849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4,195</w:t>
            </w: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6,099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16,951</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(560)</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16,951</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sales type for the nine months ended September 30, 2023 and 2022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8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40" w:type="dxa"/>
            <w:vAlign w:val="bottom"/>
          </w:tcPr>
          <w:p>
            <w:pPr>
              <w:jc w:val="right"/>
              <w:ind w:right="149"/>
              <w:spacing w:after="0" w:line="136" w:lineRule="exact"/>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740" w:type="dxa"/>
            <w:vAlign w:val="bottom"/>
          </w:tcPr>
          <w:p>
            <w:pPr>
              <w:jc w:val="right"/>
              <w:ind w:right="12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1"/>
                <w:szCs w:val="11"/>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760" w:type="dxa"/>
            <w:vAlign w:val="bottom"/>
          </w:tcPr>
          <w:p>
            <w:pPr>
              <w:jc w:val="right"/>
              <w:ind w:right="169"/>
              <w:spacing w:after="0" w:line="136" w:lineRule="exact"/>
              <w:rPr>
                <w:sz w:val="20"/>
                <w:szCs w:val="20"/>
                <w:color w:val="auto"/>
              </w:rPr>
            </w:pPr>
            <w:r>
              <w:rPr>
                <w:rFonts w:ascii="Arial" w:cs="Arial" w:eastAsia="Arial" w:hAnsi="Arial"/>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89"/>
              <w:spacing w:after="0" w:line="136" w:lineRule="exact"/>
              <w:rPr>
                <w:sz w:val="20"/>
                <w:szCs w:val="20"/>
                <w:color w:val="auto"/>
              </w:rPr>
            </w:pPr>
            <w:r>
              <w:rPr>
                <w:rFonts w:ascii="Arial" w:cs="Arial" w:eastAsia="Arial" w:hAnsi="Arial"/>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7"/>
              </w:rPr>
              <w:t>Raytheon</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line="189" w:lineRule="exact"/>
              <w:rPr>
                <w:sz w:val="20"/>
                <w:szCs w:val="20"/>
                <w:color w:val="auto"/>
              </w:rPr>
            </w:pPr>
            <w:r>
              <w:rPr>
                <w:rFonts w:ascii="Arial" w:cs="Arial" w:eastAsia="Arial" w:hAnsi="Arial"/>
                <w:sz w:val="13"/>
                <w:szCs w:val="13"/>
                <w:b w:val="1"/>
                <w:bCs w:val="1"/>
                <w:color w:val="auto"/>
                <w:w w:val="93"/>
              </w:rPr>
              <w:t>Whitney</w:t>
            </w:r>
            <w:r>
              <w:rPr>
                <w:rFonts w:ascii="Arial" w:cs="Arial" w:eastAsia="Arial" w:hAnsi="Arial"/>
                <w:sz w:val="17"/>
                <w:szCs w:val="17"/>
                <w:b w:val="1"/>
                <w:bCs w:val="1"/>
                <w:color w:val="auto"/>
                <w:w w:val="93"/>
                <w:vertAlign w:val="superscript"/>
              </w:rPr>
              <w:t>(1)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0"/>
              </w:rPr>
              <w:t>Aerospace</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8"/>
              </w:rPr>
              <w:t>Whitney</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36,876</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Services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3,869</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7,091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3,221</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14,180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6,078</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2,773</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12,105</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17,682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48,993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(1,546)</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48,993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the reduction in sales from the Powder Metal Matter.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Raytheon segment sales disaggregated by contract type for the quarters ended September 30, 2023 and 2022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26"/>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w:t>
            </w:r>
          </w:p>
        </w:tc>
      </w:tr>
      <w:tr>
        <w:trPr>
          <w:trHeight w:val="21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3,091</w:t>
            </w:r>
          </w:p>
        </w:tc>
      </w:tr>
      <w:tr>
        <w:trPr>
          <w:trHeight w:val="212"/>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w:t>
            </w:r>
          </w:p>
        </w:tc>
      </w:tr>
      <w:tr>
        <w:trPr>
          <w:trHeight w:val="213"/>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20"/>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6,472</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Raytheon segment sales disaggregated by contract type for the nine months ended September 30, 2023 and 2022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26"/>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9,369</w:t>
            </w:r>
          </w:p>
        </w:tc>
      </w:tr>
      <w:tr>
        <w:trPr>
          <w:trHeight w:val="21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9,731</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w:t>
            </w:r>
          </w:p>
        </w:tc>
      </w:tr>
      <w:tr>
        <w:trPr>
          <w:trHeight w:val="213"/>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18,413</w:t>
            </w:r>
          </w:p>
        </w:tc>
      </w:tr>
      <w:tr>
        <w:trPr>
          <w:trHeight w:val="213"/>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20"/>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19,464</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18,515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Remaining Performance Obligations (RPO)</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RPO represent the aggregate amount of total contract transaction price that is unsatisfied or partially unsatisfied. Total RPO was $190 billion as of September 30, 2023. Of the total RPO as of September 30, 2023, we expect approximately 30% will be recognized as revenue over the next 12 months. Approximately 45% of our RPO relates to long-term commercial aerospace maintenance contracts at Pratt &amp; Whitney, which are generally expected to be realized over a span of up to 15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Accounting Pronouncements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2022, the Financial Accounting Standards Board (FASB) issued Accounting Standards Update (ASU) 2022-04, Liabilities – Supplier Finance Programs (Subtopic 405-50): Disclosure of Supplier Finance Program Obligations, which requires that a buyer in a supplier finance program disclose the key terms of supplier finance programs, the amount of obligations outstanding at the end of the reporting period that the entity has confirmed as valid to the finance provider, where these obligations are recorded in the balance sheet, and a roll forward of the obligations. The new standard is effective for fiscal years beginning after December 15, 2022, on a retrospective basis, including interim periods within those fiscal years. The adoption of this standard did not have an impact on our disclosures as we have determined impact of supplier finance programs is not material.</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new pronouncements issued but not effective until after September 30, 2023 are not expected to have a material impact on our results of operations, financial condition, or liquidity.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Accelerated Share Repurchase. </w:t>
      </w:r>
      <w:r>
        <w:rPr>
          <w:rFonts w:ascii="Arial" w:cs="Arial" w:eastAsia="Arial" w:hAnsi="Arial"/>
          <w:sz w:val="18"/>
          <w:szCs w:val="18"/>
          <w:color w:val="auto"/>
        </w:rPr>
        <w:t>On October 21, 2023, our Board of Directors authorized a share repurchase program for up to $11 billion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replacing the previous program announced on December 12, 2022. This $11 billion share repurchase authorization is inclusive of authority to enter into a $10 billion accelerated share repurchase program (ASR).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2023, we entered into a $10 billion bridge loan facility, the proceeds of which are expected to be used to fund the ASR, and on October 24, 2023, we announced our intention to enter into the ASR. We expect to enter into ASR agreements in October 2023 which will provide for the repurchase of an aggregate of $10 billion of the Company’s common stock. Under the ASR we expect to take delivery of the majority of the shares in the fourth quarter of 2023 with the expected final settlement of the transactions under the ASR agreements to occur no later than the third quarter of 2024. We intend to repay the bridge loan with long-term debt.</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Definitive Agreement. </w:t>
      </w:r>
      <w:r>
        <w:rPr>
          <w:rFonts w:ascii="Arial" w:cs="Arial" w:eastAsia="Arial" w:hAnsi="Arial"/>
          <w:sz w:val="18"/>
          <w:szCs w:val="18"/>
          <w:color w:val="auto"/>
        </w:rPr>
        <w:t>On October 18, 2023, we entered into a definitive agreement to sell our Cybersecurity, Intelligence and Services business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our Raytheon segment for a sales price of approximately $1.3 billion. The closing of the transaction is subject to regulatory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unaudited condensed consolidated financial information of RTX for the quarters and nine months ended September 30, 2023 and 2022, PricewaterhouseCoopers LLP (PwC) reported that it has applied limited procedures in accordance with professional standards for a review of such information. However, its report dated October 24, 2023,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0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RTX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reviewed the accompanying condensed consolidated balance sheet of RTX Corporation and its subsidiaries (the “Company”) as of September 30, 2023, and the related condensed consolidated statements of operations, of comprehensive income (loss), and of changes in equity, for the three-month and nine-month periods ended September 30, 2023 and 2022, and the condensed consolidated statement of cash flows for the nine-month periods ended September 30, 2023 and 2022,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balance sheet of the Company as of December 31, 2022, and the related consolidated statements of operations, of comprehensive income (loss), of changes in equity, and of cash flows for the year then ended (not presented herein), and in our report dated February 6, 2023, we expressed an unqualified opinion on those consolidated financial statements. In our opinion, the information set forth in the accompanying condensed consolidated balance sheet as of December 31, 2022, is fairly stated, in all material respects, in relation to the consolidated balance sheet from which it has been derived.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17, 2023, we changed our legal name from Raytheon Technologies Corporation to RTX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terms “we,” “our,” “us,” “the Company,” and “RTX” mean RTX Corporation and its subsidiaries.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effective July 1, 2023, we streamlined the structure of our core businesses to three principal business segments: Collins Aerospace (Collins), Pratt &amp; Whitney, and Raytheon. All segment information is reflective of this new structure and prior period information has been recast to conform to our current period presentation.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Raytheon follows a 4-4-5 fiscal calendar while Collins and Pratt &amp; Whitney use a quarter calendar end. Throughout this Quarterly Report on Form 10-Q, when we refer to the quarters ended September 30, 2023 and 2022 with respect to Raytheon, we are referring to their October 1, 2023 and October 2, 2022 fiscal quarter ends,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status of significant factors affecting our business environment in 2023 is discussed below. For additional discussion, refer to the “Business Overview” section in Management’s Discussion and Analysis of Financial Condition and Results of Operations (MD&amp;A) in our 2022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Considerations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Global economic and political conditions, changes in raw material and commodity prices and supply, labor availability and costs, inflation, interest rates, international and domestic tax law changes, foreign currency exchange rates, energy costs and supply, levels of air travel, the financial condition of commercial airlines, and the impact from natural disasters and weather conditions create uncertainties that could impact our businesses.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Pratt &amp; Whitney Powder Metal Matter. </w:t>
      </w:r>
      <w:r>
        <w:rPr>
          <w:rFonts w:ascii="Arial" w:cs="Arial" w:eastAsia="Arial" w:hAnsi="Arial"/>
          <w:sz w:val="18"/>
          <w:szCs w:val="18"/>
          <w:color w:val="auto"/>
        </w:rPr>
        <w:t>As described further in “Note 15: Commitments and Contingencies,” within Item 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this Form 10-Q, Pratt &amp; Whitney has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Global Supply Chain and Labor Markets. </w:t>
      </w:r>
      <w:r>
        <w:rPr>
          <w:rFonts w:ascii="Arial" w:cs="Arial" w:eastAsia="Arial" w:hAnsi="Arial"/>
          <w:sz w:val="17"/>
          <w:szCs w:val="17"/>
          <w:color w:val="auto"/>
        </w:rPr>
        <w:t>Ongoing global supply chain and labor market constraints continue to include materials and parts shortages,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raw material, microelectronics, and commodity shortages, as well as delivery delays, labor shortages, distribution problems, and price increases. Current geopolitical conditions, including sanctions and other trade restrictive activities and strained intercountry relations, are contributing to these issues. We have had difficulties procuring necessary materials, including raw materials, components, and other supplies, and services on a timely basis or at all. We have also had difficulties hiring qualified personnel, particularly personnel with specialized engineering experience and security clearances. Our suppliers and subcontractors have been impacted by the same issues, compounding the shortages for us because we rely on them, sometimes as sole-source providers. In addition, the ongoing recovery in commercial air travel has increased demand for our products and services and added to these supply chain and labor market challenges. We work continuously to mitigate the effects of these supply chain and labor constraints through a number of targeted activities and ongoing programs. However, the timing as to when our supply chain and labor challenges will abate is uncertain and subject to a wide range of factors and future developments.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U.S. Government’s Continuing Resolution</w:t>
      </w:r>
      <w:r>
        <w:rPr>
          <w:rFonts w:ascii="Arial" w:cs="Arial" w:eastAsia="Arial" w:hAnsi="Arial"/>
          <w:sz w:val="17"/>
          <w:szCs w:val="17"/>
          <w:color w:val="auto"/>
        </w:rPr>
        <w:t>. On September 30, 2023, President Biden signed a continuing resolution that funds federal agencies until</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17, 2023. A continuing resolution authorizes federal agencies to operate generally at the same funding levels from the prior year, but typically does not authorize new spending initiatives during this period. If Congress is unable to enact formal fiscal year 2024 appropriation bills by November 17, 2023, it may pass another continuing resolution. However, if Congress fails to pass the formal appropriations bills or a continuing resolution, then the U.S. government would shut down during which federal agencies would cease all non-essential functions.</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a U.S. government shutdown, our business, program performance and results of operations could be impacted by the resulting disruptions to federal government offices, workers, and operations, including risks relating to the funding of certain programs, stop work orders, as well as delays in contract awards, new program starts, payments for work performed, and other actions. We also may experience similar impacts in the event of an extended period of continuing resolutions. Generally, the significance of these impacts will primarily be based on the length of the continuing resolution or shutdown. Furthermore, under the Fiscal Responsibility Act of 2023, which imposes limits on discretionary spending for defense and non-defense programs in exchange for the lifting of the debt ceiling in June 2023, if Congress fails to enact appropriation bills by April 30, 2024, then the budget caps will be reduced and corresponding automatic reductions to agency budget accounts will be enforced through sequestration.</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Geopolitical Matters. </w:t>
      </w:r>
      <w:r>
        <w:rPr>
          <w:rFonts w:ascii="Arial" w:cs="Arial" w:eastAsia="Arial" w:hAnsi="Arial"/>
          <w:sz w:val="16"/>
          <w:szCs w:val="16"/>
          <w:color w:val="auto"/>
        </w:rPr>
        <w:t>In response to the Russian military’s invasion of Ukraine on February 24, 2022, the U.S. government and the governments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China previously announced that it may take measures against RTX in connection with certain foreign military sales to Taiwan. On February 16, 2023, China’s Ministry of Commerce announced that it has added Raytheon Missiles &amp; Defense (RMD) (a former RTX business segment which became part of Raytheon as a result of the July 1, 2023 RTX segment realignment) to its “unreliable entities list” in connection with certain foreign military sales to Taiwan involving RMD’s products and services, and that it would impose certain sanctions against RMD, including a fine equal to twice the value of the arms that RMD has sold to Taiwan since September 2020. In addition, on September 16, 2022, China indicated that it decided to sanction our Chairman and Chief Executive Officer Gregory Hayes, in connection with another foreign military sale to Taiwan involving RTX products and services. RTX is not aware of any specific sanctions against Mr. Hayes.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or may be revoked. If we ultimately do not receive all of the regulatory approvals, or those approvals are revoked, it could have a material effect on our financial results. In particular, as of September 30, 2023, our Contract liabilities include approximately $390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closely monitoring developments in the war between Israel and Hamas that began on October 7, 2023 including potential impacts to RTX’s business, customers, suppliers, employees, and operations in Israel, the Middle East and elsewhere. At this time, impacts to RTX are uncertain and subject to change given the volatile nature of the situation.</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Coronavirus Disease 2019 (COVID-19) Pandemic. </w:t>
      </w:r>
      <w:r>
        <w:rPr>
          <w:rFonts w:ascii="Arial" w:cs="Arial" w:eastAsia="Arial" w:hAnsi="Arial"/>
          <w:sz w:val="17"/>
          <w:szCs w:val="17"/>
          <w:color w:val="auto"/>
        </w:rPr>
        <w:t>The COVID-19 pandemic caused continuing negative effects on the global economy,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operations, the labor market, supply chains, inflation, and the industries in which we operate. We believe the long-term outlook for the aerospace industry remains positive due to the fundamental drivers of air travel demand. Our expectations regarding the negative effects of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1A, “Risk Factors” in our 2022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2022 Annual Report on Form 10-K, which describe the significant accounting estimates and policies used in preparation of the Consolidated Financial Statements. Actual results in these areas could differ from management’s estimates. Other than disclosed below, there have been no significant changes to our critical accounting estimates during the nine months ended September 30, 2023.</w:t>
      </w:r>
    </w:p>
    <w:p>
      <w:pPr>
        <w:spacing w:after="0" w:line="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Contingent Liabilities. </w:t>
      </w:r>
      <w:r>
        <w:rPr>
          <w:rFonts w:ascii="Arial" w:cs="Arial" w:eastAsia="Arial" w:hAnsi="Arial"/>
          <w:sz w:val="17"/>
          <w:szCs w:val="17"/>
          <w:color w:val="auto"/>
        </w:rPr>
        <w:t>As described in “Note 15: Commitments and Contingencies” within Item 1 of this Form 10-Q, contractual, regulatory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matters in the normal course of business may arise that subject us to claims or litigation, including with respect to matters relating to technical issues on programs, government contracts, performance and operating cost guarantees, employee benefit plans, legal, and environmental, health and safety matters. In particular, the design, development, production and support of aerospace technologies is inherently complex and subject to risk. Technical issues associated with these technologies may arise in the normal course and may result in financial impacts, including increased warranty provisions, customer contract settlements, and changes in contract performance estimates. These impacts could be material to the Company’s results of operations, financial condition, and liquidity. Additionally, we have significant contracts with the U.S. government, subject to government oversight and audit, which may require significant adjustment of contract prices. We accrue for liabilities associated with these matters when it is probable that a liability has been incurred and the amount can be reasonably estimated. Estimating our liability based on both the likelihood of any adverse judgments or outcomes, and the costs associated with these matters, requires significant judgment. The inherent uncertainty related to the outcome of these matters could result in amounts materially different from any provisions made with respect to their resolution.</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Pratt &amp; Whitney has determined that a rare condition in powder metal used to manufacture certain engine parts requires accelerated inspection of the PW1100G-JM (PW1100) Geared Turbofan (GTF) fleet, which powers the A320neo family of aircraft (A320neo) (herein referred to as the “Powder Metal Matter”). This determination was made pursuant to Pratt &amp; Whitney’s safety management system.</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through its safety management system, Pratt &amp; Whitney continued its engineering and industrial assessment which resulted in an updated fleet management plan for the remaining PW1100 fleet. This updated plan requires a repetitive inspection protocol for high pressure turbine disks as well as part life limits for high pressure turbine disks and high pressure compressor disks. This fleet management plan is expected to be released in one or more service bulletins (SB) beginning in the fourth quarter of 2023, following alignment with regulators. The actions set forth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SI and SBs are expected to result in significant incremental shop visits through the end of 2026. These incremental shop visits are above Pratt &amp; Whitney's prior estimates as of June 30, 2023. As a result, Pratt &amp; Whitney expects a significant increase in aircraft on ground levels for the PW1100 powered A320neo fleet through 2026.</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anticipated increased aircraft on ground levels and expected compensation to customers for this disruption, as well as incremental maintenance costs resulting from increased inspections and shop visits, RTX recorded a pre-tax operating profit charge in the third quarter of 2023 of $2.9 billion, reflecting Pratt &amp; Whitney’s net 51% program share of the PW1100 program. This reflects our current best estimate of expected customer compensation for the estimated duration of the disruption as well as the third quarter Estimate-at-Completion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$2.9 billion charge is reflected in the Condensed Consolidated Statement of Operations as a reduction of sales of $5.4 billion which was partially offset by a net reduction of cost of sales of $2.5 billion primarily representing our partners’ 49% share of this charge. This resulted in a net increase in Other accrued liabilities of $2.8 billion, which principally relates to our 51% share of an accrual for expected customer compensation. While the timing of settlement is subject to a number of variables, we expect the $2.8 billion of Other accrued liabilities to be paid consistent with the timing of execution of the fleet management plan and period of increased aircraft on ground levels referenced above.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Pratt &amp; Whitney continues to evaluate the impact of this powder metal issue on other engine models within its fleet, we do not currently believe there will be any significant financial impact with respect to these other engine models. The financial impact of the powder metal issue is based on historical experience and is subject to various assumptions and judgments, most notably, the number and expected timing of shop visits, inspection results and scope of work to be performed, turnaround time, availability of new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have implemented restructuring actions in an effort to keep our cost structure competitive.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7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13,464</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16,951</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48,993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factors contributing to the change year-over-year in total net sales for the quarter and nine months ended September 30, 2023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60" w:type="dxa"/>
            <w:vAlign w:val="bottom"/>
          </w:tcPr>
          <w:p>
            <w:pPr>
              <w:spacing w:after="0"/>
              <w:rPr>
                <w:sz w:val="14"/>
                <w:szCs w:val="14"/>
                <w:color w:val="auto"/>
              </w:rPr>
            </w:pPr>
          </w:p>
        </w:tc>
        <w:tc>
          <w:tcPr>
            <w:tcW w:w="1520" w:type="dxa"/>
            <w:vAlign w:val="bottom"/>
          </w:tcPr>
          <w:p>
            <w:pPr>
              <w:jc w:val="right"/>
              <w:ind w:right="296"/>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4"/>
              </w:rPr>
              <w:t>September 30, 2023</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September 30, 2023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28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change</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$2.0 billion organically in the quarter ended September 30, 2023 compared to the quarter ended September 30, 2022 primarily due to higher organic sales of $0.9 billion at Collins, $0.9 billion at Pratt &amp; Whitney, and $0.2 billion at Raytheon.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sales decreased $5.5 billion in the quarter ended September 30, 2023 compared to the quarter ended September 30, 2022 primarily driven by the net sales charge of $5.4 billion associated with the Powder Metal Matter.</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$5.6 billion organically in the nine months ended September 30, 2023 compared to the nine months ended September 30, 2022 primarily due to higher organic sales of $2.4 billion at Collins, $2.4 billion at Pratt &amp; Whitney, and $1.0 billion at Raytheon.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sales decreased $5.5 billion in the nine months ended September 30, 2023 compared to the nine months ended September 30, 2022 primarily driven by the net sales charge of $5.4 billion associated with the Powder Metal Matter.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“Segment Review” below for further information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8,615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12,756</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64.0 %</w:t>
            </w:r>
          </w:p>
        </w:tc>
        <w:tc>
          <w:tcPr>
            <w:tcW w:w="1080" w:type="dxa"/>
            <w:vAlign w:val="bottom"/>
          </w:tcPr>
          <w:p>
            <w:pPr>
              <w:jc w:val="right"/>
              <w:spacing w:after="0"/>
              <w:rPr>
                <w:sz w:val="20"/>
                <w:szCs w:val="20"/>
                <w:color w:val="auto"/>
              </w:rPr>
            </w:pPr>
            <w:r>
              <w:rPr>
                <w:rFonts w:ascii="Arial" w:cs="Arial" w:eastAsia="Arial" w:hAnsi="Arial"/>
                <w:sz w:val="18"/>
                <w:szCs w:val="18"/>
                <w:color w:val="auto"/>
              </w:rPr>
              <w:t>75.3 %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4,849</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36.0 %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13,464</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17: Segment Financial Data” within Item 1 of this Form 10-Q for the composition of external net sales by products and services by segment.</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products sales decreased $4.1 billion in the quarter ended September 30, 2023 compared to the quarter ended September 30, 2022 primarily driven by a net sales charge of $5.3 billion associated with the Powder Metal Matter, partially offset by increases in external products sales of $0.6 billion at Pratt &amp; Whitney and $0.6 billion at Collins.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services sales increased $0.7 billion in the quarter ended September 30, 2023 compared to the quarter ended September 30, 2022 primarily due to increases in external services sales of $0.3 billion at Collins, $0.3 billion at Pratt &amp; Whitney, and $0.2 billion at Raytheon, partially offset by a net sales charge of $0.1 billion associated with the Powder Metal Matter.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
              <w:spacing w:after="0"/>
              <w:rPr>
                <w:sz w:val="20"/>
                <w:szCs w:val="20"/>
                <w:color w:val="auto"/>
              </w:rPr>
            </w:pPr>
            <w:r>
              <w:rPr>
                <w:rFonts w:ascii="Arial" w:cs="Arial" w:eastAsia="Arial" w:hAnsi="Arial"/>
                <w:sz w:val="18"/>
                <w:szCs w:val="18"/>
                <w:b w:val="1"/>
                <w:bCs w:val="1"/>
                <w:color w:val="auto"/>
              </w:rPr>
              <w:t>34,813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36,876</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71.1 %</w:t>
            </w:r>
          </w:p>
        </w:tc>
        <w:tc>
          <w:tcPr>
            <w:tcW w:w="1080" w:type="dxa"/>
            <w:vAlign w:val="bottom"/>
          </w:tcPr>
          <w:p>
            <w:pPr>
              <w:jc w:val="right"/>
              <w:spacing w:after="0"/>
              <w:rPr>
                <w:sz w:val="20"/>
                <w:szCs w:val="20"/>
                <w:color w:val="auto"/>
              </w:rPr>
            </w:pPr>
            <w:r>
              <w:rPr>
                <w:rFonts w:ascii="Arial" w:cs="Arial" w:eastAsia="Arial" w:hAnsi="Arial"/>
                <w:sz w:val="18"/>
                <w:szCs w:val="18"/>
                <w:color w:val="auto"/>
              </w:rPr>
              <w:t>75.3 %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14,180</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28.9 %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48,993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products sales decreased $2.1 billion in the nine months ended September 30, 2023 compared to the nine months ended September 30, 2022 primarily driven by a net sales charge of $5.3 billion associated with the Powder Metal Matter, partially offset by increases in external products sales of $1.5 billion at Collins, $1.3 billion at Pratt &amp; Whitney, and $0.5 billion at Raytheon.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services sales increased $2.1 billion in the nine months ended September 30, 2023 compared to the nine months ended September 30, 2022 due to increases in external services sales of $1.1 billion at Pratt &amp; Whitney, $0.6 billion at Collins, and $0.4 billion at Raytheon, partially offset by a net sales charge of $0.1 billion associated with the Powder Metal Matter.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sales to major customers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7,678</w:t>
            </w:r>
          </w:p>
        </w:tc>
        <w:tc>
          <w:tcPr>
            <w:tcW w:w="94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57.0 %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1,317</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Arial" w:cs="Arial" w:eastAsia="Arial" w:hAnsi="Arial"/>
                <w:sz w:val="18"/>
                <w:szCs w:val="18"/>
                <w:b w:val="1"/>
                <w:bCs w:val="1"/>
                <w:color w:val="auto"/>
              </w:rPr>
              <w:t>9.8 %</w:t>
            </w:r>
          </w:p>
        </w:tc>
        <w:tc>
          <w:tcPr>
            <w:tcW w:w="98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1,020</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7.6 %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Commercial aerospace and other commercial sales</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3,449</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25.6 %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13,464</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16,951</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reduction in sales from the Powder Metal Matter.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4100" w:type="dxa"/>
            <w:vAlign w:val="bottom"/>
            <w:gridSpan w:val="6"/>
          </w:tcPr>
          <w:p>
            <w:pPr>
              <w:jc w:val="right"/>
              <w:ind w:right="1448"/>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23,193</w:t>
            </w:r>
          </w:p>
        </w:tc>
        <w:tc>
          <w:tcPr>
            <w:tcW w:w="94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47.3 %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3,820</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Arial" w:cs="Arial" w:eastAsia="Arial" w:hAnsi="Arial"/>
                <w:sz w:val="18"/>
                <w:szCs w:val="18"/>
                <w:b w:val="1"/>
                <w:bCs w:val="1"/>
                <w:color w:val="auto"/>
              </w:rPr>
              <w:t>7.8 %</w:t>
            </w:r>
          </w:p>
        </w:tc>
        <w:tc>
          <w:tcPr>
            <w:tcW w:w="98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3,113</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6.4 %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Commercial aerospace and other commercial sales</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18,867</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19,779</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38.5 %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48,993</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48,981</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reduction in sales from the Powder Metal Matter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Cost of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Quarter Ended September 30,</w:t>
            </w:r>
          </w:p>
        </w:tc>
        <w:tc>
          <w:tcPr>
            <w:tcW w:w="44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sales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12,750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13,464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40,913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38,880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94.7 %</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factors contributing to the change year-over-year in total cost of sales for the quarter and nine months ended September 30, 2023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760" w:type="dxa"/>
            <w:vAlign w:val="bottom"/>
          </w:tcPr>
          <w:p>
            <w:pPr>
              <w:spacing w:after="0"/>
              <w:rPr>
                <w:sz w:val="14"/>
                <w:szCs w:val="14"/>
                <w:color w:val="auto"/>
              </w:rPr>
            </w:pPr>
          </w:p>
        </w:tc>
        <w:tc>
          <w:tcPr>
            <w:tcW w:w="1540" w:type="dxa"/>
            <w:vAlign w:val="bottom"/>
          </w:tcPr>
          <w:p>
            <w:pPr>
              <w:jc w:val="right"/>
              <w:ind w:right="314"/>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48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4"/>
              </w:rPr>
              <w:t>September 30, 2023</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September 30, 2023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Acquisitions and divestitures, net</w:t>
            </w:r>
          </w:p>
        </w:tc>
        <w:tc>
          <w:tcPr>
            <w:tcW w:w="2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7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b w:val="1"/>
                <w:bCs w:val="1"/>
                <w:color w:val="auto"/>
              </w:rPr>
              <w:t>67</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“Results of Operations” for definition of organic. A reconciliation of this measure to the reported U.S. GAAP amount is provided in the table above.</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organic increase in total cost of sales of $1.6 billion for the quarter ended September 30, 2023 compared to the quarter ended September 30, 2022, was primarily driven by the organic sales increases at Pratt &amp; Whitney, Collins, and Raytheon noted above.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 of sales decreased $2.5 billion in the quarter ended September 30, 2023 compared to the quarter ended September 30, 2022 primarily driven by a net reduction in cost of sales of $2.5 billion primarily reflecting our partners’ 49% share of the Powder Metal Matter.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organic increase in total cost of sales of $4.4 billion for the nine months ended September 30, 2023 compared to the nine months ended September 30, 2022, was primarily driven by the organic sales increases at Pratt &amp; Whitney, Collins, and Raytheon noted above.</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cost of sales decreased $2.7 billion in the nine months ended September 30, 2023 compared to the nine months ended September 30, 2022 primarily driven by a net reduction in cost of sales of $2.5 billion primarily reflecting our partners’ 49% share of the Powder Metal Matter.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actions relate to ongoing cost reduction efforts including workforce reductions and the consolidation of facilities.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Arial" w:cs="Arial" w:eastAsia="Arial" w:hAnsi="Arial"/>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7"/>
              <w:spacing w:after="0"/>
              <w:rPr>
                <w:sz w:val="20"/>
                <w:szCs w:val="20"/>
                <w:color w:val="auto"/>
              </w:rPr>
            </w:pPr>
            <w:r>
              <w:rPr>
                <w:rFonts w:ascii="Arial" w:cs="Arial" w:eastAsia="Arial" w:hAnsi="Arial"/>
                <w:sz w:val="18"/>
                <w:szCs w:val="18"/>
                <w:b w:val="1"/>
                <w:bCs w:val="1"/>
                <w:color w:val="auto"/>
              </w:rPr>
              <w:t>9,289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69.0 %</w:t>
            </w:r>
          </w:p>
        </w:tc>
        <w:tc>
          <w:tcPr>
            <w:tcW w:w="1080" w:type="dxa"/>
            <w:vAlign w:val="bottom"/>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3,461</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25.7 %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12,750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94.7 %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products cost of sales decreased $1.2 billion in the quarter ended September 30, 2023 compared to the quarter ended September 30, 2022, primarily driven by a net reduction in cost of sales of $2.5 billion primarily reflecting our partners’ 49% share of the Powder Metal Matter. This was partially offset by increases in external products cost of sales at Pratt &amp; Whitney, Collins, and Raytheon, all driven by the products sales changes noted above.</w:t>
      </w:r>
    </w:p>
    <w:p>
      <w:pPr>
        <w:spacing w:after="0" w:line="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services cost of sales increased $0.5 billion in the quarter ended September 30, 2023 compared to the quarter ended September 30, 2022, primarily due to increases in external services cost of sales at Pratt &amp; Whitney and Collins, all driven by the services sales changes noted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Arial" w:cs="Arial" w:eastAsia="Arial" w:hAnsi="Arial"/>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2023</w:t>
            </w: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
              <w:spacing w:after="0"/>
              <w:rPr>
                <w:sz w:val="20"/>
                <w:szCs w:val="20"/>
                <w:color w:val="auto"/>
              </w:rPr>
            </w:pPr>
            <w:r>
              <w:rPr>
                <w:rFonts w:ascii="Arial" w:cs="Arial" w:eastAsia="Arial" w:hAnsi="Arial"/>
                <w:sz w:val="18"/>
                <w:szCs w:val="18"/>
                <w:b w:val="1"/>
                <w:bCs w:val="1"/>
                <w:color w:val="auto"/>
              </w:rPr>
              <w:t>31,078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Arial" w:cs="Arial" w:eastAsia="Arial" w:hAnsi="Arial"/>
                <w:sz w:val="18"/>
                <w:szCs w:val="18"/>
                <w:b w:val="1"/>
                <w:bCs w:val="1"/>
                <w:color w:val="auto"/>
              </w:rPr>
              <w:t>63.4 %</w:t>
            </w:r>
          </w:p>
        </w:tc>
        <w:tc>
          <w:tcPr>
            <w:tcW w:w="1080" w:type="dxa"/>
            <w:vAlign w:val="bottom"/>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9,835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20.1 %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40,913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38,880</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b w:val="1"/>
                <w:bCs w:val="1"/>
                <w:color w:val="auto"/>
              </w:rPr>
              <w:t>83.5 %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products cost of sales increased $0.7 billion in the nine months ended September 30, 2023 compared to the nine months ended September 30, 2022, primarily driven by increases in external products cost of sales at Pratt &amp; Whitney, Collins, and Raytheon, all driven by the products sales changes noted above, partially offset by a decrease in net products cost of sales driven by a net reduction in cost of sales of $2.5 billion primarily reflecting our partners’ 49% share of the Powder Metal Matter.</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services cost of sales increased $1.3 billion in the nine months ended September 30, 2023 compared to the nine months ended September 30, 2022, primarily due to increases in external services cost of sales at Pratt &amp; Whitney, Collins, and Raytheon, all driven by the services sales changes noted above.</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9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Quarter Ended September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712</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2,048</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4.2 %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Customer-funded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1,107</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3,417</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Included in cost of sales in our Condensed Consolidated Statement of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fluctuations in spending levels are expected.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company-funded research and development of $50 million for the quarter ended September 30, 2023 compared to the quarter ended September 30, 2022 was primarily driven by increased spending on commercial program development at Pratt &amp; Whitney and higher program expenses at Collins.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Customer-funded research and development for the quarter ended September 30, 2023 was relatively consistent with the quarter ended September 30, 2022.</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company-funded research and development of $53 million for the nine months ended September 30, 2023 compared to the nine months ended September 30, 2022 was primarily driven by increased spending on commercial program development at Pratt &amp; Whitney and higher program expenses at Collins, partially offset by decreased spend on the Lower Tier Air and Missile Defense Sensor (LTAMDS) program.</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customer-funded research and development of $117 million for the nine months ended September 30, 2023 compared to the nine months ended September 30, 2022 was primarily driven by higher expenses on various military and commercial programs at Collins and increased spending at Pratt &amp; Whitney on military programs, partially offset by lower expenses on various programs at Raytheon.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Pr>
          <w:p>
            <w:pPr>
              <w:spacing w:after="0"/>
              <w:rPr>
                <w:sz w:val="16"/>
                <w:szCs w:val="16"/>
                <w:color w:val="auto"/>
              </w:rPr>
            </w:pPr>
          </w:p>
        </w:tc>
        <w:tc>
          <w:tcPr>
            <w:tcW w:w="310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1,401</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4,364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3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increased $50 million in the quarter ended September 30, 2023 compared to the quarter ended September 30, 2022, primarily driven by an increase in restructuring costs, increased employee-related costs, and increased portfolio and segment realignment costs.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$180 million in the nine months ended September 30, 2023 compared to the nine months ended September 30, 2022, primarily driven by a charge at our Pratt &amp; Whitney segment related to a customer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insolvency in the second quarter of 2023, increased employee-related costs, an increase in restructuring costs, and increased portfolio and segment realignment costs, partially offset by the absence of $71 million of charges recorded in the first quarter of 2022 related to increased estimates for credit losses due to global sanctions on and export controls with respect to Russia. See “Note 1: Basis of Presentation” within Item 1 of this Form 10-Q for additional information on Russia sanctions.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88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Quarter Ended September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116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and other ongoing and non-recurring items.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Other income, net of $43 million for the quarter ended September 30, 2023 compared to the quarter ended September 30, 2022 was primarily due to a net unfavorable year-over-year impact of foreign exchange gains and losses.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income, net of $25 million for the nine months ended September 30, 2023 compared to the nine months ended September 30, 2022 was primarily due to the absence of $69 million of charges associated with the disposition of two non-core businesses at Collins in the second quarter of 2022 and a $68 million gain on sale of land during the first quarter of 2023, partially offset by a net unfavorable year-over-year impact of foreign exchange gains and losses.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Operating Profit (Loss)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ind w:left="420"/>
              <w:spacing w:after="0"/>
              <w:rPr>
                <w:sz w:val="20"/>
                <w:szCs w:val="20"/>
                <w:color w:val="auto"/>
              </w:rPr>
            </w:pPr>
            <w:r>
              <w:rPr>
                <w:rFonts w:ascii="Arial" w:cs="Arial" w:eastAsia="Arial" w:hAnsi="Arial"/>
                <w:sz w:val="14"/>
                <w:szCs w:val="14"/>
                <w:b w:val="1"/>
                <w:bCs w:val="1"/>
                <w:color w:val="auto"/>
              </w:rPr>
              <w:t>Quarter Ended September 30,</w:t>
            </w:r>
          </w:p>
        </w:tc>
        <w:tc>
          <w:tcPr>
            <w:tcW w:w="400" w:type="dxa"/>
            <w:vAlign w:val="bottom"/>
          </w:tcPr>
          <w:p>
            <w:pPr>
              <w:spacing w:after="0"/>
              <w:rPr>
                <w:sz w:val="16"/>
                <w:szCs w:val="16"/>
                <w:color w:val="auto"/>
              </w:rPr>
            </w:pPr>
          </w:p>
        </w:tc>
        <w:tc>
          <w:tcPr>
            <w:tcW w:w="310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(1,396)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1,784</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(loss) margin</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(10.4)%</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Operating profit (loss) of $2.9 billion for the quarter ended September 30, 2023 compared to the quarter ended September 30, 2022 was primarily driven by the charges associated with the Powder Metal Matter.</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change in Operating profit (loss) of $2.2 billion for the nine months ended September 30, 2023 compared to the nine months ended September 30, 2022 was primarily driven by the charges associated with the Powder Metal Matter, and the change in our FAS/CAS operating adjustment, partially offset by an increase in Operating profit due to the remaining operating performance of our segments, all of which are described below in “Segment Review.”</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Non-service Pension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0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Quarter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Non-service pension income</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1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11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(1,422)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of $25 million for the quarter ended September 30, 2023 compared to the quarter ended September 30, 2022 was primarily driven by an increase in interest rates during 2022 and prior years’ pension asset returns less than our expected return on plan assets (EROA) assumption, partially offset by an increase in our 2023 EROA assumption.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Non-service pension income of $88 million for the nine months ended September 30, 2023 compared to the nine months ended September 30, 2022 was primarily driven by an increase in interest rates during 2022 and prior years’ pension asset returns less than our EROA assumption, partially offset by an increase in our 2023 EROA assumption.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9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Quarter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391</w:t>
            </w:r>
          </w:p>
        </w:tc>
        <w:tc>
          <w:tcPr>
            <w:tcW w:w="116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1,102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(19)</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b w:val="1"/>
                <w:bCs w:val="1"/>
                <w:color w:val="auto"/>
              </w:rPr>
              <w:t>(46)</w:t>
            </w:r>
          </w:p>
        </w:tc>
        <w:tc>
          <w:tcPr>
            <w:tcW w:w="4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non-operating expense (income)</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(39)</w:t>
            </w: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 net</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369</w:t>
            </w:r>
          </w:p>
        </w:tc>
        <w:tc>
          <w:tcPr>
            <w:tcW w:w="116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1,017</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Average interest expense rate</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1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4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73" w:lineRule="auto"/>
        <w:tabs>
          <w:tab w:leader="none" w:pos="3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consists of the gains or losses on assets associated with certain of our nonqualified deferred compensation and employee benefit plans, as well as the gains or losses on liabilities associated with certain of our nonqualified deferred compensation plans and non-operating dividend income.</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increased $58 million in the quarter ended September 30, 2023 compared to the quarter ended September 30, 2022. The increase in Interest expense of $65 million was primarily due to the long-term debt issuance in the first quarter of 2023 and the increase in commercial paper activity in 2023.</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net increased $59 million in the nine months ended September 30, 2023 compared to the nine months ended September 30, 2022. The increase in Interest expense of $134 million was primarily due to the long-term debt issuance in the first quarter of 2023 and the increase in commercial paper activity in 2023. The change in Other non-operating expense (income) of $83 million was primarily driven by a change in the mark-to-market fair value of marketable securities held in trusts associated with certain of our nonqualified deferred compensation and employee benefit plans and an increase in dividend income.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8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r>
      <w:tr>
        <w:trPr>
          <w:trHeight w:val="236"/>
        </w:trPr>
        <w:tc>
          <w:tcPr>
            <w:tcW w:w="5180" w:type="dxa"/>
            <w:vAlign w:val="bottom"/>
            <w:tcBorders>
              <w:bottom w:val="single" w:sz="8" w:color="auto"/>
            </w:tcBorders>
            <w:gridSpan w:val="2"/>
            <w:shd w:val="clear" w:color="auto" w:fill="CCEEFF"/>
          </w:tcPr>
          <w:p>
            <w:pPr>
              <w:jc w:val="right"/>
              <w:ind w:right="3288"/>
              <w:spacing w:after="0"/>
              <w:rPr>
                <w:sz w:val="20"/>
                <w:szCs w:val="20"/>
                <w:color w:val="auto"/>
              </w:rPr>
            </w:pPr>
            <w:r>
              <w:rPr>
                <w:rFonts w:ascii="Arial" w:cs="Arial" w:eastAsia="Arial" w:hAnsi="Arial"/>
                <w:sz w:val="18"/>
                <w:szCs w:val="18"/>
                <w:color w:val="auto"/>
                <w:w w:val="91"/>
              </w:rPr>
              <w:t>Effective income tax rate</w:t>
            </w:r>
          </w:p>
        </w:tc>
        <w:tc>
          <w:tcPr>
            <w:tcW w:w="18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b w:val="1"/>
                <w:bCs w:val="1"/>
                <w:color w:val="auto"/>
              </w:rPr>
              <w:t>29.4 %</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b w:val="1"/>
                <w:bCs w:val="1"/>
                <w:color w:val="auto"/>
              </w:rPr>
              <w:t>9.2 %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quarter and nine months ended September 30, 2023 was 29.4% and 9.2%, respectively, as compared to 16.8% and 13.8% for the quarter and nine months ended September 30, 2022, respectively. The change in our effective tax rate for the quarter and nine months ended September 30, 2023 primarily relates to a $2.9 billion charge related to the Powder Metal Matter. We recorded a deferred income tax benefit related to this charge of $663 million. The remaining change is primarily driven by a higher forecasted annualized effective tax rate for 2023 principally due to a lower forecasted Foreign Derived Intangible Income (FDII) benefit.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(Loss) from Continuing Operations Attributable to Common Shareowners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September 30,</w:t>
            </w:r>
          </w:p>
        </w:tc>
        <w:tc>
          <w:tcPr>
            <w:tcW w:w="360" w:type="dxa"/>
            <w:vAlign w:val="bottom"/>
          </w:tcPr>
          <w:p>
            <w:pPr>
              <w:spacing w:after="0"/>
              <w:rPr>
                <w:sz w:val="16"/>
                <w:szCs w:val="16"/>
                <w:color w:val="auto"/>
              </w:rPr>
            </w:pPr>
          </w:p>
        </w:tc>
        <w:tc>
          <w:tcPr>
            <w:tcW w:w="298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Net income (loss) from continuing operations attributable to</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shareowners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1,769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6"/>
              </w:rPr>
              <w:t xml:space="preserve">Diluted earnings (loss) per share from continuing operations </w:t>
            </w:r>
            <w:r>
              <w:rPr>
                <w:rFonts w:ascii="Arial" w:cs="Arial" w:eastAsia="Arial" w:hAnsi="Arial"/>
                <w:sz w:val="18"/>
                <w:szCs w:val="18"/>
                <w:b w:val="1"/>
                <w:bCs w:val="1"/>
                <w:color w:val="auto"/>
                <w:w w:val="9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(0.68)</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1.21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loss from continuing operations attributable to common shareowners for the quarter ended September 30, 2023 includes the following:</w:t>
      </w:r>
    </w:p>
    <w:p>
      <w:pPr>
        <w:spacing w:after="0" w:line="23" w:lineRule="exact"/>
        <w:rPr>
          <w:sz w:val="20"/>
          <w:szCs w:val="20"/>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associated with the Powder Metal Matter of $2.2 billion, net of tax and partner share, which had an unfavorable impact on diluted earnings (loss) per share (EPS) from continuing operations of $1.53; and</w:t>
      </w: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accounting adjustments of $406 million, net of tax, which had an unfavorable impact on diluted EPS from continuing operations of $0.28.</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Net income from continuing operations attributable to common shareowners for the quarter ended September 30, 2022 includes the following:</w:t>
      </w:r>
    </w:p>
    <w:p>
      <w:pPr>
        <w:spacing w:after="0" w:line="35" w:lineRule="exact"/>
        <w:rPr>
          <w:sz w:val="20"/>
          <w:szCs w:val="20"/>
          <w:color w:val="auto"/>
        </w:rPr>
      </w:pPr>
    </w:p>
    <w:p>
      <w:pPr>
        <w:ind w:left="6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accounting adjustments of $379 million, net of tax, which had an unfavorable impact on diluted EPS from continuing operations of $0.26.</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Net loss from continuing operations attributable to common shareowners for the nine months ended September 30, 2023 includes the following:</w:t>
      </w:r>
    </w:p>
    <w:p>
      <w:pPr>
        <w:spacing w:after="0" w:line="35" w:lineRule="exact"/>
        <w:rPr>
          <w:sz w:val="20"/>
          <w:szCs w:val="20"/>
          <w:color w:val="auto"/>
        </w:rPr>
      </w:pPr>
    </w:p>
    <w:p>
      <w:pPr>
        <w:ind w:left="6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charge associated with the Powder Metal Matter of $2.2 billion, net of tax and partner share, which had an unfavorable impact on diluted EPS from continuing operations of $1.52;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accounting adjustments of $1,175 million, net of tax, which had an unfavorable impact on diluted EPS from continuing operations of $0.80;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charges on our contract assets and customer financing assets related to a customer insolvency of $114 million, net of tax and noncontrolling interest, which had an unfavorable impact on diluted EPS from continuing operations of $0.08.</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Net income from continuing operations attributable to common shareowners for the nine months ended September 30, 2022 includes the following:</w:t>
      </w:r>
    </w:p>
    <w:p>
      <w:pPr>
        <w:spacing w:after="0" w:line="35" w:lineRule="exact"/>
        <w:rPr>
          <w:sz w:val="20"/>
          <w:szCs w:val="20"/>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accounting adjustments of $1,107 million, net of tax, which had an unfavorable impact on diluted EPS from continuing operations of $0.74; and</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and reserve adjustments related to the global sanctions on, and export controls with respect to, Russia of $210 million, net of tax, which had an unfavorable impact on diluted EPS from continuing operations of $0.14.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(Loss) Attributable to Common Shareowners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September 30,</w:t>
            </w:r>
          </w:p>
        </w:tc>
        <w:tc>
          <w:tcPr>
            <w:tcW w:w="360" w:type="dxa"/>
            <w:vAlign w:val="bottom"/>
          </w:tcPr>
          <w:p>
            <w:pPr>
              <w:spacing w:after="0"/>
              <w:rPr>
                <w:sz w:val="16"/>
                <w:szCs w:val="16"/>
                <w:color w:val="auto"/>
              </w:rPr>
            </w:pPr>
          </w:p>
        </w:tc>
        <w:tc>
          <w:tcPr>
            <w:tcW w:w="298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common shareowners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1,769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from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(0.68)</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1.21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change in net income (loss) attributable to common shareowners and diluted earnings (loss) per share from operations for the quarter ended September 30, 2023 compared to the quarter ended September 30, 2022 and for the nine months ended September 30, 2023 compared to the nine months ended September 30, 2022 was primarily driven by the change in continuing operations, as discussed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announced, effective July 1, 2023, we streamlined the structure of our core businesses to three principal business segments: Collins Aerospace (Collins), Pratt &amp; Whitney, and Raytheon. All segment information is reflective of this new structure and prior period information has been recast to conform to our current period presentation.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Given the nature of our business, we believe that total net sales and operating profit (loss) (and the related operating profit (loss) margin percentage), which we disclose and discuss at the segment level, are most relevant to an understanding of management’s view of our segment performance, as described below.</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the organic change in Net sales and Operating profit (loss)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Net Sales. </w:t>
      </w:r>
      <w:r>
        <w:rPr>
          <w:rFonts w:ascii="Arial" w:cs="Arial" w:eastAsia="Arial" w:hAnsi="Arial"/>
          <w:sz w:val="18"/>
          <w:szCs w:val="18"/>
          <w:color w:val="auto"/>
        </w:rPr>
        <w:t>Total net sales by segment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72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Quarter Ended September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6,629</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19,133</w:t>
            </w:r>
          </w:p>
        </w:tc>
        <w:tc>
          <w:tcPr>
            <w:tcW w:w="110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16,821</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Pratt &amp; Whitney</w:t>
            </w:r>
            <w:r>
              <w:rPr>
                <w:rFonts w:ascii="Arial" w:cs="Arial" w:eastAsia="Arial" w:hAnsi="Arial"/>
                <w:sz w:val="23"/>
                <w:szCs w:val="23"/>
                <w:color w:val="auto"/>
                <w:vertAlign w:val="superscript"/>
              </w:rPr>
              <w:t>(1)</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926</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11,857</w:t>
            </w:r>
          </w:p>
        </w:tc>
        <w:tc>
          <w:tcPr>
            <w:tcW w:w="1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w w:val="98"/>
              </w:rPr>
              <w:t>14,878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Raytheon</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6,472</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19,464</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18,515</w:t>
            </w: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Total segment</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14,027</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17,406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50,454</w:t>
            </w:r>
          </w:p>
        </w:tc>
        <w:tc>
          <w:tcPr>
            <w:tcW w:w="11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w w:val="98"/>
              </w:rPr>
              <w:t>50,214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(1,461)</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(1,233)</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13,464</w:t>
            </w:r>
          </w:p>
        </w:tc>
        <w:tc>
          <w:tcPr>
            <w:tcW w:w="106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16,951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48,993</w:t>
            </w:r>
          </w:p>
        </w:tc>
        <w:tc>
          <w:tcPr>
            <w:tcW w:w="110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48,981</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the reduction in sales from the Powder Metal Matter.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Profit (Loss). </w:t>
      </w:r>
      <w:r>
        <w:rPr>
          <w:rFonts w:ascii="Arial" w:cs="Arial" w:eastAsia="Arial" w:hAnsi="Arial"/>
          <w:sz w:val="18"/>
          <w:szCs w:val="18"/>
          <w:color w:val="auto"/>
        </w:rPr>
        <w:t>Operating profit (loss) by segment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903</w:t>
            </w:r>
          </w:p>
        </w:tc>
        <w:tc>
          <w:tcPr>
            <w:tcW w:w="110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2,699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Pratt &amp; Whitney</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(2,482)</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(1,837)</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Raytheon</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560</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1,775</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 segment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(1,019)</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2,637</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expenses and other unallocated items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272</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845</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(1,396)</w:t>
            </w:r>
          </w:p>
        </w:tc>
        <w:tc>
          <w:tcPr>
            <w:tcW w:w="110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1,784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the impacts from the Powder Metal Matter.</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2022 included the net expenses related to the U.S. Army’s LTAMDS program. Beginning in 2023, LTAMDS results are included in the Raytheon segment.</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Included in segment operating profit (loss)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aggregate EAC adjustments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8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Quarter Ended September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247</w:t>
            </w:r>
          </w:p>
        </w:tc>
        <w:tc>
          <w:tcPr>
            <w:tcW w:w="114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851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unfavorable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(526)</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EAC adjustments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(279)</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net EAC adjustments of $286 million in the quarter ended September 30, 2023 compared to the quarter ended September 30, 2022 was primarily due to unfavorable changes in net EAC adjustments at Pratt &amp; Whitney and Raytheon, including the unfavorable impact of $133 million recorded at Pratt &amp; Whitney in the quarter ended September 30, 2023 as a result of increased cost to our aftermarket contracts resulting from the Powder Metal Matter.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net EAC adjustments of $435 million in the nine months ended September 30, 2023 compared to the nine months ended September 30, 2022 was primarily due to unfavorable changes in net EAC adjustments at Pratt &amp; Whitney, including the unfavorable impact of $133 million recorded at Pratt &amp; Whitney in the quarter ended September 30, 2023 as a result of increased cost to our aftermarket contracts resulting from the Powder Metal Matter. The change in net EAC adjustments also includes the absence of a $50 million favorable contract adjustment resulting from a contract modification on a commercial aftermarket program in the second quarter of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Significant EAC adjustments, when they occur, are discussed in each business segment’s discussion below.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Backlog and Bookings. </w:t>
      </w:r>
      <w:r>
        <w:rPr>
          <w:rFonts w:ascii="Arial" w:cs="Arial" w:eastAsia="Arial" w:hAnsi="Arial"/>
          <w:sz w:val="18"/>
          <w:szCs w:val="18"/>
          <w:color w:val="auto"/>
        </w:rPr>
        <w:t>Total backlog was approximately $190 billion and $175 billion as of September 30, 2023 and December 31, 2022,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defense backlog of $75 billion and $69 billion as of September 30, 2023 and December 31, 2022, respectively. Our defense operations consist primarily of our Raytheon business and operations in the defense businesses within our Collins and Pratt &amp; Whitney segments. Defense bookings were approximately $12 billion and $12 billion for the quarters ended September 30, 2023 and 2022, and approximately $37 billion and $34 billion for the nine months ended September 30, 2023 and 2022, respectively.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governmental approvals and notifications. In addition, due to these factors, quarterly bookings tend to fluctuate from period to period, particularly on a segment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w w:val="96"/>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3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8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2023</w:t>
            </w:r>
          </w:p>
        </w:tc>
        <w:tc>
          <w:tcPr>
            <w:tcW w:w="196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7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6,629</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5,718</w:t>
            </w: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 xml:space="preserve">16 %  </w:t>
            </w: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7"/>
              </w:rPr>
              <w:t>19,133</w:t>
            </w:r>
          </w:p>
        </w:tc>
        <w:tc>
          <w:tcPr>
            <w:tcW w:w="4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16,821</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2"/>
              </w:rPr>
              <w:t>14 %</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903</w:t>
            </w:r>
          </w:p>
        </w:tc>
        <w:tc>
          <w:tcPr>
            <w:tcW w:w="280" w:type="dxa"/>
            <w:vAlign w:val="bottom"/>
          </w:tcPr>
          <w:p>
            <w:pPr>
              <w:spacing w:after="0"/>
              <w:rPr>
                <w:sz w:val="19"/>
                <w:szCs w:val="19"/>
                <w:color w:val="auto"/>
              </w:rPr>
            </w:pPr>
          </w:p>
        </w:tc>
        <w:tc>
          <w:tcPr>
            <w:tcW w:w="1320" w:type="dxa"/>
            <w:vAlign w:val="bottom"/>
          </w:tcPr>
          <w:p>
            <w:pPr>
              <w:jc w:val="right"/>
              <w:ind w:right="437"/>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22 %</w:t>
            </w: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2,699</w:t>
            </w:r>
          </w:p>
        </w:tc>
        <w:tc>
          <w:tcPr>
            <w:tcW w:w="48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1,973</w:t>
            </w:r>
          </w:p>
        </w:tc>
        <w:tc>
          <w:tcPr>
            <w:tcW w:w="1140" w:type="dxa"/>
            <w:vAlign w:val="bottom"/>
          </w:tcPr>
          <w:p>
            <w:pPr>
              <w:jc w:val="center"/>
              <w:ind w:left="634"/>
              <w:spacing w:after="0"/>
              <w:rPr>
                <w:sz w:val="20"/>
                <w:szCs w:val="20"/>
                <w:color w:val="auto"/>
              </w:rPr>
            </w:pPr>
            <w:r>
              <w:rPr>
                <w:rFonts w:ascii="Arial" w:cs="Arial" w:eastAsia="Arial" w:hAnsi="Arial"/>
                <w:sz w:val="18"/>
                <w:szCs w:val="18"/>
                <w:color w:val="auto"/>
                <w:w w:val="92"/>
              </w:rPr>
              <w:t>37 %</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16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13.6 %</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rPr>
              <w:t>13.0 %</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14.1 %</w:t>
            </w: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100" w:type="dxa"/>
            <w:vAlign w:val="bottom"/>
          </w:tcPr>
          <w:p>
            <w:pPr>
              <w:spacing w:after="0"/>
              <w:rPr>
                <w:sz w:val="24"/>
                <w:szCs w:val="24"/>
                <w:color w:val="auto"/>
              </w:rPr>
            </w:pPr>
          </w:p>
        </w:tc>
        <w:tc>
          <w:tcPr>
            <w:tcW w:w="7180" w:type="dxa"/>
            <w:vAlign w:val="bottom"/>
            <w:gridSpan w:val="9"/>
          </w:tcPr>
          <w:p>
            <w:pPr>
              <w:jc w:val="right"/>
              <w:ind w:right="339"/>
              <w:spacing w:after="0"/>
              <w:rPr>
                <w:sz w:val="20"/>
                <w:szCs w:val="20"/>
                <w:color w:val="auto"/>
              </w:rPr>
            </w:pPr>
            <w:r>
              <w:rPr>
                <w:rFonts w:ascii="Arial" w:cs="Arial" w:eastAsia="Arial" w:hAnsi="Arial"/>
                <w:sz w:val="18"/>
                <w:szCs w:val="18"/>
                <w:b w:val="1"/>
                <w:bCs w:val="1"/>
                <w:i w:val="1"/>
                <w:iCs w:val="1"/>
                <w:color w:val="auto"/>
                <w:w w:val="91"/>
              </w:rPr>
              <w:t>Quarter Ended September 30, 2023 Compared with Quarter Ended September 30, 2022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3"/>
          </w:tcPr>
          <w:p>
            <w:pPr>
              <w:ind w:left="160"/>
              <w:spacing w:after="0"/>
              <w:rPr>
                <w:sz w:val="20"/>
                <w:szCs w:val="20"/>
                <w:color w:val="auto"/>
              </w:rPr>
            </w:pPr>
            <w:r>
              <w:rPr>
                <w:rFonts w:ascii="Arial" w:cs="Arial" w:eastAsia="Arial" w:hAnsi="Arial"/>
                <w:sz w:val="14"/>
                <w:szCs w:val="14"/>
                <w:b w:val="1"/>
                <w:bCs w:val="1"/>
                <w:color w:val="auto"/>
              </w:rPr>
              <w:t>Factors Contributing to Total Change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00" w:type="dxa"/>
            <w:vAlign w:val="bottom"/>
            <w:vMerge w:val="restart"/>
          </w:tcPr>
          <w:p>
            <w:pPr>
              <w:ind w:left="60"/>
              <w:spacing w:after="0"/>
              <w:rPr>
                <w:sz w:val="20"/>
                <w:szCs w:val="20"/>
                <w:color w:val="auto"/>
              </w:rPr>
            </w:pPr>
            <w:r>
              <w:rPr>
                <w:rFonts w:ascii="Arial" w:cs="Arial" w:eastAsia="Arial" w:hAnsi="Arial"/>
                <w:sz w:val="14"/>
                <w:szCs w:val="14"/>
                <w:b w:val="1"/>
                <w:bCs w:val="1"/>
                <w:i w:val="1"/>
                <w:iCs w:val="1"/>
                <w:color w:val="auto"/>
              </w:rPr>
              <w:t>(dollars in millions)</w:t>
            </w: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80" w:type="dxa"/>
            <w:vAlign w:val="bottom"/>
          </w:tcPr>
          <w:p>
            <w:pPr>
              <w:spacing w:after="0"/>
              <w:rPr>
                <w:sz w:val="11"/>
                <w:szCs w:val="11"/>
                <w:color w:val="auto"/>
              </w:rPr>
            </w:pPr>
          </w:p>
        </w:tc>
        <w:tc>
          <w:tcPr>
            <w:tcW w:w="13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Acquisitions /</w:t>
            </w:r>
          </w:p>
        </w:tc>
        <w:tc>
          <w:tcPr>
            <w:tcW w:w="260" w:type="dxa"/>
            <w:vAlign w:val="bottom"/>
          </w:tcPr>
          <w:p>
            <w:pPr>
              <w:spacing w:after="0"/>
              <w:rPr>
                <w:sz w:val="11"/>
                <w:szCs w:val="11"/>
                <w:color w:val="auto"/>
              </w:rPr>
            </w:pPr>
          </w:p>
        </w:tc>
        <w:tc>
          <w:tcPr>
            <w:tcW w:w="12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Restructuring</w:t>
            </w:r>
          </w:p>
        </w:tc>
        <w:tc>
          <w:tcPr>
            <w:tcW w:w="640" w:type="dxa"/>
            <w:vAlign w:val="bottom"/>
          </w:tcPr>
          <w:p>
            <w:pPr>
              <w:spacing w:after="0"/>
              <w:rPr>
                <w:sz w:val="11"/>
                <w:szCs w:val="11"/>
                <w:color w:val="auto"/>
              </w:rPr>
            </w:pPr>
          </w:p>
        </w:tc>
        <w:tc>
          <w:tcPr>
            <w:tcW w:w="4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5"/>
              </w:rPr>
              <w:t>Divestitures,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Costs</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8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6"/>
              </w:rPr>
              <w:t>911</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Arial" w:cs="Arial" w:eastAsia="Arial" w:hAnsi="Arial"/>
                <w:sz w:val="18"/>
                <w:szCs w:val="18"/>
                <w:color w:val="auto"/>
                <w:w w:val="86"/>
              </w:rPr>
              <w:t>161</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sales increase of $0.9 billion in the quarter ended September 30, 2023 compared to the quarter ended September 30, 2022 primarily relates to higher commercial aerospace aftermarket sales of $0.6 billion, including increases across all aftermarket sales channels. These increases were principally driven by the continued recovery of commercial air traffic which has resulted in an increase in flight hours. Commercial aerospace OEM sales increased $0.4 billion in the quarter ended September 30, 2023 compared to the quarter ended September 30, 2022 primarily due to increased production rates within both narrow-body and wide-body aircraft. Military sales decreased $0.1 billion in the quarter ended September 30, 2023 compared to the quarter ended September 30, 2022 primarily due to the timing of deliveries.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net sales in the quarter ended September 30, 2023 compared to the quarter ended September 30, 2022 was primarily due to a $57 million charge related to a litigation matter.</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operating profit increase of $0.3 billion in the quarter ended September 30, 2023 compared to the quarter ended September 30, 2022 was primarily due to higher commercial aerospace operating profit of $0.4 billion, principally driven by the higher sales volume discussed above. This increase in commercial aerospace operating profit was partially offset by higher production costs, unfavorable military mix, and higher selling, general, and administrative expenses primarily due to increased employee-related costs.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operating profit of $0.1 billion in the quarter ended September 30, 2023 compared to the quarter ended September 30, 2022 was primarily due to a charge related to the litigation matter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actions relate to ongoing cost reduction efforts including workforce reductions.</w:t>
      </w:r>
    </w:p>
    <w:p>
      <w:pPr>
        <w:spacing w:after="0" w:line="117"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2023 Compared with Nine Months Ended September 30,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81"/>
              <w:spacing w:after="0" w:line="133" w:lineRule="exact"/>
              <w:rPr>
                <w:sz w:val="20"/>
                <w:szCs w:val="20"/>
                <w:color w:val="auto"/>
              </w:rPr>
            </w:pPr>
            <w:r>
              <w:rPr>
                <w:rFonts w:ascii="Arial" w:cs="Arial" w:eastAsia="Arial" w:hAnsi="Arial"/>
                <w:sz w:val="14"/>
                <w:szCs w:val="14"/>
                <w:b w:val="1"/>
                <w:bCs w:val="1"/>
                <w:color w:val="auto"/>
              </w:rPr>
              <w:t>Acquisitions /</w:t>
            </w:r>
          </w:p>
        </w:tc>
        <w:tc>
          <w:tcPr>
            <w:tcW w:w="240" w:type="dxa"/>
            <w:vAlign w:val="bottom"/>
          </w:tcPr>
          <w:p>
            <w:pPr>
              <w:spacing w:after="0"/>
              <w:rPr>
                <w:sz w:val="11"/>
                <w:szCs w:val="11"/>
                <w:color w:val="auto"/>
              </w:rPr>
            </w:pPr>
          </w:p>
        </w:tc>
        <w:tc>
          <w:tcPr>
            <w:tcW w:w="1660" w:type="dxa"/>
            <w:vAlign w:val="bottom"/>
          </w:tcPr>
          <w:p>
            <w:pPr>
              <w:jc w:val="center"/>
              <w:ind w:right="519"/>
              <w:spacing w:after="0" w:line="133"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3"/>
              </w:rPr>
              <w:t>Divestitures, net</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87"/>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(53)</w:t>
            </w: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115</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sales increase of $2.4 billion in the nine months ended September 30, 2023 compared to the nine months ended September 30, 2022 primarily relates to higher commercial aerospace aftermarket sales of $1.6 billion, including increases across all aftermarket sales channels. These increases were principally driven by the continued recovery of commercial air traffic which has resulted in an increase in flight hours. Commercial aerospace OEM sales increased $0.8 billion in the nine months ended September 30, 2023 compared to the nine months ended September 30, 2022 due to increased production rates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narrow-body, wide-body, and business jets. Military sales were relatively consistent in the nine months ended September 30, 2023 compared to the nine months ended September 30,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net sales in the nine months ended September 30, 2023 compared to the nine months ended September 30, 2022 was primarily due to a $57 million charge related to a litigation matter recorded in the third quarter of 2023.</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profit increase of $0.7 billion in the nine months ended September 30, 2023 compared to the nine months ended September 30, 2022 was primarily due to higher commercial aerospace operating profit of $1.0 billion, principally driven by the higher sales volume discussed above as well as favorable mix, partially offset by higher production costs. This increase in commercial aerospace operating profit was further offset by higher selling, general and administrative expenses primarily due to increased employee-related costs, and higher research and development costs primarily due to higher program expenses. Military operating profit decreased $0.1 billion in the nine months ended September 30, 2023 compared to the nine months ended September 30, 2022 primarily due to unfavorable mix and higher production costs.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Other operating profits of $0.1 billion in the nine months ended September 30, 2023 compared to the nine months ended September 30, 2022 was primarily due to the absence of $141 million of pretax charges recorded in the first quarter of 2022 related to global sanctions on and export controls with respect to Russia and the absence of $69 million of charges associated with the disposition of two non-core businesses in the second quarter of 2022, partially offset by a charge in the third quarter of 2023 related to the litigation matter discussed above. See “Note 1: Basis of Presentation” within Item 1 of this Form 10-Q for additional information on Russia sanctions.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actions relate to ongoing cost reduction efforts including workforce reductions.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5"/>
          </w:tcPr>
          <w:p>
            <w:pPr>
              <w:jc w:val="right"/>
              <w:ind w:right="67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926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5,380</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11,857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14,878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17"/>
              <w:spacing w:after="0"/>
              <w:rPr>
                <w:sz w:val="20"/>
                <w:szCs w:val="20"/>
                <w:color w:val="auto"/>
              </w:rPr>
            </w:pPr>
            <w:r>
              <w:rPr>
                <w:rFonts w:ascii="Arial" w:cs="Arial" w:eastAsia="Arial" w:hAnsi="Arial"/>
                <w:sz w:val="18"/>
                <w:szCs w:val="18"/>
                <w:b w:val="1"/>
                <w:bCs w:val="1"/>
                <w:color w:val="auto"/>
              </w:rPr>
              <w:t>(2,482)</w:t>
            </w:r>
          </w:p>
        </w:tc>
        <w:tc>
          <w:tcPr>
            <w:tcW w:w="300" w:type="dxa"/>
            <w:vAlign w:val="bottom"/>
          </w:tcPr>
          <w:p>
            <w:pPr>
              <w:spacing w:after="0"/>
              <w:rPr>
                <w:sz w:val="19"/>
                <w:szCs w:val="19"/>
                <w:color w:val="auto"/>
              </w:rPr>
            </w:pPr>
          </w:p>
        </w:tc>
        <w:tc>
          <w:tcPr>
            <w:tcW w:w="1220" w:type="dxa"/>
            <w:vAlign w:val="bottom"/>
          </w:tcPr>
          <w:p>
            <w:pPr>
              <w:jc w:val="right"/>
              <w:ind w:right="358"/>
              <w:spacing w:after="0"/>
              <w:rPr>
                <w:sz w:val="20"/>
                <w:szCs w:val="20"/>
                <w:color w:val="auto"/>
              </w:rPr>
            </w:pPr>
            <w:r>
              <w:rPr>
                <w:rFonts w:ascii="Arial" w:cs="Arial" w:eastAsia="Arial" w:hAnsi="Arial"/>
                <w:sz w:val="18"/>
                <w:szCs w:val="18"/>
                <w:color w:val="auto"/>
              </w:rPr>
              <w:t>316</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NM</w:t>
            </w:r>
          </w:p>
        </w:tc>
        <w:tc>
          <w:tcPr>
            <w:tcW w:w="860" w:type="dxa"/>
            <w:vAlign w:val="bottom"/>
          </w:tcPr>
          <w:p>
            <w:pPr>
              <w:jc w:val="right"/>
              <w:ind w:right="55"/>
              <w:spacing w:after="0"/>
              <w:rPr>
                <w:sz w:val="20"/>
                <w:szCs w:val="20"/>
                <w:color w:val="auto"/>
              </w:rPr>
            </w:pPr>
            <w:r>
              <w:rPr>
                <w:rFonts w:ascii="Arial" w:cs="Arial" w:eastAsia="Arial" w:hAnsi="Arial"/>
                <w:sz w:val="18"/>
                <w:szCs w:val="18"/>
                <w:b w:val="1"/>
                <w:bCs w:val="1"/>
                <w:color w:val="auto"/>
              </w:rPr>
              <w:t>(1,837)</w:t>
            </w:r>
          </w:p>
        </w:tc>
        <w:tc>
          <w:tcPr>
            <w:tcW w:w="2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769</w:t>
            </w: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Operating profit (loss) margins</w:t>
            </w:r>
          </w:p>
        </w:tc>
        <w:tc>
          <w:tcPr>
            <w:tcW w:w="1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(268.0)%</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rPr>
              <w:t>5.9 %</w:t>
            </w: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color w:val="auto"/>
              </w:rPr>
              <w:t>NM = Not Meaningful</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6760" w:type="dxa"/>
            <w:vAlign w:val="bottom"/>
            <w:gridSpan w:val="11"/>
          </w:tcPr>
          <w:p>
            <w:pPr>
              <w:jc w:val="right"/>
              <w:ind w:right="139"/>
              <w:spacing w:after="0"/>
              <w:rPr>
                <w:sz w:val="20"/>
                <w:szCs w:val="20"/>
                <w:color w:val="auto"/>
              </w:rPr>
            </w:pPr>
            <w:r>
              <w:rPr>
                <w:rFonts w:ascii="Arial" w:cs="Arial" w:eastAsia="Arial" w:hAnsi="Arial"/>
                <w:sz w:val="18"/>
                <w:szCs w:val="18"/>
                <w:b w:val="1"/>
                <w:bCs w:val="1"/>
                <w:i w:val="1"/>
                <w:iCs w:val="1"/>
                <w:color w:val="auto"/>
                <w:w w:val="88"/>
              </w:rPr>
              <w:t>Quarter Ended September 30, 2023 Compared with Quarter Ended September 30, 2022</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300" w:type="dxa"/>
            <w:vAlign w:val="bottom"/>
          </w:tcPr>
          <w:p>
            <w:pPr>
              <w:spacing w:after="0"/>
              <w:rPr>
                <w:sz w:val="11"/>
                <w:szCs w:val="11"/>
                <w:color w:val="auto"/>
              </w:rPr>
            </w:pPr>
          </w:p>
        </w:tc>
        <w:tc>
          <w:tcPr>
            <w:tcW w:w="1220" w:type="dxa"/>
            <w:vAlign w:val="bottom"/>
          </w:tcPr>
          <w:p>
            <w:pPr>
              <w:jc w:val="right"/>
              <w:ind w:right="178"/>
              <w:spacing w:after="0" w:line="129" w:lineRule="exact"/>
              <w:rPr>
                <w:sz w:val="20"/>
                <w:szCs w:val="20"/>
                <w:color w:val="auto"/>
              </w:rPr>
            </w:pPr>
            <w:r>
              <w:rPr>
                <w:rFonts w:ascii="Arial" w:cs="Arial" w:eastAsia="Arial" w:hAnsi="Arial"/>
                <w:sz w:val="14"/>
                <w:szCs w:val="14"/>
                <w:b w:val="1"/>
                <w:bCs w:val="1"/>
                <w:color w:val="auto"/>
              </w:rPr>
              <w:t>Acquisitions /</w:t>
            </w:r>
          </w:p>
        </w:tc>
        <w:tc>
          <w:tcPr>
            <w:tcW w:w="1320" w:type="dxa"/>
            <w:vAlign w:val="bottom"/>
            <w:gridSpan w:val="3"/>
          </w:tcPr>
          <w:p>
            <w:pPr>
              <w:jc w:val="center"/>
              <w:ind w:left="339"/>
              <w:spacing w:after="0" w:line="129" w:lineRule="exact"/>
              <w:rPr>
                <w:sz w:val="20"/>
                <w:szCs w:val="20"/>
                <w:color w:val="auto"/>
              </w:rPr>
            </w:pPr>
            <w:r>
              <w:rPr>
                <w:rFonts w:ascii="Arial" w:cs="Arial" w:eastAsia="Arial" w:hAnsi="Arial"/>
                <w:sz w:val="14"/>
                <w:szCs w:val="14"/>
                <w:b w:val="1"/>
                <w:bCs w:val="1"/>
                <w:color w:val="auto"/>
                <w:w w:val="93"/>
              </w:rPr>
              <w:t>Restructuring</w:t>
            </w:r>
          </w:p>
        </w:tc>
        <w:tc>
          <w:tcPr>
            <w:tcW w:w="860" w:type="dxa"/>
            <w:vAlign w:val="bottom"/>
          </w:tcPr>
          <w:p>
            <w:pPr>
              <w:spacing w:after="0"/>
              <w:rPr>
                <w:sz w:val="11"/>
                <w:szCs w:val="11"/>
                <w:color w:val="auto"/>
              </w:rPr>
            </w:pPr>
          </w:p>
        </w:tc>
        <w:tc>
          <w:tcPr>
            <w:tcW w:w="920" w:type="dxa"/>
            <w:vAlign w:val="bottom"/>
            <w:gridSpan w:val="2"/>
            <w:vMerge w:val="restart"/>
          </w:tcPr>
          <w:p>
            <w:pPr>
              <w:jc w:val="right"/>
              <w:ind w:right="433"/>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1"/>
                <w:szCs w:val="11"/>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2"/>
              </w:rPr>
              <w:t>Total Change</w:t>
            </w:r>
          </w:p>
        </w:tc>
        <w:tc>
          <w:tcPr>
            <w:tcW w:w="0" w:type="dxa"/>
            <w:vAlign w:val="bottom"/>
          </w:tcPr>
          <w:p>
            <w:pPr>
              <w:spacing w:after="0"/>
              <w:rPr>
                <w:sz w:val="1"/>
                <w:szCs w:val="1"/>
                <w:color w:val="auto"/>
              </w:rPr>
            </w:pPr>
          </w:p>
        </w:tc>
      </w:tr>
      <w:tr>
        <w:trPr>
          <w:trHeight w:val="203"/>
        </w:trPr>
        <w:tc>
          <w:tcPr>
            <w:tcW w:w="23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3"/>
              </w:rPr>
              <w:t>Divestitures, net</w:t>
            </w:r>
          </w:p>
        </w:tc>
        <w:tc>
          <w:tcPr>
            <w:tcW w:w="132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87"/>
              </w:rPr>
              <w:t>Costs</w:t>
            </w: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(loss)</w:t>
            </w: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w w:val="99"/>
              </w:rPr>
              <w:t>(5)</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organic sales increase of $0.9 billion in the quarter ended September 30, 2023 compared to the quarter ended September 30, 2022 reflects higher commercial aftermarket sales of $0.5 billion, primarily due to an increase in volume, content, and favorable mix as the commercial aerospace environment continues to recover. The increase also includes higher commercial OEM sales of $0.3 billion, primarily driven by volume and favorable mix on commercial engine shipments. Military sales were up $0.1 billion primarily driven by higher F135 development and sustainment volume.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sales decrease of $5.4 billion in the quarter ended September 30, 2023 compared to the quarter ended September 30, 2022 is primarily due to the charge recognized in the third quarter related to the Powder Metal Matter.</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operating profit increase of $0.1 billion in the quarter ended September 30, 2023 compared to the quarter ended September 30, 2022 was primarily driven by higher commercial aerospace operating profit of $0.1 billion, principally due to the aftermarket sales volume increase and favorable mix discussed above, partially offset by lower commercial OEM operating profit driven by the volume increases noted above and higher production costs. Military operating profit was relatively consistent as the increases from the sales volume discussed above were offset by higher production costs and unfavorable mix.</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Other operating profit (loss) change of $2.9 billion in the quarter ended September 30, 2023 compared to the quarter ended September 30, 2022 is primarily due to a charge recognized in the third quarter related to the Powder Metal Matter.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2023 Compared with Nine Months Ended September 30,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9"/>
              </w:rPr>
              <w:t>Factors Contributing to Total Change</w:t>
            </w: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60" w:type="dxa"/>
            <w:vAlign w:val="bottom"/>
          </w:tcPr>
          <w:p>
            <w:pPr>
              <w:spacing w:after="0"/>
              <w:rPr>
                <w:sz w:val="11"/>
                <w:szCs w:val="11"/>
                <w:color w:val="auto"/>
              </w:rPr>
            </w:pPr>
          </w:p>
        </w:tc>
        <w:tc>
          <w:tcPr>
            <w:tcW w:w="128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1"/>
              </w:rPr>
              <w:t>Acquisitions /</w:t>
            </w:r>
          </w:p>
        </w:tc>
        <w:tc>
          <w:tcPr>
            <w:tcW w:w="300" w:type="dxa"/>
            <w:vAlign w:val="bottom"/>
          </w:tcPr>
          <w:p>
            <w:pPr>
              <w:spacing w:after="0"/>
              <w:rPr>
                <w:sz w:val="11"/>
                <w:szCs w:val="11"/>
                <w:color w:val="auto"/>
              </w:rPr>
            </w:pPr>
          </w:p>
        </w:tc>
        <w:tc>
          <w:tcPr>
            <w:tcW w:w="122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rPr>
              <w:t>Restructuring</w:t>
            </w:r>
          </w:p>
        </w:tc>
        <w:tc>
          <w:tcPr>
            <w:tcW w:w="440" w:type="dxa"/>
            <w:vAlign w:val="bottom"/>
          </w:tcPr>
          <w:p>
            <w:pPr>
              <w:spacing w:after="0"/>
              <w:rPr>
                <w:sz w:val="11"/>
                <w:szCs w:val="11"/>
                <w:color w:val="auto"/>
              </w:rPr>
            </w:pPr>
          </w:p>
        </w:tc>
        <w:tc>
          <w:tcPr>
            <w:tcW w:w="11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Divestitures, net</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Costs</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 (loss)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316</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(2,877)</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sales increase of $2.4 billion in the nine months ended September 30, 2023 compared to the nine months ended September 30, 2022 reflects higher commercial aftermarket sales of $1.4 billion, primarily due to an increase in volume, content, and favorable mix as the commercial aerospace environment continues to recover. The increase also includes higher commercial OEM sales of $0.7 billion, primarily driven by volume and favorable mix. Military sales increased $0.2 billion, primarily due to higher F135 sustainment volume.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sales decrease of $5.4 billion in the nine months ended September 30, 2023 compared to the nine months ended September 30, 2022 is primarily due to the charge recognized in the third quarter related to the Powder Metal Matter.</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organic operating profit increase of $0.3 billion in the nine months ended September 30, 2023 compared to the nine months ended September 30, 2022 was primarily driven by higher commercial aerospace operating profit of $0.4 billion, principally due to the aftermarket sales increase discussed above, partially offset by lower commercial OEM operating profit driven by the volume increases noted above and higher production costs. Commercial aerospace operating profit for the nine months ended September 30, 2023 also benefited from two favorable contract matters totaling approximately $120 million, which was partially offset by the absence of a prior year $50 million favorable contract adjustment resulting from a contract modification on a commercial aftermarket contract in the nine months ended September 30, 2022. The increase in commercial aerospace operating profit was partially offset by higher research and development costs of $0.1 billion. Military operating profit was relatively consistent as the increases from the sales volume discussed above were offset by higher production costs.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Other operating profit (loss) change of $2.9 billion in the nine months ended September 30, 2023 compared to the nine months ended September 30, 2022 is primarily due to the charge recognized in the third quarter related to the Powder Metal Matter and a $181 million charge related to a customer insolvency during the second quarter of 2023, partially offset by the absence of a $155 million charge recorded in the first quarter of 2022 related to impairment of customer financing assets for products under lease, increased estimates for credit losses, inventory reserves, and recognition of purchase order obligations, all due to global sanctions on and export controls with respect to Russia. See “Note 1: Basis of Presentation” within Item 1 of this Form 10-Q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actions relate to ongoing cost reduction efforts including the consolidation of facilities and workforce reductions.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Defense Bookings </w:t>
      </w:r>
      <w:r>
        <w:rPr>
          <w:rFonts w:ascii="Arial" w:cs="Arial" w:eastAsia="Arial" w:hAnsi="Arial"/>
          <w:sz w:val="18"/>
          <w:szCs w:val="18"/>
          <w:color w:val="auto"/>
        </w:rPr>
        <w:t>– In addition to a number of smaller bookings, in the quarter ended September 30, 2023, Pratt &amp; Whitney booked $1.1 billion for F135</w:t>
      </w:r>
      <w:r>
        <w:rPr>
          <w:rFonts w:ascii="Arial" w:cs="Arial" w:eastAsia="Arial" w:hAnsi="Arial"/>
          <w:sz w:val="18"/>
          <w:szCs w:val="18"/>
          <w:i w:val="1"/>
          <w:iCs w:val="1"/>
          <w:color w:val="auto"/>
        </w:rPr>
        <w:t xml:space="preserve"> </w:t>
      </w:r>
      <w:r>
        <w:rPr>
          <w:rFonts w:ascii="Arial" w:cs="Arial" w:eastAsia="Arial" w:hAnsi="Arial"/>
          <w:sz w:val="18"/>
          <w:szCs w:val="18"/>
          <w:color w:val="auto"/>
        </w:rPr>
        <w:t>sustainment and $616 million for F135 production. In addition to these bookings, in the six months ended June 30 2023, Pratt &amp; Whitney booked $1.9 billion for F135 production Lots 15-17 and $1.7 billion for F117 sustainment, $308 million for F119 sustainment, $217 million for tanker production Lots 8 and 9, and $213 million for F135 sustainment.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6,472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6,308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19,464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18,515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b w:val="1"/>
                <w:bCs w:val="1"/>
                <w:color w:val="auto"/>
              </w:rPr>
              <w:t>560</w:t>
            </w:r>
          </w:p>
        </w:tc>
        <w:tc>
          <w:tcPr>
            <w:tcW w:w="320" w:type="dxa"/>
            <w:vAlign w:val="bottom"/>
          </w:tcPr>
          <w:p>
            <w:pPr>
              <w:spacing w:after="0"/>
              <w:rPr>
                <w:sz w:val="19"/>
                <w:szCs w:val="19"/>
                <w:color w:val="auto"/>
              </w:rPr>
            </w:pPr>
          </w:p>
        </w:tc>
        <w:tc>
          <w:tcPr>
            <w:tcW w:w="1200" w:type="dxa"/>
            <w:vAlign w:val="bottom"/>
          </w:tcPr>
          <w:p>
            <w:pPr>
              <w:jc w:val="right"/>
              <w:ind w:right="434"/>
              <w:spacing w:after="0"/>
              <w:rPr>
                <w:sz w:val="20"/>
                <w:szCs w:val="20"/>
                <w:color w:val="auto"/>
              </w:rPr>
            </w:pPr>
            <w:r>
              <w:rPr>
                <w:rFonts w:ascii="Arial" w:cs="Arial" w:eastAsia="Arial" w:hAnsi="Arial"/>
                <w:sz w:val="18"/>
                <w:szCs w:val="18"/>
                <w:color w:val="auto"/>
              </w:rPr>
              <w:t>686</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96"/>
              <w:spacing w:after="0"/>
              <w:rPr>
                <w:sz w:val="20"/>
                <w:szCs w:val="20"/>
                <w:color w:val="auto"/>
              </w:rPr>
            </w:pPr>
            <w:r>
              <w:rPr>
                <w:rFonts w:ascii="Arial" w:cs="Arial" w:eastAsia="Arial" w:hAnsi="Arial"/>
                <w:sz w:val="18"/>
                <w:szCs w:val="18"/>
                <w:b w:val="1"/>
                <w:bCs w:val="1"/>
                <w:color w:val="auto"/>
              </w:rPr>
              <w:t>1,775</w:t>
            </w:r>
          </w:p>
        </w:tc>
        <w:tc>
          <w:tcPr>
            <w:tcW w:w="320" w:type="dxa"/>
            <w:vAlign w:val="bottom"/>
          </w:tcPr>
          <w:p>
            <w:pPr>
              <w:spacing w:after="0"/>
              <w:rPr>
                <w:sz w:val="19"/>
                <w:szCs w:val="19"/>
                <w:color w:val="auto"/>
              </w:rPr>
            </w:pPr>
          </w:p>
        </w:tc>
        <w:tc>
          <w:tcPr>
            <w:tcW w:w="1060" w:type="dxa"/>
            <w:vAlign w:val="bottom"/>
          </w:tcPr>
          <w:p>
            <w:pPr>
              <w:jc w:val="right"/>
              <w:ind w:right="294"/>
              <w:spacing w:after="0"/>
              <w:rPr>
                <w:sz w:val="20"/>
                <w:szCs w:val="20"/>
                <w:color w:val="auto"/>
              </w:rPr>
            </w:pPr>
            <w:r>
              <w:rPr>
                <w:rFonts w:ascii="Arial" w:cs="Arial" w:eastAsia="Arial" w:hAnsi="Arial"/>
                <w:sz w:val="18"/>
                <w:szCs w:val="18"/>
                <w:color w:val="auto"/>
              </w:rPr>
              <w:t>1,920</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10.9 %</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10.4 %</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7,442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8,396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22,750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21,823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 Ended September 30, 2023 Compared with Quarter Ended September 30, 2022</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3"/>
          </w:tcPr>
          <w:p>
            <w:pPr>
              <w:ind w:left="180"/>
              <w:spacing w:after="0"/>
              <w:rPr>
                <w:sz w:val="20"/>
                <w:szCs w:val="20"/>
                <w:color w:val="auto"/>
              </w:rPr>
            </w:pPr>
            <w:r>
              <w:rPr>
                <w:rFonts w:ascii="Arial" w:cs="Arial" w:eastAsia="Arial" w:hAnsi="Arial"/>
                <w:sz w:val="14"/>
                <w:szCs w:val="14"/>
                <w:b w:val="1"/>
                <w:bCs w:val="1"/>
                <w:color w:val="auto"/>
              </w:rPr>
              <w:t>Factors Contributing to Total Change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8"/>
                <w:szCs w:val="18"/>
                <w:b w:val="1"/>
                <w:bCs w:val="1"/>
                <w:color w:val="auto"/>
                <w:vertAlign w:val="superscript"/>
              </w:rPr>
              <w:t>(1)</w:t>
            </w:r>
          </w:p>
        </w:tc>
        <w:tc>
          <w:tcPr>
            <w:tcW w:w="220" w:type="dxa"/>
            <w:vAlign w:val="bottom"/>
          </w:tcPr>
          <w:p>
            <w:pPr>
              <w:spacing w:after="0"/>
              <w:rPr>
                <w:sz w:val="11"/>
                <w:szCs w:val="11"/>
                <w:color w:val="auto"/>
              </w:rPr>
            </w:pPr>
          </w:p>
        </w:tc>
        <w:tc>
          <w:tcPr>
            <w:tcW w:w="1320" w:type="dxa"/>
            <w:vAlign w:val="bottom"/>
          </w:tcPr>
          <w:p>
            <w:pPr>
              <w:jc w:val="right"/>
              <w:ind w:right="261"/>
              <w:spacing w:after="0" w:line="133" w:lineRule="exact"/>
              <w:rPr>
                <w:sz w:val="20"/>
                <w:szCs w:val="20"/>
                <w:color w:val="auto"/>
              </w:rPr>
            </w:pPr>
            <w:r>
              <w:rPr>
                <w:rFonts w:ascii="Arial" w:cs="Arial" w:eastAsia="Arial" w:hAnsi="Arial"/>
                <w:sz w:val="14"/>
                <w:szCs w:val="14"/>
                <w:b w:val="1"/>
                <w:bCs w:val="1"/>
                <w:color w:val="auto"/>
              </w:rPr>
              <w:t>Acquisitions /</w:t>
            </w:r>
          </w:p>
        </w:tc>
        <w:tc>
          <w:tcPr>
            <w:tcW w:w="260" w:type="dxa"/>
            <w:vAlign w:val="bottom"/>
          </w:tcPr>
          <w:p>
            <w:pPr>
              <w:spacing w:after="0"/>
              <w:rPr>
                <w:sz w:val="11"/>
                <w:szCs w:val="11"/>
                <w:color w:val="auto"/>
              </w:rPr>
            </w:pPr>
          </w:p>
        </w:tc>
        <w:tc>
          <w:tcPr>
            <w:tcW w:w="128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5"/>
              </w:rPr>
              <w:t>Restructuring</w:t>
            </w:r>
          </w:p>
        </w:tc>
        <w:tc>
          <w:tcPr>
            <w:tcW w:w="380" w:type="dxa"/>
            <w:vAlign w:val="bottom"/>
          </w:tcPr>
          <w:p>
            <w:pPr>
              <w:spacing w:after="0"/>
              <w:rPr>
                <w:sz w:val="11"/>
                <w:szCs w:val="11"/>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12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8"/>
        </w:trPr>
        <w:tc>
          <w:tcPr>
            <w:tcW w:w="36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Divestitures, net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2"/>
              </w:rPr>
              <w:t>Costs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this measure to the reported U.S. GAAP amount is provided in the table above.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organic sales increase of $0.2 billion in the quarter ended September 30, 2023 compared to the quarter ended September 30, 2022 was primarily due to higher net sales of $0.2 billion from Naval Power programs and $0.1 billion from Advanced Technology programs. The increase in Naval Power programs was due to higher volumes on AIM-9X and Naval Strike Missile (NSM) programs. The increase in Advanced Technology programs includes higher net sales on certain classified programs awarded in 2022.</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organic operating profit decrease of $0.1 billion in the quarter ended September 30, 2023 compared to the quarter ended September 30, 2022, was primarily due to an unfavorable change in mix and other performance of $0.1 billion and an unfavorable change in net EAC adjustments of $52 million, partially offset by the higher volume noted above. The unfavorable change in mix and other performance was spread across numerous programs and includes higher volume on lower margin programs. The unfavorable change in net EAC adjustments was spread across numerous programs with no individual or common significant driver.</w:t>
      </w:r>
    </w:p>
    <w:p>
      <w:pPr>
        <w:spacing w:after="0" w:line="80"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Nine Months Ended September 30, 2023 Compared with Nine Months Ended September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3"/>
          </w:tcPr>
          <w:p>
            <w:pPr>
              <w:ind w:left="160"/>
              <w:spacing w:after="0"/>
              <w:rPr>
                <w:sz w:val="20"/>
                <w:szCs w:val="20"/>
                <w:color w:val="auto"/>
              </w:rPr>
            </w:pPr>
            <w:r>
              <w:rPr>
                <w:rFonts w:ascii="Arial" w:cs="Arial" w:eastAsia="Arial" w:hAnsi="Arial"/>
                <w:sz w:val="14"/>
                <w:szCs w:val="14"/>
                <w:b w:val="1"/>
                <w:bCs w:val="1"/>
                <w:color w:val="auto"/>
              </w:rPr>
              <w:t>Factors Contributing to Total Change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9"/>
                <w:szCs w:val="9"/>
                <w:b w:val="1"/>
                <w:bCs w:val="1"/>
                <w:color w:val="auto"/>
              </w:rPr>
              <w:t>(1)</w:t>
            </w:r>
          </w:p>
        </w:tc>
        <w:tc>
          <w:tcPr>
            <w:tcW w:w="220" w:type="dxa"/>
            <w:vAlign w:val="bottom"/>
          </w:tcPr>
          <w:p>
            <w:pPr>
              <w:spacing w:after="0"/>
              <w:rPr>
                <w:sz w:val="11"/>
                <w:szCs w:val="11"/>
                <w:color w:val="auto"/>
              </w:rPr>
            </w:pPr>
          </w:p>
        </w:tc>
        <w:tc>
          <w:tcPr>
            <w:tcW w:w="132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1"/>
              </w:rPr>
              <w:t>Acquisitions /</w:t>
            </w:r>
          </w:p>
        </w:tc>
        <w:tc>
          <w:tcPr>
            <w:tcW w:w="260" w:type="dxa"/>
            <w:vAlign w:val="bottom"/>
          </w:tcPr>
          <w:p>
            <w:pPr>
              <w:spacing w:after="0"/>
              <w:rPr>
                <w:sz w:val="11"/>
                <w:szCs w:val="11"/>
                <w:color w:val="auto"/>
              </w:rPr>
            </w:pPr>
          </w:p>
        </w:tc>
        <w:tc>
          <w:tcPr>
            <w:tcW w:w="128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93"/>
              </w:rPr>
              <w:t>Restructuring</w:t>
            </w:r>
          </w:p>
        </w:tc>
        <w:tc>
          <w:tcPr>
            <w:tcW w:w="380" w:type="dxa"/>
            <w:vAlign w:val="bottom"/>
          </w:tcPr>
          <w:p>
            <w:pPr>
              <w:spacing w:after="0"/>
              <w:rPr>
                <w:sz w:val="11"/>
                <w:szCs w:val="11"/>
                <w:color w:val="auto"/>
              </w:rPr>
            </w:pPr>
          </w:p>
        </w:tc>
        <w:tc>
          <w:tcPr>
            <w:tcW w:w="11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Divestitures, net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7"/>
              </w:rPr>
              <w:t>Costs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center"/>
              <w:ind w:left="821"/>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See “Segment Review” above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organic sales increase of $1.0 billion in the nine months ended September 30, 2023 compared to the nine months ended September 30, 2022 was primarily due to higher net sales of $0.3 billion from Advanced Technology programs, $0.2 billion from Naval Power programs, $0.2 billion from Air Power programs, and $0.2 billion from Cybersecurity, Intelligence and Services programs. The increase in Advanced Technology programs includes higher net sales on certain classified programs awarded in 2022. The increase in Naval Power programs was due to higher volumes on AIM-9X and NSM programs. The increase in Air Power programs includes higher net sales on the Advanced Medium Range Air-to-Air Missile (AMRAAM) program, driven by an award in the second quarter of 2023. The increase in Cybersecurity, Intelligence and Services programs was driven by certain classified and federal and civil programs.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organic operating profit decrease of $0.1 billion in the nine months ended September 30, 2023 compared to the nine months ended September 30, 2022 was primarily due to an unfavorable change in mix and other performance of $0.2 billion, and an unfavorable net change in EAC adjustments of $49 million, partially offset by higher volume. The unfavorable change in mix and other performance was primarily due to higher volume on lower margin programs and an expected decline in certain program volumes that resulted in an unfavorable impact to margins. The increase in volume was principally driven by the higher net sales discussed above. The net change in EAC adjustments was primarily due to $51 million of unfavorable EAC adjustments related to significant contract options exercised in the nine months ended September 30, 2023.</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Backlog and Bookings</w:t>
      </w:r>
      <w:r>
        <w:rPr>
          <w:rFonts w:ascii="Arial" w:cs="Arial" w:eastAsia="Arial" w:hAnsi="Arial"/>
          <w:sz w:val="16"/>
          <w:szCs w:val="16"/>
          <w:color w:val="auto"/>
        </w:rPr>
        <w:t>– Backlog was $50 billion at September 30, 2023 and $48 billion at December 31, 2022. In addition to a number of smaller</w:t>
      </w:r>
      <w:r>
        <w:rPr>
          <w:rFonts w:ascii="Arial" w:cs="Arial" w:eastAsia="Arial" w:hAnsi="Arial"/>
          <w:sz w:val="16"/>
          <w:szCs w:val="16"/>
          <w:i w:val="1"/>
          <w:iCs w:val="1"/>
          <w:color w:val="auto"/>
        </w:rPr>
        <w:t xml:space="preserve"> </w:t>
      </w:r>
      <w:r>
        <w:rPr>
          <w:rFonts w:ascii="Arial" w:cs="Arial" w:eastAsia="Arial" w:hAnsi="Arial"/>
          <w:sz w:val="16"/>
          <w:szCs w:val="16"/>
          <w:color w:val="auto"/>
        </w:rPr>
        <w:t>bookings, in the quarter ended September 30, 2023, Raytheon booked $1.9 billion on a number of classified contracts, including a major award, $412 million on Next Generation Short Range Interceptor (NGSRI) for the U.S. Army, $383 million to provide training and technical support for HAWK and Patriot Air Defense Systems for an international customer, $368 million for Tube-Launched, Optically-Tracked, Wireless-Guided (TOW) Missiles for the</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 Army, U.S. Marine Corps, and international customers, $297 million to provide National Advanced Surface-to-Air Missile System (NASAMS) to Ukraine, and $277 million on Excalibur for the U.S. Army and international customers. In addition to these bookings, in the six months ended June 30 2023 Raytheon booked $3.5 billion on a number of classified contracts, $1.2 billion for AMRAAM for the U.S. Air Force and Navy and international customers, $1.2 billion to provide Patriot Air Defense system to Switzerland, $650 million on Next Generation Jammer Mid-Band (NGJ-MB) for the U.S. Navy and the government of Australia, $619 million on the SPY-6 Hardware Production and Sustainment contract for the U.S. Navy, $332 million on cyber defense services contracts for certain federal and civil customers, $320 million on StormBreaker for the U.S. Air Force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Navy, $275 million on a seven-vehicle missile tracking satellite constellation for the Space Development Agency, $266 million to deliver airborne radars to an international customer, $265 million for Javelin for the U.S. Army and international customers, $251 million for AIM-9X Sidewinder short-range air-to-air missiles for the U.S. Navy and Air Force and international customers, $237 million for CLEAVAR, an integrated U.S. Army Counter- Unmanned Aircraft Systems (C-UAS) defense system, $234 million on Naval Strike Missiles (NSM) for the U.S. Navy, and $212 million on Excalibur for the U.S. Army and international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Eliminations and other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and other unallocated items consists of costs not considered part of management’s evaluation of reportable segment operating performance, including certain unallowable costs and reserves. In addition, in 2022, net costs associated with corporate research and development related to the LTAMDS program were included in Corporate expenses and other unallocated items. Beginning in 2023, the remaining net costs associated with the LTAMDS program are within the Raytheon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left="621"/>
              <w:spacing w:after="0"/>
              <w:rPr>
                <w:sz w:val="20"/>
                <w:szCs w:val="20"/>
                <w:color w:val="auto"/>
              </w:rPr>
            </w:pPr>
            <w:r>
              <w:rPr>
                <w:rFonts w:ascii="Arial" w:cs="Arial" w:eastAsia="Arial" w:hAnsi="Arial"/>
                <w:sz w:val="14"/>
                <w:szCs w:val="14"/>
                <w:b w:val="1"/>
                <w:bCs w:val="1"/>
                <w:color w:val="auto"/>
                <w:w w:val="91"/>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w w:val="94"/>
              </w:rPr>
              <w:t>Quarter Ended September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Quarter Ended September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(563)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(69)</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(63)</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eliminations and other sales of $108 million in the quarter ended September 30, 2023 compared to the quarter ended September 30, 2022 was primarily due to an increase in intersegment eliminations, principally driven by Collins.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change in eliminations and other operating profit of $56 million in the quarter ended September 30, 2023 compared to the quarter ended September 30, 2022 was primarily due to the impact of the September 2023 IRS notice related to the research and experimental expenditures capitalization.</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expenses and other unallocated items operating profit in the quarter ended September 30, 2023 was relatively consistent with the quarter ended September 30,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left="681"/>
              <w:spacing w:after="0"/>
              <w:rPr>
                <w:sz w:val="20"/>
                <w:szCs w:val="20"/>
                <w:color w:val="auto"/>
              </w:rPr>
            </w:pPr>
            <w:r>
              <w:rPr>
                <w:rFonts w:ascii="Arial" w:cs="Arial" w:eastAsia="Arial" w:hAnsi="Arial"/>
                <w:sz w:val="14"/>
                <w:szCs w:val="14"/>
                <w:b w:val="1"/>
                <w:bCs w:val="1"/>
                <w:color w:val="auto"/>
                <w:w w:val="91"/>
              </w:rPr>
              <w:t>Net Sales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Operating Profit</w:t>
            </w:r>
          </w:p>
        </w:tc>
        <w:tc>
          <w:tcPr>
            <w:tcW w:w="92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91"/>
              </w:rPr>
              <w:t>Nine months ended September 30,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(1,461)</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(165)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eliminations and other sales of $228 million in the nine months ended September 30, 2023 compared to the nine months ended September 30, 2022 was primarily due to an increase in intersegment eliminations, principally driven by Collins.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Eliminations and other operating profit in the nine months ended September 30, 2023 was relatively consistent with the nine months ended September 30, 2022.</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decrease in Corporate expenses and other unallocated items of $90 million in the nine months ended September 30, 2023 compared to the nine months ended September 30, 2022, was primarily due to a decrease in expenses related to the LTAMDS program, which are included in the Raytheon segment beginning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present a FAS/CAS operating adjustment outside of segment results, which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 In connection with the segment realignment, prior period results were recast in order to maintain the segment cost recognition patterns described above.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operating adjustment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84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 service cost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(38)</w:t>
            </w:r>
          </w:p>
        </w:tc>
        <w:tc>
          <w:tcPr>
            <w:tcW w:w="118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(84)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(110)</w:t>
            </w:r>
          </w:p>
        </w:tc>
        <w:tc>
          <w:tcPr>
            <w:tcW w:w="114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 expense</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310</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955</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272</w:t>
            </w:r>
          </w:p>
        </w:tc>
        <w:tc>
          <w:tcPr>
            <w:tcW w:w="11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845</w:t>
            </w:r>
          </w:p>
        </w:tc>
        <w:tc>
          <w:tcPr>
            <w:tcW w:w="11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 in our FAS/CAS operating adjustment of $76 million in the quarter ended September 30, 2023 compared to the quarter ended September 30, 2022 was driven by a $122 million decrease in CAS expense, partially offset by a $46 million decrease in FAS service cost. The decrease in CAS expense was primarily due to changes to the Raytheon Company domestic pension plans announced in December 2020 that were effective December 31, 2022, and the recognition of historical CAS gain/loss experience. The decrease in FAS service cost was primarily due to changes to the Raytheon Company domestic pension plans announced in December 2020 that were effective December 31, 2022. Refer to “Note 9: Employee Benefit Plans” within Item 1 of this Form 10-Q for additional information on the Raytheon Company domestic pension plan change.</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our FAS/CAS operating adjustment of $200 million in the nine months ended September 30, 2023 compared to the nine months ended September 30, 2022 was driven by a $343 million decrease in CAS expense, partially offset by a $143 million decrease in FAS service cost. The decrease in CAS expense was primarily due to changes to the Raytheon Company domestic pension plans announced in December 2020 that were effective December 31, 2022, and the recognition of historical CAS gain/loss experience. The decrease in FAS service cost was primarily due to changes to the Raytheon Company domestic pension plans announced in December 2020 that were effective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These adjustments are not considered part of management’s evaluation of segment results</w:t>
      </w:r>
      <w:r>
        <w:rPr>
          <w:rFonts w:ascii="Arial" w:cs="Arial" w:eastAsia="Arial" w:hAnsi="Arial"/>
          <w:sz w:val="16"/>
          <w:szCs w:val="16"/>
          <w:b w:val="1"/>
          <w:b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5"/>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Amortization of property, plant and equipment fair value adjustment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Amortization of customer contractual obligations related to acquired loss-making and</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below-market contracts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64</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Acquisition accounting adjustments related to acquisitions in each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5"/>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Raytheon</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Arial" w:cs="Arial" w:eastAsia="Arial" w:hAnsi="Arial"/>
                <w:sz w:val="18"/>
                <w:szCs w:val="18"/>
                <w:color w:val="auto"/>
              </w:rPr>
              <w:t>Total segment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(1,499)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 accounting adjustments for the quarter and nine months ended September 30, 2023 were relatively consistent with the quarter and nine months ended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80" w:type="dxa"/>
            <w:vAlign w:val="bottom"/>
          </w:tcPr>
          <w:p>
            <w:pPr>
              <w:spacing w:after="0"/>
              <w:rPr>
                <w:sz w:val="16"/>
                <w:szCs w:val="16"/>
                <w:color w:val="auto"/>
              </w:rPr>
            </w:pP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September 30, 2023</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5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5,456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6,220</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b w:val="1"/>
                <w:bCs w:val="1"/>
                <w:color w:val="auto"/>
              </w:rPr>
              <w:t>35,260</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31,914</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71,213</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74,178</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Arial" w:cs="Arial" w:eastAsia="Arial" w:hAnsi="Arial"/>
                <w:sz w:val="18"/>
                <w:szCs w:val="18"/>
                <w:b w:val="1"/>
                <w:bCs w:val="1"/>
                <w:color w:val="auto"/>
              </w:rPr>
              <w:t>106,473</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106,092</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September 30, 2023, we had cash and cash equivalents of $5.5 billion, of which approximately 34% was held by RTX’s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access global debt markets and the related cost of these borrowings depends on the strength of our credit rating and market conditions. In August 2023, S&amp;P Global downgraded our credit rating from A- / negative to BBB+/ stable. There has been no change in our credit rating with Moody’s Investors Service since the merger and remains at Baa1 / stable. Though the Company expects to continue having adequate access to funds, further declines in our credit ratings or company outlook could result in higher borrowing costs.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we had a revolving credit agreement with various banks permitting aggregate borrowings of up to $5.0 billion. This agreement was renewed in August 2023 and expires in August 2028. As of September 30, 2023, there were no borrowings outstanding under this agreement. The Company’s $2.0 billion revolving credit agreement scheduled to expire September 2023, was terminated in August 2023, and there were no outstanding borrowings at the time of termination.</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2023, our maximum commercial paper borrowing limit was $5.0 billion as the commercial paper is backed by our $5.0 billion revolving credit agreement. We had $1.0 billion of commercial paper borrowings outstanding at September 30, 2023. At September 30, 2023 short-term commercial paper borrowings outstanding had a weighted-average interest rate of 5.6%.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issuances of long-term debt during the nine months ended September 30,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right"/>
              <w:ind w:right="157"/>
              <w:spacing w:after="0"/>
              <w:rPr>
                <w:sz w:val="20"/>
                <w:szCs w:val="20"/>
                <w:color w:val="auto"/>
              </w:rPr>
            </w:pPr>
            <w:r>
              <w:rPr>
                <w:rFonts w:ascii="Arial" w:cs="Arial" w:eastAsia="Arial" w:hAnsi="Arial"/>
                <w:sz w:val="14"/>
                <w:szCs w:val="14"/>
                <w:b w:val="1"/>
                <w:bCs w:val="1"/>
                <w:color w:val="auto"/>
                <w:w w:val="94"/>
              </w:rPr>
              <w:t>Aggregate Principal Balance (in</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vMerge w:val="continue"/>
          </w:tcPr>
          <w:p>
            <w:pPr>
              <w:spacing w:after="0"/>
              <w:rPr>
                <w:sz w:val="17"/>
                <w:szCs w:val="17"/>
                <w:color w:val="auto"/>
              </w:rPr>
            </w:pPr>
          </w:p>
        </w:tc>
        <w:tc>
          <w:tcPr>
            <w:tcW w:w="542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2023</w:t>
            </w:r>
          </w:p>
        </w:tc>
        <w:tc>
          <w:tcPr>
            <w:tcW w:w="5420" w:type="dxa"/>
            <w:vAlign w:val="bottom"/>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5.000% notes due 2026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5420" w:type="dxa"/>
            <w:vAlign w:val="bottom"/>
          </w:tcPr>
          <w:p>
            <w:pPr>
              <w:ind w:left="420"/>
              <w:spacing w:after="0" w:line="230" w:lineRule="exact"/>
              <w:rPr>
                <w:sz w:val="20"/>
                <w:szCs w:val="20"/>
                <w:color w:val="auto"/>
              </w:rPr>
            </w:pPr>
            <w:r>
              <w:rPr>
                <w:rFonts w:ascii="Arial" w:cs="Arial" w:eastAsia="Arial" w:hAnsi="Arial"/>
                <w:sz w:val="18"/>
                <w:szCs w:val="18"/>
                <w:color w:val="auto"/>
              </w:rPr>
              <w:t xml:space="preserve">5.150% notes due 2033 </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237"/>
        </w:trPr>
        <w:tc>
          <w:tcPr>
            <w:tcW w:w="2140" w:type="dxa"/>
            <w:vAlign w:val="bottom"/>
            <w:tcBorders>
              <w:bottom w:val="single" w:sz="8" w:color="auto"/>
            </w:tcBorders>
            <w:shd w:val="clear" w:color="auto" w:fill="CCEEFF"/>
          </w:tcPr>
          <w:p>
            <w:pPr>
              <w:spacing w:after="0"/>
              <w:rPr>
                <w:sz w:val="20"/>
                <w:szCs w:val="20"/>
                <w:color w:val="auto"/>
              </w:rPr>
            </w:pPr>
          </w:p>
        </w:tc>
        <w:tc>
          <w:tcPr>
            <w:tcW w:w="5420" w:type="dxa"/>
            <w:vAlign w:val="bottom"/>
            <w:tcBorders>
              <w:bottom w:val="single" w:sz="8" w:color="auto"/>
            </w:tcBorders>
            <w:shd w:val="clear" w:color="auto" w:fill="CCEEFF"/>
          </w:tcPr>
          <w:p>
            <w:pPr>
              <w:ind w:left="420"/>
              <w:spacing w:after="0" w:line="230" w:lineRule="exact"/>
              <w:rPr>
                <w:sz w:val="20"/>
                <w:szCs w:val="20"/>
                <w:color w:val="auto"/>
              </w:rPr>
            </w:pPr>
            <w:r>
              <w:rPr>
                <w:rFonts w:ascii="Arial" w:cs="Arial" w:eastAsia="Arial" w:hAnsi="Arial"/>
                <w:sz w:val="18"/>
                <w:szCs w:val="18"/>
                <w:color w:val="auto"/>
              </w:rPr>
              <w:t xml:space="preserve">5.375% notes due 2053 </w:t>
            </w:r>
            <w:r>
              <w:rPr>
                <w:rFonts w:ascii="Arial" w:cs="Arial" w:eastAsia="Arial" w:hAnsi="Arial"/>
                <w:sz w:val="23"/>
                <w:szCs w:val="23"/>
                <w:color w:val="auto"/>
                <w:vertAlign w:val="superscript"/>
              </w:rPr>
              <w:t>(1)</w:t>
            </w:r>
          </w:p>
        </w:tc>
        <w:tc>
          <w:tcPr>
            <w:tcW w:w="1420" w:type="dxa"/>
            <w:vAlign w:val="bottom"/>
            <w:tcBorders>
              <w:bottom w:val="single" w:sz="8" w:color="auto"/>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repayment of long-term debt during the nine months ended September 30,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Repayment Date</w:t>
            </w:r>
          </w:p>
        </w:tc>
        <w:tc>
          <w:tcPr>
            <w:tcW w:w="538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Description of Notes</w:t>
            </w:r>
          </w:p>
        </w:tc>
        <w:tc>
          <w:tcPr>
            <w:tcW w:w="1420" w:type="dxa"/>
            <w:vAlign w:val="bottom"/>
          </w:tcPr>
          <w:p>
            <w:pPr>
              <w:spacing w:after="0"/>
              <w:rPr>
                <w:sz w:val="14"/>
                <w:szCs w:val="14"/>
                <w:color w:val="auto"/>
              </w:rPr>
            </w:pPr>
          </w:p>
        </w:tc>
        <w:tc>
          <w:tcPr>
            <w:tcW w:w="226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Aggregate Principal Balance (in</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53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36"/>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16, 2023</w:t>
            </w:r>
          </w:p>
        </w:tc>
        <w:tc>
          <w:tcPr>
            <w:tcW w:w="5380" w:type="dxa"/>
            <w:vAlign w:val="bottom"/>
            <w:tcBorders>
              <w:bottom w:val="single" w:sz="8" w:color="auto"/>
            </w:tcBorders>
            <w:shd w:val="clear" w:color="auto" w:fill="CCEEFF"/>
          </w:tcPr>
          <w:p>
            <w:pPr>
              <w:ind w:left="380"/>
              <w:spacing w:after="0" w:line="229" w:lineRule="exact"/>
              <w:rPr>
                <w:sz w:val="20"/>
                <w:szCs w:val="20"/>
                <w:color w:val="auto"/>
              </w:rPr>
            </w:pPr>
            <w:r>
              <w:rPr>
                <w:rFonts w:ascii="Arial" w:cs="Arial" w:eastAsia="Arial" w:hAnsi="Arial"/>
                <w:sz w:val="18"/>
                <w:szCs w:val="18"/>
                <w:color w:val="auto"/>
              </w:rPr>
              <w:t>3.650% notes due 2023</w:t>
            </w:r>
            <w:r>
              <w:rPr>
                <w:rFonts w:ascii="Arial" w:cs="Arial" w:eastAsia="Arial" w:hAnsi="Arial"/>
                <w:sz w:val="23"/>
                <w:szCs w:val="23"/>
                <w:color w:val="auto"/>
                <w:vertAlign w:val="superscript"/>
              </w:rPr>
              <w:t>(1)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93" w:lineRule="auto"/>
        <w:tabs>
          <w:tab w:leader="none" w:pos="33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net proceeds from the issuances will be used to fund repayment at maturity of the 3.650% notes due August 16, 2023 and the 3.700% notes due December 15, 2023, with the remaining proceeds to be used for general corporate purposes.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21, 2023, our Board of Directors authorized a $10 billion accelerated share repurchase program (ASR), and on October 24, 2023 we entered into a $10 billion bridge loan facility. The proceeds of the bridge loan facility are expected to be used to fund the ASR. We intend to repay the bridge loan with long-term debt. While the cost of borrowing combined 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increases in long-term debt to fund the ASR are expected to increase interest expense in future periods, we do not believe this will have any material impact on our liquidity.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existing universal shelf registration statement, which we filed with the Securities and Exchange Commission (SEC) on September 22, 2022, for an indeterminate amount of debt and equity securities for future issuance, subject to our internal limitations on the amount of debt to be issued under this shelf registration statement.</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voluntary supply chain finance (SCF) programs with global financial institutions which enables our suppliers, at their sole discretion, to sell their receivables from the Company to the financial institutions at a rate that leverages our credit rating, which might be beneficial to them. Our suppliers’ participation in the SCF programs does not impact or change our terms and conditions with those suppliers, and therefore, we have no economic interest in a supplier’s decision to participate in the programs. In addition, we do not pay for any of the costs of the programs incurred by those suppliers that choose to participate, and have no direct financial relationship with the financial institutions, as it relates to sales of receivables made by those suppliers. As such, the SCF programs do not impact our working capital, cash flows, or overall liquidity.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3,172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from continuing operations for the nine months ended September 30, 2023 included a $2.9 billion charge related to the Powder Metal Matter, which had no effect on cash flow in the period. This charge also had the effect of increasing Accrued liabilities by $2.8 billion in the nine months ended September 30, 2023. Excluding the impact of this charge, the $0.6 billion favorable change in cash flows provided by operating activities from continuing operations in the nine months ended September 30, 2023 compared to in the nine months ended September 30, 2022, is primarily driven by higher net income from continuing operations after adjustments for depreciation and amortization, deferred income tax benefit, stock compensation cost, and net periodic pension and other postretirement income. Also contributing to the change in cash flows provided by operating activities from continuing operations was a net decrease in tax payments further discussed below, and a net favorable change in contract assets and contract liabilities due to the timing of collections. These favorable changes were partially offset by higher accounts receivable as a result of increased sales volume and related factoring activity.</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certain of its receivables. Factoring activity resulted in an increase of approximately $0.4 billion in cash provided by operating activities during the nine months ended September 30, 2023, compared to an increase of approximately $1.5 billion in cash provided by operating activities during the nine months ended September 30, 2022. Factoring activity includes amounts factored on certain aerospace receivables at the customers’ request for which we may be compensated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made net tax payments of $1.3 billion and $2.2 billion in the nine months ended September 30, 2023 and 2022,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investing activities from continuing operations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(2,061)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$0.2 billion change in cash flows used in investing activities from continuing operations in the nine months ended September 30, 2023 compared to the nine months ended September 30, 2022 primarily related to an increase in other intangible assets and capital expenditures, both of which are described below, partially offset by the timing of our derivative contract settlements.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 the nine months ended September 30, 2023 increased by $177 million from the nine months ended September 30, 2022 primarily due to investments in production facilities across all our business segments.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financing assets receipts, net were $41 million and $25 million in the nine months ended September 30, 2023 and 2022, respectively, and include leased asset pool activity as well as customer financing activity.</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nine months ended September 30, 2023 and 2022, we increased other intangible assets by $536 million and $318 million, respectively, primarily related to collaboration payment commitments made under our 2012 agreement to acquire Rolls-Royce’s collaboration interests in International Aero Engines AG (IAE) and exclusivity payments made on contractual commitments included within intangible assets.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in “Note 11: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nine months ended September 30, 2023 and 2022, we had net cash payments of $18 million and $259 million, respectively, from the settlement of these derivative instruments not designated as hedging instruments.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 from continuing operations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(1,909)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financing activities primarily include the issuance and repayment of commercial paper and other short-term and long-term debt, payment of dividends, and stock repurchases.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$1.1 billion change in cash flows used in financing activities from continuing operations in the nine months ended September 30, 2023 compared to the nine months ended September 30, 2022, was primarily driven by long-term debt issuances of $3.0 billion, partially offset by repayments of commercial paper, net, of $1.6 billion, higher share repurchases of $0.2 billion as discussed below, and repayment of long-term debt of $0.2 billion. Refer to “Note 8: Borrowings and Lines of Credit” within Item 1 of this Form 10-Q for additional information on debt issuances and commercial paper.</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21, 2023, our Board of Directors authorized a share repurchase program for up to $11 billion of our common stock, replacing the previous program announced on December 12, 2022. This $11 billion share repurchase authorization is inclusive of authority to enter into a $10 billion accelerated share repurchase program (ASR).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and as required under our employee savings plan. Our ability to repurchase shares is subject to applicable law.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shares in thousands)</w:t>
            </w: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Shares of common stock repurchased </w:t>
            </w:r>
            <w:r>
              <w:rPr>
                <w:rFonts w:ascii="Arial" w:cs="Arial" w:eastAsia="Arial" w:hAnsi="Arial"/>
                <w:sz w:val="23"/>
                <w:szCs w:val="23"/>
                <w:color w:val="auto"/>
                <w:vertAlign w:val="superscript"/>
              </w:rPr>
              <w:t>(1)</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b w:val="1"/>
                <w:bCs w:val="1"/>
                <w:color w:val="auto"/>
                <w:w w:val="97"/>
              </w:rPr>
              <w:t>2,587</w:t>
            </w:r>
          </w:p>
        </w:tc>
        <w:tc>
          <w:tcPr>
            <w:tcW w:w="1040" w:type="dxa"/>
            <w:vAlign w:val="bottom"/>
            <w:tcBorders>
              <w:bottom w:val="single" w:sz="8" w:color="auto"/>
            </w:tcBorders>
            <w:gridSpan w:val="2"/>
            <w:shd w:val="clear" w:color="auto" w:fill="CCEEFF"/>
          </w:tcPr>
          <w:p>
            <w:pPr>
              <w:jc w:val="center"/>
              <w:ind w:left="377"/>
              <w:spacing w:after="0"/>
              <w:rPr>
                <w:sz w:val="20"/>
                <w:szCs w:val="20"/>
                <w:color w:val="auto"/>
              </w:rPr>
            </w:pPr>
            <w:r>
              <w:rPr>
                <w:rFonts w:ascii="Arial" w:cs="Arial" w:eastAsia="Arial" w:hAnsi="Arial"/>
                <w:sz w:val="18"/>
                <w:szCs w:val="18"/>
                <w:b w:val="1"/>
                <w:bCs w:val="1"/>
                <w:color w:val="auto"/>
                <w:w w:val="90"/>
              </w:rPr>
              <w:t>29,397</w:t>
            </w:r>
          </w:p>
        </w:tc>
        <w:tc>
          <w:tcPr>
            <w:tcW w:w="5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2,395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25,452</w:t>
            </w:r>
          </w:p>
        </w:tc>
        <w:tc>
          <w:tcPr>
            <w:tcW w:w="0" w:type="dxa"/>
            <w:vAlign w:val="bottom"/>
          </w:tcPr>
          <w:p>
            <w:pPr>
              <w:spacing w:after="0"/>
              <w:rPr>
                <w:sz w:val="1"/>
                <w:szCs w:val="1"/>
                <w:color w:val="auto"/>
              </w:rPr>
            </w:pPr>
          </w:p>
        </w:tc>
      </w:tr>
      <w:tr>
        <w:trPr>
          <w:trHeight w:val="353"/>
        </w:trPr>
        <w:tc>
          <w:tcPr>
            <w:tcW w:w="6160" w:type="dxa"/>
            <w:vAlign w:val="bottom"/>
          </w:tcPr>
          <w:p>
            <w:pPr>
              <w:spacing w:after="0"/>
              <w:rPr>
                <w:sz w:val="20"/>
                <w:szCs w:val="20"/>
                <w:color w:val="auto"/>
              </w:rPr>
            </w:pPr>
            <w:r>
              <w:rPr>
                <w:rFonts w:ascii="Arial" w:cs="Arial" w:eastAsia="Arial" w:hAnsi="Arial"/>
                <w:sz w:val="14"/>
                <w:szCs w:val="14"/>
                <w:color w:val="auto"/>
              </w:rPr>
              <w:t>(1)  Relates to share repurchases that were settled in cash during the period.</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160" w:type="dxa"/>
            <w:vAlign w:val="bottom"/>
          </w:tcPr>
          <w:p>
            <w:pPr>
              <w:spacing w:after="0"/>
              <w:rPr>
                <w:sz w:val="20"/>
                <w:szCs w:val="20"/>
                <w:color w:val="auto"/>
              </w:rPr>
            </w:pPr>
            <w:r>
              <w:rPr>
                <w:rFonts w:ascii="Arial" w:cs="Arial" w:eastAsia="Arial" w:hAnsi="Arial"/>
                <w:sz w:val="18"/>
                <w:szCs w:val="18"/>
                <w:color w:val="auto"/>
              </w:rPr>
              <w:t>Our Board of Directors authorized the following cash dividends:</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5"/>
        </w:trPr>
        <w:tc>
          <w:tcPr>
            <w:tcW w:w="6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per share of common stock</w:t>
            </w: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377"/>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w w:val="93"/>
              </w:rPr>
              <w:t>1.730</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dividends paid</w:t>
            </w: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left="377"/>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w w:val="93"/>
              </w:rPr>
              <w:t>2,472</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5, 2023, the Board of Directors declared a dividend of $0.59 per share payable September 7, 2023 to shareowners of record at the close of business on August 18, 2023. Also, on October 11, 2023, the Board of Directors declared a dividend of $0.59 per share payable December 14, 2023 to shareowners of record at the close of business on November 17,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nine months ended September 30, 2023. For discussion of our exposure to market risk, refer to Part II, Item 7A, “Quantitative and Qualitative Disclosures About Market Risk,” contained in our 2022 Form 10-K.</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required by Rule 13a-15 under the Securities Exchange Act of 1934, as amended, we carried out an evaluation under the supervision and with the participation of our management, including the Chief Executive Officer (CEO), the Executive Vice President and Chief Financial Officer (CFO), and the Corporate Vice President and Controller (Controller), of the effectiveness of the design and operation of our disclosure controls and procedures as of September 30, 2023.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September 30, 2023,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(including the accelerated share repurchase program), tax payments and rates, research and development spending, cost savings, other measures of financial performance, potential future plans, strategies or transactions, credit ratings and net indebtedness, the Pratt &amp; Whitney Powder Metal Matter and related matters and activities, anticipated benefits to RTX of its segment realignment, dispositions of Raytheon’s Cybersecurity, Intelligence and Services business and Collins’ actuation and flight control business,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 w:lineRule="exact"/>
        <w:rPr>
          <w:sz w:val="20"/>
          <w:szCs w:val="20"/>
          <w:color w:val="auto"/>
        </w:rPr>
      </w:pPr>
    </w:p>
    <w:p>
      <w:pPr>
        <w:ind w:left="660" w:right="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changes in economic, capital market, and political conditions in the U.S. and globally, such as from the global sanctions and export controls with respect to Russia, and any changes therein, including related to financial market conditions, bank failures and other banking industry disruptions, fluctuations in commodity prices or supply (including energy supply), inflation, interest rates and foreign currency exchange rates, disruptions in global supply chain and labor markets, and geopolitical risks;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a government default, or otherwise, and uncertain funding of programs;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RTX’s reliance on U.S. and non-U.S. suppliers and commodity markets, including the effect of sanctions, delays and disruptions in the delivery of materials and services to RTX or its suppliers and price increases;</w:t>
      </w:r>
    </w:p>
    <w:p>
      <w:pPr>
        <w:ind w:left="660" w:right="2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RTX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condition of the aerospace industry;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RTX to attract, train, and retain qualified personnel and maintain its culture and high ethical standards, and ability of our personnel to continue to operate our facilities and businesses around the world;</w:t>
      </w: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the coronavirus disease 2019 (COVID-19) pandemic and the impact on global air travel and RTX’s business, supply chain, operations, and the industries in which it operates;</w:t>
      </w:r>
    </w:p>
    <w:p>
      <w:pPr>
        <w:spacing w:after="0" w:line="13"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 and risks related to completion of announced divestitures;</w:t>
      </w:r>
    </w:p>
    <w:p>
      <w:pPr>
        <w:jc w:val="both"/>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RTX and its businesses operate;</w:t>
      </w:r>
    </w:p>
    <w:p>
      <w:pPr>
        <w:spacing w:after="0" w:line="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pending, threatened and future legal proceedings, investigations, and other contingencies, including those related to U.S. government audits and disputes;</w:t>
      </w:r>
    </w:p>
    <w:p>
      <w:pPr>
        <w:jc w:val="both"/>
        <w:ind w:left="660" w:right="20" w:hanging="328"/>
        <w:spacing w:after="0" w:line="265"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factors that could impact RTX’s ability to engage in desirable capital-raising or strategic transactions, including its credit rating, capital structure, levels of indebtedness, capital expenditures, and research and development spending, and capital deployment strategy including with respect to share repurchases, and the availability of credit, credit market conditions including the cost of debt, and other factors;</w:t>
      </w:r>
    </w:p>
    <w:p>
      <w:pPr>
        <w:jc w:val="both"/>
        <w:ind w:left="660" w:hanging="328"/>
        <w:spacing w:after="0" w:line="25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uncertainties associated with the timing and scope of future repurchases by RTX of its common stock, including the ability to enter into, consummate, or complete the accelerated share repurchase (ASR), the purchase price of the shares acquired pursuant to the ASR agreement, and the timing and duration of the ASR program, or declarations of cash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dividends, which may be discontinued, accelerated, suspended, or delayed at any time due to various factors, including market conditions and the level of other investing activities and uses of cash;</w:t>
      </w:r>
    </w:p>
    <w:p>
      <w:pPr>
        <w:spacing w:after="0" w:line="1" w:lineRule="exact"/>
        <w:rPr>
          <w:sz w:val="20"/>
          <w:szCs w:val="20"/>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realizing expected benefits from, incurring costs for, and successfully managing the Company’s segment realignment effective July 1, 2023, the legacy United Technologies Corporation (UTC) and Raytheon Company merger, and other RTX strategic initiatives such as cost reduction, restructuring, digital transformation, and other operational initiatives;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additional tax exposures due to new tax legislation or other developments in the U.S. and other countries in which RTX and its businesses operate;</w:t>
      </w:r>
    </w:p>
    <w:p>
      <w:pPr>
        <w:jc w:val="both"/>
        <w:ind w:left="660" w:hanging="328"/>
        <w:spacing w:after="0" w:line="26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relating to addressing the identified rare condition in powder metal used to manufacture certain Pratt &amp; Whitney engine parts, including those relating to the need for accelerated removals and inspections of a significant portion of the PW1100G-JM Geared Turbofan (GTF) fleet, including, without limitation, the number and expected timing of shop visits, inspection results and scope of work to be performed, turnaround time, availability of new parts, available capacity at overhaul facilities, outcomes of negotiations with impacted customers, and risks related to other engine models that may be impacted by the Powder Metal Matter, and in each case including the timing and costs relating thereto, as well as other issues that could impact RTX product performance, including quality, reliability, or durability;</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a RTX product safety failure or other failure affecting RTX’s or its customers’ or suppliers’ products or systems;</w:t>
      </w:r>
    </w:p>
    <w:p>
      <w:pPr>
        <w:spacing w:after="0" w:line="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risks relating to cyber-attacks on RTX’s information technology infrastructure, products, suppliers, customers, and partners, threats to RTX facilities and personnel, as well as other events outside of RTX’s control such as public health crises, damaging weather, or other acts of nature;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changes in accounting estimates for our programs on our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changes in pension and other postretirement plan estimates and assumptions and contributions;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an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effects of climate change and changing or new climate-related regulations, customer and market demands, products and technologies; and</w:t>
      </w:r>
    </w:p>
    <w:p>
      <w:pPr>
        <w:spacing w:after="0" w:line="32" w:lineRule="exact"/>
        <w:rPr>
          <w:rFonts w:ascii="Arial" w:cs="Arial" w:eastAsia="Arial" w:hAnsi="Arial"/>
          <w:sz w:val="16"/>
          <w:szCs w:val="16"/>
          <w:color w:val="auto"/>
        </w:rPr>
      </w:pPr>
    </w:p>
    <w:p>
      <w:pPr>
        <w:ind w:left="660" w:right="20" w:hanging="328"/>
        <w:spacing w:after="0" w:line="290"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intended qualification of (1) the Raytheon merger as a tax-free reorganization and (2) the Carrier and Otis separation transactions and other internal restructurings as tax-free to UTC and former UTC shareowners, in each case, for U.S. federal income tax purposes.</w:t>
      </w:r>
    </w:p>
    <w:p>
      <w:pPr>
        <w:spacing w:after="0" w:line="5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“Critical Accounting Estimates,” and “Government Matters” and our Form 10-Q for the period ended March 31, 2023 in the section titled Item IA,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15: Commitments and Contingencies” within Item 1 of this Form 10-Q for a discussion regarding material legal proceedings.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developments in legal proceedings. For previously reported information about legal proceedings refer to Part I, Item 3, “Legal Proceedings,” of our 2022 Annual Report on Form 10-K.</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should carefully review and consider the information regarding certain factors which could materially affect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condition, or future results set forth under Item 1A in our 2022 Annual Report on Form 10-K (2022 Form 10-K). Except for the risk factors discussed below, there have been no material changes from the factors disclosed in our 2022 Form 10-K, although we may disclose changes to such factors or disclose additional factors from time to time in our future filings with the Securities and Exchange Commission (SEC).</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Geopolitical factors and changes in policies and regulations could adversely affect our business. </w:t>
      </w:r>
      <w:r>
        <w:rPr>
          <w:rFonts w:ascii="Arial" w:cs="Arial" w:eastAsia="Arial" w:hAnsi="Arial"/>
          <w:sz w:val="16"/>
          <w:szCs w:val="16"/>
          <w:color w:val="auto"/>
        </w:rPr>
        <w:t>Our international sales and operations are sensitive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foreign national priorities, foreign government budgets, and regional and local political and economic factors, including volatility in energy prices or supply, political or civil unrest, changes in threat environments and political relations, geopolitical uncertainties, and changes in U.S. foreign policy. Our international sales and operations are also sensitive to changes in foreign government laws, regulations and policies, including those related to tariffs, sanctions, embargoes, export and import controls and other trade restrictions. Events such as increased trade restrictions or retaliatory trade policies, renegotiation of existing trade agreements, or regime change can affect demand for our products and services, the competitive position of our products, our supply chain, and our ability to manufacture or sell products in certain countries. Further, operations in emerging market countries are subject to additional risks, including volatility in gross domestic product and rates of economic growth, government instability, cultural differences (such as employment and business practices), the imposition of exchange and capital controls, and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financial condition, or liquidity.</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given the role of our defense businesses in the support of the national security interests of the U.S. and its allies, we are subject to risks and uncertainties relating to policies of the U.S. and its allies, as well as other countries, including those that are or become regarded as potential adversaries or threats. We engage in both direct commercial sales, which generally require U.S. government licenses and approvals, as well as foreign military sales, which are government-to-government transactions initiated by, and carried out at the direction of, the U.S. government. Changes in budgets and spending levels, policies, or priorities, which are subject to geopolitical risks and threats, may impact our defense businesses, including the timing of and delays in U.S. government licenses and approvals for sales, the risk of sanctions or other restrictions, as well as potential human rights issues associated with the use of our defense products. These risks and uncertainties may directly or indirectly impact our commercial businesses as well.</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Of note, in February 2023, China announced sanctions against Raytheon Missiles &amp; Defense (RMD) (a former RTX Corporation (RTX) business segment which became part of Raytheon as a result of the July 1, 2023 RTX segment realignment), and previously announced it may take measures against RTX, in connection with certain foreign military sales to Taiwan. The Chinese sanctions against RMD included a fine equal to twice the value of the arms that RMD sold to Taiwan since September 2020. In addition, in September 2022, China indicated that it decided to sanction our Chairman and Chief Executive Officer, Gregory Hayes, in connection with another foreign military sale to Taiwan involving RTX products and services. If China were to enforce sanctions, impose additional sanctions, or take other regulatory action against RTX, our suppliers, affiliates, or partners, it could potentially disrupt our business operations. The impact of the announced sanctions or other potential sanctions, or other actions by China is uncertain. Our businesses have sold, and are expected to sell in the future, additional defense products to Taiwan from time to time, and we are unable to determine the potential impact, if any, of any future sanctions or other actions by China in response to these sales. Moreover, the Chinese government has generally expanded its ability to restrict China-related import, export and investment activities, which may have an adverse impact on our ability to conduct business or sell our commercial aerospace products in China. In addition, in response to Russia’s invasion of Ukraine, the U.S. government and the governments of various jurisdictions in which we operate,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 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closely monitoring developments in the war between Israel and Hamas that began on October 7, 2023 including potential impacts to RTX’s business, customers, suppliers, employees, and operations in Israel, the Middle East and elsewhere. At this time, impacts to RTX are uncertain and subject to change given the volatile nature of the situation.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Due to the nature of our products and services, a product safety failure or other failure affecting our or our customers’ or suppliers’ products or systems could seriously harm our business. </w:t>
      </w:r>
      <w:r>
        <w:rPr>
          <w:rFonts w:ascii="Arial" w:cs="Arial" w:eastAsia="Arial" w:hAnsi="Arial"/>
          <w:sz w:val="18"/>
          <w:szCs w:val="18"/>
          <w:color w:val="auto"/>
        </w:rPr>
        <w:t>Our products and services are highly sophisticated and specialized, involve complex advanced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often integrated with third-party products and services and are utilized for specific purposes that require precision, reliability and durability. Many of our products and services include both hardware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software that involve industrial machinery and intricate aviation and defense systems, including commercial and military jet engines, power and control systems and other aircraft parts, air and missile defense systems, and military sensors and command and control systems. Technical, mechanical and other failures may occur from time to time, whether as a result of manufacturing or design defect, operational process or production issue attributable to us, our customers, suppliers, third party integrators or others. In addition, our products could fail as a result of cyber-attacks, such as those that seize control and result in misuse or unintended use of our products, or other intentional acts. The impact of a catastrophic product or system failure or similar event affecting our or our customers’ or suppliers’ products or services could be significant, and could result in injuries or death, property damage, loss of strategic capabilities, loss of intellectual property, loss of reputation, and other significant negative effects. A product or system failure could lead to negative publicity, a diversion of management attention and damage to our reputation that could reduce demand for our products and services. It could also result in product recalls and product liability and warranty claims (including claims related to the safety or reliability of our products) and related expenses, other service, repair and maintenance costs, significant damages and other costs, including fines and other remedies and regulatory and environmental liabilities. We may also incur increased costs, delayed payments, reputational harm or lost equipment or services revenue in connection with a significant issue with a third party’s product with which our products are integrated. Further, our insurance coverage may not be adequate to cover all related costs and we may not otherwise be fully indemnified for them. Any of the foregoing could have a material adverse effect on our competitive position, results of operations, financial condition or liquidity.</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particular, as previously disclosed, Pratt &amp; Whitney has determined that a rare condition in powder metal used to manufacture certain engine parts requires accelerated inspection of the PW1100G-JM (PW1100) Geared Turbofan (GTF) fleet, which powers the A320neo family of aircraft. This determination and corresponding fleet actions have significantly increased both the incremental number of PW1100 GTF engines that will need to be removed and the incremental number of shop visits necessary to perform the inspections as compared to estimates prior to this determination. Actual and future estimated aircraft on ground levels for the A320neo family of aircraft have therefore increased. As a result, we have and will continue to incur significant customer support and mitigation costs and significant labor, material and related costs. This matter has caused reputational harm and has negatively impacted, and will continue to impact, our results of operations and financial condition. The financial impact of the powder metal issue is based on historical experience and is subject to various assumptions and judgments, including, without limitation, the number and expected timing of shop visits, inspection results and scope of work to be performed, turnaround time, availability of new parts, available capacity at overhaul facilities and outcomes of negotiations with impacted customers, and these assumptions are subject to variability. Potential changes to these assumptions could have a material effect on the Company’s results of operations for the periods in which it is recognized. In addition, these negative impacts to our company could increase if any other engine models are found to be materially impacted by this rare condition.</w:t>
      </w:r>
    </w:p>
    <w:p>
      <w:pPr>
        <w:spacing w:after="0" w:line="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our purchases of equity securities that are registered by us pursuant to Section 12 of the Exchange Act during the quarter ended September 30,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9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2340" w:type="dxa"/>
            <w:vAlign w:val="bottom"/>
            <w:vMerge w:val="restart"/>
          </w:tcPr>
          <w:p>
            <w:pPr>
              <w:jc w:val="center"/>
              <w:ind w:left="318"/>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3"/>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82"/>
              <w:spacing w:after="0" w:line="14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8"/>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2023</w:t>
            </w:r>
          </w:p>
        </w:tc>
        <w:tc>
          <w:tcPr>
            <w:tcW w:w="234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Share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32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vMerge w:val="continue"/>
          </w:tcPr>
          <w:p>
            <w:pPr>
              <w:spacing w:after="0"/>
              <w:rPr>
                <w:sz w:val="17"/>
                <w:szCs w:val="17"/>
                <w:color w:val="auto"/>
              </w:rPr>
            </w:pPr>
          </w:p>
        </w:tc>
        <w:tc>
          <w:tcPr>
            <w:tcW w:w="2340" w:type="dxa"/>
            <w:vAlign w:val="bottom"/>
            <w:tcBorders>
              <w:bottom w:val="single" w:sz="8" w:color="auto"/>
            </w:tcBorders>
          </w:tcPr>
          <w:p>
            <w:pPr>
              <w:jc w:val="center"/>
              <w:ind w:left="318"/>
              <w:spacing w:after="0"/>
              <w:rPr>
                <w:sz w:val="20"/>
                <w:szCs w:val="20"/>
                <w:color w:val="auto"/>
              </w:rPr>
            </w:pPr>
            <w:r>
              <w:rPr>
                <w:rFonts w:ascii="Arial" w:cs="Arial" w:eastAsia="Arial" w:hAnsi="Arial"/>
                <w:sz w:val="14"/>
                <w:szCs w:val="14"/>
                <w:b w:val="1"/>
                <w:bCs w:val="1"/>
                <w:color w:val="auto"/>
                <w:w w:val="94"/>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(dollars)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23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3,495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89.49</w:t>
            </w:r>
          </w:p>
        </w:tc>
        <w:tc>
          <w:tcPr>
            <w:tcW w:w="2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3,495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August 1 - August 31</w:t>
            </w:r>
          </w:p>
        </w:tc>
        <w:tc>
          <w:tcPr>
            <w:tcW w:w="2340" w:type="dxa"/>
            <w:vAlign w:val="bottom"/>
          </w:tcPr>
          <w:p>
            <w:pPr>
              <w:jc w:val="right"/>
              <w:ind w:right="78"/>
              <w:spacing w:after="0"/>
              <w:rPr>
                <w:sz w:val="20"/>
                <w:szCs w:val="20"/>
                <w:color w:val="auto"/>
              </w:rPr>
            </w:pPr>
            <w:r>
              <w:rPr>
                <w:rFonts w:ascii="Arial" w:cs="Arial" w:eastAsia="Arial" w:hAnsi="Arial"/>
                <w:sz w:val="18"/>
                <w:szCs w:val="18"/>
                <w:color w:val="auto"/>
              </w:rPr>
              <w:t>4,634</w:t>
            </w:r>
          </w:p>
        </w:tc>
        <w:tc>
          <w:tcPr>
            <w:tcW w:w="280" w:type="dxa"/>
            <w:vAlign w:val="bottom"/>
          </w:tcPr>
          <w:p>
            <w:pPr>
              <w:spacing w:after="0"/>
              <w:rPr>
                <w:sz w:val="19"/>
                <w:szCs w:val="19"/>
                <w:color w:val="auto"/>
              </w:rPr>
            </w:pPr>
          </w:p>
        </w:tc>
        <w:tc>
          <w:tcPr>
            <w:tcW w:w="1720" w:type="dxa"/>
            <w:vAlign w:val="bottom"/>
          </w:tcPr>
          <w:p>
            <w:pPr>
              <w:jc w:val="right"/>
              <w:ind w:right="98"/>
              <w:spacing w:after="0"/>
              <w:rPr>
                <w:sz w:val="20"/>
                <w:szCs w:val="20"/>
                <w:color w:val="auto"/>
              </w:rPr>
            </w:pPr>
            <w:r>
              <w:rPr>
                <w:rFonts w:ascii="Arial" w:cs="Arial" w:eastAsia="Arial" w:hAnsi="Arial"/>
                <w:sz w:val="18"/>
                <w:szCs w:val="18"/>
                <w:color w:val="auto"/>
              </w:rPr>
              <w:t>86.01</w:t>
            </w:r>
          </w:p>
        </w:tc>
        <w:tc>
          <w:tcPr>
            <w:tcW w:w="2260" w:type="dxa"/>
            <w:vAlign w:val="bottom"/>
          </w:tcPr>
          <w:p>
            <w:pPr>
              <w:jc w:val="right"/>
              <w:ind w:right="79"/>
              <w:spacing w:after="0"/>
              <w:rPr>
                <w:sz w:val="20"/>
                <w:szCs w:val="20"/>
                <w:color w:val="auto"/>
              </w:rPr>
            </w:pPr>
            <w:r>
              <w:rPr>
                <w:rFonts w:ascii="Arial" w:cs="Arial" w:eastAsia="Arial" w:hAnsi="Arial"/>
                <w:sz w:val="18"/>
                <w:szCs w:val="18"/>
                <w:color w:val="auto"/>
              </w:rPr>
              <w:t>4,634</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2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9,686</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75.43</w:t>
            </w:r>
          </w:p>
        </w:tc>
        <w:tc>
          <w:tcPr>
            <w:tcW w:w="2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9,686</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17,815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80.94</w:t>
            </w:r>
          </w:p>
        </w:tc>
        <w:tc>
          <w:tcPr>
            <w:tcW w:w="2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17,815</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12, 2022, our Board of Directors authorized a share repurchase program for up to $6 billion of our common stock. On October 21, 2023, our Board of Directors authorized a share repurchase program for up to $11 billion of our common stock, replacing the previous program announced on December 12, 2022. This $11 billion share repurchase authorization is inclusive of authority to enter into a $10 billion accelerated share repurchase program (ASR).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and as required under our employee savings plan. Our ability to repurchase shares is subject to applicable law. No shares were reacquired in transactions outside the 2022 program during the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quarter ended September 30, 2023, no director or “officer” (as defined in Rule 16a-1(f)) of the Company adopted or terminated a “Rule 10b5-1 trading arrangement” or “non-Rule 10b5-1 trading arrangement,” as each term is defined in Item 408(a) of Regulation S-K.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13"/>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4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0" w:type="dxa"/>
            <w:vAlign w:val="bottom"/>
            <w:gridSpan w:val="3"/>
          </w:tcPr>
          <w:p>
            <w:pPr>
              <w:ind w:left="14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FF"/>
              </w:rPr>
              <w:t>RTX Corporation Compensation Deferral Plan, as Amended and Restated, effective October 1, 2023*</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FF"/>
              </w:rPr>
              <w:t>RTX Corporation 2018 Long-Term Incentive Plan, as Amended and Restated, effective October 1, 2023*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FF"/>
              </w:rPr>
              <w:t>RTX Corporation Board of Directors Deferred Stock Unit Plan, as Amended and Restated, effective October 1, 2023*</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RTX Corporation Executive Annual Incentive Plan, as Amended and Restated, effective October 1, 2023*</w:t>
            </w:r>
          </w:p>
        </w:tc>
        <w:tc>
          <w:tcPr>
            <w:tcW w:w="24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RTX Corporation Executive Severance Plan, as Amended and Restated, effective October 1, 2023*</w:t>
            </w:r>
          </w:p>
        </w:tc>
        <w:tc>
          <w:tcPr>
            <w:tcW w:w="29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 w:type="dxa"/>
            <w:vAlign w:val="bottom"/>
            <w:gridSpan w:val="3"/>
          </w:tcPr>
          <w:p>
            <w:pPr>
              <w:ind w:left="14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FF"/>
              </w:rPr>
              <w:t>RTX Corporation Performance Share Unit Deferral Plan, as Amended and Restated, effective October 1, 2023*</w:t>
            </w: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15</w:t>
            </w:r>
          </w:p>
        </w:tc>
        <w:tc>
          <w:tcPr>
            <w:tcW w:w="140" w:type="dxa"/>
            <w:vAlign w:val="bottom"/>
            <w:tcBorders>
              <w:top w:val="single" w:sz="8" w:color="0000FF"/>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Letter re: unaudited interim financial information.*</w:t>
            </w:r>
          </w:p>
        </w:tc>
        <w:tc>
          <w:tcPr>
            <w:tcW w:w="4340" w:type="dxa"/>
            <w:vAlign w:val="bottom"/>
            <w:tcBorders>
              <w:top w:val="single" w:sz="8" w:color="0000FF"/>
            </w:tcBorders>
            <w:gridSpan w:val="5"/>
          </w:tcPr>
          <w:p>
            <w:pPr>
              <w:spacing w:after="0"/>
              <w:rPr>
                <w:sz w:val="22"/>
                <w:szCs w:val="22"/>
                <w:color w:val="auto"/>
              </w:rPr>
            </w:pPr>
          </w:p>
        </w:tc>
        <w:tc>
          <w:tcPr>
            <w:tcW w:w="2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Rule 13a-14(a)/15d-14(a) Certification.*</w:t>
            </w:r>
          </w:p>
        </w:tc>
        <w:tc>
          <w:tcPr>
            <w:tcW w:w="72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Rule 13a-14(a)/15d-14(a) Certification.*</w:t>
            </w:r>
          </w:p>
        </w:tc>
        <w:tc>
          <w:tcPr>
            <w:tcW w:w="72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Rule 13a-14(a)/15d-14(a) Certification.*</w:t>
            </w:r>
          </w:p>
        </w:tc>
        <w:tc>
          <w:tcPr>
            <w:tcW w:w="72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0000FF"/>
                <w:w w:val="79"/>
              </w:rPr>
              <w:t>32</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4"/>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96"/>
        </w:trPr>
        <w:tc>
          <w:tcPr>
            <w:tcW w:w="820" w:type="dxa"/>
            <w:vAlign w:val="bottom"/>
            <w:gridSpan w:val="4"/>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820" w:type="dxa"/>
            <w:vAlign w:val="bottom"/>
            <w:gridSpan w:val="4"/>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20" w:type="dxa"/>
            <w:vAlign w:val="bottom"/>
            <w:gridSpan w:val="4"/>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820" w:type="dxa"/>
            <w:vAlign w:val="bottom"/>
            <w:gridSpan w:val="4"/>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RTX CORPORATION</w:t>
      </w:r>
    </w:p>
    <w:p>
      <w:pPr>
        <w:ind w:left="4780"/>
        <w:spacing w:after="0"/>
        <w:rPr>
          <w:sz w:val="20"/>
          <w:szCs w:val="20"/>
          <w:color w:val="auto"/>
        </w:rPr>
      </w:pPr>
      <w:r>
        <w:rPr>
          <w:rFonts w:ascii="Arial" w:cs="Arial" w:eastAsia="Arial" w:hAnsi="Arial"/>
          <w:sz w:val="18"/>
          <w:szCs w:val="18"/>
          <w:b w:val="1"/>
          <w:bCs w:val="1"/>
          <w:color w:val="auto"/>
        </w:rPr>
        <w:t>(Registrant)</w:t>
      </w:r>
    </w:p>
    <w:p>
      <w:pPr>
        <w:spacing w:after="0" w:line="74"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Arial" w:cs="Arial" w:eastAsia="Arial" w:hAnsi="Arial"/>
          <w:sz w:val="18"/>
          <w:szCs w:val="18"/>
          <w:color w:val="auto"/>
        </w:rPr>
        <w:t>Dated:</w:t>
        <w:tab/>
        <w:t>October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04"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02"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Arial" w:cs="Arial" w:eastAsia="Arial" w:hAnsi="Arial"/>
          <w:sz w:val="18"/>
          <w:szCs w:val="18"/>
          <w:color w:val="auto"/>
        </w:rPr>
        <w:t>Dated:</w:t>
        <w:tab/>
        <w:t>October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14605</wp:posOffset>
            </wp:positionV>
            <wp:extent cx="3806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Corporate Vice President and Controller</w:t>
      </w:r>
    </w:p>
    <w:p>
      <w:pPr>
        <w:spacing w:after="0" w:line="10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RTX CORPORATION</w:t>
      </w:r>
    </w:p>
    <w:p>
      <w:pPr>
        <w:jc w:val="center"/>
        <w:ind w:right="100"/>
        <w:spacing w:after="0"/>
        <w:rPr>
          <w:sz w:val="20"/>
          <w:szCs w:val="20"/>
          <w:color w:val="auto"/>
        </w:rPr>
      </w:pPr>
      <w:r>
        <w:rPr>
          <w:rFonts w:ascii="Arial" w:cs="Arial" w:eastAsia="Arial" w:hAnsi="Arial"/>
          <w:sz w:val="22"/>
          <w:szCs w:val="22"/>
          <w:b w:val="1"/>
          <w:bCs w:val="1"/>
          <w:color w:val="auto"/>
        </w:rPr>
        <w:t>COMPENSATION DEFERRAL PLAN</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(As Amended and Restated as of October 1, 2023)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 – PREAMBLE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1.1 – Purpose of the Plan</w:t>
      </w:r>
    </w:p>
    <w:p>
      <w:pPr>
        <w:spacing w:after="0" w:line="212" w:lineRule="exact"/>
        <w:rPr>
          <w:sz w:val="20"/>
          <w:szCs w:val="20"/>
          <w:color w:val="auto"/>
        </w:rPr>
      </w:pPr>
    </w:p>
    <w:p>
      <w:pPr>
        <w:ind w:right="620" w:firstLine="648"/>
        <w:spacing w:after="0" w:line="232" w:lineRule="auto"/>
        <w:rPr>
          <w:sz w:val="20"/>
          <w:szCs w:val="20"/>
          <w:color w:val="auto"/>
        </w:rPr>
      </w:pPr>
      <w:r>
        <w:rPr>
          <w:rFonts w:ascii="Arial" w:cs="Arial" w:eastAsia="Arial" w:hAnsi="Arial"/>
          <w:sz w:val="22"/>
          <w:szCs w:val="22"/>
          <w:color w:val="auto"/>
        </w:rPr>
        <w:t>The purpose of the RTX Corporation Compensation Deferral Plan (the “CDP” or the “Plan”) is to provide eligible employees of an RTX Company with:</w:t>
      </w:r>
    </w:p>
    <w:p>
      <w:pPr>
        <w:spacing w:after="0" w:line="199" w:lineRule="exact"/>
        <w:rPr>
          <w:sz w:val="20"/>
          <w:szCs w:val="20"/>
          <w:color w:val="auto"/>
        </w:rPr>
      </w:pPr>
    </w:p>
    <w:p>
      <w:pPr>
        <w:ind w:right="460" w:firstLine="644"/>
        <w:spacing w:after="0" w:line="298" w:lineRule="auto"/>
        <w:tabs>
          <w:tab w:leader="none" w:pos="1185"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opportunity to electively defer directly into the CDP a portion of their Eligible Earnings without regard to elective deferrals under the RTX Corporation Employee Savings Plan (the “RTX Qualified Savings Plan”);</w:t>
      </w:r>
    </w:p>
    <w:p>
      <w:pPr>
        <w:spacing w:after="0" w:line="145" w:lineRule="exact"/>
        <w:rPr>
          <w:rFonts w:ascii="Arial" w:cs="Arial" w:eastAsia="Arial" w:hAnsi="Arial"/>
          <w:sz w:val="19"/>
          <w:szCs w:val="19"/>
          <w:color w:val="auto"/>
        </w:rPr>
      </w:pPr>
    </w:p>
    <w:p>
      <w:pPr>
        <w:ind w:right="840" w:firstLine="644"/>
        <w:spacing w:after="0" w:line="298" w:lineRule="auto"/>
        <w:tabs>
          <w:tab w:leader="none" w:pos="1183"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opportunity to electively defer a portion of their Compensation in excess of the limitation imposed by Section 401(a)(17) (the “IRS Compensation Limit”) of the Internal Revenue Code of 1986, as amended (“IRC”);</w:t>
      </w:r>
    </w:p>
    <w:p>
      <w:pPr>
        <w:spacing w:after="0" w:line="132" w:lineRule="exact"/>
        <w:rPr>
          <w:rFonts w:ascii="Arial" w:cs="Arial" w:eastAsia="Arial" w:hAnsi="Arial"/>
          <w:sz w:val="19"/>
          <w:szCs w:val="19"/>
          <w:color w:val="auto"/>
        </w:rPr>
      </w:pPr>
    </w:p>
    <w:p>
      <w:pPr>
        <w:ind w:right="460" w:firstLine="644"/>
        <w:spacing w:after="0" w:line="232" w:lineRule="auto"/>
        <w:tabs>
          <w:tab w:leader="none" w:pos="1185"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accrual of benefits not provided under the RTX Qualified Savings Plan due to limitations imposed by IRC Section 415 (the “IRS Contribution Limit”) and IRC Section 401(a)(17); and</w:t>
      </w:r>
    </w:p>
    <w:p>
      <w:pPr>
        <w:spacing w:after="0" w:line="266" w:lineRule="exact"/>
        <w:rPr>
          <w:rFonts w:ascii="Arial" w:cs="Arial" w:eastAsia="Arial" w:hAnsi="Arial"/>
          <w:sz w:val="22"/>
          <w:szCs w:val="22"/>
          <w:color w:val="auto"/>
        </w:rPr>
      </w:pPr>
    </w:p>
    <w:p>
      <w:pPr>
        <w:ind w:right="380" w:firstLine="644"/>
        <w:spacing w:after="0" w:line="268" w:lineRule="auto"/>
        <w:tabs>
          <w:tab w:leader="none" w:pos="1183"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accrual of benefits due to the reduction in the value of Company Matching Contributions and Company Retirement Contributions under the RTX Qualified Savings Plan, as a result of the reduction of a Participant’s compensation (as defined in the RTX Qualified Savings Plan) due to an elective deferral made pursuant to this Plan.</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1.2 – Effective Date of Plan and Amendments</w:t>
      </w:r>
    </w:p>
    <w:p>
      <w:pPr>
        <w:spacing w:after="0" w:line="226" w:lineRule="exact"/>
        <w:rPr>
          <w:sz w:val="20"/>
          <w:szCs w:val="20"/>
          <w:color w:val="auto"/>
        </w:rPr>
      </w:pPr>
    </w:p>
    <w:p>
      <w:pPr>
        <w:ind w:right="300" w:firstLine="643"/>
        <w:spacing w:after="0" w:line="232" w:lineRule="auto"/>
        <w:tabs>
          <w:tab w:leader="none" w:pos="1185"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Raytheon Technologies Corporation Compensation Deferral Plan was established effective as of January 1, 2023, for the benefit of certain RTX Company Employees.</w:t>
      </w:r>
    </w:p>
    <w:p>
      <w:pPr>
        <w:spacing w:after="0" w:line="185" w:lineRule="exact"/>
        <w:rPr>
          <w:rFonts w:ascii="Arial" w:cs="Arial" w:eastAsia="Arial" w:hAnsi="Arial"/>
          <w:sz w:val="22"/>
          <w:szCs w:val="22"/>
          <w:color w:val="auto"/>
        </w:rPr>
      </w:pPr>
    </w:p>
    <w:p>
      <w:pPr>
        <w:ind w:right="700" w:firstLine="643"/>
        <w:spacing w:after="0" w:line="234" w:lineRule="auto"/>
        <w:tabs>
          <w:tab w:leader="none" w:pos="1183"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Plan is hereby amended and restated, effective as of October 1, 2023, for the purpose of renaming the Plan, the RTX Corporation Compensation Deferral Plan, changing all company references from ‘Raytheon Technologies Corporation’ to ‘RTX Corporation’, and certain other minor administrative changes.</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II – DEFINITIONS</w:t>
      </w:r>
    </w:p>
    <w:p>
      <w:pPr>
        <w:spacing w:after="0" w:line="212"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auto"/>
        </w:rPr>
        <w:t>Unless otherwise indicated, capitalized terms used herein shall have the same meanings ascribed under the RTX Qualified Savings Plan.</w:t>
      </w:r>
    </w:p>
    <w:p>
      <w:pPr>
        <w:sectPr>
          <w:pgSz w:w="11900" w:h="16838" w:orient="portrait"/>
          <w:cols w:equalWidth="0" w:num="1">
            <w:col w:w="11120"/>
          </w:cols>
          <w:pgMar w:left="440" w:top="104" w:right="339" w:bottom="1440" w:gutter="0" w:footer="0" w:header="0"/>
        </w:sectPr>
      </w:pPr>
    </w:p>
    <w:bookmarkStart w:id="60" w:name="page61"/>
    <w:bookmarkEnd w:id="60"/>
    <w:p>
      <w:pPr>
        <w:ind w:firstLine="648"/>
        <w:spacing w:after="0" w:line="214" w:lineRule="auto"/>
        <w:rPr>
          <w:sz w:val="20"/>
          <w:szCs w:val="20"/>
          <w:color w:val="auto"/>
        </w:rPr>
      </w:pPr>
      <w:r>
        <w:rPr>
          <w:rFonts w:ascii="Arial" w:cs="Arial" w:eastAsia="Arial" w:hAnsi="Arial"/>
          <w:sz w:val="22"/>
          <w:szCs w:val="22"/>
          <w:i w:val="1"/>
          <w:iCs w:val="1"/>
          <w:color w:val="auto"/>
        </w:rPr>
        <w:t xml:space="preserve">Account Establishment Year </w:t>
      </w:r>
      <w:r>
        <w:rPr>
          <w:rFonts w:ascii="Arial" w:cs="Arial" w:eastAsia="Arial" w:hAnsi="Arial"/>
          <w:sz w:val="22"/>
          <w:szCs w:val="22"/>
          <w:color w:val="auto"/>
        </w:rPr>
        <w:t>means, with respect to each Specified Year Account, the first calendar year in which</w:t>
      </w:r>
      <w:r>
        <w:rPr>
          <w:rFonts w:ascii="Arial" w:cs="Arial" w:eastAsia="Arial" w:hAnsi="Arial"/>
          <w:sz w:val="22"/>
          <w:szCs w:val="22"/>
          <w:i w:val="1"/>
          <w:iCs w:val="1"/>
          <w:color w:val="auto"/>
        </w:rPr>
        <w:t xml:space="preserve"> </w:t>
      </w:r>
      <w:r>
        <w:rPr>
          <w:rFonts w:ascii="Arial" w:cs="Arial" w:eastAsia="Arial" w:hAnsi="Arial"/>
          <w:sz w:val="22"/>
          <w:szCs w:val="22"/>
          <w:color w:val="auto"/>
        </w:rPr>
        <w:t>deferred compensation credited to such Specified Year Account pursuant to the first deferral election made with respect to such Specified Year Account would have been paid if no deferral election under this Plan had been made. By way of example, if a Participant’s first deferral election with respect to a Specified Year Account is made in 2022 with respect to compensation that would have been paid in 2023 if such deferral election had not been made, then the Account Establishment Year for such Specified Year Account is 2023.</w:t>
      </w:r>
    </w:p>
    <w:p>
      <w:pPr>
        <w:spacing w:after="0" w:line="186" w:lineRule="exact"/>
        <w:rPr>
          <w:sz w:val="20"/>
          <w:szCs w:val="20"/>
          <w:color w:val="auto"/>
        </w:rPr>
      </w:pPr>
    </w:p>
    <w:p>
      <w:pPr>
        <w:ind w:right="140" w:firstLine="648"/>
        <w:spacing w:after="0" w:line="218" w:lineRule="auto"/>
        <w:rPr>
          <w:sz w:val="20"/>
          <w:szCs w:val="20"/>
          <w:color w:val="auto"/>
        </w:rPr>
      </w:pPr>
      <w:r>
        <w:rPr>
          <w:rFonts w:ascii="Arial" w:cs="Arial" w:eastAsia="Arial" w:hAnsi="Arial"/>
          <w:sz w:val="22"/>
          <w:szCs w:val="22"/>
          <w:i w:val="1"/>
          <w:iCs w:val="1"/>
          <w:color w:val="auto"/>
        </w:rPr>
        <w:t xml:space="preserve">Annual Incentive Award </w:t>
      </w:r>
      <w:r>
        <w:rPr>
          <w:rFonts w:ascii="Arial" w:cs="Arial" w:eastAsia="Arial" w:hAnsi="Arial"/>
          <w:sz w:val="22"/>
          <w:szCs w:val="22"/>
          <w:color w:val="auto"/>
        </w:rPr>
        <w:t>means compensation amounts awarded to a Participant pursuant to the RTX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Annual Incentive Plan (or any successor plan) and/or the RTX Corporation Broad-Based Incentive Plan (or any successor plan), that is payable in the next following calendar year with respect to services performed in the current calendar year.</w:t>
      </w:r>
    </w:p>
    <w:p>
      <w:pPr>
        <w:spacing w:after="0" w:line="201" w:lineRule="exact"/>
        <w:rPr>
          <w:sz w:val="20"/>
          <w:szCs w:val="20"/>
          <w:color w:val="auto"/>
        </w:rPr>
      </w:pPr>
    </w:p>
    <w:p>
      <w:pPr>
        <w:ind w:right="40" w:firstLine="648"/>
        <w:spacing w:after="0" w:line="298" w:lineRule="auto"/>
        <w:rPr>
          <w:sz w:val="20"/>
          <w:szCs w:val="20"/>
          <w:color w:val="auto"/>
        </w:rPr>
      </w:pPr>
      <w:r>
        <w:rPr>
          <w:rFonts w:ascii="Arial" w:cs="Arial" w:eastAsia="Arial" w:hAnsi="Arial"/>
          <w:sz w:val="19"/>
          <w:szCs w:val="19"/>
          <w:i w:val="1"/>
          <w:iCs w:val="1"/>
          <w:color w:val="auto"/>
        </w:rPr>
        <w:t xml:space="preserve">Beneficiary </w:t>
      </w:r>
      <w:r>
        <w:rPr>
          <w:rFonts w:ascii="Arial" w:cs="Arial" w:eastAsia="Arial" w:hAnsi="Arial"/>
          <w:sz w:val="19"/>
          <w:szCs w:val="19"/>
          <w:color w:val="auto"/>
        </w:rPr>
        <w:t>means the person, persons or entity designated on an electronic or written form by the Participant to</w:t>
      </w:r>
      <w:r>
        <w:rPr>
          <w:rFonts w:ascii="Arial" w:cs="Arial" w:eastAsia="Arial" w:hAnsi="Arial"/>
          <w:sz w:val="19"/>
          <w:szCs w:val="19"/>
          <w:i w:val="1"/>
          <w:iCs w:val="1"/>
          <w:color w:val="auto"/>
        </w:rPr>
        <w:t xml:space="preserve"> </w:t>
      </w:r>
      <w:r>
        <w:rPr>
          <w:rFonts w:ascii="Arial" w:cs="Arial" w:eastAsia="Arial" w:hAnsi="Arial"/>
          <w:sz w:val="19"/>
          <w:szCs w:val="19"/>
          <w:color w:val="auto"/>
        </w:rPr>
        <w:t>receive the value of his or her Plan Account in the event of the Participant’s death in accordance with Section 7.5 of this Plan.</w:t>
      </w:r>
    </w:p>
    <w:p>
      <w:pPr>
        <w:spacing w:after="0" w:line="132" w:lineRule="exact"/>
        <w:rPr>
          <w:sz w:val="20"/>
          <w:szCs w:val="20"/>
          <w:color w:val="auto"/>
        </w:rPr>
      </w:pPr>
    </w:p>
    <w:p>
      <w:pPr>
        <w:ind w:right="140" w:firstLine="648"/>
        <w:spacing w:after="0" w:line="216" w:lineRule="auto"/>
        <w:rPr>
          <w:sz w:val="20"/>
          <w:szCs w:val="20"/>
          <w:color w:val="auto"/>
        </w:rPr>
      </w:pPr>
      <w:r>
        <w:rPr>
          <w:rFonts w:ascii="Arial" w:cs="Arial" w:eastAsia="Arial" w:hAnsi="Arial"/>
          <w:sz w:val="22"/>
          <w:szCs w:val="22"/>
          <w:i w:val="1"/>
          <w:iCs w:val="1"/>
          <w:color w:val="auto"/>
        </w:rPr>
        <w:t xml:space="preserve">Benefit Reduction Contribution </w:t>
      </w:r>
      <w:r>
        <w:rPr>
          <w:rFonts w:ascii="Arial" w:cs="Arial" w:eastAsia="Arial" w:hAnsi="Arial"/>
          <w:sz w:val="22"/>
          <w:szCs w:val="22"/>
          <w:color w:val="auto"/>
        </w:rPr>
        <w:t>means an amount credited by the Corporation to a Participant’s Plan Account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Section 5.4 of the Plan to restore the reduction in the Company Matching Contribution and/or the Company Retirement Contribution credited to a Participant’s Plan Account under the RTX Qualified Savings Plan as a result of the reduction of such Participant’s Eligible Earnings under the RTX Qualified Savings Plan due to an Elective Compensation Deferral by the Participant under this Plan.</w:t>
      </w:r>
    </w:p>
    <w:p>
      <w:pPr>
        <w:spacing w:after="0" w:line="198" w:lineRule="exact"/>
        <w:rPr>
          <w:sz w:val="20"/>
          <w:szCs w:val="20"/>
          <w:color w:val="auto"/>
        </w:rPr>
      </w:pPr>
    </w:p>
    <w:p>
      <w:pPr>
        <w:ind w:right="80" w:firstLine="648"/>
        <w:spacing w:after="0" w:line="214" w:lineRule="auto"/>
        <w:rPr>
          <w:sz w:val="20"/>
          <w:szCs w:val="20"/>
          <w:color w:val="auto"/>
        </w:rPr>
      </w:pPr>
      <w:r>
        <w:rPr>
          <w:rFonts w:ascii="Arial" w:cs="Arial" w:eastAsia="Arial" w:hAnsi="Arial"/>
          <w:sz w:val="22"/>
          <w:szCs w:val="22"/>
          <w:i w:val="1"/>
          <w:iCs w:val="1"/>
          <w:color w:val="auto"/>
        </w:rPr>
        <w:t xml:space="preserve">Cause </w:t>
      </w:r>
      <w:r>
        <w:rPr>
          <w:rFonts w:ascii="Arial" w:cs="Arial" w:eastAsia="Arial" w:hAnsi="Arial"/>
          <w:sz w:val="22"/>
          <w:szCs w:val="22"/>
          <w:color w:val="auto"/>
        </w:rPr>
        <w:t>means (a) “Cause” as defined in the Company’s 2018 Long-Term Incentive Plan, as amended and restated, and</w:t>
      </w:r>
      <w:r>
        <w:rPr>
          <w:rFonts w:ascii="Arial" w:cs="Arial" w:eastAsia="Arial" w:hAnsi="Arial"/>
          <w:sz w:val="22"/>
          <w:szCs w:val="22"/>
          <w:i w:val="1"/>
          <w:iCs w:val="1"/>
          <w:color w:val="auto"/>
        </w:rPr>
        <w:t xml:space="preserve"> </w:t>
      </w:r>
      <w:r>
        <w:rPr>
          <w:rFonts w:ascii="Arial" w:cs="Arial" w:eastAsia="Arial" w:hAnsi="Arial"/>
          <w:sz w:val="22"/>
          <w:szCs w:val="22"/>
          <w:color w:val="auto"/>
        </w:rPr>
        <w:t>as further amended from time to time; (b) violation of the Company’s Code of Conduct; (c) such other actions or omissions that constitute willful misconduct, willful failure to perform, or gross negligence in the performance of, reasonable duties of employment; (d) disruptive behavior, or other such actions on the part of the Participant that renders his or her employment untenable as determined by the Committee; or (e) Participant’s loss or failure to maintain any security clearance required for the Participant’s position.</w:t>
      </w:r>
    </w:p>
    <w:p>
      <w:pPr>
        <w:spacing w:after="0" w:line="199" w:lineRule="exact"/>
        <w:rPr>
          <w:sz w:val="20"/>
          <w:szCs w:val="20"/>
          <w:color w:val="auto"/>
        </w:rPr>
      </w:pPr>
    </w:p>
    <w:p>
      <w:pPr>
        <w:ind w:right="400" w:firstLine="648"/>
        <w:spacing w:after="0" w:line="229" w:lineRule="auto"/>
        <w:rPr>
          <w:sz w:val="20"/>
          <w:szCs w:val="20"/>
          <w:color w:val="auto"/>
        </w:rPr>
      </w:pPr>
      <w:r>
        <w:rPr>
          <w:rFonts w:ascii="Arial" w:cs="Arial" w:eastAsia="Arial" w:hAnsi="Arial"/>
          <w:sz w:val="21"/>
          <w:szCs w:val="21"/>
          <w:i w:val="1"/>
          <w:iCs w:val="1"/>
          <w:color w:val="auto"/>
        </w:rPr>
        <w:t xml:space="preserve">Code or IRC </w:t>
      </w:r>
      <w:r>
        <w:rPr>
          <w:rFonts w:ascii="Arial" w:cs="Arial" w:eastAsia="Arial" w:hAnsi="Arial"/>
          <w:sz w:val="21"/>
          <w:szCs w:val="21"/>
          <w:color w:val="auto"/>
        </w:rPr>
        <w:t>means the Internal Revenue Code of 1986, as amended from time to time, and any successor thereto.</w:t>
      </w:r>
      <w:r>
        <w:rPr>
          <w:rFonts w:ascii="Arial" w:cs="Arial" w:eastAsia="Arial" w:hAnsi="Arial"/>
          <w:sz w:val="21"/>
          <w:szCs w:val="21"/>
          <w:i w:val="1"/>
          <w:iCs w:val="1"/>
          <w:color w:val="auto"/>
        </w:rPr>
        <w:t xml:space="preserve"> </w:t>
      </w:r>
      <w:r>
        <w:rPr>
          <w:rFonts w:ascii="Arial" w:cs="Arial" w:eastAsia="Arial" w:hAnsi="Arial"/>
          <w:sz w:val="21"/>
          <w:szCs w:val="21"/>
          <w:color w:val="auto"/>
        </w:rPr>
        <w:t>References to any section of the Internal Revenue Code shall include any final regulations or other applicable guidance. References to “Section 409A” shall refer to Section 409A of the Code and any final regulations and guidance issued thereunder by the Internal Revenue Service from time to time in effect.</w:t>
      </w:r>
    </w:p>
    <w:p>
      <w:pPr>
        <w:spacing w:after="0" w:line="199" w:lineRule="exact"/>
        <w:rPr>
          <w:sz w:val="20"/>
          <w:szCs w:val="20"/>
          <w:color w:val="auto"/>
        </w:rPr>
      </w:pPr>
    </w:p>
    <w:p>
      <w:pPr>
        <w:ind w:right="540" w:firstLine="648"/>
        <w:spacing w:after="0" w:line="232" w:lineRule="auto"/>
        <w:rPr>
          <w:sz w:val="20"/>
          <w:szCs w:val="20"/>
          <w:color w:val="auto"/>
        </w:rPr>
      </w:pPr>
      <w:r>
        <w:rPr>
          <w:rFonts w:ascii="Arial" w:cs="Arial" w:eastAsia="Arial" w:hAnsi="Arial"/>
          <w:sz w:val="22"/>
          <w:szCs w:val="22"/>
          <w:i w:val="1"/>
          <w:iCs w:val="1"/>
          <w:color w:val="auto"/>
        </w:rPr>
        <w:t xml:space="preserve">Committee </w:t>
      </w:r>
      <w:r>
        <w:rPr>
          <w:rFonts w:ascii="Arial" w:cs="Arial" w:eastAsia="Arial" w:hAnsi="Arial"/>
          <w:sz w:val="22"/>
          <w:szCs w:val="22"/>
          <w:color w:val="auto"/>
        </w:rPr>
        <w:t>means the Deferred Compensation Committee (or successor committee), which is responsible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administration of the Plan.</w:t>
      </w:r>
    </w:p>
    <w:p>
      <w:pPr>
        <w:spacing w:after="0" w:line="186" w:lineRule="exact"/>
        <w:rPr>
          <w:sz w:val="20"/>
          <w:szCs w:val="20"/>
          <w:color w:val="auto"/>
        </w:rPr>
      </w:pPr>
    </w:p>
    <w:p>
      <w:pPr>
        <w:ind w:right="460" w:firstLine="648"/>
        <w:spacing w:after="0" w:line="232" w:lineRule="auto"/>
        <w:rPr>
          <w:sz w:val="20"/>
          <w:szCs w:val="20"/>
          <w:color w:val="auto"/>
        </w:rPr>
      </w:pPr>
      <w:r>
        <w:rPr>
          <w:rFonts w:ascii="Arial" w:cs="Arial" w:eastAsia="Arial" w:hAnsi="Arial"/>
          <w:sz w:val="22"/>
          <w:szCs w:val="22"/>
          <w:i w:val="1"/>
          <w:iCs w:val="1"/>
          <w:color w:val="auto"/>
        </w:rPr>
        <w:t xml:space="preserve">Company Contributions </w:t>
      </w:r>
      <w:r>
        <w:rPr>
          <w:rFonts w:ascii="Arial" w:cs="Arial" w:eastAsia="Arial" w:hAnsi="Arial"/>
          <w:sz w:val="22"/>
          <w:szCs w:val="22"/>
          <w:color w:val="auto"/>
        </w:rPr>
        <w:t>means the Company Retirement Contribution, the Company Matching Contribution,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Discretionary Contributions, including any Benefit Reduction Contributions.</w:t>
      </w:r>
    </w:p>
    <w:p>
      <w:pPr>
        <w:spacing w:after="0" w:line="199"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i w:val="1"/>
          <w:iCs w:val="1"/>
          <w:color w:val="auto"/>
        </w:rPr>
        <w:t xml:space="preserve">Company Matching Contribution </w:t>
      </w:r>
      <w:r>
        <w:rPr>
          <w:rFonts w:ascii="Arial" w:cs="Arial" w:eastAsia="Arial" w:hAnsi="Arial"/>
          <w:sz w:val="22"/>
          <w:szCs w:val="22"/>
          <w:color w:val="auto"/>
        </w:rPr>
        <w:t>means the matching contribution credited to the Plan on behalf of a Participant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Sections 5.2, 5.3 and 5.4 of the Plan. Where referring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0"/>
          </w:cols>
          <w:pgMar w:left="440" w:top="1401" w:right="559" w:bottom="1440" w:gutter="0" w:footer="0" w:header="0"/>
        </w:sectPr>
      </w:pPr>
    </w:p>
    <w:bookmarkStart w:id="61" w:name="page62"/>
    <w:bookmarkEnd w:id="61"/>
    <w:p>
      <w:pPr>
        <w:spacing w:after="0" w:line="204"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the Company Matching Contributions under the RTX Qualified Savings Plan, the definition of such term in the RTX Qualified Savings Plan shall apply.</w:t>
      </w:r>
    </w:p>
    <w:p>
      <w:pPr>
        <w:spacing w:after="0" w:line="186" w:lineRule="exact"/>
        <w:rPr>
          <w:sz w:val="20"/>
          <w:szCs w:val="20"/>
          <w:color w:val="auto"/>
        </w:rPr>
      </w:pPr>
    </w:p>
    <w:p>
      <w:pPr>
        <w:ind w:right="100" w:firstLine="648"/>
        <w:spacing w:after="0" w:line="234" w:lineRule="auto"/>
        <w:rPr>
          <w:sz w:val="20"/>
          <w:szCs w:val="20"/>
          <w:color w:val="auto"/>
        </w:rPr>
      </w:pPr>
      <w:r>
        <w:rPr>
          <w:rFonts w:ascii="Arial" w:cs="Arial" w:eastAsia="Arial" w:hAnsi="Arial"/>
          <w:sz w:val="21"/>
          <w:szCs w:val="21"/>
          <w:i w:val="1"/>
          <w:iCs w:val="1"/>
          <w:color w:val="auto"/>
        </w:rPr>
        <w:t xml:space="preserve">Company Retirement Contribution </w:t>
      </w:r>
      <w:r>
        <w:rPr>
          <w:rFonts w:ascii="Arial" w:cs="Arial" w:eastAsia="Arial" w:hAnsi="Arial"/>
          <w:sz w:val="21"/>
          <w:szCs w:val="21"/>
          <w:color w:val="auto"/>
        </w:rPr>
        <w:t>means the non-matching contribution credited to the Plan on behalf of a Participant</w:t>
      </w:r>
      <w:r>
        <w:rPr>
          <w:rFonts w:ascii="Arial" w:cs="Arial" w:eastAsia="Arial" w:hAnsi="Arial"/>
          <w:sz w:val="21"/>
          <w:szCs w:val="21"/>
          <w:i w:val="1"/>
          <w:iCs w:val="1"/>
          <w:color w:val="auto"/>
        </w:rPr>
        <w:t xml:space="preserve"> </w:t>
      </w:r>
      <w:r>
        <w:rPr>
          <w:rFonts w:ascii="Arial" w:cs="Arial" w:eastAsia="Arial" w:hAnsi="Arial"/>
          <w:sz w:val="21"/>
          <w:szCs w:val="21"/>
          <w:color w:val="auto"/>
        </w:rPr>
        <w:t>in accordance with Sections 5.1 and 5.4 of the Plan. Where referring to Company Retirement Contribution under the RTX Qualified Savings Plan, the definition of such term in the RTX Qualified Savings Plan shall apply.</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Corporation </w:t>
      </w:r>
      <w:r>
        <w:rPr>
          <w:rFonts w:ascii="Arial" w:cs="Arial" w:eastAsia="Arial" w:hAnsi="Arial"/>
          <w:sz w:val="22"/>
          <w:szCs w:val="22"/>
          <w:color w:val="auto"/>
        </w:rPr>
        <w:t>means RTX Corporation, or any successor thereto.</w:t>
      </w:r>
    </w:p>
    <w:p>
      <w:pPr>
        <w:spacing w:after="0" w:line="206" w:lineRule="exact"/>
        <w:rPr>
          <w:sz w:val="20"/>
          <w:szCs w:val="20"/>
          <w:color w:val="auto"/>
        </w:rPr>
      </w:pPr>
    </w:p>
    <w:p>
      <w:pPr>
        <w:ind w:right="260" w:firstLine="648"/>
        <w:spacing w:after="0" w:line="234" w:lineRule="auto"/>
        <w:rPr>
          <w:sz w:val="20"/>
          <w:szCs w:val="20"/>
          <w:color w:val="auto"/>
        </w:rPr>
      </w:pPr>
      <w:r>
        <w:rPr>
          <w:rFonts w:ascii="Arial" w:cs="Arial" w:eastAsia="Arial" w:hAnsi="Arial"/>
          <w:sz w:val="21"/>
          <w:szCs w:val="21"/>
          <w:i w:val="1"/>
          <w:iCs w:val="1"/>
          <w:color w:val="auto"/>
        </w:rPr>
        <w:t xml:space="preserve">Default Investment Option </w:t>
      </w:r>
      <w:r>
        <w:rPr>
          <w:rFonts w:ascii="Arial" w:cs="Arial" w:eastAsia="Arial" w:hAnsi="Arial"/>
          <w:sz w:val="21"/>
          <w:szCs w:val="21"/>
          <w:color w:val="auto"/>
        </w:rPr>
        <w:t>means the Investment Fund designated by the Committee on behalf of a Participant in the</w:t>
      </w:r>
      <w:r>
        <w:rPr>
          <w:rFonts w:ascii="Arial" w:cs="Arial" w:eastAsia="Arial" w:hAnsi="Arial"/>
          <w:sz w:val="21"/>
          <w:szCs w:val="21"/>
          <w:i w:val="1"/>
          <w:iCs w:val="1"/>
          <w:color w:val="auto"/>
        </w:rPr>
        <w:t xml:space="preserve"> </w:t>
      </w:r>
      <w:r>
        <w:rPr>
          <w:rFonts w:ascii="Arial" w:cs="Arial" w:eastAsia="Arial" w:hAnsi="Arial"/>
          <w:sz w:val="21"/>
          <w:szCs w:val="21"/>
          <w:color w:val="auto"/>
        </w:rPr>
        <w:t>absence of an investment option election by a Participant. The Default Investment Option shall be determined at the sole discretion of the Committee and shall be communicated to Participants annually.</w:t>
      </w:r>
    </w:p>
    <w:p>
      <w:pPr>
        <w:spacing w:after="0" w:line="198"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i w:val="1"/>
          <w:iCs w:val="1"/>
          <w:color w:val="auto"/>
        </w:rPr>
        <w:t xml:space="preserve">Disability </w:t>
      </w:r>
      <w:r>
        <w:rPr>
          <w:rFonts w:ascii="Arial" w:cs="Arial" w:eastAsia="Arial" w:hAnsi="Arial"/>
          <w:sz w:val="22"/>
          <w:szCs w:val="22"/>
          <w:color w:val="auto"/>
        </w:rPr>
        <w:t>means permanent and total disability as determined under the Corporation’s long- term disability plan</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spacing w:after="0" w:line="201"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i w:val="1"/>
          <w:iCs w:val="1"/>
          <w:color w:val="auto"/>
        </w:rPr>
        <w:t xml:space="preserve">Discretionary Contribution </w:t>
      </w:r>
      <w:r>
        <w:rPr>
          <w:rFonts w:ascii="Arial" w:cs="Arial" w:eastAsia="Arial" w:hAnsi="Arial"/>
          <w:sz w:val="22"/>
          <w:szCs w:val="22"/>
          <w:color w:val="auto"/>
        </w:rPr>
        <w:t>means the contributions credited to the Plan on behalf of a Participant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5.6 of the Plan.</w:t>
      </w:r>
    </w:p>
    <w:p>
      <w:pPr>
        <w:spacing w:after="0" w:line="186"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i w:val="1"/>
          <w:iCs w:val="1"/>
          <w:color w:val="auto"/>
        </w:rPr>
        <w:t xml:space="preserve">Election Form </w:t>
      </w:r>
      <w:r>
        <w:rPr>
          <w:rFonts w:ascii="Arial" w:cs="Arial" w:eastAsia="Arial" w:hAnsi="Arial"/>
          <w:sz w:val="22"/>
          <w:szCs w:val="22"/>
          <w:color w:val="auto"/>
        </w:rPr>
        <w:t>means the form or process provided by the Committee to a Participant electronically or in paper form</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purpose of specifying elective deferrals, method of distribution and/or the percentage allocation among the Investment Funds with respect to a Participant’s Plan Account.</w:t>
      </w:r>
    </w:p>
    <w:p>
      <w:pPr>
        <w:spacing w:after="0" w:line="199" w:lineRule="exact"/>
        <w:rPr>
          <w:sz w:val="20"/>
          <w:szCs w:val="20"/>
          <w:color w:val="auto"/>
        </w:rPr>
      </w:pPr>
    </w:p>
    <w:p>
      <w:pPr>
        <w:ind w:right="100" w:firstLine="648"/>
        <w:spacing w:after="0" w:line="247" w:lineRule="auto"/>
        <w:rPr>
          <w:sz w:val="20"/>
          <w:szCs w:val="20"/>
          <w:color w:val="auto"/>
        </w:rPr>
      </w:pPr>
      <w:r>
        <w:rPr>
          <w:rFonts w:ascii="Arial" w:cs="Arial" w:eastAsia="Arial" w:hAnsi="Arial"/>
          <w:sz w:val="21"/>
          <w:szCs w:val="21"/>
          <w:i w:val="1"/>
          <w:iCs w:val="1"/>
          <w:color w:val="auto"/>
        </w:rPr>
        <w:t xml:space="preserve">Elective Compensation Deferral </w:t>
      </w:r>
      <w:r>
        <w:rPr>
          <w:rFonts w:ascii="Arial" w:cs="Arial" w:eastAsia="Arial" w:hAnsi="Arial"/>
          <w:sz w:val="21"/>
          <w:szCs w:val="21"/>
          <w:color w:val="auto"/>
        </w:rPr>
        <w:t>means the percentage of Eligible Earnings to be deferred to a Participant’s Specified</w:t>
      </w:r>
      <w:r>
        <w:rPr>
          <w:rFonts w:ascii="Arial" w:cs="Arial" w:eastAsia="Arial" w:hAnsi="Arial"/>
          <w:sz w:val="21"/>
          <w:szCs w:val="21"/>
          <w:i w:val="1"/>
          <w:iCs w:val="1"/>
          <w:color w:val="auto"/>
        </w:rPr>
        <w:t xml:space="preserve"> </w:t>
      </w:r>
      <w:r>
        <w:rPr>
          <w:rFonts w:ascii="Arial" w:cs="Arial" w:eastAsia="Arial" w:hAnsi="Arial"/>
          <w:sz w:val="21"/>
          <w:szCs w:val="21"/>
          <w:color w:val="auto"/>
        </w:rPr>
        <w:t>Year Account and/or Separation from Service Account in accordance with Section 4.1 of the Plan.</w:t>
      </w:r>
    </w:p>
    <w:p>
      <w:pPr>
        <w:spacing w:after="0" w:line="191" w:lineRule="exact"/>
        <w:rPr>
          <w:sz w:val="20"/>
          <w:szCs w:val="20"/>
          <w:color w:val="auto"/>
        </w:rPr>
      </w:pPr>
    </w:p>
    <w:p>
      <w:pPr>
        <w:ind w:right="80" w:firstLine="648"/>
        <w:spacing w:after="0" w:line="268" w:lineRule="auto"/>
        <w:rPr>
          <w:sz w:val="20"/>
          <w:szCs w:val="20"/>
          <w:color w:val="auto"/>
        </w:rPr>
      </w:pPr>
      <w:r>
        <w:rPr>
          <w:rFonts w:ascii="Arial" w:cs="Arial" w:eastAsia="Arial" w:hAnsi="Arial"/>
          <w:sz w:val="19"/>
          <w:szCs w:val="19"/>
          <w:i w:val="1"/>
          <w:iCs w:val="1"/>
          <w:color w:val="auto"/>
        </w:rPr>
        <w:t xml:space="preserve">Eligible Earnings </w:t>
      </w:r>
      <w:r>
        <w:rPr>
          <w:rFonts w:ascii="Arial" w:cs="Arial" w:eastAsia="Arial" w:hAnsi="Arial"/>
          <w:sz w:val="19"/>
          <w:szCs w:val="19"/>
          <w:color w:val="auto"/>
        </w:rPr>
        <w:t>means the total compensation paid with respect to a Plan Year to a Participant meeting the definition</w:t>
      </w:r>
      <w:r>
        <w:rPr>
          <w:rFonts w:ascii="Arial" w:cs="Arial" w:eastAsia="Arial" w:hAnsi="Arial"/>
          <w:sz w:val="19"/>
          <w:szCs w:val="19"/>
          <w:i w:val="1"/>
          <w:iCs w:val="1"/>
          <w:color w:val="auto"/>
        </w:rPr>
        <w:t xml:space="preserve"> </w:t>
      </w:r>
      <w:r>
        <w:rPr>
          <w:rFonts w:ascii="Arial" w:cs="Arial" w:eastAsia="Arial" w:hAnsi="Arial"/>
          <w:sz w:val="19"/>
          <w:szCs w:val="19"/>
          <w:color w:val="auto"/>
        </w:rPr>
        <w:t>of “compensation” as set forth in the RTX Qualified Savings Plan but modified by disregarding the IRS Compensation Limit in such definition and including amounts the Participant elects to defer for such Plan Year under Section 4.1 of the Plan.</w:t>
      </w:r>
    </w:p>
    <w:p>
      <w:pPr>
        <w:spacing w:after="0" w:line="159" w:lineRule="exact"/>
        <w:rPr>
          <w:sz w:val="20"/>
          <w:szCs w:val="20"/>
          <w:color w:val="auto"/>
        </w:rPr>
      </w:pPr>
    </w:p>
    <w:p>
      <w:pPr>
        <w:ind w:firstLine="648"/>
        <w:spacing w:after="0" w:line="230" w:lineRule="auto"/>
        <w:rPr>
          <w:sz w:val="20"/>
          <w:szCs w:val="20"/>
          <w:color w:val="auto"/>
        </w:rPr>
      </w:pPr>
      <w:r>
        <w:rPr>
          <w:rFonts w:ascii="Arial" w:cs="Arial" w:eastAsia="Arial" w:hAnsi="Arial"/>
          <w:sz w:val="21"/>
          <w:szCs w:val="21"/>
          <w:i w:val="1"/>
          <w:iCs w:val="1"/>
          <w:color w:val="auto"/>
        </w:rPr>
        <w:t xml:space="preserve">Eligible Employee </w:t>
      </w:r>
      <w:r>
        <w:rPr>
          <w:rFonts w:ascii="Arial" w:cs="Arial" w:eastAsia="Arial" w:hAnsi="Arial"/>
          <w:sz w:val="21"/>
          <w:szCs w:val="21"/>
          <w:color w:val="auto"/>
        </w:rPr>
        <w:t>for any Plan Year means an Employee at a level of either: (i) F2-3, M7/P7 or E1-5 as of the date 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which deferral elections are solicited by the Committee for such Plan Year, or (ii) F1, and </w:t>
      </w:r>
      <w:r>
        <w:rPr>
          <w:rFonts w:ascii="Arial" w:cs="Arial" w:eastAsia="Arial" w:hAnsi="Arial"/>
          <w:sz w:val="19"/>
          <w:szCs w:val="19"/>
          <w:color w:val="auto"/>
        </w:rPr>
        <w:t>whose combined annual salary and</w:t>
      </w:r>
      <w:r>
        <w:rPr>
          <w:rFonts w:ascii="Arial" w:cs="Arial" w:eastAsia="Arial" w:hAnsi="Arial"/>
          <w:sz w:val="21"/>
          <w:szCs w:val="21"/>
          <w:color w:val="auto"/>
        </w:rPr>
        <w:t xml:space="preserve"> </w:t>
      </w:r>
      <w:r>
        <w:rPr>
          <w:rFonts w:ascii="Arial" w:cs="Arial" w:eastAsia="Arial" w:hAnsi="Arial"/>
          <w:sz w:val="19"/>
          <w:szCs w:val="19"/>
          <w:color w:val="auto"/>
        </w:rPr>
        <w:t xml:space="preserve">target annual incentive compensation, as of the April 15 prior to </w:t>
      </w:r>
      <w:r>
        <w:rPr>
          <w:rFonts w:ascii="Arial" w:cs="Arial" w:eastAsia="Arial" w:hAnsi="Arial"/>
          <w:sz w:val="20"/>
          <w:szCs w:val="20"/>
          <w:color w:val="auto"/>
        </w:rPr>
        <w:t>the date on which deferral elections are solicited by the</w:t>
      </w:r>
      <w:r>
        <w:rPr>
          <w:rFonts w:ascii="Arial" w:cs="Arial" w:eastAsia="Arial" w:hAnsi="Arial"/>
          <w:sz w:val="19"/>
          <w:szCs w:val="19"/>
          <w:color w:val="auto"/>
        </w:rPr>
        <w:t xml:space="preserve"> </w:t>
      </w:r>
      <w:r>
        <w:rPr>
          <w:rFonts w:ascii="Arial" w:cs="Arial" w:eastAsia="Arial" w:hAnsi="Arial"/>
          <w:sz w:val="20"/>
          <w:szCs w:val="20"/>
          <w:color w:val="auto"/>
        </w:rPr>
        <w:t xml:space="preserve">Committee for such Plan Year, </w:t>
      </w:r>
      <w:r>
        <w:rPr>
          <w:rFonts w:ascii="Arial" w:cs="Arial" w:eastAsia="Arial" w:hAnsi="Arial"/>
          <w:sz w:val="19"/>
          <w:szCs w:val="19"/>
          <w:color w:val="auto"/>
        </w:rPr>
        <w:t>are determined to exceed the then current IRC Section 401(a)(17) limit; and</w:t>
      </w:r>
      <w:r>
        <w:rPr>
          <w:rFonts w:ascii="Arial" w:cs="Arial" w:eastAsia="Arial" w:hAnsi="Arial"/>
          <w:sz w:val="20"/>
          <w:szCs w:val="20"/>
          <w:color w:val="auto"/>
        </w:rPr>
        <w:t xml:space="preserve"> who is paid from a US payroll and receives Eligible Earnings subject to U.S. federal income tax withholding.</w:t>
      </w:r>
    </w:p>
    <w:p>
      <w:pPr>
        <w:spacing w:after="0" w:line="201"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i w:val="1"/>
          <w:iCs w:val="1"/>
          <w:color w:val="auto"/>
        </w:rPr>
        <w:t xml:space="preserve">Employee </w:t>
      </w:r>
      <w:r>
        <w:rPr>
          <w:rFonts w:ascii="Arial" w:cs="Arial" w:eastAsia="Arial" w:hAnsi="Arial"/>
          <w:sz w:val="22"/>
          <w:szCs w:val="22"/>
          <w:color w:val="auto"/>
        </w:rPr>
        <w:t>means an employee of the Corporation or an RTX Company but excluding any employee who is not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to participate in the RTX Qualified Savings Plan and any Represented Employee (as defined in the RTX Qualified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80"/>
          </w:cols>
          <w:pgMar w:left="440" w:top="1440" w:right="479" w:bottom="1440" w:gutter="0" w:footer="0" w:header="0"/>
        </w:sectPr>
      </w:pPr>
    </w:p>
    <w:bookmarkStart w:id="62" w:name="page63"/>
    <w:bookmarkEnd w:id="62"/>
    <w:p>
      <w:pPr>
        <w:spacing w:after="0" w:line="204" w:lineRule="exact"/>
        <w:rPr>
          <w:sz w:val="20"/>
          <w:szCs w:val="20"/>
          <w:color w:val="auto"/>
        </w:rPr>
      </w:pPr>
    </w:p>
    <w:p>
      <w:pPr>
        <w:ind w:left="644"/>
        <w:spacing w:after="0"/>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means the Employee Retirement Income Security Act of 1974, as amended.</w:t>
      </w:r>
    </w:p>
    <w:p>
      <w:pPr>
        <w:spacing w:after="0" w:line="206" w:lineRule="exact"/>
        <w:rPr>
          <w:sz w:val="20"/>
          <w:szCs w:val="20"/>
          <w:color w:val="auto"/>
        </w:rPr>
      </w:pPr>
    </w:p>
    <w:p>
      <w:pPr>
        <w:ind w:left="4" w:firstLine="648"/>
        <w:spacing w:after="0" w:line="224" w:lineRule="auto"/>
        <w:rPr>
          <w:sz w:val="20"/>
          <w:szCs w:val="20"/>
          <w:color w:val="auto"/>
        </w:rPr>
      </w:pPr>
      <w:r>
        <w:rPr>
          <w:rFonts w:ascii="Arial" w:cs="Arial" w:eastAsia="Arial" w:hAnsi="Arial"/>
          <w:sz w:val="21"/>
          <w:szCs w:val="21"/>
          <w:i w:val="1"/>
          <w:iCs w:val="1"/>
          <w:color w:val="auto"/>
        </w:rPr>
        <w:t xml:space="preserve">Investment Fund </w:t>
      </w:r>
      <w:r>
        <w:rPr>
          <w:rFonts w:ascii="Arial" w:cs="Arial" w:eastAsia="Arial" w:hAnsi="Arial"/>
          <w:sz w:val="21"/>
          <w:szCs w:val="21"/>
          <w:color w:val="auto"/>
        </w:rPr>
        <w:t>means a hypothetical fund that tracks the value of an investment option offered under the RTX</w:t>
      </w:r>
      <w:r>
        <w:rPr>
          <w:rFonts w:ascii="Arial" w:cs="Arial" w:eastAsia="Arial" w:hAnsi="Arial"/>
          <w:sz w:val="21"/>
          <w:szCs w:val="21"/>
          <w:i w:val="1"/>
          <w:iCs w:val="1"/>
          <w:color w:val="auto"/>
        </w:rPr>
        <w:t xml:space="preserve"> </w:t>
      </w:r>
      <w:r>
        <w:rPr>
          <w:rFonts w:ascii="Arial" w:cs="Arial" w:eastAsia="Arial" w:hAnsi="Arial"/>
          <w:sz w:val="21"/>
          <w:szCs w:val="21"/>
          <w:color w:val="auto"/>
        </w:rPr>
        <w:t>Qualified Savings Plan or other such investment option as determined by the Committee. Investment Funds offered under the CDP may be changed from time to time by the Committee and shall be valued in the manner set forth in Section 6.2. Available investments are described at https://www.newportgroup.com. The value of Participants’ Accounts shall be adjusted to replicate the performance of the applicable Investment Funds. Amounts credited to any Investment Fund shall not be required to be invested in actual assets corresponding to the Investment Fund.</w:t>
      </w:r>
    </w:p>
    <w:p>
      <w:pPr>
        <w:spacing w:after="0" w:line="268" w:lineRule="exact"/>
        <w:rPr>
          <w:sz w:val="20"/>
          <w:szCs w:val="20"/>
          <w:color w:val="auto"/>
        </w:rPr>
      </w:pPr>
    </w:p>
    <w:p>
      <w:pPr>
        <w:ind w:left="644"/>
        <w:spacing w:after="0"/>
        <w:rPr>
          <w:sz w:val="20"/>
          <w:szCs w:val="20"/>
          <w:color w:val="auto"/>
        </w:rPr>
      </w:pPr>
      <w:r>
        <w:rPr>
          <w:rFonts w:ascii="Arial" w:cs="Arial" w:eastAsia="Arial" w:hAnsi="Arial"/>
          <w:sz w:val="22"/>
          <w:szCs w:val="22"/>
          <w:i w:val="1"/>
          <w:iCs w:val="1"/>
          <w:color w:val="auto"/>
        </w:rPr>
        <w:t xml:space="preserve">IRS Compensation Limit </w:t>
      </w:r>
      <w:r>
        <w:rPr>
          <w:rFonts w:ascii="Arial" w:cs="Arial" w:eastAsia="Arial" w:hAnsi="Arial"/>
          <w:sz w:val="22"/>
          <w:szCs w:val="22"/>
          <w:color w:val="auto"/>
        </w:rPr>
        <w:t>means the limitation imposed by Section 401(a)(17) of the Code.</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i w:val="1"/>
          <w:iCs w:val="1"/>
          <w:color w:val="auto"/>
        </w:rPr>
        <w:t xml:space="preserve">IRS Contribution Limit </w:t>
      </w:r>
      <w:r>
        <w:rPr>
          <w:rFonts w:ascii="Arial" w:cs="Arial" w:eastAsia="Arial" w:hAnsi="Arial"/>
          <w:sz w:val="22"/>
          <w:szCs w:val="22"/>
          <w:color w:val="auto"/>
        </w:rPr>
        <w:t>means the limitation imposed by Section 415(c) of the Code.</w:t>
      </w:r>
    </w:p>
    <w:p>
      <w:pPr>
        <w:spacing w:after="0" w:line="220" w:lineRule="exact"/>
        <w:rPr>
          <w:sz w:val="20"/>
          <w:szCs w:val="20"/>
          <w:color w:val="auto"/>
        </w:rPr>
      </w:pPr>
    </w:p>
    <w:p>
      <w:pPr>
        <w:ind w:left="4" w:right="60" w:firstLine="648"/>
        <w:spacing w:after="0" w:line="210" w:lineRule="auto"/>
        <w:rPr>
          <w:sz w:val="20"/>
          <w:szCs w:val="20"/>
          <w:color w:val="auto"/>
        </w:rPr>
      </w:pPr>
      <w:r>
        <w:rPr>
          <w:rFonts w:ascii="Arial" w:cs="Arial" w:eastAsia="Arial" w:hAnsi="Arial"/>
          <w:sz w:val="22"/>
          <w:szCs w:val="22"/>
          <w:i w:val="1"/>
          <w:iCs w:val="1"/>
          <w:color w:val="auto"/>
        </w:rPr>
        <w:t xml:space="preserve">Maximum Deferral Period </w:t>
      </w:r>
      <w:r>
        <w:rPr>
          <w:rFonts w:ascii="Arial" w:cs="Arial" w:eastAsia="Arial" w:hAnsi="Arial"/>
          <w:sz w:val="22"/>
          <w:szCs w:val="22"/>
          <w:color w:val="auto"/>
        </w:rPr>
        <w:t>means, with regard to a Specified Year Account, a period of fifteen (15) consecutive</w:t>
      </w:r>
      <w:r>
        <w:rPr>
          <w:rFonts w:ascii="Arial" w:cs="Arial" w:eastAsia="Arial" w:hAnsi="Arial"/>
          <w:sz w:val="22"/>
          <w:szCs w:val="22"/>
          <w:i w:val="1"/>
          <w:iCs w:val="1"/>
          <w:color w:val="auto"/>
        </w:rPr>
        <w:t xml:space="preserve"> </w:t>
      </w:r>
      <w:r>
        <w:rPr>
          <w:rFonts w:ascii="Arial" w:cs="Arial" w:eastAsia="Arial" w:hAnsi="Arial"/>
          <w:sz w:val="22"/>
          <w:szCs w:val="22"/>
          <w:color w:val="auto"/>
        </w:rPr>
        <w:t>calendar years (or such other number of calendar years as is specified by the Committee from time to time) commencing with, and including, the Account Establishment Year.</w:t>
      </w:r>
    </w:p>
    <w:p>
      <w:pPr>
        <w:spacing w:after="0" w:line="2" w:lineRule="exact"/>
        <w:rPr>
          <w:sz w:val="20"/>
          <w:szCs w:val="20"/>
          <w:color w:val="auto"/>
        </w:rPr>
      </w:pPr>
    </w:p>
    <w:p>
      <w:pPr>
        <w:jc w:val="both"/>
        <w:ind w:left="4" w:right="420"/>
        <w:spacing w:after="0" w:line="278" w:lineRule="auto"/>
        <w:rPr>
          <w:sz w:val="20"/>
          <w:szCs w:val="20"/>
          <w:color w:val="auto"/>
        </w:rPr>
      </w:pPr>
      <w:r>
        <w:rPr>
          <w:rFonts w:ascii="Arial" w:cs="Arial" w:eastAsia="Arial" w:hAnsi="Arial"/>
          <w:sz w:val="19"/>
          <w:szCs w:val="19"/>
          <w:color w:val="auto"/>
        </w:rPr>
        <w:t>By way of illustration, for a Specified Year Account with an Account Establishment Year of 2023, the Maximum Deferral Period is calendar years 2023 through 2037, with distribution commencing in April of the Specific Deferral Year of 2038.</w:t>
      </w:r>
    </w:p>
    <w:p>
      <w:pPr>
        <w:spacing w:after="0" w:line="132" w:lineRule="exact"/>
        <w:rPr>
          <w:sz w:val="20"/>
          <w:szCs w:val="20"/>
          <w:color w:val="auto"/>
        </w:rPr>
      </w:pPr>
    </w:p>
    <w:p>
      <w:pPr>
        <w:ind w:left="644"/>
        <w:spacing w:after="0"/>
        <w:rPr>
          <w:sz w:val="20"/>
          <w:szCs w:val="20"/>
          <w:color w:val="auto"/>
        </w:rPr>
      </w:pPr>
      <w:r>
        <w:rPr>
          <w:rFonts w:ascii="Arial" w:cs="Arial" w:eastAsia="Arial" w:hAnsi="Arial"/>
          <w:sz w:val="22"/>
          <w:szCs w:val="22"/>
          <w:i w:val="1"/>
          <w:iCs w:val="1"/>
          <w:color w:val="auto"/>
        </w:rPr>
        <w:t xml:space="preserve">Minimum Deferral Period </w:t>
      </w:r>
      <w:r>
        <w:rPr>
          <w:rFonts w:ascii="Arial" w:cs="Arial" w:eastAsia="Arial" w:hAnsi="Arial"/>
          <w:sz w:val="22"/>
          <w:szCs w:val="22"/>
          <w:color w:val="auto"/>
        </w:rPr>
        <w:t>means, with regard to a Specified Year Account, a period of three</w:t>
      </w:r>
    </w:p>
    <w:p>
      <w:pPr>
        <w:ind w:left="4" w:right="100" w:hanging="4"/>
        <w:spacing w:after="0" w:line="214" w:lineRule="auto"/>
        <w:tabs>
          <w:tab w:leader="none" w:pos="31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consecutive calendar years (or such other number of calendar years as is specified by the Committee from time to time) commencing with, and including, the Account Establishment Year. By way of illustration, for a Specified Year Account with an Account Establishment Year of 2023, the Minimum Deferral Period is calendar years 2023 through 2025, with distribution commencing in April of the Specific Deferral Year of 2026.</w:t>
      </w:r>
    </w:p>
    <w:p>
      <w:pPr>
        <w:spacing w:after="0" w:line="200" w:lineRule="exact"/>
        <w:rPr>
          <w:sz w:val="20"/>
          <w:szCs w:val="20"/>
          <w:color w:val="auto"/>
        </w:rPr>
      </w:pPr>
    </w:p>
    <w:p>
      <w:pPr>
        <w:ind w:left="4" w:right="160" w:firstLine="648"/>
        <w:spacing w:after="0" w:line="226" w:lineRule="auto"/>
        <w:rPr>
          <w:sz w:val="20"/>
          <w:szCs w:val="20"/>
          <w:color w:val="auto"/>
        </w:rPr>
      </w:pPr>
      <w:r>
        <w:rPr>
          <w:rFonts w:ascii="Arial" w:cs="Arial" w:eastAsia="Arial" w:hAnsi="Arial"/>
          <w:sz w:val="21"/>
          <w:szCs w:val="21"/>
          <w:i w:val="1"/>
          <w:iCs w:val="1"/>
          <w:color w:val="auto"/>
        </w:rPr>
        <w:t xml:space="preserve">Participant </w:t>
      </w:r>
      <w:r>
        <w:rPr>
          <w:rFonts w:ascii="Arial" w:cs="Arial" w:eastAsia="Arial" w:hAnsi="Arial"/>
          <w:sz w:val="21"/>
          <w:szCs w:val="21"/>
          <w:color w:val="auto"/>
        </w:rPr>
        <w:t>means an Employee who meets the criteria detailed in Article III. A Participant who previously elected to</w:t>
      </w:r>
      <w:r>
        <w:rPr>
          <w:rFonts w:ascii="Arial" w:cs="Arial" w:eastAsia="Arial" w:hAnsi="Arial"/>
          <w:sz w:val="21"/>
          <w:szCs w:val="21"/>
          <w:i w:val="1"/>
          <w:iCs w:val="1"/>
          <w:color w:val="auto"/>
        </w:rPr>
        <w:t xml:space="preserve"> </w:t>
      </w:r>
      <w:r>
        <w:rPr>
          <w:rFonts w:ascii="Arial" w:cs="Arial" w:eastAsia="Arial" w:hAnsi="Arial"/>
          <w:sz w:val="21"/>
          <w:szCs w:val="21"/>
          <w:color w:val="auto"/>
        </w:rPr>
        <w:t>defer Eligible Earnings under the Plan, and/or who received an allocation of benefits under the Plan, but who ceases to meet the criteria detailed in Article III, shall not be eligible to continue to elect to defer under Article IV, and/or to receive contributions under Article V, but shall remain a Participant under the Plan with respect to his or her Plan Account until it is distributed or forfeited in accordance with the terms of the Plan.</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22"/>
          <w:szCs w:val="22"/>
          <w:i w:val="1"/>
          <w:iCs w:val="1"/>
          <w:color w:val="auto"/>
        </w:rPr>
        <w:t xml:space="preserve">Plan or CDP </w:t>
      </w:r>
      <w:r>
        <w:rPr>
          <w:rFonts w:ascii="Arial" w:cs="Arial" w:eastAsia="Arial" w:hAnsi="Arial"/>
          <w:sz w:val="22"/>
          <w:szCs w:val="22"/>
          <w:color w:val="auto"/>
        </w:rPr>
        <w:t>means the RTX Corporation Compensation Deferral Plan, as amended from time to time.</w:t>
      </w:r>
    </w:p>
    <w:p>
      <w:pPr>
        <w:spacing w:after="0" w:line="206" w:lineRule="exact"/>
        <w:rPr>
          <w:sz w:val="20"/>
          <w:szCs w:val="20"/>
          <w:color w:val="auto"/>
        </w:rPr>
      </w:pPr>
    </w:p>
    <w:p>
      <w:pPr>
        <w:ind w:left="4" w:right="80" w:firstLine="648"/>
        <w:spacing w:after="0" w:line="232" w:lineRule="auto"/>
        <w:rPr>
          <w:sz w:val="20"/>
          <w:szCs w:val="20"/>
          <w:color w:val="auto"/>
        </w:rPr>
      </w:pPr>
      <w:r>
        <w:rPr>
          <w:rFonts w:ascii="Arial" w:cs="Arial" w:eastAsia="Arial" w:hAnsi="Arial"/>
          <w:sz w:val="22"/>
          <w:szCs w:val="22"/>
          <w:i w:val="1"/>
          <w:iCs w:val="1"/>
          <w:color w:val="auto"/>
        </w:rPr>
        <w:t xml:space="preserve">Plan Account </w:t>
      </w:r>
      <w:r>
        <w:rPr>
          <w:rFonts w:ascii="Arial" w:cs="Arial" w:eastAsia="Arial" w:hAnsi="Arial"/>
          <w:sz w:val="22"/>
          <w:szCs w:val="22"/>
          <w:color w:val="auto"/>
        </w:rPr>
        <w:t>means, for each Participant, the aggregate value of all of such Participant’s Specified Year Accounts and</w:t>
      </w:r>
      <w:r>
        <w:rPr>
          <w:rFonts w:ascii="Arial" w:cs="Arial" w:eastAsia="Arial" w:hAnsi="Arial"/>
          <w:sz w:val="22"/>
          <w:szCs w:val="22"/>
          <w:i w:val="1"/>
          <w:iCs w:val="1"/>
          <w:color w:val="auto"/>
        </w:rPr>
        <w:t xml:space="preserve"> </w:t>
      </w:r>
      <w:r>
        <w:rPr>
          <w:rFonts w:ascii="Arial" w:cs="Arial" w:eastAsia="Arial" w:hAnsi="Arial"/>
          <w:sz w:val="22"/>
          <w:szCs w:val="22"/>
          <w:color w:val="auto"/>
        </w:rPr>
        <w:t>such Participant’s Separation from Service Account.</w:t>
      </w:r>
    </w:p>
    <w:p>
      <w:pPr>
        <w:spacing w:after="0" w:line="199" w:lineRule="exact"/>
        <w:rPr>
          <w:sz w:val="20"/>
          <w:szCs w:val="20"/>
          <w:color w:val="auto"/>
        </w:rPr>
      </w:pPr>
    </w:p>
    <w:p>
      <w:pPr>
        <w:ind w:left="644"/>
        <w:spacing w:after="0"/>
        <w:rPr>
          <w:sz w:val="20"/>
          <w:szCs w:val="20"/>
          <w:color w:val="auto"/>
        </w:rPr>
      </w:pPr>
      <w:r>
        <w:rPr>
          <w:rFonts w:ascii="Arial" w:cs="Arial" w:eastAsia="Arial" w:hAnsi="Arial"/>
          <w:sz w:val="22"/>
          <w:szCs w:val="22"/>
          <w:i w:val="1"/>
          <w:iCs w:val="1"/>
          <w:color w:val="auto"/>
        </w:rPr>
        <w:t xml:space="preserve">Plan Year </w:t>
      </w:r>
      <w:r>
        <w:rPr>
          <w:rFonts w:ascii="Arial" w:cs="Arial" w:eastAsia="Arial" w:hAnsi="Arial"/>
          <w:sz w:val="22"/>
          <w:szCs w:val="22"/>
          <w:color w:val="auto"/>
        </w:rPr>
        <w:t>means the calendar year.</w:t>
      </w:r>
    </w:p>
    <w:p>
      <w:pPr>
        <w:spacing w:after="0" w:line="206" w:lineRule="exact"/>
        <w:rPr>
          <w:sz w:val="20"/>
          <w:szCs w:val="20"/>
          <w:color w:val="auto"/>
        </w:rPr>
      </w:pPr>
    </w:p>
    <w:p>
      <w:pPr>
        <w:ind w:left="4" w:right="200" w:firstLine="648"/>
        <w:spacing w:after="0" w:line="223" w:lineRule="auto"/>
        <w:rPr>
          <w:sz w:val="20"/>
          <w:szCs w:val="20"/>
          <w:color w:val="auto"/>
        </w:rPr>
      </w:pPr>
      <w:r>
        <w:rPr>
          <w:rFonts w:ascii="Arial" w:cs="Arial" w:eastAsia="Arial" w:hAnsi="Arial"/>
          <w:sz w:val="22"/>
          <w:szCs w:val="22"/>
          <w:i w:val="1"/>
          <w:iCs w:val="1"/>
          <w:color w:val="auto"/>
        </w:rPr>
        <w:t xml:space="preserve">RTX Company </w:t>
      </w:r>
      <w:r>
        <w:rPr>
          <w:rFonts w:ascii="Arial" w:cs="Arial" w:eastAsia="Arial" w:hAnsi="Arial"/>
          <w:sz w:val="22"/>
          <w:szCs w:val="22"/>
          <w:color w:val="auto"/>
        </w:rPr>
        <w:t>means the Corporation, or any entity controlled by or under common control with the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within the meaning of Section 414(b) or (c) of the Code (but substituting “at least 20 percent” for “at least 80 percent” as the control threshold used in applying Sections 414(b)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64"/>
          </w:cols>
          <w:pgMar w:left="436" w:top="1440" w:right="499" w:bottom="1440" w:gutter="0" w:footer="0" w:header="0"/>
        </w:sectPr>
      </w:pPr>
    </w:p>
    <w:bookmarkStart w:id="63" w:name="page64"/>
    <w:bookmarkEnd w:id="63"/>
    <w:p>
      <w:pPr>
        <w:spacing w:after="0" w:line="204"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 xml:space="preserve">RTX Qualified Savings Plan </w:t>
      </w:r>
      <w:r>
        <w:rPr>
          <w:rFonts w:ascii="Arial" w:cs="Arial" w:eastAsia="Arial" w:hAnsi="Arial"/>
          <w:sz w:val="22"/>
          <w:szCs w:val="22"/>
          <w:color w:val="auto"/>
        </w:rPr>
        <w:t>means the RTX Corporation Savings Plan, as amended from time to time.</w:t>
      </w:r>
    </w:p>
    <w:p>
      <w:pPr>
        <w:spacing w:after="0" w:line="206" w:lineRule="exact"/>
        <w:rPr>
          <w:sz w:val="20"/>
          <w:szCs w:val="20"/>
          <w:color w:val="auto"/>
        </w:rPr>
      </w:pPr>
    </w:p>
    <w:p>
      <w:pPr>
        <w:ind w:right="120" w:firstLine="648"/>
        <w:spacing w:after="0" w:line="246" w:lineRule="auto"/>
        <w:rPr>
          <w:sz w:val="20"/>
          <w:szCs w:val="20"/>
          <w:color w:val="auto"/>
        </w:rPr>
      </w:pPr>
      <w:r>
        <w:rPr>
          <w:rFonts w:ascii="Arial" w:cs="Arial" w:eastAsia="Arial" w:hAnsi="Arial"/>
          <w:sz w:val="19"/>
          <w:szCs w:val="19"/>
          <w:i w:val="1"/>
          <w:iCs w:val="1"/>
          <w:color w:val="auto"/>
        </w:rPr>
        <w:t xml:space="preserve">Separation from Service </w:t>
      </w:r>
      <w:r>
        <w:rPr>
          <w:rFonts w:ascii="Arial" w:cs="Arial" w:eastAsia="Arial" w:hAnsi="Arial"/>
          <w:sz w:val="19"/>
          <w:szCs w:val="19"/>
          <w:color w:val="auto"/>
        </w:rPr>
        <w:t>means a Participant’s termination of employment with all RTX Companies, other than by</w:t>
      </w:r>
      <w:r>
        <w:rPr>
          <w:rFonts w:ascii="Arial" w:cs="Arial" w:eastAsia="Arial" w:hAnsi="Arial"/>
          <w:sz w:val="19"/>
          <w:szCs w:val="19"/>
          <w:i w:val="1"/>
          <w:iCs w:val="1"/>
          <w:color w:val="auto"/>
        </w:rPr>
        <w:t xml:space="preserve"> </w:t>
      </w:r>
      <w:r>
        <w:rPr>
          <w:rFonts w:ascii="Arial" w:cs="Arial" w:eastAsia="Arial" w:hAnsi="Arial"/>
          <w:sz w:val="19"/>
          <w:szCs w:val="19"/>
          <w:color w:val="auto"/>
        </w:rPr>
        <w:t>reason of death. A Separation from Service will be deemed to occur where the Participant and the RTX Company that employs the Participant reasonably anticipate that the bona fide level of services the Participant will perform (whether as an employee or as an independent contractor) for RTX Companies will be permanently reduced to a level that is less than thirty-seven and a half percent (37.5%) of the average level of bona fide services the Participant performed during the immediately preceding thirty-six (36) months (or the entire period the Participant has provided services if the Participant has been providing services to RTX Companies for less than thirty-six (36) months). A Participant shall not be considered to have had a Separation from Service as a result of a transfer from one RTX Company to another RTX Company.</w:t>
      </w:r>
    </w:p>
    <w:p>
      <w:pPr>
        <w:spacing w:after="0" w:line="193"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i w:val="1"/>
          <w:iCs w:val="1"/>
          <w:color w:val="auto"/>
        </w:rPr>
        <w:t xml:space="preserve">Separation from Service Account </w:t>
      </w:r>
      <w:r>
        <w:rPr>
          <w:rFonts w:ascii="Arial" w:cs="Arial" w:eastAsia="Arial" w:hAnsi="Arial"/>
          <w:sz w:val="22"/>
          <w:szCs w:val="22"/>
          <w:color w:val="auto"/>
        </w:rPr>
        <w:t>means a Plan Account maintained on behalf of the Participant, for the purpose of</w:t>
      </w:r>
      <w:r>
        <w:rPr>
          <w:rFonts w:ascii="Arial" w:cs="Arial" w:eastAsia="Arial" w:hAnsi="Arial"/>
          <w:sz w:val="22"/>
          <w:szCs w:val="22"/>
          <w:i w:val="1"/>
          <w:iCs w:val="1"/>
          <w:color w:val="auto"/>
        </w:rPr>
        <w:t xml:space="preserve"> </w:t>
      </w:r>
      <w:r>
        <w:rPr>
          <w:rFonts w:ascii="Arial" w:cs="Arial" w:eastAsia="Arial" w:hAnsi="Arial"/>
          <w:sz w:val="22"/>
          <w:szCs w:val="22"/>
          <w:color w:val="auto"/>
        </w:rPr>
        <w:t>crediting Elective Compensation Deferrals and Company Contributions that is targeted for distribution following the Participant’s Separation from Service. The Committee may establish categories of Separation from Service Accounts to reflect different sources of deferrals.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i w:val="1"/>
          <w:iCs w:val="1"/>
          <w:color w:val="auto"/>
        </w:rPr>
        <w:t xml:space="preserve">Specified Year Account </w:t>
      </w:r>
      <w:r>
        <w:rPr>
          <w:rFonts w:ascii="Arial" w:cs="Arial" w:eastAsia="Arial" w:hAnsi="Arial"/>
          <w:sz w:val="19"/>
          <w:szCs w:val="19"/>
          <w:color w:val="auto"/>
        </w:rPr>
        <w:t>means a Plan Account maintained on behalf of the Participant for the purpose of crediting</w:t>
      </w:r>
      <w:r>
        <w:rPr>
          <w:rFonts w:ascii="Arial" w:cs="Arial" w:eastAsia="Arial" w:hAnsi="Arial"/>
          <w:sz w:val="19"/>
          <w:szCs w:val="19"/>
          <w:i w:val="1"/>
          <w:iCs w:val="1"/>
          <w:color w:val="auto"/>
        </w:rPr>
        <w:t xml:space="preserve"> </w:t>
      </w:r>
      <w:r>
        <w:rPr>
          <w:rFonts w:ascii="Arial" w:cs="Arial" w:eastAsia="Arial" w:hAnsi="Arial"/>
          <w:sz w:val="19"/>
          <w:szCs w:val="19"/>
          <w:color w:val="auto"/>
        </w:rPr>
        <w:t>Elective Compensation Deferrals with a targeted distribution date in April of the calendar year specified by the Participant. A Participant shall be allowed a maximum of five (5) active Specified Year Accounts under the Plan at one time and when any Specified Year Account is fully paid, it shall no longer be considered an active Specified Year Account.</w:t>
      </w:r>
    </w:p>
    <w:p>
      <w:pPr>
        <w:spacing w:after="0" w:line="185" w:lineRule="exact"/>
        <w:rPr>
          <w:sz w:val="20"/>
          <w:szCs w:val="20"/>
          <w:color w:val="auto"/>
        </w:rPr>
      </w:pPr>
    </w:p>
    <w:p>
      <w:pPr>
        <w:ind w:right="60" w:firstLine="648"/>
        <w:spacing w:after="0" w:line="229" w:lineRule="auto"/>
        <w:rPr>
          <w:sz w:val="20"/>
          <w:szCs w:val="20"/>
          <w:color w:val="auto"/>
        </w:rPr>
      </w:pPr>
      <w:r>
        <w:rPr>
          <w:rFonts w:ascii="Arial" w:cs="Arial" w:eastAsia="Arial" w:hAnsi="Arial"/>
          <w:sz w:val="21"/>
          <w:szCs w:val="21"/>
          <w:i w:val="1"/>
          <w:iCs w:val="1"/>
          <w:color w:val="auto"/>
        </w:rPr>
        <w:t xml:space="preserve">Specific Deferral Year </w:t>
      </w:r>
      <w:r>
        <w:rPr>
          <w:rFonts w:ascii="Arial" w:cs="Arial" w:eastAsia="Arial" w:hAnsi="Arial"/>
          <w:sz w:val="21"/>
          <w:szCs w:val="21"/>
          <w:color w:val="auto"/>
        </w:rPr>
        <w:t>means, with respect to a Specified Year Account, a specified calendar year in which an entire</w:t>
      </w:r>
      <w:r>
        <w:rPr>
          <w:rFonts w:ascii="Arial" w:cs="Arial" w:eastAsia="Arial" w:hAnsi="Arial"/>
          <w:sz w:val="21"/>
          <w:szCs w:val="21"/>
          <w:i w:val="1"/>
          <w:iCs w:val="1"/>
          <w:color w:val="auto"/>
        </w:rPr>
        <w:t xml:space="preserve"> </w:t>
      </w:r>
      <w:r>
        <w:rPr>
          <w:rFonts w:ascii="Arial" w:cs="Arial" w:eastAsia="Arial" w:hAnsi="Arial"/>
          <w:sz w:val="21"/>
          <w:szCs w:val="21"/>
          <w:color w:val="auto"/>
        </w:rPr>
        <w:t>lump sum payment will be distributed, or installment payments will begin to be distributed to the Participant. The Specific Deferral Year shall be no earlier than the calendar year immediately following the Minimum Deferral Period and no later than the calendar year immediately following the Maximum Deferral Period.</w:t>
      </w:r>
    </w:p>
    <w:p>
      <w:pPr>
        <w:spacing w:after="0" w:line="199" w:lineRule="exact"/>
        <w:rPr>
          <w:sz w:val="20"/>
          <w:szCs w:val="20"/>
          <w:color w:val="auto"/>
        </w:rPr>
      </w:pPr>
    </w:p>
    <w:p>
      <w:pPr>
        <w:ind w:right="80" w:firstLine="648"/>
        <w:spacing w:after="0" w:line="224" w:lineRule="auto"/>
        <w:rPr>
          <w:sz w:val="20"/>
          <w:szCs w:val="20"/>
          <w:color w:val="auto"/>
        </w:rPr>
      </w:pPr>
      <w:r>
        <w:rPr>
          <w:rFonts w:ascii="Arial" w:cs="Arial" w:eastAsia="Arial" w:hAnsi="Arial"/>
          <w:sz w:val="21"/>
          <w:szCs w:val="21"/>
          <w:i w:val="1"/>
          <w:iCs w:val="1"/>
          <w:color w:val="auto"/>
        </w:rPr>
        <w:t xml:space="preserve">Specified Employee </w:t>
      </w:r>
      <w:r>
        <w:rPr>
          <w:rFonts w:ascii="Arial" w:cs="Arial" w:eastAsia="Arial" w:hAnsi="Arial"/>
          <w:sz w:val="21"/>
          <w:szCs w:val="21"/>
          <w:color w:val="auto"/>
        </w:rPr>
        <w:t>means each of the fifty (50) highest-paid officers and other Employees of the Corporation and its</w:t>
      </w:r>
      <w:r>
        <w:rPr>
          <w:rFonts w:ascii="Arial" w:cs="Arial" w:eastAsia="Arial" w:hAnsi="Arial"/>
          <w:sz w:val="21"/>
          <w:szCs w:val="21"/>
          <w:i w:val="1"/>
          <w:iCs w:val="1"/>
          <w:color w:val="auto"/>
        </w:rPr>
        <w:t xml:space="preserve"> </w:t>
      </w:r>
      <w:r>
        <w:rPr>
          <w:rFonts w:ascii="Arial" w:cs="Arial" w:eastAsia="Arial" w:hAnsi="Arial"/>
          <w:sz w:val="21"/>
          <w:szCs w:val="21"/>
          <w:color w:val="auto"/>
        </w:rPr>
        <w:t>affiliates (determined for this purpose under Treas. Regs. §1.409A-1(g)), effective annually as of April 1st, based on compensation reported in Box 1 of Form W-2 for the immediately preceding calendar year, but including amounts that are excluded from taxable income as a result of elective deferrals to qualified plans and pre-tax contributions. For these purposes, compensation shall not include foreign compensation earned by a nonresident alien that is not effectively connected with the conduct of a trade or business in the United States.</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 xml:space="preserve">ARTICLE III </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 xml:space="preserve"> ELIGIBILITY AND PARTICIPATION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3.1 – Eligibility</w:t>
      </w:r>
    </w:p>
    <w:p>
      <w:pPr>
        <w:spacing w:after="0" w:line="212"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Each Employee (i) who is classified by the Committee as an Eligible Employee at the time of the deferral election will be eligible to defer Eligible Earnings in accordance with the terms of the Plan; and/or (ii) whose Company Retirement Contributions and Company Matching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40"/>
          </w:cols>
          <w:pgMar w:left="440" w:top="1440" w:right="519" w:bottom="1440" w:gutter="0" w:footer="0" w:header="0"/>
        </w:sectPr>
      </w:pPr>
    </w:p>
    <w:bookmarkStart w:id="64" w:name="page65"/>
    <w:bookmarkEnd w:id="64"/>
    <w:p>
      <w:pPr>
        <w:spacing w:after="0" w:line="204" w:lineRule="exact"/>
        <w:rPr>
          <w:sz w:val="20"/>
          <w:szCs w:val="20"/>
          <w:color w:val="auto"/>
        </w:rPr>
      </w:pPr>
    </w:p>
    <w:p>
      <w:pPr>
        <w:ind w:right="80"/>
        <w:spacing w:after="0" w:line="216" w:lineRule="auto"/>
        <w:rPr>
          <w:sz w:val="20"/>
          <w:szCs w:val="20"/>
          <w:color w:val="auto"/>
        </w:rPr>
      </w:pPr>
      <w:r>
        <w:rPr>
          <w:rFonts w:ascii="Arial" w:cs="Arial" w:eastAsia="Arial" w:hAnsi="Arial"/>
          <w:sz w:val="22"/>
          <w:szCs w:val="22"/>
          <w:color w:val="auto"/>
        </w:rPr>
        <w:t>under the RTX Qualified Savings Plan are limited by the IRS Contribution Limit is eligible to participate in the Plan subject to the terms and conditions of this Article III and/or (iii) whose Company Retirement Contributions under the RTX Qualified Savings Plan are limited by the IRS Compensation Limit is eligible to participate in the Plan subject to the terms and conditions of this Article III. The Committee shall determine which Eligible Employees are permitted to make deferral elections.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Section 3.2 – Participation for Company Retirement Contributions and/or Company Matching Contributions</w:t>
      </w:r>
    </w:p>
    <w:p>
      <w:pPr>
        <w:spacing w:after="0" w:line="260"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An Employee who becomes eligible to participate in the Plan with respect to Company Retirement Contributions and/or Company Matching Contributions shall be automatically enrolled in the Plan within thirty (30) days of the Employee’s first eligible pay date.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3.3 – Participation for Elective Compensation Deferrals</w:t>
      </w:r>
    </w:p>
    <w:p>
      <w:pPr>
        <w:spacing w:after="0" w:line="226"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An Eligible Employee may elect to participate in the Plan with respect to Elective Compensation Deferrals for any calendar year for which the Committee offers the Eligible Employee the opportunity to make such deferrals by timely completing and submitting an Election Form to the Committee, in accordance with Section 4.1. Participation in the Plan with respect to Elective Compensation Deferrals is entirely voluntary.</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IV – PARTICIPANT ELECTIONS AND DESIGNATIONS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4.1 – Elective Compensation Deferral</w:t>
      </w:r>
    </w:p>
    <w:p>
      <w:pPr>
        <w:spacing w:after="0" w:line="220" w:lineRule="exact"/>
        <w:rPr>
          <w:sz w:val="20"/>
          <w:szCs w:val="20"/>
          <w:color w:val="auto"/>
        </w:rPr>
      </w:pPr>
    </w:p>
    <w:p>
      <w:pPr>
        <w:ind w:right="40" w:firstLine="644"/>
        <w:spacing w:after="0" w:line="225" w:lineRule="auto"/>
        <w:tabs>
          <w:tab w:leader="none" w:pos="1185"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 xml:space="preserve">Election. </w:t>
      </w:r>
      <w:r>
        <w:rPr>
          <w:rFonts w:ascii="Arial" w:cs="Arial" w:eastAsia="Arial" w:hAnsi="Arial"/>
          <w:sz w:val="22"/>
          <w:szCs w:val="22"/>
          <w:color w:val="auto"/>
        </w:rPr>
        <w:t>An Eligible Employee may, on or before the election deadline established by the Committee, make an</w:t>
      </w:r>
      <w:r>
        <w:rPr>
          <w:rFonts w:ascii="Arial" w:cs="Arial" w:eastAsia="Arial" w:hAnsi="Arial"/>
          <w:sz w:val="22"/>
          <w:szCs w:val="22"/>
          <w:b w:val="1"/>
          <w:bCs w:val="1"/>
          <w:color w:val="auto"/>
        </w:rPr>
        <w:t xml:space="preserve"> </w:t>
      </w:r>
      <w:r>
        <w:rPr>
          <w:rFonts w:ascii="Arial" w:cs="Arial" w:eastAsia="Arial" w:hAnsi="Arial"/>
          <w:sz w:val="22"/>
          <w:szCs w:val="22"/>
          <w:color w:val="auto"/>
        </w:rPr>
        <w:t>Elective Compensation Deferral in accordance with this paragraph (a) on the Election Form provided by the Committee for the immediately following calendar year, as follows:</w:t>
      </w:r>
    </w:p>
    <w:p>
      <w:pPr>
        <w:spacing w:after="0" w:line="261" w:lineRule="exact"/>
        <w:rPr>
          <w:sz w:val="20"/>
          <w:szCs w:val="20"/>
          <w:color w:val="auto"/>
        </w:rPr>
      </w:pPr>
    </w:p>
    <w:p>
      <w:pPr>
        <w:ind w:left="640" w:right="640" w:firstLine="652"/>
        <w:spacing w:after="0" w:line="235" w:lineRule="auto"/>
        <w:tabs>
          <w:tab w:leader="none" w:pos="1816" w:val="left"/>
        </w:tabs>
        <w:numPr>
          <w:ilvl w:val="1"/>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Direct Deferral. </w:t>
      </w:r>
      <w:r>
        <w:rPr>
          <w:rFonts w:ascii="Arial" w:cs="Arial" w:eastAsia="Arial" w:hAnsi="Arial"/>
          <w:sz w:val="22"/>
          <w:szCs w:val="22"/>
          <w:color w:val="auto"/>
        </w:rPr>
        <w:t>Elect to defer a portion of his or her Eligible Earnings before any deferral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RTX Qualified Savings Plan; and/or</w:t>
      </w:r>
    </w:p>
    <w:p>
      <w:pPr>
        <w:spacing w:after="0" w:line="179" w:lineRule="exact"/>
        <w:rPr>
          <w:rFonts w:ascii="Arial" w:cs="Arial" w:eastAsia="Arial" w:hAnsi="Arial"/>
          <w:sz w:val="22"/>
          <w:szCs w:val="22"/>
          <w:color w:val="auto"/>
        </w:rPr>
      </w:pPr>
    </w:p>
    <w:p>
      <w:pPr>
        <w:ind w:left="1820" w:hanging="528"/>
        <w:spacing w:after="0"/>
        <w:tabs>
          <w:tab w:leader="none" w:pos="1820" w:val="left"/>
        </w:tabs>
        <w:numPr>
          <w:ilvl w:val="1"/>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Excess Deferral. </w:t>
      </w:r>
      <w:r>
        <w:rPr>
          <w:rFonts w:ascii="Arial" w:cs="Arial" w:eastAsia="Arial" w:hAnsi="Arial"/>
          <w:sz w:val="19"/>
          <w:szCs w:val="19"/>
          <w:color w:val="auto"/>
        </w:rPr>
        <w:t>Elect to defer a portion of his or her base salary in excess of the IRS Compensation</w:t>
      </w:r>
    </w:p>
    <w:p>
      <w:pPr>
        <w:spacing w:after="0" w:line="2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Limit.</w:t>
      </w:r>
    </w:p>
    <w:p>
      <w:pPr>
        <w:spacing w:after="0" w:line="195" w:lineRule="exact"/>
        <w:rPr>
          <w:rFonts w:ascii="Arial" w:cs="Arial" w:eastAsia="Arial" w:hAnsi="Arial"/>
          <w:sz w:val="19"/>
          <w:szCs w:val="19"/>
          <w:color w:val="auto"/>
        </w:rPr>
      </w:pPr>
    </w:p>
    <w:p>
      <w:pPr>
        <w:ind w:right="180" w:firstLine="644"/>
        <w:spacing w:after="0" w:line="235" w:lineRule="auto"/>
        <w:tabs>
          <w:tab w:leader="none" w:pos="1183"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Election Amount. </w:t>
      </w:r>
      <w:r>
        <w:rPr>
          <w:rFonts w:ascii="Arial" w:cs="Arial" w:eastAsia="Arial" w:hAnsi="Arial"/>
          <w:sz w:val="22"/>
          <w:szCs w:val="22"/>
          <w:color w:val="auto"/>
        </w:rPr>
        <w:t>An Eligible Employee who makes an Elective Compensation Deferral election as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Section 4.1(a), must designate on the Election Form at least one of the following:</w:t>
      </w:r>
    </w:p>
    <w:p>
      <w:pPr>
        <w:spacing w:after="0" w:line="193" w:lineRule="exact"/>
        <w:rPr>
          <w:rFonts w:ascii="Arial" w:cs="Arial" w:eastAsia="Arial" w:hAnsi="Arial"/>
          <w:sz w:val="22"/>
          <w:szCs w:val="22"/>
          <w:color w:val="auto"/>
        </w:rPr>
      </w:pPr>
    </w:p>
    <w:p>
      <w:pPr>
        <w:ind w:left="640" w:right="420" w:firstLine="652"/>
        <w:spacing w:after="0" w:line="235" w:lineRule="auto"/>
        <w:tabs>
          <w:tab w:leader="none" w:pos="1816" w:val="left"/>
        </w:tabs>
        <w:numPr>
          <w:ilvl w:val="1"/>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Direct Deferral of Base Salary. </w:t>
      </w:r>
      <w:r>
        <w:rPr>
          <w:rFonts w:ascii="Arial" w:cs="Arial" w:eastAsia="Arial" w:hAnsi="Arial"/>
          <w:sz w:val="22"/>
          <w:szCs w:val="22"/>
          <w:color w:val="auto"/>
        </w:rPr>
        <w:t>The percentage of base salary to be deferred in a whole percentage</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one (1) and fifty (50) percent;</w:t>
      </w:r>
    </w:p>
    <w:p>
      <w:pPr>
        <w:spacing w:after="0" w:line="179" w:lineRule="exact"/>
        <w:rPr>
          <w:rFonts w:ascii="Arial" w:cs="Arial" w:eastAsia="Arial" w:hAnsi="Arial"/>
          <w:sz w:val="22"/>
          <w:szCs w:val="22"/>
          <w:color w:val="auto"/>
        </w:rPr>
      </w:pPr>
    </w:p>
    <w:p>
      <w:pPr>
        <w:ind w:left="640" w:right="480" w:firstLine="651"/>
        <w:spacing w:after="0" w:line="216" w:lineRule="auto"/>
        <w:tabs>
          <w:tab w:leader="none" w:pos="1822" w:val="left"/>
        </w:tabs>
        <w:numPr>
          <w:ilvl w:val="1"/>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Excess Deferral of Base Salary. </w:t>
      </w:r>
      <w:r>
        <w:rPr>
          <w:rFonts w:ascii="Arial" w:cs="Arial" w:eastAsia="Arial" w:hAnsi="Arial"/>
          <w:sz w:val="22"/>
          <w:szCs w:val="22"/>
          <w:color w:val="auto"/>
        </w:rPr>
        <w:t>The percentage of base salary in excess of the IRS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Limit to be deferred in a whole percentage between one (1) and fifty</w:t>
      </w:r>
    </w:p>
    <w:p>
      <w:pPr>
        <w:ind w:left="640"/>
        <w:spacing w:after="0"/>
        <w:rPr>
          <w:rFonts w:ascii="Arial" w:cs="Arial" w:eastAsia="Arial" w:hAnsi="Arial"/>
          <w:sz w:val="22"/>
          <w:szCs w:val="22"/>
          <w:color w:val="auto"/>
        </w:rPr>
      </w:pPr>
      <w:r>
        <w:rPr>
          <w:rFonts w:ascii="Arial" w:cs="Arial" w:eastAsia="Arial" w:hAnsi="Arial"/>
          <w:sz w:val="22"/>
          <w:szCs w:val="22"/>
          <w:color w:val="auto"/>
        </w:rPr>
        <w:t>(50) percent;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80"/>
          </w:cols>
          <w:pgMar w:left="440" w:top="1440" w:right="579" w:bottom="1440" w:gutter="0" w:footer="0" w:header="0"/>
        </w:sectPr>
      </w:pPr>
    </w:p>
    <w:bookmarkStart w:id="65" w:name="page66"/>
    <w:bookmarkEnd w:id="65"/>
    <w:p>
      <w:pPr>
        <w:spacing w:after="0" w:line="198" w:lineRule="exact"/>
        <w:rPr>
          <w:sz w:val="20"/>
          <w:szCs w:val="20"/>
          <w:color w:val="auto"/>
        </w:rPr>
      </w:pPr>
    </w:p>
    <w:p>
      <w:pPr>
        <w:ind w:left="640" w:right="480" w:firstLine="652"/>
        <w:spacing w:after="0" w:line="235" w:lineRule="auto"/>
        <w:tabs>
          <w:tab w:leader="none" w:pos="1828"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Direct Deferral of Annual Incentive Award. </w:t>
      </w:r>
      <w:r>
        <w:rPr>
          <w:rFonts w:ascii="Arial" w:cs="Arial" w:eastAsia="Arial" w:hAnsi="Arial"/>
          <w:sz w:val="22"/>
          <w:szCs w:val="22"/>
          <w:color w:val="auto"/>
        </w:rPr>
        <w:t>The percentage of any Annual Incentive Award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in a whole percentage between one (1) and eighty (80) percent.</w:t>
      </w:r>
    </w:p>
    <w:p>
      <w:pPr>
        <w:spacing w:after="0" w:line="179" w:lineRule="exact"/>
        <w:rPr>
          <w:rFonts w:ascii="Arial" w:cs="Arial" w:eastAsia="Arial" w:hAnsi="Arial"/>
          <w:sz w:val="22"/>
          <w:szCs w:val="22"/>
          <w:color w:val="auto"/>
        </w:rPr>
      </w:pPr>
    </w:p>
    <w:p>
      <w:pPr>
        <w:jc w:val="both"/>
        <w:ind w:left="640" w:right="60" w:firstLine="652"/>
        <w:spacing w:after="0" w:line="225" w:lineRule="auto"/>
        <w:tabs>
          <w:tab w:leader="none" w:pos="1816"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Base Salary Limitation. </w:t>
      </w:r>
      <w:r>
        <w:rPr>
          <w:rFonts w:ascii="Arial" w:cs="Arial" w:eastAsia="Arial" w:hAnsi="Arial"/>
          <w:sz w:val="22"/>
          <w:szCs w:val="22"/>
          <w:color w:val="auto"/>
        </w:rPr>
        <w:t>The maximum combined percentage of base salary that an Eligible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may elect to defer for any calendar year under both paragraphs (i) and (ii) of Section 4.1(b) shall not exceed fifty (50) percent.</w:t>
      </w:r>
    </w:p>
    <w:p>
      <w:pPr>
        <w:spacing w:after="0" w:line="193" w:lineRule="exact"/>
        <w:rPr>
          <w:sz w:val="20"/>
          <w:szCs w:val="20"/>
          <w:color w:val="auto"/>
        </w:rPr>
      </w:pPr>
    </w:p>
    <w:p>
      <w:pPr>
        <w:ind w:firstLine="644"/>
        <w:spacing w:after="0" w:line="213" w:lineRule="auto"/>
        <w:tabs>
          <w:tab w:leader="none" w:pos="118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Election Date. </w:t>
      </w:r>
      <w:r>
        <w:rPr>
          <w:rFonts w:ascii="Arial" w:cs="Arial" w:eastAsia="Arial" w:hAnsi="Arial"/>
          <w:sz w:val="22"/>
          <w:szCs w:val="22"/>
          <w:color w:val="auto"/>
        </w:rPr>
        <w:t>For an election to defer base salary, an Election Form must be completed and submitted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no later than the December 31 immediately preceding the calendar year to which the election applies, or such earlier date as the Committee may specify. For an election to defer an Annual Incentive Award with respect to services to be performed in the current calendar year and otherwise payable in the immediately following calendar year, an Election Form must be completed and submitted to the Committee no later than the June 30 of the current calendar year, or such earlier date as the Committee may specify. A new Election Form must be completed each year to defer either base salary and/or an Annual Incentive Award.</w:t>
      </w:r>
    </w:p>
    <w:p>
      <w:pPr>
        <w:spacing w:after="0" w:line="18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Except as provided below in Section 4.6 (Change in Distribution Election), the payment choices reflected on the Election Form shall be irrevocable on the election deadline specified by the Committee. If an Eligible Employee or Participant fails to submit a properly completed Election Form by the election deadline, the Eligible Employee or Participant will be ineligible to make an Elective Compensation Deferral.</w:t>
      </w:r>
    </w:p>
    <w:p>
      <w:pPr>
        <w:spacing w:after="0" w:line="195" w:lineRule="exact"/>
        <w:rPr>
          <w:sz w:val="20"/>
          <w:szCs w:val="20"/>
          <w:color w:val="auto"/>
        </w:rPr>
      </w:pPr>
    </w:p>
    <w:p>
      <w:pPr>
        <w:ind w:right="60" w:firstLine="643"/>
        <w:spacing w:after="0" w:line="221" w:lineRule="auto"/>
        <w:tabs>
          <w:tab w:leader="none" w:pos="1183"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 xml:space="preserve">Deferral Allocation. </w:t>
      </w:r>
      <w:r>
        <w:rPr>
          <w:rFonts w:ascii="Arial" w:cs="Arial" w:eastAsia="Arial" w:hAnsi="Arial"/>
          <w:sz w:val="21"/>
          <w:szCs w:val="21"/>
          <w:color w:val="auto"/>
        </w:rPr>
        <w:t>An Eligible Employee or Participant shall specify in the Election Form,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percentages, how the amounts to be deferred in the immediately following calendar year are to be allocated among his or her Separation from Service Account and/or one or more Specified Year Accounts, including among any existing active Specified Year Accounts. A Participant may allocate to an existing active Specified Year Account so long as the Specified Deferral Year for such Specified Year Account is no earlier than the second calendar year following the calendar year in which such compensation is otherwise payable. By way of illustration, a Participant may use a Specified Year Account with a Specified Deferral Year of 2027 to defer compensation otherwise payable in 2025 but may not use such Specified Year Account with respect to compensation otherwise payable in 2026. To the extent that the Eligible Employee or Participant fails to make an effective allocation among the available accounts, the deferral shall be allocated entirely to her or her Separation from Service Account.</w:t>
      </w:r>
    </w:p>
    <w:p>
      <w:pPr>
        <w:spacing w:after="0" w:line="192" w:lineRule="exact"/>
        <w:rPr>
          <w:rFonts w:ascii="Arial" w:cs="Arial" w:eastAsia="Arial" w:hAnsi="Arial"/>
          <w:sz w:val="21"/>
          <w:szCs w:val="21"/>
          <w:color w:val="auto"/>
        </w:rPr>
      </w:pPr>
    </w:p>
    <w:p>
      <w:pPr>
        <w:ind w:right="240" w:firstLine="643"/>
        <w:spacing w:after="0" w:line="225" w:lineRule="auto"/>
        <w:tabs>
          <w:tab w:leader="none" w:pos="1185"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 xml:space="preserve">Deferral Period. </w:t>
      </w:r>
      <w:r>
        <w:rPr>
          <w:rFonts w:ascii="Arial" w:cs="Arial" w:eastAsia="Arial" w:hAnsi="Arial"/>
          <w:sz w:val="21"/>
          <w:szCs w:val="21"/>
          <w:color w:val="auto"/>
        </w:rPr>
        <w:t>For each Specified Year Account, an Eligible Employee or Participant may elect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Deferral Year that is no earlier than the calendar year immediately following the Minimum Deferral Period and no later than the calendar year immediately following the Maximum Deferral Period. Failure to specify a Specific Deferral Year for a Specified Year Account shall result in a deferral for the Minimum Deferral Period with a Specific Deferral Year that is the calendar year immediately following the Minimum Deferral Period. For the Separation from Service Account, the Deferral Period will end on the date of Participant’s Separation from Service.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4.2 – Distribution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60"/>
          </w:cols>
          <w:pgMar w:left="440" w:top="1440" w:right="499" w:bottom="1440" w:gutter="0" w:footer="0" w:header="0"/>
        </w:sectPr>
      </w:pPr>
    </w:p>
    <w:bookmarkStart w:id="66" w:name="page67"/>
    <w:bookmarkEnd w:id="66"/>
    <w:p>
      <w:pPr>
        <w:spacing w:after="0" w:line="198" w:lineRule="exact"/>
        <w:rPr>
          <w:sz w:val="20"/>
          <w:szCs w:val="20"/>
          <w:color w:val="auto"/>
        </w:rPr>
      </w:pPr>
    </w:p>
    <w:p>
      <w:pPr>
        <w:ind w:left="4" w:right="340" w:firstLine="644"/>
        <w:spacing w:after="0" w:line="216" w:lineRule="auto"/>
        <w:tabs>
          <w:tab w:leader="none" w:pos="1189" w:val="left"/>
        </w:tabs>
        <w:numPr>
          <w:ilvl w:val="1"/>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Separation from Service Account. </w:t>
      </w:r>
      <w:r>
        <w:rPr>
          <w:rFonts w:ascii="Arial" w:cs="Arial" w:eastAsia="Arial" w:hAnsi="Arial"/>
          <w:sz w:val="22"/>
          <w:szCs w:val="22"/>
          <w:color w:val="auto"/>
        </w:rPr>
        <w:t>At the first to occur of (i) the first Elective Compensation Deferral under</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4.1 to the Participant’s Separation from Service Account, or</w:t>
      </w:r>
    </w:p>
    <w:p>
      <w:pPr>
        <w:ind w:left="4" w:right="440" w:hanging="4"/>
        <w:spacing w:after="0" w:line="224" w:lineRule="auto"/>
        <w:tabs>
          <w:tab w:leader="none" w:pos="322" w:val="left"/>
        </w:tabs>
        <w:numPr>
          <w:ilvl w:val="0"/>
          <w:numId w:val="33"/>
        </w:numPr>
        <w:rPr>
          <w:rFonts w:ascii="Arial" w:cs="Arial" w:eastAsia="Arial" w:hAnsi="Arial"/>
          <w:sz w:val="21"/>
          <w:szCs w:val="21"/>
          <w:color w:val="auto"/>
        </w:rPr>
      </w:pPr>
      <w:r>
        <w:rPr>
          <w:rFonts w:ascii="Arial" w:cs="Arial" w:eastAsia="Arial" w:hAnsi="Arial"/>
          <w:sz w:val="21"/>
          <w:szCs w:val="21"/>
          <w:color w:val="auto"/>
        </w:rPr>
        <w:t>within 30 days of notification of participation for Company Retirement Contributions and/or Company Matching Contribution under Section 3.2, respectively, the Participant must, on or before the election deadline established by the Committee, specify in the Election Form a distribution election to have the Participant’s Separation from Service Account distributed in a lump sum or in two (2) to fifteen (15) annual installments.</w:t>
      </w:r>
    </w:p>
    <w:p>
      <w:pPr>
        <w:spacing w:after="0" w:line="181" w:lineRule="exact"/>
        <w:rPr>
          <w:rFonts w:ascii="Arial" w:cs="Arial" w:eastAsia="Arial" w:hAnsi="Arial"/>
          <w:sz w:val="21"/>
          <w:szCs w:val="21"/>
          <w:color w:val="auto"/>
        </w:rPr>
      </w:pPr>
    </w:p>
    <w:p>
      <w:pPr>
        <w:ind w:left="4" w:right="40" w:firstLine="643"/>
        <w:spacing w:after="0" w:line="220" w:lineRule="auto"/>
        <w:tabs>
          <w:tab w:leader="none" w:pos="1187"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Specified Year Accounts. </w:t>
      </w:r>
      <w:r>
        <w:rPr>
          <w:rFonts w:ascii="Arial" w:cs="Arial" w:eastAsia="Arial" w:hAnsi="Arial"/>
          <w:sz w:val="22"/>
          <w:szCs w:val="22"/>
          <w:color w:val="auto"/>
        </w:rPr>
        <w:t>At the time the Participant makes an Elective Compensation Deferral to a Specified</w:t>
      </w:r>
      <w:r>
        <w:rPr>
          <w:rFonts w:ascii="Arial" w:cs="Arial" w:eastAsia="Arial" w:hAnsi="Arial"/>
          <w:sz w:val="22"/>
          <w:szCs w:val="22"/>
          <w:b w:val="1"/>
          <w:bCs w:val="1"/>
          <w:color w:val="auto"/>
        </w:rPr>
        <w:t xml:space="preserve"> </w:t>
      </w:r>
      <w:r>
        <w:rPr>
          <w:rFonts w:ascii="Arial" w:cs="Arial" w:eastAsia="Arial" w:hAnsi="Arial"/>
          <w:sz w:val="22"/>
          <w:szCs w:val="22"/>
          <w:color w:val="auto"/>
        </w:rPr>
        <w:t>Year Account under Section 4.1, the Participant must, on or before the election deadline established by the Committee, specify in the Election Form a distribution election to have the Participant’s Specified Year Account distributed in a lump sum or in two (2) to fifteen (15) annual installments.</w:t>
      </w:r>
    </w:p>
    <w:p>
      <w:pPr>
        <w:spacing w:after="0" w:line="192" w:lineRule="exact"/>
        <w:rPr>
          <w:rFonts w:ascii="Arial" w:cs="Arial" w:eastAsia="Arial" w:hAnsi="Arial"/>
          <w:sz w:val="22"/>
          <w:szCs w:val="22"/>
          <w:color w:val="auto"/>
        </w:rPr>
      </w:pPr>
    </w:p>
    <w:p>
      <w:pPr>
        <w:ind w:left="4" w:right="280" w:firstLine="643"/>
        <w:spacing w:after="0" w:line="230" w:lineRule="auto"/>
        <w:tabs>
          <w:tab w:leader="none" w:pos="1189" w:val="left"/>
        </w:tabs>
        <w:numPr>
          <w:ilvl w:val="1"/>
          <w:numId w:val="33"/>
        </w:numPr>
        <w:rPr>
          <w:rFonts w:ascii="Arial" w:cs="Arial" w:eastAsia="Arial" w:hAnsi="Arial"/>
          <w:sz w:val="21"/>
          <w:szCs w:val="21"/>
          <w:color w:val="auto"/>
        </w:rPr>
      </w:pPr>
      <w:r>
        <w:rPr>
          <w:rFonts w:ascii="Arial" w:cs="Arial" w:eastAsia="Arial" w:hAnsi="Arial"/>
          <w:sz w:val="21"/>
          <w:szCs w:val="21"/>
          <w:b w:val="1"/>
          <w:bCs w:val="1"/>
          <w:color w:val="auto"/>
        </w:rPr>
        <w:t xml:space="preserve">Default Form of Distribution. </w:t>
      </w:r>
      <w:r>
        <w:rPr>
          <w:rFonts w:ascii="Arial" w:cs="Arial" w:eastAsia="Arial" w:hAnsi="Arial"/>
          <w:sz w:val="21"/>
          <w:szCs w:val="21"/>
          <w:color w:val="auto"/>
        </w:rPr>
        <w:t>To the extent no distribution election is made with respect to a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Plan Account as provided in paragraphs (a) or (b) of this Section 4.2, the default form of distribution will be ten (10) annual installments. Except as provided below in Section 4.6 (Change in Distribution Election), the choices reflected on the Participant’s Election Form shall be irrevocable on the election deadline.</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4.3 – Timing of Elective Contributions</w:t>
      </w:r>
    </w:p>
    <w:p>
      <w:pPr>
        <w:spacing w:after="0" w:line="226" w:lineRule="exact"/>
        <w:rPr>
          <w:sz w:val="20"/>
          <w:szCs w:val="20"/>
          <w:color w:val="auto"/>
        </w:rPr>
      </w:pPr>
    </w:p>
    <w:p>
      <w:pPr>
        <w:jc w:val="both"/>
        <w:ind w:left="4" w:right="280" w:firstLine="648"/>
        <w:spacing w:after="0" w:line="298" w:lineRule="auto"/>
        <w:rPr>
          <w:sz w:val="20"/>
          <w:szCs w:val="20"/>
          <w:color w:val="auto"/>
        </w:rPr>
      </w:pPr>
      <w:r>
        <w:rPr>
          <w:rFonts w:ascii="Arial" w:cs="Arial" w:eastAsia="Arial" w:hAnsi="Arial"/>
          <w:sz w:val="19"/>
          <w:szCs w:val="19"/>
          <w:color w:val="auto"/>
        </w:rPr>
        <w:t>Allocation of Elective Contribution Deferrals by the Corporation to a Participant’s Separation from Service Account or any Specified Year Account, as applicable, shall be made no less frequently than annually with respect to each Plan Year.</w:t>
      </w:r>
    </w:p>
    <w:p>
      <w:pPr>
        <w:spacing w:after="0" w:line="140"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4.4 – Vesting</w:t>
      </w:r>
    </w:p>
    <w:p>
      <w:pPr>
        <w:spacing w:after="0" w:line="212" w:lineRule="exact"/>
        <w:rPr>
          <w:sz w:val="20"/>
          <w:szCs w:val="20"/>
          <w:color w:val="auto"/>
        </w:rPr>
      </w:pPr>
    </w:p>
    <w:p>
      <w:pPr>
        <w:ind w:left="4" w:firstLine="648"/>
        <w:spacing w:after="0" w:line="232" w:lineRule="auto"/>
        <w:rPr>
          <w:sz w:val="20"/>
          <w:szCs w:val="20"/>
          <w:color w:val="auto"/>
        </w:rPr>
      </w:pPr>
      <w:r>
        <w:rPr>
          <w:rFonts w:ascii="Arial" w:cs="Arial" w:eastAsia="Arial" w:hAnsi="Arial"/>
          <w:sz w:val="22"/>
          <w:szCs w:val="22"/>
          <w:color w:val="auto"/>
        </w:rPr>
        <w:t>A Participant shall be one hundred (100) percent vested in his or her Elective Compensation Deferrals into the Plan and any associated earnings.</w:t>
      </w:r>
    </w:p>
    <w:p>
      <w:pPr>
        <w:spacing w:after="0" w:line="193"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4.5 – Investment Fund Allocations</w:t>
      </w:r>
    </w:p>
    <w:p>
      <w:pPr>
        <w:spacing w:after="0" w:line="226" w:lineRule="exact"/>
        <w:rPr>
          <w:sz w:val="20"/>
          <w:szCs w:val="20"/>
          <w:color w:val="auto"/>
        </w:rPr>
      </w:pPr>
    </w:p>
    <w:p>
      <w:pPr>
        <w:ind w:left="4" w:right="260" w:firstLine="648"/>
        <w:spacing w:after="0" w:line="257" w:lineRule="auto"/>
        <w:rPr>
          <w:sz w:val="20"/>
          <w:szCs w:val="20"/>
          <w:color w:val="auto"/>
        </w:rPr>
      </w:pPr>
      <w:r>
        <w:rPr>
          <w:rFonts w:ascii="Arial" w:cs="Arial" w:eastAsia="Arial" w:hAnsi="Arial"/>
          <w:sz w:val="19"/>
          <w:szCs w:val="19"/>
          <w:color w:val="auto"/>
        </w:rPr>
        <w:t>Elective Contribution Deferrals credited to a Participants Separation from Service Account or any Specified Year Accounts, as applicable, shall be allocated to the Default Investment Option, unless the Participant has made alternative investment elections. Participants may change the asset allocation of their existing Separation from Service Account or Specified Year Accounts, or the Investment Funds to which new contributions are allocated, as permitted by the Committee.</w:t>
      </w:r>
    </w:p>
    <w:p>
      <w:pPr>
        <w:spacing w:after="0" w:line="165" w:lineRule="exact"/>
        <w:rPr>
          <w:sz w:val="20"/>
          <w:szCs w:val="20"/>
          <w:color w:val="auto"/>
        </w:rPr>
      </w:pPr>
    </w:p>
    <w:p>
      <w:pPr>
        <w:ind w:left="644"/>
        <w:spacing w:after="0"/>
        <w:rPr>
          <w:sz w:val="20"/>
          <w:szCs w:val="20"/>
          <w:color w:val="auto"/>
        </w:rPr>
      </w:pPr>
      <w:r>
        <w:rPr>
          <w:rFonts w:ascii="Arial" w:cs="Arial" w:eastAsia="Arial" w:hAnsi="Arial"/>
          <w:sz w:val="22"/>
          <w:szCs w:val="22"/>
          <w:b w:val="1"/>
          <w:bCs w:val="1"/>
          <w:color w:val="auto"/>
        </w:rPr>
        <w:t>Section 4.6 – Change in Distribution Election</w:t>
      </w:r>
    </w:p>
    <w:p>
      <w:pPr>
        <w:spacing w:after="0" w:line="226" w:lineRule="exact"/>
        <w:rPr>
          <w:sz w:val="20"/>
          <w:szCs w:val="20"/>
          <w:color w:val="auto"/>
        </w:rPr>
      </w:pPr>
    </w:p>
    <w:p>
      <w:pPr>
        <w:ind w:left="4" w:right="300" w:firstLine="648"/>
        <w:spacing w:after="0" w:line="218" w:lineRule="auto"/>
        <w:rPr>
          <w:sz w:val="20"/>
          <w:szCs w:val="20"/>
          <w:color w:val="auto"/>
        </w:rPr>
      </w:pPr>
      <w:r>
        <w:rPr>
          <w:rFonts w:ascii="Arial" w:cs="Arial" w:eastAsia="Arial" w:hAnsi="Arial"/>
          <w:sz w:val="22"/>
          <w:szCs w:val="22"/>
          <w:color w:val="auto"/>
        </w:rPr>
        <w:t>A Participant may make an irrevocable election to change the time or form of distribution, either by changing the number of installments (including changing to or from a lump sum), the commencement date, or both, for his or her Separation from Service Account or any of his or her Specified Year Accounts. A change to the time or form of distribution must meet all of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84"/>
          </w:cols>
          <w:pgMar w:left="436" w:top="1440" w:right="479" w:bottom="1440" w:gutter="0" w:footer="0" w:header="0"/>
        </w:sectPr>
      </w:pPr>
    </w:p>
    <w:bookmarkStart w:id="67" w:name="page68"/>
    <w:bookmarkEnd w:id="67"/>
    <w:p>
      <w:pPr>
        <w:spacing w:after="0" w:line="204" w:lineRule="exact"/>
        <w:rPr>
          <w:sz w:val="20"/>
          <w:szCs w:val="20"/>
          <w:color w:val="auto"/>
        </w:rPr>
      </w:pPr>
    </w:p>
    <w:p>
      <w:pPr>
        <w:ind w:left="5" w:right="420" w:firstLine="644"/>
        <w:spacing w:after="0" w:line="223" w:lineRule="auto"/>
        <w:tabs>
          <w:tab w:leader="none" w:pos="11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new election must be made at least twelve (12) months prior to the date on which distributions will commence under the current election (and the new election shall be ineffective if the Participant incurs a Separation from Service within twelve (12) months after the date of the new election);</w:t>
      </w:r>
    </w:p>
    <w:p>
      <w:pPr>
        <w:spacing w:after="0" w:line="185" w:lineRule="exact"/>
        <w:rPr>
          <w:rFonts w:ascii="Arial" w:cs="Arial" w:eastAsia="Arial" w:hAnsi="Arial"/>
          <w:sz w:val="22"/>
          <w:szCs w:val="22"/>
          <w:color w:val="auto"/>
        </w:rPr>
      </w:pPr>
    </w:p>
    <w:p>
      <w:pPr>
        <w:ind w:left="5" w:right="280" w:firstLine="644"/>
        <w:spacing w:after="0" w:line="232" w:lineRule="auto"/>
        <w:tabs>
          <w:tab w:leader="none" w:pos="118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new election shall not take effect until at least twelve (12) months after the date when the new election is submitted in a manner acceptable to the Committee; and</w:t>
      </w:r>
    </w:p>
    <w:p>
      <w:pPr>
        <w:spacing w:after="0" w:line="199" w:lineRule="exact"/>
        <w:rPr>
          <w:rFonts w:ascii="Arial" w:cs="Arial" w:eastAsia="Arial" w:hAnsi="Arial"/>
          <w:sz w:val="22"/>
          <w:szCs w:val="22"/>
          <w:color w:val="auto"/>
        </w:rPr>
      </w:pPr>
    </w:p>
    <w:p>
      <w:pPr>
        <w:ind w:left="5" w:right="1040" w:firstLine="643"/>
        <w:spacing w:after="0" w:line="232" w:lineRule="auto"/>
        <w:tabs>
          <w:tab w:leader="none" w:pos="11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new distribution commencement date must be at least five (5) years later than the date on which distributions would commence under the current election.</w:t>
      </w:r>
    </w:p>
    <w:p>
      <w:pPr>
        <w:spacing w:after="0" w:line="186" w:lineRule="exact"/>
        <w:rPr>
          <w:sz w:val="20"/>
          <w:szCs w:val="20"/>
          <w:color w:val="auto"/>
        </w:rPr>
      </w:pPr>
    </w:p>
    <w:p>
      <w:pPr>
        <w:ind w:left="645"/>
        <w:spacing w:after="0"/>
        <w:rPr>
          <w:sz w:val="20"/>
          <w:szCs w:val="20"/>
          <w:color w:val="auto"/>
        </w:rPr>
      </w:pPr>
      <w:r>
        <w:rPr>
          <w:rFonts w:ascii="Arial" w:cs="Arial" w:eastAsia="Arial" w:hAnsi="Arial"/>
          <w:sz w:val="22"/>
          <w:szCs w:val="22"/>
          <w:color w:val="auto"/>
        </w:rPr>
        <w:t>A maximum of three change elections shall be allowed under the Plan.</w:t>
      </w:r>
    </w:p>
    <w:p>
      <w:pPr>
        <w:spacing w:after="0" w:line="376" w:lineRule="exact"/>
        <w:rPr>
          <w:sz w:val="20"/>
          <w:szCs w:val="20"/>
          <w:color w:val="auto"/>
        </w:rPr>
      </w:pPr>
    </w:p>
    <w:p>
      <w:pPr>
        <w:ind w:left="5"/>
        <w:spacing w:after="0"/>
        <w:rPr>
          <w:sz w:val="20"/>
          <w:szCs w:val="20"/>
          <w:color w:val="auto"/>
        </w:rPr>
      </w:pPr>
      <w:r>
        <w:rPr>
          <w:rFonts w:ascii="Arial" w:cs="Arial" w:eastAsia="Arial" w:hAnsi="Arial"/>
          <w:sz w:val="22"/>
          <w:szCs w:val="22"/>
          <w:b w:val="1"/>
          <w:bCs w:val="1"/>
          <w:u w:val="single" w:color="auto"/>
          <w:color w:val="auto"/>
        </w:rPr>
        <w:t>ARTICLE V – COMPANY CONTRIBUTIONS</w:t>
      </w:r>
    </w:p>
    <w:p>
      <w:pPr>
        <w:spacing w:after="0" w:line="206"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5.1 – Company Retirement Contributions</w:t>
      </w:r>
    </w:p>
    <w:p>
      <w:pPr>
        <w:spacing w:after="0" w:line="220" w:lineRule="exact"/>
        <w:rPr>
          <w:sz w:val="20"/>
          <w:szCs w:val="20"/>
          <w:color w:val="auto"/>
        </w:rPr>
      </w:pPr>
    </w:p>
    <w:p>
      <w:pPr>
        <w:ind w:left="5" w:firstLine="644"/>
        <w:spacing w:after="0" w:line="217" w:lineRule="auto"/>
        <w:tabs>
          <w:tab w:leader="none" w:pos="1190"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Each Eligible Employee or Participant who is eligible for a Company Retirement Contribution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the RTX Qualified Savings Plan for a Plan Year shall be eligible for a Company Retirement Contribution under this Plan upon the first to occur of the Participant reaching the IRS Contribution Limit or the IRS Compensation Limit under the RTX Qualified Savings Plan for such Plan Year, regardless of whether the Eligible Employee or Participant has elected to contribute to this Plan.</w:t>
      </w:r>
    </w:p>
    <w:p>
      <w:pPr>
        <w:spacing w:after="0" w:line="192" w:lineRule="exact"/>
        <w:rPr>
          <w:rFonts w:ascii="Arial" w:cs="Arial" w:eastAsia="Arial" w:hAnsi="Arial"/>
          <w:sz w:val="22"/>
          <w:szCs w:val="22"/>
          <w:color w:val="auto"/>
        </w:rPr>
      </w:pPr>
    </w:p>
    <w:p>
      <w:pPr>
        <w:ind w:left="5" w:right="500" w:firstLine="644"/>
        <w:spacing w:after="0" w:line="235" w:lineRule="auto"/>
        <w:tabs>
          <w:tab w:leader="none" w:pos="1188"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Allocation. </w:t>
      </w:r>
      <w:r>
        <w:rPr>
          <w:rFonts w:ascii="Arial" w:cs="Arial" w:eastAsia="Arial" w:hAnsi="Arial"/>
          <w:sz w:val="22"/>
          <w:szCs w:val="22"/>
          <w:color w:val="auto"/>
        </w:rPr>
        <w:t>Company Retirement Contributions shall be allocated exclusively to a Participant’s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Service Account.</w:t>
      </w:r>
    </w:p>
    <w:p>
      <w:pPr>
        <w:spacing w:after="0" w:line="179" w:lineRule="exact"/>
        <w:rPr>
          <w:rFonts w:ascii="Arial" w:cs="Arial" w:eastAsia="Arial" w:hAnsi="Arial"/>
          <w:sz w:val="22"/>
          <w:szCs w:val="22"/>
          <w:color w:val="auto"/>
        </w:rPr>
      </w:pPr>
    </w:p>
    <w:p>
      <w:pPr>
        <w:ind w:left="1185" w:hanging="537"/>
        <w:spacing w:after="0"/>
        <w:tabs>
          <w:tab w:leader="none" w:pos="1185"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Amount. </w:t>
      </w:r>
      <w:r>
        <w:rPr>
          <w:rFonts w:ascii="Arial" w:cs="Arial" w:eastAsia="Arial" w:hAnsi="Arial"/>
          <w:sz w:val="19"/>
          <w:szCs w:val="19"/>
          <w:color w:val="auto"/>
        </w:rPr>
        <w:t>The Company Retirement Contribution made pursuant to this Section 5.1 shall be an amount equal to</w:t>
      </w:r>
    </w:p>
    <w:p>
      <w:pPr>
        <w:spacing w:after="0" w:line="21" w:lineRule="exact"/>
        <w:rPr>
          <w:rFonts w:ascii="Arial" w:cs="Arial" w:eastAsia="Arial" w:hAnsi="Arial"/>
          <w:sz w:val="19"/>
          <w:szCs w:val="19"/>
          <w:color w:val="auto"/>
        </w:rPr>
      </w:pPr>
    </w:p>
    <w:p>
      <w:pPr>
        <w:ind w:left="5" w:right="440" w:hanging="5"/>
        <w:spacing w:after="0" w:line="204" w:lineRule="auto"/>
        <w:tabs>
          <w:tab w:leader="none" w:pos="311" w:val="left"/>
        </w:tabs>
        <w:numPr>
          <w:ilvl w:val="0"/>
          <w:numId w:val="36"/>
        </w:numPr>
        <w:rPr>
          <w:rFonts w:ascii="Arial" w:cs="Arial" w:eastAsia="Arial" w:hAnsi="Arial"/>
          <w:sz w:val="22"/>
          <w:szCs w:val="22"/>
          <w:color w:val="auto"/>
        </w:rPr>
      </w:pPr>
      <w:r>
        <w:rPr>
          <w:rFonts w:ascii="Arial" w:cs="Arial" w:eastAsia="Arial" w:hAnsi="Arial"/>
          <w:sz w:val="22"/>
          <w:szCs w:val="22"/>
          <w:color w:val="auto"/>
        </w:rPr>
        <w:t>minus (2) where (1) equals the Company Retirement Contribution that would have been made on behalf of such Participant under the RTX Qualified Savings Plan in the absence of the IRS Contribution Limit or the IRS Compensation Limit for the Plan Year and</w:t>
      </w:r>
    </w:p>
    <w:p>
      <w:pPr>
        <w:spacing w:after="0" w:line="2" w:lineRule="exact"/>
        <w:rPr>
          <w:rFonts w:ascii="Arial" w:cs="Arial" w:eastAsia="Arial" w:hAnsi="Arial"/>
          <w:sz w:val="22"/>
          <w:szCs w:val="22"/>
          <w:color w:val="auto"/>
        </w:rPr>
      </w:pPr>
    </w:p>
    <w:p>
      <w:pPr>
        <w:ind w:left="5" w:right="100" w:hanging="5"/>
        <w:spacing w:after="0" w:line="224" w:lineRule="auto"/>
        <w:tabs>
          <w:tab w:leader="none" w:pos="311" w:val="left"/>
        </w:tabs>
        <w:numPr>
          <w:ilvl w:val="0"/>
          <w:numId w:val="36"/>
        </w:numPr>
        <w:rPr>
          <w:rFonts w:ascii="Arial" w:cs="Arial" w:eastAsia="Arial" w:hAnsi="Arial"/>
          <w:sz w:val="22"/>
          <w:szCs w:val="22"/>
          <w:color w:val="auto"/>
        </w:rPr>
      </w:pPr>
      <w:r>
        <w:rPr>
          <w:rFonts w:ascii="Arial" w:cs="Arial" w:eastAsia="Arial" w:hAnsi="Arial"/>
          <w:sz w:val="22"/>
          <w:szCs w:val="22"/>
          <w:color w:val="auto"/>
        </w:rPr>
        <w:t>equals the actual Company Retirement Contribution made on behalf of such Participant under the RTX Qualified Savings Plan for such Plan Year.</w:t>
      </w:r>
    </w:p>
    <w:p>
      <w:pPr>
        <w:spacing w:after="0" w:line="192" w:lineRule="exact"/>
        <w:rPr>
          <w:rFonts w:ascii="Arial" w:cs="Arial" w:eastAsia="Arial" w:hAnsi="Arial"/>
          <w:sz w:val="22"/>
          <w:szCs w:val="22"/>
          <w:color w:val="auto"/>
        </w:rPr>
      </w:pPr>
    </w:p>
    <w:p>
      <w:pPr>
        <w:ind w:left="5" w:right="200" w:firstLine="643"/>
        <w:spacing w:after="0" w:line="217" w:lineRule="auto"/>
        <w:tabs>
          <w:tab w:leader="none" w:pos="1188" w:val="left"/>
        </w:tabs>
        <w:numPr>
          <w:ilvl w:val="1"/>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No Duplication. </w:t>
      </w:r>
      <w:r>
        <w:rPr>
          <w:rFonts w:ascii="Arial" w:cs="Arial" w:eastAsia="Arial" w:hAnsi="Arial"/>
          <w:sz w:val="22"/>
          <w:szCs w:val="22"/>
          <w:color w:val="auto"/>
        </w:rPr>
        <w:t>In no event shall a Participant be eligible for Company Retirement Contributions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Plan if and to the extent that (i) Company Retirement Contributions are made under the RTX Qualified Savings Plan for the same Eligible Earnings or (ii) Company Retirement Contributions under this Plan would otherwise result in a duplication of benefits (e.g., if amounts are credited under this Plan or any other Company deferred compensation plan with respect to the same Eligible Earnings).</w:t>
      </w:r>
    </w:p>
    <w:p>
      <w:pPr>
        <w:spacing w:after="0" w:line="193"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5.2 – Company Matching Contribution Eligibility to Account for IRS Compensation Limit</w:t>
      </w:r>
    </w:p>
    <w:p>
      <w:pPr>
        <w:spacing w:after="0" w:line="206" w:lineRule="exact"/>
        <w:rPr>
          <w:sz w:val="20"/>
          <w:szCs w:val="20"/>
          <w:color w:val="auto"/>
        </w:rPr>
      </w:pPr>
    </w:p>
    <w:p>
      <w:pPr>
        <w:jc w:val="both"/>
        <w:ind w:left="5" w:right="80" w:firstLine="644"/>
        <w:spacing w:after="0" w:line="225" w:lineRule="auto"/>
        <w:tabs>
          <w:tab w:leader="none" w:pos="119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Each Participant who is eligible for a Company Matching Contribution under the terms of the RTX</w:t>
      </w:r>
      <w:r>
        <w:rPr>
          <w:rFonts w:ascii="Arial" w:cs="Arial" w:eastAsia="Arial" w:hAnsi="Arial"/>
          <w:sz w:val="22"/>
          <w:szCs w:val="22"/>
          <w:b w:val="1"/>
          <w:bCs w:val="1"/>
          <w:color w:val="auto"/>
        </w:rPr>
        <w:t xml:space="preserve"> </w:t>
      </w:r>
      <w:r>
        <w:rPr>
          <w:rFonts w:ascii="Arial" w:cs="Arial" w:eastAsia="Arial" w:hAnsi="Arial"/>
          <w:sz w:val="22"/>
          <w:szCs w:val="22"/>
          <w:color w:val="auto"/>
        </w:rPr>
        <w:t>Qualified Savings Plan for a Plan Year shall be eligible for a Company Matching Contribution under this Section 5.2 for such Plan Year upon reaching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05"/>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05"/>
          </w:cols>
          <w:pgMar w:left="435" w:top="1440" w:right="559" w:bottom="1440" w:gutter="0" w:footer="0" w:header="0"/>
        </w:sectPr>
      </w:pPr>
    </w:p>
    <w:bookmarkStart w:id="68" w:name="page69"/>
    <w:bookmarkEnd w:id="68"/>
    <w:p>
      <w:pPr>
        <w:spacing w:after="0" w:line="204" w:lineRule="exact"/>
        <w:rPr>
          <w:sz w:val="20"/>
          <w:szCs w:val="20"/>
          <w:color w:val="auto"/>
        </w:rPr>
      </w:pPr>
    </w:p>
    <w:p>
      <w:pPr>
        <w:ind w:left="5" w:right="460"/>
        <w:spacing w:after="0" w:line="223" w:lineRule="auto"/>
        <w:rPr>
          <w:sz w:val="20"/>
          <w:szCs w:val="20"/>
          <w:color w:val="auto"/>
        </w:rPr>
      </w:pPr>
      <w:r>
        <w:rPr>
          <w:rFonts w:ascii="Arial" w:cs="Arial" w:eastAsia="Arial" w:hAnsi="Arial"/>
          <w:sz w:val="22"/>
          <w:szCs w:val="22"/>
          <w:color w:val="auto"/>
        </w:rPr>
        <w:t>Compensation Limit under the RTX Qualified Savings Plan, to the extent that the Participant has made an Elective Compensation Deferral under this Plan for such Plan Year and only with respect to Eligible Earnings in excess of the IRS Compensation Limit.</w:t>
      </w:r>
    </w:p>
    <w:p>
      <w:pPr>
        <w:spacing w:after="0" w:line="180" w:lineRule="exact"/>
        <w:rPr>
          <w:sz w:val="20"/>
          <w:szCs w:val="20"/>
          <w:color w:val="auto"/>
        </w:rPr>
      </w:pPr>
    </w:p>
    <w:p>
      <w:pPr>
        <w:ind w:left="5" w:right="660" w:firstLine="644"/>
        <w:spacing w:after="0" w:line="235" w:lineRule="auto"/>
        <w:tabs>
          <w:tab w:leader="none" w:pos="1188"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Allocation. </w:t>
      </w:r>
      <w:r>
        <w:rPr>
          <w:rFonts w:ascii="Arial" w:cs="Arial" w:eastAsia="Arial" w:hAnsi="Arial"/>
          <w:sz w:val="22"/>
          <w:szCs w:val="22"/>
          <w:color w:val="auto"/>
        </w:rPr>
        <w:t>Company Matching Contributions shall be allocated exclusively to a Participant’s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Service Account.</w:t>
      </w:r>
    </w:p>
    <w:p>
      <w:pPr>
        <w:spacing w:after="0" w:line="193" w:lineRule="exact"/>
        <w:rPr>
          <w:rFonts w:ascii="Arial" w:cs="Arial" w:eastAsia="Arial" w:hAnsi="Arial"/>
          <w:sz w:val="22"/>
          <w:szCs w:val="22"/>
          <w:color w:val="auto"/>
        </w:rPr>
      </w:pPr>
    </w:p>
    <w:p>
      <w:pPr>
        <w:ind w:left="5" w:right="220" w:firstLine="643"/>
        <w:spacing w:after="0" w:line="223" w:lineRule="auto"/>
        <w:tabs>
          <w:tab w:leader="none" w:pos="1190"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Amount. </w:t>
      </w:r>
      <w:r>
        <w:rPr>
          <w:rFonts w:ascii="Arial" w:cs="Arial" w:eastAsia="Arial" w:hAnsi="Arial"/>
          <w:sz w:val="21"/>
          <w:szCs w:val="21"/>
          <w:color w:val="auto"/>
        </w:rPr>
        <w:t>The Company Matching Contribution made pursuant to this Section 5.2 due to the application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IRS Compensation Limit shall be an amount equal to a percentage of the Participant’s applicable Elective Compensation Deferral (but only taking into account Eligible Earnings in excess of the IRS Compensation Limit), calculated based upon the Company Matching Contribution formula (as in effect from time to time) applicable to the Participant under the RTX Qualified Savings Plan for such Plan Year, which for the avoidance of doubt, shall be based on the percentage of Eligible Earnings in excess of the IRS Compensation Limit that would have been matched under the RTX Qualified Savings Plan without regard to the IRS Compensation Limit.</w:t>
      </w:r>
    </w:p>
    <w:p>
      <w:pPr>
        <w:spacing w:after="0" w:line="184" w:lineRule="exact"/>
        <w:rPr>
          <w:rFonts w:ascii="Arial" w:cs="Arial" w:eastAsia="Arial" w:hAnsi="Arial"/>
          <w:sz w:val="21"/>
          <w:szCs w:val="21"/>
          <w:color w:val="auto"/>
        </w:rPr>
      </w:pPr>
    </w:p>
    <w:p>
      <w:pPr>
        <w:ind w:left="5" w:right="40" w:firstLine="643"/>
        <w:spacing w:after="0" w:line="217" w:lineRule="auto"/>
        <w:tabs>
          <w:tab w:leader="none" w:pos="1188"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No Duplication. </w:t>
      </w:r>
      <w:r>
        <w:rPr>
          <w:rFonts w:ascii="Arial" w:cs="Arial" w:eastAsia="Arial" w:hAnsi="Arial"/>
          <w:sz w:val="22"/>
          <w:szCs w:val="22"/>
          <w:color w:val="auto"/>
        </w:rPr>
        <w:t>In no event shall a Participant be eligible for Company Matching Contributions under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if and to the extent that (i) Company Matching Contributions are made under the RTX Qualified Savings Plan for the same Eligible Earnings or (ii) Company Matching Contributions under this Plan would otherwise result in a duplication of benefits (e.g., if amounts are credited under this Plan or any other Company deferred compensation plan with respect to the same Eligible Earnings).</w:t>
      </w:r>
    </w:p>
    <w:p>
      <w:pPr>
        <w:spacing w:after="0" w:line="193"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5.3 – Company Matching Contribution to Account for IRS Contribution Limit</w:t>
      </w:r>
    </w:p>
    <w:p>
      <w:pPr>
        <w:spacing w:after="0" w:line="220" w:lineRule="exact"/>
        <w:rPr>
          <w:sz w:val="20"/>
          <w:szCs w:val="20"/>
          <w:color w:val="auto"/>
        </w:rPr>
      </w:pPr>
    </w:p>
    <w:p>
      <w:pPr>
        <w:ind w:left="5" w:firstLine="643"/>
        <w:spacing w:after="0" w:line="213" w:lineRule="auto"/>
        <w:tabs>
          <w:tab w:leader="none" w:pos="119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Each Eligible Employee or Participant who is eligible for a Company Matching Contribution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the RTX Qualified Savings Plan for a Plan Year shall be eligible for a Company Matching Contribution under this Section 5.3 upon the Eligible Employee or Participant reaching the IRS Contribution Limitation under the RTX Qualified Savings Plan for such Plan Year before reaching the IRS Compensation Limitation under the RTX Qualified Savings Plan for such Plan Year; provided that the Eligible Employee or Participant has made the maximum elective deferrals to the RTX Qualified Savings Plan permitted under Section 402(g) of the Code or the terms of the RTX Qualified Savings Plan for such Plan Year.</w:t>
      </w:r>
    </w:p>
    <w:p>
      <w:pPr>
        <w:spacing w:after="0" w:line="195" w:lineRule="exact"/>
        <w:rPr>
          <w:rFonts w:ascii="Arial" w:cs="Arial" w:eastAsia="Arial" w:hAnsi="Arial"/>
          <w:sz w:val="22"/>
          <w:szCs w:val="22"/>
          <w:color w:val="auto"/>
        </w:rPr>
      </w:pPr>
    </w:p>
    <w:p>
      <w:pPr>
        <w:ind w:left="1185" w:hanging="537"/>
        <w:spacing w:after="0"/>
        <w:tabs>
          <w:tab w:leader="none" w:pos="1185"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 xml:space="preserve">Allocation. </w:t>
      </w:r>
      <w:r>
        <w:rPr>
          <w:rFonts w:ascii="Arial" w:cs="Arial" w:eastAsia="Arial" w:hAnsi="Arial"/>
          <w:sz w:val="21"/>
          <w:szCs w:val="21"/>
          <w:color w:val="auto"/>
        </w:rPr>
        <w:t>Company Matching Contributions shall be allocated exclusively to a Participant’s Separation</w:t>
      </w:r>
    </w:p>
    <w:p>
      <w:pPr>
        <w:ind w:left="5"/>
        <w:spacing w:after="0"/>
        <w:rPr>
          <w:sz w:val="20"/>
          <w:szCs w:val="20"/>
          <w:color w:val="auto"/>
        </w:rPr>
      </w:pPr>
      <w:r>
        <w:rPr>
          <w:rFonts w:ascii="Arial" w:cs="Arial" w:eastAsia="Arial" w:hAnsi="Arial"/>
          <w:sz w:val="22"/>
          <w:szCs w:val="22"/>
          <w:color w:val="auto"/>
        </w:rPr>
        <w:t>from Service Account.</w:t>
      </w:r>
    </w:p>
    <w:p>
      <w:pPr>
        <w:spacing w:after="0" w:line="182" w:lineRule="exact"/>
        <w:rPr>
          <w:sz w:val="20"/>
          <w:szCs w:val="20"/>
          <w:color w:val="auto"/>
        </w:rPr>
      </w:pPr>
    </w:p>
    <w:p>
      <w:pPr>
        <w:ind w:left="5" w:right="220" w:firstLine="643"/>
        <w:spacing w:after="0" w:line="216" w:lineRule="auto"/>
        <w:tabs>
          <w:tab w:leader="none" w:pos="1190"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Amount. </w:t>
      </w:r>
      <w:r>
        <w:rPr>
          <w:rFonts w:ascii="Arial" w:cs="Arial" w:eastAsia="Arial" w:hAnsi="Arial"/>
          <w:sz w:val="22"/>
          <w:szCs w:val="22"/>
          <w:color w:val="auto"/>
        </w:rPr>
        <w:t>The Company Matching Contribution made pursuant to this Section 5.3 due to the application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IRS Contribution Limit shall be an amount equal to (1) minus (2) where</w:t>
      </w:r>
    </w:p>
    <w:p>
      <w:pPr>
        <w:ind w:left="5" w:right="60" w:hanging="5"/>
        <w:spacing w:after="0" w:line="221" w:lineRule="auto"/>
        <w:tabs>
          <w:tab w:leader="none" w:pos="311" w:val="left"/>
        </w:tabs>
        <w:numPr>
          <w:ilvl w:val="0"/>
          <w:numId w:val="41"/>
        </w:numPr>
        <w:rPr>
          <w:rFonts w:ascii="Arial" w:cs="Arial" w:eastAsia="Arial" w:hAnsi="Arial"/>
          <w:sz w:val="21"/>
          <w:szCs w:val="21"/>
          <w:color w:val="auto"/>
        </w:rPr>
      </w:pPr>
      <w:r>
        <w:rPr>
          <w:rFonts w:ascii="Arial" w:cs="Arial" w:eastAsia="Arial" w:hAnsi="Arial"/>
          <w:sz w:val="21"/>
          <w:szCs w:val="21"/>
          <w:color w:val="auto"/>
        </w:rPr>
        <w:t>equals the Company Matching Contribution that would have been made on behalf of such Participant under the RTX Qualified Savings Plan in the absence of the IRS Contribution Limit for the Plan Year (but taking into account the IRS Compensation Limit) and (2) equals the actual Company Matching Contribution made on behalf of such Participant under the RTX Qualified Savings Plan for such Plan Year. Such contribution shall be made assuming that the Participant would have continued to contribute at least six percent (6%) of the Participant’s Eligible Earnings (or if the matching formula changes under the RTX Qualified Savings Plan, the minimum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65"/>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45"/>
          </w:cols>
          <w:pgMar w:left="435" w:top="1440" w:right="519" w:bottom="1440" w:gutter="0" w:footer="0" w:header="0"/>
        </w:sectPr>
      </w:pPr>
    </w:p>
    <w:bookmarkStart w:id="69" w:name="page70"/>
    <w:bookmarkEnd w:id="69"/>
    <w:p>
      <w:pPr>
        <w:spacing w:after="0" w:line="204" w:lineRule="exact"/>
        <w:rPr>
          <w:sz w:val="20"/>
          <w:szCs w:val="20"/>
          <w:color w:val="auto"/>
        </w:rPr>
      </w:pPr>
    </w:p>
    <w:p>
      <w:pPr>
        <w:ind w:right="160"/>
        <w:spacing w:after="0" w:line="232" w:lineRule="auto"/>
        <w:rPr>
          <w:sz w:val="20"/>
          <w:szCs w:val="20"/>
          <w:color w:val="auto"/>
        </w:rPr>
      </w:pPr>
      <w:r>
        <w:rPr>
          <w:rFonts w:ascii="Arial" w:cs="Arial" w:eastAsia="Arial" w:hAnsi="Arial"/>
          <w:sz w:val="22"/>
          <w:szCs w:val="22"/>
          <w:color w:val="auto"/>
        </w:rPr>
        <w:t>necessary to receive the maximum match under the RTX Qualified Savings Plan) if the Participant were permitted to do so but for the IRS Contribution Limit.</w:t>
      </w:r>
    </w:p>
    <w:p>
      <w:pPr>
        <w:spacing w:after="0" w:line="180" w:lineRule="exact"/>
        <w:rPr>
          <w:sz w:val="20"/>
          <w:szCs w:val="20"/>
          <w:color w:val="auto"/>
        </w:rPr>
      </w:pPr>
    </w:p>
    <w:p>
      <w:pPr>
        <w:ind w:right="200" w:firstLine="644"/>
        <w:spacing w:after="0" w:line="217" w:lineRule="auto"/>
        <w:tabs>
          <w:tab w:leader="none" w:pos="1183"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No Duplication. </w:t>
      </w:r>
      <w:r>
        <w:rPr>
          <w:rFonts w:ascii="Arial" w:cs="Arial" w:eastAsia="Arial" w:hAnsi="Arial"/>
          <w:sz w:val="22"/>
          <w:szCs w:val="22"/>
          <w:color w:val="auto"/>
        </w:rPr>
        <w:t>In no event shall a Participant be eligible for Company Matching Contributions under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if and to the extent that (i) Company Matching Contributions are made under the RTX Qualified Savings Plan for the same Eligible Earnings or (ii) the Company Matching Contributions under this Plan would otherwise result in a duplication of benefits (e.g., if amounts are credited under this Plan or any other Company deferred compensation plan with respect to the same Eligible Earnings).</w:t>
      </w:r>
    </w:p>
    <w:p>
      <w:pPr>
        <w:spacing w:after="0" w:line="193" w:lineRule="exact"/>
        <w:rPr>
          <w:sz w:val="20"/>
          <w:szCs w:val="20"/>
          <w:color w:val="auto"/>
        </w:rPr>
      </w:pPr>
    </w:p>
    <w:p>
      <w:pPr>
        <w:ind w:right="340" w:firstLine="648"/>
        <w:spacing w:after="0" w:line="235" w:lineRule="auto"/>
        <w:rPr>
          <w:sz w:val="20"/>
          <w:szCs w:val="20"/>
          <w:color w:val="auto"/>
        </w:rPr>
      </w:pPr>
      <w:r>
        <w:rPr>
          <w:rFonts w:ascii="Arial" w:cs="Arial" w:eastAsia="Arial" w:hAnsi="Arial"/>
          <w:sz w:val="22"/>
          <w:szCs w:val="22"/>
          <w:b w:val="1"/>
          <w:bCs w:val="1"/>
          <w:color w:val="auto"/>
        </w:rPr>
        <w:t>Section 5.4 – Company Retirement Contributions and Company Matching Contributions consisting of Benefit Reduction Contributions</w:t>
      </w:r>
    </w:p>
    <w:p>
      <w:pPr>
        <w:spacing w:after="0" w:line="180" w:lineRule="exact"/>
        <w:rPr>
          <w:sz w:val="20"/>
          <w:szCs w:val="20"/>
          <w:color w:val="auto"/>
        </w:rPr>
      </w:pPr>
    </w:p>
    <w:p>
      <w:pPr>
        <w:ind w:right="980" w:firstLine="643"/>
        <w:spacing w:after="0" w:line="235" w:lineRule="auto"/>
        <w:tabs>
          <w:tab w:leader="none" w:pos="1185"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Eligibility. </w:t>
      </w:r>
      <w:r>
        <w:rPr>
          <w:rFonts w:ascii="Arial" w:cs="Arial" w:eastAsia="Arial" w:hAnsi="Arial"/>
          <w:sz w:val="22"/>
          <w:szCs w:val="22"/>
          <w:color w:val="auto"/>
        </w:rPr>
        <w:t>To the extent that a Participant made Elective Compensation Deferrals for a Plan Year, such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shall receive a Benefit Reduction Contribution for such Plan Year.</w:t>
      </w:r>
    </w:p>
    <w:p>
      <w:pPr>
        <w:spacing w:after="0" w:line="193" w:lineRule="exact"/>
        <w:rPr>
          <w:rFonts w:ascii="Arial" w:cs="Arial" w:eastAsia="Arial" w:hAnsi="Arial"/>
          <w:sz w:val="22"/>
          <w:szCs w:val="22"/>
          <w:color w:val="auto"/>
        </w:rPr>
      </w:pPr>
    </w:p>
    <w:p>
      <w:pPr>
        <w:ind w:right="980" w:firstLine="643"/>
        <w:spacing w:after="0" w:line="235" w:lineRule="auto"/>
        <w:tabs>
          <w:tab w:leader="none" w:pos="118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Allocation. </w:t>
      </w:r>
      <w:r>
        <w:rPr>
          <w:rFonts w:ascii="Arial" w:cs="Arial" w:eastAsia="Arial" w:hAnsi="Arial"/>
          <w:sz w:val="22"/>
          <w:szCs w:val="22"/>
          <w:color w:val="auto"/>
        </w:rPr>
        <w:t>Benefit Reduction Contributions shall be allocated exclusively to a Participant’s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Service Account.</w:t>
      </w:r>
    </w:p>
    <w:p>
      <w:pPr>
        <w:spacing w:after="0" w:line="193" w:lineRule="exact"/>
        <w:rPr>
          <w:rFonts w:ascii="Arial" w:cs="Arial" w:eastAsia="Arial" w:hAnsi="Arial"/>
          <w:sz w:val="22"/>
          <w:szCs w:val="22"/>
          <w:color w:val="auto"/>
        </w:rPr>
      </w:pPr>
    </w:p>
    <w:p>
      <w:pPr>
        <w:ind w:right="180" w:firstLine="643"/>
        <w:spacing w:after="0" w:line="250" w:lineRule="auto"/>
        <w:tabs>
          <w:tab w:leader="none" w:pos="1185"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Amount. </w:t>
      </w:r>
      <w:r>
        <w:rPr>
          <w:rFonts w:ascii="Arial" w:cs="Arial" w:eastAsia="Arial" w:hAnsi="Arial"/>
          <w:sz w:val="19"/>
          <w:szCs w:val="19"/>
          <w:color w:val="auto"/>
        </w:rPr>
        <w:t>The Benefit Reduction Contribution for a Plan Year shall be an amount equal to the reduction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Matching Contribution and/or the Company Retirement Contribution for such Participant for such Plan Year under the RTX Qualified Savings Plan as a result of the reduction of such Participant’s Eligible Earnings under the RTX Qualified Savings Plan due to the Elective Compensation Deferral by the Participant under this Plan for such Plan Year; provided that for purposes of calculating the Benefit Reduction Contributions, the Company Matching Contribution shall be made only with respect to Elective Compensation Deferrals not matched under Section 5.2.</w:t>
      </w:r>
    </w:p>
    <w:p>
      <w:pPr>
        <w:spacing w:after="0" w:line="173" w:lineRule="exact"/>
        <w:rPr>
          <w:rFonts w:ascii="Arial" w:cs="Arial" w:eastAsia="Arial" w:hAnsi="Arial"/>
          <w:sz w:val="19"/>
          <w:szCs w:val="19"/>
          <w:color w:val="auto"/>
        </w:rPr>
      </w:pPr>
    </w:p>
    <w:p>
      <w:pPr>
        <w:ind w:right="140" w:firstLine="643"/>
        <w:spacing w:after="0" w:line="217" w:lineRule="auto"/>
        <w:tabs>
          <w:tab w:leader="none" w:pos="118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No Duplication. </w:t>
      </w:r>
      <w:r>
        <w:rPr>
          <w:rFonts w:ascii="Arial" w:cs="Arial" w:eastAsia="Arial" w:hAnsi="Arial"/>
          <w:sz w:val="22"/>
          <w:szCs w:val="22"/>
          <w:color w:val="auto"/>
        </w:rPr>
        <w:t>In no event shall a Participant be eligible for a Benefit Reduction Contribution under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if and to the extent that (i) Company Matching Contributions and Company Retirement Contributions are made under the RTX Qualified Savings Plan for the same Eligible Earnings or (ii) such Benefit Reduction Contribution would otherwise result in a duplication of benefits (e.g., if amounts are credited under this Plan or any other Company deferred compensation plan with respect to the same Eligible Earnings).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5.5 – Timing of Company Contributions</w:t>
      </w:r>
    </w:p>
    <w:p>
      <w:pPr>
        <w:spacing w:after="0" w:line="226" w:lineRule="exact"/>
        <w:rPr>
          <w:sz w:val="20"/>
          <w:szCs w:val="20"/>
          <w:color w:val="auto"/>
        </w:rPr>
      </w:pPr>
    </w:p>
    <w:p>
      <w:pPr>
        <w:ind w:right="840" w:firstLine="648"/>
        <w:spacing w:after="0" w:line="232" w:lineRule="auto"/>
        <w:rPr>
          <w:sz w:val="20"/>
          <w:szCs w:val="20"/>
          <w:color w:val="auto"/>
        </w:rPr>
      </w:pPr>
      <w:r>
        <w:rPr>
          <w:rFonts w:ascii="Arial" w:cs="Arial" w:eastAsia="Arial" w:hAnsi="Arial"/>
          <w:sz w:val="22"/>
          <w:szCs w:val="22"/>
          <w:color w:val="auto"/>
        </w:rPr>
        <w:t>Allocation of Company Contributions to a Participant’s Separation from Service Account shall be made no less frequently than annually with respect to each Plan Year.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5.6 – Discretionary Contributions</w:t>
      </w:r>
    </w:p>
    <w:p>
      <w:pPr>
        <w:spacing w:after="0" w:line="226" w:lineRule="exact"/>
        <w:rPr>
          <w:sz w:val="20"/>
          <w:szCs w:val="20"/>
          <w:color w:val="auto"/>
        </w:rPr>
      </w:pPr>
    </w:p>
    <w:p>
      <w:pPr>
        <w:ind w:firstLine="702"/>
        <w:spacing w:after="0" w:line="298" w:lineRule="auto"/>
        <w:rPr>
          <w:sz w:val="20"/>
          <w:szCs w:val="20"/>
          <w:color w:val="auto"/>
        </w:rPr>
      </w:pPr>
      <w:r>
        <w:rPr>
          <w:rFonts w:ascii="Arial" w:cs="Arial" w:eastAsia="Arial" w:hAnsi="Arial"/>
          <w:sz w:val="19"/>
          <w:szCs w:val="19"/>
          <w:color w:val="auto"/>
        </w:rPr>
        <w:t>The Corporation may in its sole discretion credit additional amounts to a Participant’s Separation from Service Account, may specify vesting requirements applicable to such additional amounts, and need not treat Participants uniformly.</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5.7 – Investment of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00"/>
          </w:cols>
          <w:pgMar w:left="440" w:top="1440" w:right="359" w:bottom="1440" w:gutter="0" w:footer="0" w:header="0"/>
        </w:sectPr>
      </w:pPr>
    </w:p>
    <w:bookmarkStart w:id="70" w:name="page71"/>
    <w:bookmarkEnd w:id="70"/>
    <w:p>
      <w:pPr>
        <w:spacing w:after="0" w:line="204" w:lineRule="exact"/>
        <w:rPr>
          <w:sz w:val="20"/>
          <w:szCs w:val="20"/>
          <w:color w:val="auto"/>
        </w:rPr>
      </w:pPr>
    </w:p>
    <w:p>
      <w:pPr>
        <w:ind w:right="160" w:firstLine="648"/>
        <w:spacing w:after="0" w:line="229" w:lineRule="auto"/>
        <w:rPr>
          <w:sz w:val="20"/>
          <w:szCs w:val="20"/>
          <w:color w:val="auto"/>
        </w:rPr>
      </w:pPr>
      <w:r>
        <w:rPr>
          <w:rFonts w:ascii="Arial" w:cs="Arial" w:eastAsia="Arial" w:hAnsi="Arial"/>
          <w:sz w:val="21"/>
          <w:szCs w:val="21"/>
          <w:color w:val="auto"/>
        </w:rPr>
        <w:t>Company Contributions under Sections 5.1, 5.2, 5.3, 5.4, and 5.6 credited to a Participant’s Separation from Service Account will be allocated to the Default Investment Option, unless the Participant has made alternative investment elections. Participants may change the asset allocation of their Separation from Service Account balance, or the Investment Funds to which new contributions are allocated, as permitted by the Committee.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5.8 – Vesting of Company Contributions</w:t>
      </w:r>
    </w:p>
    <w:p>
      <w:pPr>
        <w:spacing w:after="0" w:line="226"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A Participant shall be vested in the value of Company Contributions (other than Discretionary Contributions) credited to his or her Plan Account under this Article V, upon the first to occur of the following: (a) completion of two (2) years of “Continuous Service” (as defined in the RTX Qualified Savings Plan); (b) attainment of age sixty-five (65) while employed by an RTX Company; (c) the death or Disability of the Participant while employed by an RTX Company; (d) involuntary not for Cause Separation from Service; or (e) the Participant’s entrance into United States military service before completing two (2) years of “Continuous Service.” For the avoidance of doubt, where a Participant is terminated for Cause, the Participant’s Company Contributions shall forfeit.</w:t>
      </w:r>
    </w:p>
    <w:p>
      <w:pPr>
        <w:spacing w:after="0" w:line="347" w:lineRule="exact"/>
        <w:rPr>
          <w:sz w:val="20"/>
          <w:szCs w:val="20"/>
          <w:color w:val="auto"/>
        </w:rPr>
      </w:pPr>
    </w:p>
    <w:p>
      <w:pPr>
        <w:jc w:val="center"/>
        <w:ind w:right="7600"/>
        <w:spacing w:after="0"/>
        <w:rPr>
          <w:sz w:val="20"/>
          <w:szCs w:val="20"/>
          <w:color w:val="auto"/>
        </w:rPr>
      </w:pPr>
      <w:r>
        <w:rPr>
          <w:rFonts w:ascii="Arial" w:cs="Arial" w:eastAsia="Arial" w:hAnsi="Arial"/>
          <w:sz w:val="21"/>
          <w:szCs w:val="21"/>
          <w:b w:val="1"/>
          <w:bCs w:val="1"/>
          <w:u w:val="single" w:color="auto"/>
          <w:color w:val="auto"/>
        </w:rPr>
        <w:t>ARTICLE VI – PLAN ACCOUNTS</w:t>
      </w:r>
    </w:p>
    <w:p>
      <w:pPr>
        <w:spacing w:after="0" w:line="231" w:lineRule="exact"/>
        <w:rPr>
          <w:sz w:val="20"/>
          <w:szCs w:val="20"/>
          <w:color w:val="auto"/>
        </w:rPr>
      </w:pPr>
    </w:p>
    <w:p>
      <w:pPr>
        <w:jc w:val="center"/>
        <w:ind w:right="7580"/>
        <w:spacing w:after="0"/>
        <w:rPr>
          <w:sz w:val="20"/>
          <w:szCs w:val="20"/>
          <w:color w:val="auto"/>
        </w:rPr>
      </w:pPr>
      <w:r>
        <w:rPr>
          <w:rFonts w:ascii="Arial" w:cs="Arial" w:eastAsia="Arial" w:hAnsi="Arial"/>
          <w:sz w:val="22"/>
          <w:szCs w:val="22"/>
          <w:b w:val="1"/>
          <w:bCs w:val="1"/>
          <w:color w:val="auto"/>
        </w:rPr>
        <w:t>Section 6.1 – Accounts</w:t>
      </w:r>
    </w:p>
    <w:p>
      <w:pPr>
        <w:spacing w:after="0" w:line="212"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A Plan Account will be established for each Participant. Elective Compensation Deferrals and Company Contributions made under the Plan shall be allocated or reallocated among Investment Funds in accordance with the Plan terms and each Participant’s instructions in the manner set forth in Section 4.5 and Section 5.7.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6.2 – Valuation of Investment Funds</w:t>
      </w:r>
    </w:p>
    <w:p>
      <w:pPr>
        <w:spacing w:after="0" w:line="226" w:lineRule="exact"/>
        <w:rPr>
          <w:sz w:val="20"/>
          <w:szCs w:val="20"/>
          <w:color w:val="auto"/>
        </w:rPr>
      </w:pPr>
    </w:p>
    <w:p>
      <w:pPr>
        <w:ind w:right="180" w:firstLine="648"/>
        <w:spacing w:after="0" w:line="229" w:lineRule="auto"/>
        <w:rPr>
          <w:sz w:val="20"/>
          <w:szCs w:val="20"/>
          <w:color w:val="auto"/>
        </w:rPr>
      </w:pPr>
      <w:r>
        <w:rPr>
          <w:rFonts w:ascii="Arial" w:cs="Arial" w:eastAsia="Arial" w:hAnsi="Arial"/>
          <w:sz w:val="21"/>
          <w:szCs w:val="21"/>
          <w:color w:val="auto"/>
        </w:rPr>
        <w:t>Elective Compensation Deferrals and Company Contributions allocated to Investment Funds will be converted to the applicable Investment Fund units based on the closing share price of that Investment Fund as of the date the contribution is credited to the applicable Investment Fund. The value of the units of an Investment Fund will fluctuate on each business day based on the performance of the applicable Investment Fund.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6.3 – Reports to Participants</w:t>
      </w:r>
    </w:p>
    <w:p>
      <w:pPr>
        <w:spacing w:after="0" w:line="226" w:lineRule="exact"/>
        <w:rPr>
          <w:sz w:val="20"/>
          <w:szCs w:val="20"/>
          <w:color w:val="auto"/>
        </w:rPr>
      </w:pPr>
    </w:p>
    <w:p>
      <w:pPr>
        <w:ind w:right="20" w:firstLine="648"/>
        <w:spacing w:after="0" w:line="224" w:lineRule="auto"/>
        <w:rPr>
          <w:sz w:val="20"/>
          <w:szCs w:val="20"/>
          <w:color w:val="auto"/>
        </w:rPr>
      </w:pPr>
      <w:r>
        <w:rPr>
          <w:rFonts w:ascii="Arial" w:cs="Arial" w:eastAsia="Arial" w:hAnsi="Arial"/>
          <w:sz w:val="21"/>
          <w:szCs w:val="21"/>
          <w:color w:val="auto"/>
        </w:rPr>
        <w:t>The Committee will make available detailed information to Participants regarding the credited value of Plan Accounts, distribution elections, Beneficiary designations, and Investment Fund allocations. Such information may be provided via electronic media as determined by the Committee. No RTX Company, no director, officer or employee of an RTX Company, and no entity retained by an RTX Company to provide Plan services, shall have any liability to any Participant or Beneficiary for any failure or delay in providing such information, or for the results of any error (including the failure to implement any Investment Fund allocation) disclosed in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40"/>
          </w:cols>
          <w:pgMar w:left="440" w:top="1440" w:right="519" w:bottom="1440" w:gutter="0" w:footer="0" w:header="0"/>
        </w:sectPr>
      </w:pPr>
    </w:p>
    <w:bookmarkStart w:id="71" w:name="page72"/>
    <w:bookmarkEnd w:id="71"/>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 – VALUATION &amp; DISTRIBUTION OF PLAN ACCOUNTS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7.1 – Timing of Plan Distributions</w:t>
      </w:r>
    </w:p>
    <w:p>
      <w:pPr>
        <w:spacing w:after="0" w:line="226"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Except as provided in Section 4.6 (Change in Distribution Election), Section 7.4 (Separation from Service of Specified Employees), Section 7.5 (Death), and Section 7.6 (Accelerated Distribution in the Case of an Unforeseeable Emergency), the value of a Participant’s Plan Account will be distributed (or begin to be distributed) to the Participant in (a) April of the calendar year immediately following the calendar year of the Participant’s Separation from Service, with respect to a Separation from Service Account or (b) April of the Specific Deferral Year, with respect to a Specified Year Account.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7.2 – Method of Distribution</w:t>
      </w:r>
    </w:p>
    <w:p>
      <w:pPr>
        <w:spacing w:after="0" w:line="226"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Except as provided in Section 7.5 (Death) and Section 7.6 (Accelerated Distribution in the Case of an Unforeseeable Emergency), a Participant’s accounts under a Plan Account will be distributed to the Participant in a series of annual installment distributions, or in a single lump-sum distribution, in accordance with the Participant’s elections on file. For purposes of determining the amount to be distributed, except as otherwise expressly provided in this Plan or as otherwise determined by the Committee from time to time, the value of the Participant’s Plan Account shall be determined as of the 25th day of the month preceding the month in which the applicable distribution occurs.</w:t>
      </w:r>
    </w:p>
    <w:p>
      <w:pPr>
        <w:spacing w:after="0" w:line="268" w:lineRule="exact"/>
        <w:rPr>
          <w:sz w:val="20"/>
          <w:szCs w:val="20"/>
          <w:color w:val="auto"/>
        </w:rPr>
      </w:pPr>
    </w:p>
    <w:p>
      <w:pPr>
        <w:ind w:right="120" w:firstLine="648"/>
        <w:spacing w:after="0" w:line="221" w:lineRule="auto"/>
        <w:rPr>
          <w:sz w:val="20"/>
          <w:szCs w:val="20"/>
          <w:color w:val="auto"/>
        </w:rPr>
      </w:pPr>
      <w:r>
        <w:rPr>
          <w:rFonts w:ascii="Arial" w:cs="Arial" w:eastAsia="Arial" w:hAnsi="Arial"/>
          <w:sz w:val="21"/>
          <w:szCs w:val="21"/>
          <w:color w:val="auto"/>
        </w:rPr>
        <w:t>Annual installment distributions shall be payable to the Participant beginning on the distribution commencement date and continuing as of each anniversary of the distribution commencement date thereafter until all installments have been distributed. To determine the amount of each installment, the value of the Participant’s Plan Account will be multiplied by a fraction, the numerator of which is one and the denominator of which is the remaining number of scheduled installments. By way of illustration, if a Participant elects ten (10) annual installments, the amount of the first installment will be determined using one tenth (1/10th) of the Plan Account balance as of the valuation date, and the second distribution will be determined using one ninth (1/9th) of the Plan Account balance as of the valuation date and so on, until all installments have been distributed.</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7.3 – Form of Distribution</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Plan Account distributions will be made in cash.</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7.4 – Separation from Service of Specified Employees</w:t>
      </w:r>
    </w:p>
    <w:p>
      <w:pPr>
        <w:spacing w:after="0" w:line="226" w:lineRule="exact"/>
        <w:rPr>
          <w:sz w:val="20"/>
          <w:szCs w:val="20"/>
          <w:color w:val="auto"/>
        </w:rPr>
      </w:pPr>
    </w:p>
    <w:p>
      <w:pPr>
        <w:ind w:right="60" w:firstLine="648"/>
        <w:spacing w:after="0" w:line="222" w:lineRule="auto"/>
        <w:rPr>
          <w:sz w:val="20"/>
          <w:szCs w:val="20"/>
          <w:color w:val="auto"/>
        </w:rPr>
      </w:pPr>
      <w:r>
        <w:rPr>
          <w:rFonts w:ascii="Arial" w:cs="Arial" w:eastAsia="Arial" w:hAnsi="Arial"/>
          <w:sz w:val="21"/>
          <w:szCs w:val="21"/>
          <w:color w:val="auto"/>
        </w:rPr>
        <w:t>Distributions to a Participant, who is a Specified Employee at the time of Separation from Service, on account of such Separation from Service, will not be made or commence earlier than the first day of the seventh month following the date of Separation from Service. A Plan Account shall continue to accrue hypothetical investment gains and losses as provided in Article VI. For purposes of determining the amount to be distributed, the value of the Participant’s Plan Account will be determined as of the 25th day of the month (or as otherwise determined by the Committee from time to time) preceding the month in which the distribution occurs. Distribution shall be made in the first pay cycle on or after the first day of the seventh month following the Separation from Service.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20"/>
          </w:cols>
          <w:pgMar w:left="440" w:top="1440" w:right="539" w:bottom="1440" w:gutter="0" w:footer="0" w:header="0"/>
        </w:sectPr>
      </w:pPr>
    </w:p>
    <w:bookmarkStart w:id="72" w:name="page73"/>
    <w:bookmarkEnd w:id="72"/>
    <w:p>
      <w:pPr>
        <w:spacing w:after="0" w:line="204" w:lineRule="exact"/>
        <w:rPr>
          <w:sz w:val="20"/>
          <w:szCs w:val="20"/>
          <w:color w:val="auto"/>
        </w:rPr>
      </w:pPr>
    </w:p>
    <w:p>
      <w:pPr>
        <w:ind w:left="5" w:right="160"/>
        <w:spacing w:after="0" w:line="232" w:lineRule="auto"/>
        <w:rPr>
          <w:sz w:val="20"/>
          <w:szCs w:val="20"/>
          <w:color w:val="auto"/>
        </w:rPr>
      </w:pPr>
      <w:r>
        <w:rPr>
          <w:rFonts w:ascii="Arial" w:cs="Arial" w:eastAsia="Arial" w:hAnsi="Arial"/>
          <w:sz w:val="22"/>
          <w:szCs w:val="22"/>
          <w:color w:val="auto"/>
        </w:rPr>
        <w:t>case of a distribution in installments, the date of subsequent installments shall not be affected by the delay of any installment hereunder.</w:t>
      </w:r>
    </w:p>
    <w:p>
      <w:pPr>
        <w:spacing w:after="0" w:line="180"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7.5 – Death</w:t>
      </w:r>
    </w:p>
    <w:p>
      <w:pPr>
        <w:spacing w:after="0" w:line="220" w:lineRule="exact"/>
        <w:rPr>
          <w:sz w:val="20"/>
          <w:szCs w:val="20"/>
          <w:color w:val="auto"/>
        </w:rPr>
      </w:pPr>
    </w:p>
    <w:p>
      <w:pPr>
        <w:ind w:left="5" w:right="260" w:firstLine="644"/>
        <w:spacing w:after="0" w:line="217" w:lineRule="auto"/>
        <w:tabs>
          <w:tab w:leader="none" w:pos="119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Death Benefit. </w:t>
      </w:r>
      <w:r>
        <w:rPr>
          <w:rFonts w:ascii="Arial" w:cs="Arial" w:eastAsia="Arial" w:hAnsi="Arial"/>
          <w:sz w:val="22"/>
          <w:szCs w:val="22"/>
          <w:color w:val="auto"/>
        </w:rPr>
        <w:t>In the event of the death of a Participant before the Participant’s Plan Account has been fully</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distributed, the full remaining value of the Participant’s Plan Account will be distributed to the designated Beneficiary (if applicable), or the Participant’s estate, in a lump sum on the first business day of the third month following the Participant’s death. Upon notification of death, pending distribution, the value of the Participant’s Plan Account will be allocated to the Default Investment Option.</w:t>
      </w:r>
    </w:p>
    <w:p>
      <w:pPr>
        <w:spacing w:after="0" w:line="179" w:lineRule="exact"/>
        <w:rPr>
          <w:rFonts w:ascii="Arial" w:cs="Arial" w:eastAsia="Arial" w:hAnsi="Arial"/>
          <w:sz w:val="22"/>
          <w:szCs w:val="22"/>
          <w:color w:val="auto"/>
        </w:rPr>
      </w:pPr>
    </w:p>
    <w:p>
      <w:pPr>
        <w:ind w:left="5" w:firstLine="644"/>
        <w:spacing w:after="0" w:line="244" w:lineRule="auto"/>
        <w:tabs>
          <w:tab w:leader="none" w:pos="1188"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 xml:space="preserve">Beneficiary. </w:t>
      </w:r>
      <w:r>
        <w:rPr>
          <w:rFonts w:ascii="Arial" w:cs="Arial" w:eastAsia="Arial" w:hAnsi="Arial"/>
          <w:sz w:val="19"/>
          <w:szCs w:val="19"/>
          <w:color w:val="auto"/>
        </w:rPr>
        <w:t>Each Participant shall designate a Beneficiary for his or her Plan Account on an electronic or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form provided by the Committee. A Participant may change such designation on an electronic or written form acceptable to the Committee and any change will be effective on the date received by the Committee. Designations received after the date of the Participant’s death shall not be effective. If a Beneficiary designation is not filed with the Committee before the Participant’s death, or if the Beneficiary (and any contingent Beneficiary) does not survive the Participant, the value of the Participant’s Plan Account shall be paid to the Participant’s estate.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7.5.</w:t>
      </w:r>
    </w:p>
    <w:p>
      <w:pPr>
        <w:spacing w:after="0" w:line="189"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7.6 – Accelerated Distribution in the Case of an Unforeseeable Emergency</w:t>
      </w:r>
    </w:p>
    <w:p>
      <w:pPr>
        <w:spacing w:after="0" w:line="226" w:lineRule="exact"/>
        <w:rPr>
          <w:sz w:val="20"/>
          <w:szCs w:val="20"/>
          <w:color w:val="auto"/>
        </w:rPr>
      </w:pPr>
    </w:p>
    <w:p>
      <w:pPr>
        <w:ind w:left="5" w:firstLine="643"/>
        <w:spacing w:after="0" w:line="239" w:lineRule="auto"/>
        <w:tabs>
          <w:tab w:leader="none" w:pos="119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Committee may, upon a Participant’s written application, agree to an accelerated distribution of some or all of the value of a Participant’s Plan Account upon the occurrence of an Unforeseeable Emergency. An “Unforeseeable Emergency” is a severe financial hardship to the Participant resulting from (i) an illness or accident of the Participant, the Participant’s spouse, the Participant’s Beneficiary, or the Participant’s dependent (as defined in IRC Section 152, without regard to Section 152(b)(1), (b)(2), and (d)(1)(B)); (ii) loss of the Participant’s property due to casualty; or (iii) other similar extraordinary and unforeseeable circumstances arising as a result of events beyond the control of the Participant. Whether a Participant is faced with an Unforeseeable Emergency permitting a distribution to be made under the Plan is to be determined by the Committee based on the relevant facts and circumstances of each case. Acceleration will not be granted if (1) the Committee determines that the facts and circumstances do not meet the Plan requirements for an Unforeseeable Emergency, or</w:t>
      </w:r>
    </w:p>
    <w:p>
      <w:pPr>
        <w:spacing w:after="0" w:line="3" w:lineRule="exact"/>
        <w:rPr>
          <w:rFonts w:ascii="Arial" w:cs="Arial" w:eastAsia="Arial" w:hAnsi="Arial"/>
          <w:sz w:val="19"/>
          <w:szCs w:val="19"/>
          <w:color w:val="auto"/>
        </w:rPr>
      </w:pPr>
    </w:p>
    <w:p>
      <w:pPr>
        <w:ind w:left="5" w:right="220" w:hanging="5"/>
        <w:spacing w:after="0" w:line="278" w:lineRule="auto"/>
        <w:tabs>
          <w:tab w:leader="none" w:pos="311"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emergency is or may be relieved through reimbursement or compensation from insurance or otherwise, or by liquidation of the Participant’s assets (to the extent the liquidation of such assets would not cause severe financial hardship).</w:t>
      </w:r>
    </w:p>
    <w:p>
      <w:pPr>
        <w:spacing w:after="0" w:line="145" w:lineRule="exact"/>
        <w:rPr>
          <w:rFonts w:ascii="Arial" w:cs="Arial" w:eastAsia="Arial" w:hAnsi="Arial"/>
          <w:sz w:val="19"/>
          <w:szCs w:val="19"/>
          <w:color w:val="auto"/>
        </w:rPr>
      </w:pPr>
    </w:p>
    <w:p>
      <w:pPr>
        <w:ind w:left="1185" w:hanging="537"/>
        <w:spacing w:after="0"/>
        <w:tabs>
          <w:tab w:leader="none" w:pos="1185" w:val="left"/>
        </w:tabs>
        <w:numPr>
          <w:ilvl w:val="1"/>
          <w:numId w:val="46"/>
        </w:numPr>
        <w:rPr>
          <w:rFonts w:ascii="Arial" w:cs="Arial" w:eastAsia="Arial" w:hAnsi="Arial"/>
          <w:sz w:val="22"/>
          <w:szCs w:val="22"/>
          <w:color w:val="auto"/>
        </w:rPr>
      </w:pPr>
      <w:r>
        <w:rPr>
          <w:rFonts w:ascii="Arial" w:cs="Arial" w:eastAsia="Arial" w:hAnsi="Arial"/>
          <w:sz w:val="22"/>
          <w:szCs w:val="22"/>
          <w:color w:val="auto"/>
        </w:rPr>
        <w:t>Distributions on account of an Unforeseeable Emergency shall be limited to the amount reasonably</w:t>
      </w:r>
    </w:p>
    <w:p>
      <w:pPr>
        <w:ind w:left="5"/>
        <w:spacing w:after="0"/>
        <w:rPr>
          <w:sz w:val="20"/>
          <w:szCs w:val="20"/>
          <w:color w:val="auto"/>
        </w:rPr>
      </w:pPr>
      <w:r>
        <w:rPr>
          <w:rFonts w:ascii="Arial" w:cs="Arial" w:eastAsia="Arial" w:hAnsi="Arial"/>
          <w:sz w:val="22"/>
          <w:szCs w:val="22"/>
          <w:color w:val="auto"/>
        </w:rPr>
        <w:t>necessary to satisfy the emergency need, as supported by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945"/>
          </w:cols>
          <w:pgMar w:left="435" w:top="1440" w:right="519" w:bottom="1440" w:gutter="0" w:footer="0" w:header="0"/>
        </w:sectPr>
      </w:pPr>
    </w:p>
    <w:bookmarkStart w:id="73" w:name="page74"/>
    <w:bookmarkEnd w:id="73"/>
    <w:p>
      <w:pPr>
        <w:spacing w:after="0" w:line="204" w:lineRule="exact"/>
        <w:rPr>
          <w:sz w:val="20"/>
          <w:szCs w:val="20"/>
          <w:color w:val="auto"/>
        </w:rPr>
      </w:pPr>
    </w:p>
    <w:p>
      <w:pPr>
        <w:ind w:left="5" w:right="320"/>
        <w:spacing w:after="0" w:line="232" w:lineRule="auto"/>
        <w:rPr>
          <w:sz w:val="20"/>
          <w:szCs w:val="20"/>
          <w:color w:val="auto"/>
        </w:rPr>
      </w:pPr>
      <w:r>
        <w:rPr>
          <w:rFonts w:ascii="Arial" w:cs="Arial" w:eastAsia="Arial" w:hAnsi="Arial"/>
          <w:sz w:val="22"/>
          <w:szCs w:val="22"/>
          <w:color w:val="auto"/>
        </w:rPr>
        <w:t>submitted to the Committee. Such amount may include amounts necessary to pay any federal, state, local, or foreign income taxes or penalties reasonably anticipated to result from the distribution.</w:t>
      </w:r>
    </w:p>
    <w:p>
      <w:pPr>
        <w:spacing w:after="0" w:line="186" w:lineRule="exact"/>
        <w:rPr>
          <w:sz w:val="20"/>
          <w:szCs w:val="20"/>
          <w:color w:val="auto"/>
        </w:rPr>
      </w:pPr>
    </w:p>
    <w:p>
      <w:pPr>
        <w:jc w:val="both"/>
        <w:ind w:left="645" w:right="100"/>
        <w:spacing w:after="0" w:line="268" w:lineRule="auto"/>
        <w:rPr>
          <w:sz w:val="20"/>
          <w:szCs w:val="20"/>
          <w:color w:val="auto"/>
        </w:rPr>
      </w:pPr>
      <w:r>
        <w:rPr>
          <w:rFonts w:ascii="Arial" w:cs="Arial" w:eastAsia="Arial" w:hAnsi="Arial"/>
          <w:sz w:val="19"/>
          <w:szCs w:val="19"/>
          <w:color w:val="auto"/>
        </w:rPr>
        <w:t>The Committee will determine from which Investment Funds hardship distributions will be made. Any Participant who is an officer or director of the Corporation within the meaning of Section 16 of the Securities Exchange Act of 1934 is not eligible for distributions on account of an Unforeseeable Emergency, pursuant to this Section 7.6.</w:t>
      </w:r>
    </w:p>
    <w:p>
      <w:pPr>
        <w:spacing w:after="0" w:line="167"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7.7 – Disability</w:t>
      </w:r>
    </w:p>
    <w:p>
      <w:pPr>
        <w:spacing w:after="0" w:line="212" w:lineRule="exact"/>
        <w:rPr>
          <w:sz w:val="20"/>
          <w:szCs w:val="20"/>
          <w:color w:val="auto"/>
        </w:rPr>
      </w:pPr>
    </w:p>
    <w:p>
      <w:pPr>
        <w:ind w:left="5" w:firstLine="648"/>
        <w:spacing w:after="0" w:line="209" w:lineRule="auto"/>
        <w:rPr>
          <w:sz w:val="20"/>
          <w:szCs w:val="20"/>
          <w:color w:val="auto"/>
        </w:rPr>
      </w:pPr>
      <w:r>
        <w:rPr>
          <w:rFonts w:ascii="Arial" w:cs="Arial" w:eastAsia="Arial" w:hAnsi="Arial"/>
          <w:sz w:val="22"/>
          <w:szCs w:val="22"/>
          <w:color w:val="auto"/>
        </w:rPr>
        <w:t>In the event of the Disability of a Participant that qualifies as a “Separation from Service” for purposes of Section 409A, the Participant’s Plan Account will be distributed in accordance with the Participant’s elections on file. The Participant’s Specified Year Accounts that are designated to be deferred to a Specific Deferral Year will be maintained and distributed in accordance with Section</w:t>
      </w:r>
    </w:p>
    <w:p>
      <w:pPr>
        <w:spacing w:after="0" w:line="1" w:lineRule="exact"/>
        <w:rPr>
          <w:sz w:val="20"/>
          <w:szCs w:val="20"/>
          <w:color w:val="auto"/>
        </w:rPr>
      </w:pPr>
    </w:p>
    <w:p>
      <w:pPr>
        <w:ind w:left="5" w:right="120"/>
        <w:spacing w:after="0" w:line="224" w:lineRule="auto"/>
        <w:rPr>
          <w:sz w:val="20"/>
          <w:szCs w:val="20"/>
          <w:color w:val="auto"/>
        </w:rPr>
      </w:pPr>
      <w:r>
        <w:rPr>
          <w:rFonts w:ascii="Arial" w:cs="Arial" w:eastAsia="Arial" w:hAnsi="Arial"/>
          <w:sz w:val="22"/>
          <w:szCs w:val="22"/>
          <w:color w:val="auto"/>
        </w:rPr>
        <w:t>7.1. The Participant’s Separation from Service Account will be distributed as if such Participant had a Separation from Service on the date of the Participant’s Disability.</w:t>
      </w:r>
    </w:p>
    <w:p>
      <w:pPr>
        <w:spacing w:after="0" w:line="192"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7.8 – Administrative Adjustments in Distribution Date</w:t>
      </w:r>
    </w:p>
    <w:p>
      <w:pPr>
        <w:spacing w:after="0" w:line="226" w:lineRule="exact"/>
        <w:rPr>
          <w:sz w:val="20"/>
          <w:szCs w:val="20"/>
          <w:color w:val="auto"/>
        </w:rPr>
      </w:pPr>
    </w:p>
    <w:p>
      <w:pPr>
        <w:jc w:val="both"/>
        <w:ind w:left="5" w:right="240" w:firstLine="648"/>
        <w:spacing w:after="0" w:line="210" w:lineRule="auto"/>
        <w:rPr>
          <w:sz w:val="20"/>
          <w:szCs w:val="20"/>
          <w:color w:val="auto"/>
        </w:rPr>
      </w:pPr>
      <w:r>
        <w:rPr>
          <w:rFonts w:ascii="Arial" w:cs="Arial" w:eastAsia="Arial" w:hAnsi="Arial"/>
          <w:sz w:val="22"/>
          <w:szCs w:val="22"/>
          <w:color w:val="auto"/>
        </w:rPr>
        <w:t>A distribution is treated as being made on the date when it is due under the Plan if the distribution is made on the due date specified by the Plan, or on a later date that is either (a) in the same calendar year (for a distribution whose specified due date is on or before September 30), or</w:t>
      </w:r>
    </w:p>
    <w:p>
      <w:pPr>
        <w:spacing w:after="0" w:line="2" w:lineRule="exact"/>
        <w:rPr>
          <w:sz w:val="20"/>
          <w:szCs w:val="20"/>
          <w:color w:val="auto"/>
        </w:rPr>
      </w:pPr>
    </w:p>
    <w:p>
      <w:pPr>
        <w:ind w:left="5" w:right="260" w:hanging="5"/>
        <w:spacing w:after="0" w:line="245" w:lineRule="auto"/>
        <w:tabs>
          <w:tab w:leader="none" w:pos="311" w:val="left"/>
        </w:tabs>
        <w:numPr>
          <w:ilvl w:val="0"/>
          <w:numId w:val="47"/>
        </w:numPr>
        <w:rPr>
          <w:rFonts w:ascii="Arial" w:cs="Arial" w:eastAsia="Arial" w:hAnsi="Arial"/>
          <w:sz w:val="19"/>
          <w:szCs w:val="19"/>
          <w:color w:val="auto"/>
        </w:rPr>
      </w:pPr>
      <w:r>
        <w:rPr>
          <w:rFonts w:ascii="Arial" w:cs="Arial" w:eastAsia="Arial" w:hAnsi="Arial"/>
          <w:sz w:val="19"/>
          <w:szCs w:val="19"/>
          <w:color w:val="auto"/>
        </w:rPr>
        <w:t>by the fifteenth (15th) day of the third (3rd) calendar month following the date specified by the Plan (for a distribution whose specified due date is on or after October 1). A distribution is also treated as being made on the date when it is due under the Plan if the distribution is made not more than thirty (30) days before the due date specified by the Plan. In no event will a distribution to a Specified Employee due to a “Separation from Service” be made or commence earlier than the first business day of the seventh (7th) month following the date of Separation from Service. A Participant may not, directly or indirectly, designate the taxable year of a distribution made in reliance on the administrative rules in this Section 7.8.</w:t>
      </w:r>
    </w:p>
    <w:p>
      <w:pPr>
        <w:spacing w:after="0" w:line="190"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Section 7.9 – Minimum Balance Payout Provision</w:t>
      </w:r>
    </w:p>
    <w:p>
      <w:pPr>
        <w:spacing w:after="0" w:line="212" w:lineRule="exact"/>
        <w:rPr>
          <w:sz w:val="20"/>
          <w:szCs w:val="20"/>
          <w:color w:val="auto"/>
        </w:rPr>
      </w:pPr>
    </w:p>
    <w:p>
      <w:pPr>
        <w:ind w:left="5" w:right="160" w:firstLine="648"/>
        <w:spacing w:after="0" w:line="221" w:lineRule="auto"/>
        <w:rPr>
          <w:sz w:val="20"/>
          <w:szCs w:val="20"/>
          <w:color w:val="auto"/>
        </w:rPr>
      </w:pPr>
      <w:r>
        <w:rPr>
          <w:rFonts w:ascii="Arial" w:cs="Arial" w:eastAsia="Arial" w:hAnsi="Arial"/>
          <w:sz w:val="21"/>
          <w:szCs w:val="21"/>
          <w:color w:val="auto"/>
        </w:rPr>
        <w:t>If a Participant’s aggregate Plan Account balance under this Plan (and under all other nonqualified deferred compensation plans of the Corporation and its affiliates (determined for this purpose under Treas. Regs. §1.409A-1(g))that are required to be aggregated with this Plan under Section 409A), , is less than the amount set as the limit on elective deferrals under Section 402(g)(1)(B) of the Code in effect for the year in which the Participant’s Separation from Service occurs, the Committee retains discretion to distribute the Participant’s entire Plan Account (and the Participant’s entire interest in any other nonqualified deferred compensation plan that is required to be aggregated with this Plan) in a lump sum in the month of April following the year of the Participant’s Separation from Service, even if the Participant has elected to receive a different form of distribution. Any exercise of the Committee’s discretion taken pursuant to this Section 7.9 shall be evidenced in writing, no later than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065"/>
          </w:cols>
          <w:pgMar w:left="435" w:top="1440" w:right="399" w:bottom="1440" w:gutter="0" w:footer="0" w:header="0"/>
        </w:sectPr>
      </w:pPr>
    </w:p>
    <w:bookmarkStart w:id="74" w:name="page75"/>
    <w:bookmarkEnd w:id="74"/>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VIII – AMENDMENT AND TERMINATION OF PLAN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8.1 – Amendment</w:t>
      </w:r>
    </w:p>
    <w:p>
      <w:pPr>
        <w:spacing w:after="0" w:line="226" w:lineRule="exact"/>
        <w:rPr>
          <w:sz w:val="20"/>
          <w:szCs w:val="20"/>
          <w:color w:val="auto"/>
        </w:rPr>
      </w:pPr>
    </w:p>
    <w:p>
      <w:pPr>
        <w:ind w:right="180" w:firstLine="648"/>
        <w:spacing w:after="0" w:line="221" w:lineRule="auto"/>
        <w:rPr>
          <w:sz w:val="20"/>
          <w:szCs w:val="20"/>
          <w:color w:val="auto"/>
        </w:rPr>
      </w:pPr>
      <w:r>
        <w:rPr>
          <w:rFonts w:ascii="Arial" w:cs="Arial" w:eastAsia="Arial" w:hAnsi="Arial"/>
          <w:sz w:val="21"/>
          <w:szCs w:val="21"/>
          <w:color w:val="auto"/>
        </w:rPr>
        <w:t>The Committee may, at any time, amend the Plan in whole or in part, provided that no amendment may directly decrease the value of any Plan Accounts as of the date of such amendment. In the event of any change in law or regulation relating to the Plan or the tax treatment of Plan 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VII. To the extent any rule or procedure adopted by the Committee is inconsistent with a provision of the Plan that is administrative, technical or ministerial in nature, the Plan shall be deemed amended to the extent of the inconsistency.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8.2 – Plan Suspension and Termination</w:t>
      </w:r>
    </w:p>
    <w:p>
      <w:pPr>
        <w:spacing w:after="0" w:line="226" w:lineRule="exact"/>
        <w:rPr>
          <w:sz w:val="20"/>
          <w:szCs w:val="20"/>
          <w:color w:val="auto"/>
        </w:rPr>
      </w:pPr>
    </w:p>
    <w:p>
      <w:pPr>
        <w:ind w:right="220" w:firstLine="644"/>
        <w:spacing w:after="0" w:line="223" w:lineRule="auto"/>
        <w:tabs>
          <w:tab w:leader="none" w:pos="118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Committee may, at any time, suspend or terminate the Plan if, in its sole judgment, the continuance of the Plan, the tax, accounting, or other effects thereof, or potential distributions thereunder would not be in the best interest of the Corporation or for any other reason.</w:t>
      </w:r>
    </w:p>
    <w:p>
      <w:pPr>
        <w:spacing w:after="0" w:line="199" w:lineRule="exact"/>
        <w:rPr>
          <w:rFonts w:ascii="Arial" w:cs="Arial" w:eastAsia="Arial" w:hAnsi="Arial"/>
          <w:sz w:val="22"/>
          <w:szCs w:val="22"/>
          <w:color w:val="auto"/>
        </w:rPr>
      </w:pPr>
    </w:p>
    <w:p>
      <w:pPr>
        <w:jc w:val="both"/>
        <w:ind w:right="900" w:firstLine="644"/>
        <w:spacing w:after="0" w:line="223" w:lineRule="auto"/>
        <w:tabs>
          <w:tab w:leader="none" w:pos="11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event of the suspension of the Plan, no additional contributions shall be made under the Plan. All previous contributions shall be distributed in accordance with the otherwise applicable provisions of the Plan and the applicable elections on file.</w:t>
      </w:r>
    </w:p>
    <w:p>
      <w:pPr>
        <w:spacing w:after="0" w:line="185" w:lineRule="exact"/>
        <w:rPr>
          <w:rFonts w:ascii="Arial" w:cs="Arial" w:eastAsia="Arial" w:hAnsi="Arial"/>
          <w:sz w:val="22"/>
          <w:szCs w:val="22"/>
          <w:color w:val="auto"/>
        </w:rPr>
      </w:pPr>
    </w:p>
    <w:p>
      <w:pPr>
        <w:ind w:firstLine="643"/>
        <w:spacing w:after="0"/>
        <w:tabs>
          <w:tab w:leader="none" w:pos="1185" w:val="left"/>
        </w:tabs>
        <w:numPr>
          <w:ilvl w:val="0"/>
          <w:numId w:val="48"/>
        </w:numPr>
        <w:rPr>
          <w:rFonts w:ascii="Arial" w:cs="Arial" w:eastAsia="Arial" w:hAnsi="Arial"/>
          <w:sz w:val="19"/>
          <w:szCs w:val="19"/>
          <w:color w:val="auto"/>
        </w:rPr>
      </w:pPr>
      <w:r>
        <w:rPr>
          <w:rFonts w:ascii="Arial" w:cs="Arial" w:eastAsia="Arial" w:hAnsi="Arial"/>
          <w:sz w:val="19"/>
          <w:szCs w:val="19"/>
          <w:color w:val="auto"/>
        </w:rPr>
        <w:t>Upon the termination of the Plan with respect to all Participants, and the termination of all arrangements sponsored by the Corporation or its affiliates that would be aggregated with the Plan under Section 409A, the Corporation shall have the right, in its sole discretion, and notwithstanding any elections made by the Participant, to pay the Participant’s Plan Account in a lump sum, to the extent permitted under Section 409A. All distributions that may be made pursuant to this Section 8.2(c) shall be made no earlier than the thirteenth (13th) month and no later than the twenty-fourth (24th) month after the termination of the Plan. The Corporation may not accelerate distributions pursuant to this Section 8.2(c) if the termination of the Plan is proximate to a downturn in the Corporation’s financial health within the meaning of Treas. Regs. § 1.409A-3(j)</w:t>
      </w:r>
    </w:p>
    <w:p>
      <w:pPr>
        <w:ind w:right="160"/>
        <w:spacing w:after="0" w:line="247" w:lineRule="auto"/>
        <w:rPr>
          <w:rFonts w:ascii="Arial" w:cs="Arial" w:eastAsia="Arial" w:hAnsi="Arial"/>
          <w:sz w:val="19"/>
          <w:szCs w:val="19"/>
          <w:color w:val="auto"/>
        </w:rPr>
      </w:pPr>
      <w:r>
        <w:rPr>
          <w:rFonts w:ascii="Arial" w:cs="Arial" w:eastAsia="Arial" w:hAnsi="Arial"/>
          <w:sz w:val="19"/>
          <w:szCs w:val="19"/>
          <w:color w:val="auto"/>
        </w:rPr>
        <w:t>(4)(ix)(C)(1). If the Corporation exercises its discretion to accelerate distributions under this Section 8.2(c), it shall not adopt any new arrangement that would have been aggregated with the Plan under Section 409A within three (3) years following the date of the Plan’s termination. The Committee may also provide for distribution of Plan Accounts following a termination of the Plan under any other circumstances permitted by Section 409A, including without limitation in connection with the occurrence of a change in control event in accordance with Treas. Regs. § 1.409A-3(j)(4)(ix)(B).</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8.3 – No Consent Required</w:t>
      </w:r>
    </w:p>
    <w:p>
      <w:pPr>
        <w:spacing w:after="0" w:line="22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The consent of any Participant, Beneficiary, or other person shall not be required with respect to any amendment, suspension, or termination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000"/>
          </w:cols>
          <w:pgMar w:left="440" w:top="1440" w:right="459" w:bottom="1440" w:gutter="0" w:footer="0" w:header="0"/>
        </w:sectPr>
      </w:pPr>
    </w:p>
    <w:bookmarkStart w:id="75" w:name="page76"/>
    <w:bookmarkEnd w:id="75"/>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IX – GENERAL PROVISIONS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9.1 – Withholding Taxes</w:t>
      </w:r>
    </w:p>
    <w:p>
      <w:pPr>
        <w:spacing w:after="0" w:line="226" w:lineRule="exact"/>
        <w:rPr>
          <w:sz w:val="20"/>
          <w:szCs w:val="20"/>
          <w:color w:val="auto"/>
        </w:rPr>
      </w:pPr>
    </w:p>
    <w:p>
      <w:pPr>
        <w:ind w:right="400" w:firstLine="648"/>
        <w:spacing w:after="0" w:line="223" w:lineRule="auto"/>
        <w:rPr>
          <w:sz w:val="20"/>
          <w:szCs w:val="20"/>
          <w:color w:val="auto"/>
        </w:rPr>
      </w:pPr>
      <w:r>
        <w:rPr>
          <w:rFonts w:ascii="Arial" w:cs="Arial" w:eastAsia="Arial" w:hAnsi="Arial"/>
          <w:sz w:val="22"/>
          <w:szCs w:val="22"/>
          <w:color w:val="auto"/>
        </w:rPr>
        <w:t>The Committee may make any appropriate arrangements to deduct from all deferrals, contributions, vested Plan Accounts and distributions under the Plan any taxes that the Committee reasonably determines to be required by law to be withheld from such credits and distributions.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9.2 – Unsecured General Creditor</w:t>
      </w:r>
    </w:p>
    <w:p>
      <w:pPr>
        <w:spacing w:after="0" w:line="226" w:lineRule="exact"/>
        <w:rPr>
          <w:sz w:val="20"/>
          <w:szCs w:val="20"/>
          <w:color w:val="auto"/>
        </w:rPr>
      </w:pPr>
    </w:p>
    <w:p>
      <w:pPr>
        <w:ind w:right="280" w:firstLine="648"/>
        <w:spacing w:after="0" w:line="247" w:lineRule="auto"/>
        <w:rPr>
          <w:sz w:val="20"/>
          <w:szCs w:val="20"/>
          <w:color w:val="auto"/>
        </w:rPr>
      </w:pPr>
      <w:r>
        <w:rPr>
          <w:rFonts w:ascii="Arial" w:cs="Arial" w:eastAsia="Arial" w:hAnsi="Arial"/>
          <w:sz w:val="19"/>
          <w:szCs w:val="19"/>
          <w:color w:val="auto"/>
        </w:rPr>
        <w:t>The Corporation’s obligations under the Plan constitute an unfunded and unsecured promise to pay money in the future. Participants’ and Beneficiaries’ rights under the Plan are solely those of a general unsecured creditor of the Corporation. No assets will be required to be placed in trust, set aside or otherwise segregated to fund or offset liabilities in respect of the Plan or Participants’ Plan Accounts. The Corporation may, however, at its sole and exclusive option, elect to place in trust, set aside or otherwise segregate assets to fund or offset liabilities in respect of the Plan or Participants’ Plan accounts. Any such assets would be and must remain general assets of the Corporation subject to the claims of its creditors. Neither the Corporation nor this Plan gives a Participant any beneficial ownership interest in any assets of the Corporation.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9.3 – Nonassignability</w:t>
      </w:r>
    </w:p>
    <w:p>
      <w:pPr>
        <w:spacing w:after="0" w:line="212" w:lineRule="exact"/>
        <w:rPr>
          <w:sz w:val="20"/>
          <w:szCs w:val="20"/>
          <w:color w:val="auto"/>
        </w:rPr>
      </w:pPr>
    </w:p>
    <w:p>
      <w:pPr>
        <w:ind w:right="40" w:firstLine="644"/>
        <w:spacing w:after="0" w:line="252" w:lineRule="auto"/>
        <w:tabs>
          <w:tab w:leader="none" w:pos="1185" w:val="left"/>
        </w:tabs>
        <w:numPr>
          <w:ilvl w:val="0"/>
          <w:numId w:val="49"/>
        </w:numPr>
        <w:rPr>
          <w:rFonts w:ascii="Arial" w:cs="Arial" w:eastAsia="Arial" w:hAnsi="Arial"/>
          <w:sz w:val="19"/>
          <w:szCs w:val="19"/>
          <w:color w:val="auto"/>
        </w:rPr>
      </w:pPr>
      <w:r>
        <w:rPr>
          <w:rFonts w:ascii="Arial" w:cs="Arial" w:eastAsia="Arial" w:hAnsi="Arial"/>
          <w:sz w:val="19"/>
          <w:szCs w:val="19"/>
          <w:color w:val="auto"/>
        </w:rPr>
        <w:t>No Participant or Beneficiary or any other person shall have the right to sell, assign, transfer, pledge, or otherwise encumber any interest in the Plan. All Plan Accounts and the rights to all distributions are unassignable and non-transferable. Plan Accounts or payments hereunder, prior to actual distribution, will not be subject to attachment or seizure for the payment of any debts, judgments or other obligations. Plan Accounts or any other Plan benefit will not be transferred by operation of law in the event of a Participant’s or any Beneficiary’s bankruptcy or insolvency.</w:t>
      </w:r>
    </w:p>
    <w:p>
      <w:pPr>
        <w:spacing w:after="0" w:line="189" w:lineRule="exact"/>
        <w:rPr>
          <w:rFonts w:ascii="Arial" w:cs="Arial" w:eastAsia="Arial" w:hAnsi="Arial"/>
          <w:sz w:val="19"/>
          <w:szCs w:val="19"/>
          <w:color w:val="auto"/>
        </w:rPr>
      </w:pPr>
    </w:p>
    <w:p>
      <w:pPr>
        <w:ind w:firstLine="644"/>
        <w:spacing w:after="0" w:line="249" w:lineRule="auto"/>
        <w:tabs>
          <w:tab w:leader="none" w:pos="1183" w:val="left"/>
        </w:tabs>
        <w:numPr>
          <w:ilvl w:val="0"/>
          <w:numId w:val="49"/>
        </w:numPr>
        <w:rPr>
          <w:rFonts w:ascii="Arial" w:cs="Arial" w:eastAsia="Arial" w:hAnsi="Arial"/>
          <w:sz w:val="19"/>
          <w:szCs w:val="19"/>
          <w:color w:val="auto"/>
        </w:rPr>
      </w:pPr>
      <w:r>
        <w:rPr>
          <w:rFonts w:ascii="Arial" w:cs="Arial" w:eastAsia="Arial" w:hAnsi="Arial"/>
          <w:sz w:val="19"/>
          <w:szCs w:val="19"/>
          <w:color w:val="auto"/>
        </w:rPr>
        <w:t>To the extent that any Participant, Beneficiary or other person receives an excess or erroneous distribution under the Plan, the amount of such excess or erroneous distribution shall be held in a constructive trust for the benefit of the Corporation and the Plan and shall be repaid by such person upon demand. The Committee may reduce any other benefit payable to such person or may pursue any remedy available at law or equity to recover the amount of such excess or erroneous distribution or the proceeds thereof. Notwithstanding the foregoing, the amount payable to a Participant or Beneficiary may be offset by any amount owed to any RTX Company to the extent permitted by Section 409A.</w:t>
      </w:r>
    </w:p>
    <w:p>
      <w:pPr>
        <w:spacing w:after="0" w:line="192" w:lineRule="exact"/>
        <w:rPr>
          <w:rFonts w:ascii="Arial" w:cs="Arial" w:eastAsia="Arial" w:hAnsi="Arial"/>
          <w:sz w:val="19"/>
          <w:szCs w:val="19"/>
          <w:color w:val="auto"/>
        </w:rPr>
      </w:pPr>
    </w:p>
    <w:p>
      <w:pPr>
        <w:ind w:right="60" w:firstLine="644"/>
        <w:spacing w:after="0" w:line="226" w:lineRule="auto"/>
        <w:tabs>
          <w:tab w:leader="none" w:pos="1185"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Plan shall comply with the terms of any valid domestic relations order submitted to the Committee. Any payment of a Participant’s Plan Account to a party other than the Participant pursuant to the terms of a domestic relations order shall be charged against and reduce the Participant’s Plan Account. Neither the Plan, the Corporation, the Committee, nor any other party shall be liable in any manner to any person, including but not limited to any Participant or Beneficiary, for complying with the terms of a domestic relations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940"/>
          </w:cols>
          <w:pgMar w:left="440" w:top="1440" w:right="519" w:bottom="1440" w:gutter="0" w:footer="0" w:header="0"/>
        </w:sectPr>
      </w:pPr>
    </w:p>
    <w:bookmarkStart w:id="76" w:name="page77"/>
    <w:bookmarkEnd w:id="76"/>
    <w:p>
      <w:pPr>
        <w:spacing w:after="0" w:line="19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9.4 – No Contract of Employment</w:t>
      </w:r>
    </w:p>
    <w:p>
      <w:pPr>
        <w:spacing w:after="0" w:line="212" w:lineRule="exact"/>
        <w:rPr>
          <w:sz w:val="20"/>
          <w:szCs w:val="20"/>
          <w:color w:val="auto"/>
        </w:rPr>
      </w:pPr>
    </w:p>
    <w:p>
      <w:pPr>
        <w:ind w:right="240" w:firstLine="648"/>
        <w:spacing w:after="0" w:line="216" w:lineRule="auto"/>
        <w:rPr>
          <w:sz w:val="20"/>
          <w:szCs w:val="20"/>
          <w:color w:val="auto"/>
        </w:rPr>
      </w:pPr>
      <w:r>
        <w:rPr>
          <w:rFonts w:ascii="Arial" w:cs="Arial" w:eastAsia="Arial" w:hAnsi="Arial"/>
          <w:sz w:val="22"/>
          <w:szCs w:val="22"/>
          <w:color w:val="auto"/>
        </w:rPr>
        <w:t>Participation in the Plan shall not be construed to constitute a direct or indirect contract of employment between any RTX Company and any Participant. Participants and Beneficiaries will have no rights against any RTX Company resulting from participation in the Plan other than as specifically provided herein. Nothing in the Plan shall be deemed to give a Participant the right to be retained in the service of any RTX Company for any length of time or to interfere with the right of any RTX Company to terminate a Participant’s employment.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9.5 – Governing Law</w:t>
      </w:r>
    </w:p>
    <w:p>
      <w:pPr>
        <w:spacing w:after="0" w:line="212" w:lineRule="exact"/>
        <w:rPr>
          <w:sz w:val="20"/>
          <w:szCs w:val="20"/>
          <w:color w:val="auto"/>
        </w:rPr>
      </w:pPr>
    </w:p>
    <w:p>
      <w:pPr>
        <w:ind w:right="520" w:firstLine="648"/>
        <w:spacing w:after="0" w:line="232" w:lineRule="auto"/>
        <w:rPr>
          <w:sz w:val="20"/>
          <w:szCs w:val="20"/>
          <w:color w:val="auto"/>
        </w:rPr>
      </w:pPr>
      <w:r>
        <w:rPr>
          <w:rFonts w:ascii="Arial" w:cs="Arial" w:eastAsia="Arial" w:hAnsi="Arial"/>
          <w:sz w:val="22"/>
          <w:szCs w:val="22"/>
          <w:color w:val="auto"/>
        </w:rPr>
        <w:t>The provisions of the Plan will be construed and interpreted according to the laws of the State of Delaware, to the extent not preempted by federal law.</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9.6 – Validity</w:t>
      </w:r>
    </w:p>
    <w:p>
      <w:pPr>
        <w:spacing w:after="0" w:line="226"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If any provision of the Plan is held to be illegal or invalid for any reason, the remaining provisions of the Plan will be construed and enforced as if such illegal and invalid provision had never been inserted herein.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9.7 – Notice</w:t>
      </w:r>
    </w:p>
    <w:p>
      <w:pPr>
        <w:spacing w:after="0" w:line="226" w:lineRule="exact"/>
        <w:rPr>
          <w:sz w:val="20"/>
          <w:szCs w:val="20"/>
          <w:color w:val="auto"/>
        </w:rPr>
      </w:pPr>
    </w:p>
    <w:p>
      <w:pPr>
        <w:ind w:right="80" w:firstLine="648"/>
        <w:spacing w:after="0" w:line="222" w:lineRule="auto"/>
        <w:rPr>
          <w:sz w:val="20"/>
          <w:szCs w:val="20"/>
          <w:color w:val="auto"/>
        </w:rPr>
      </w:pPr>
      <w:r>
        <w:rPr>
          <w:rFonts w:ascii="Arial" w:cs="Arial" w:eastAsia="Arial" w:hAnsi="Arial"/>
          <w:sz w:val="21"/>
          <w:szCs w:val="21"/>
          <w:color w:val="auto"/>
        </w:rPr>
        <w:t>Any notice or filing required or permitted to be given to the Committee under the Plan shall be sufficient if drafted to the attention of the Deferred Compensation Committee, and sent by first- class mail to RTX Corporation, c/o Vice President, Executive Compensation, 4 Farm Springs Road, Farmington, Connecticut 06032. Any notice or filing required or permitted to be given to any Participant or Beneficiary under the Plan shall be sufficient if provided either electronically, hand- 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9.8 – Successors</w:t>
      </w:r>
    </w:p>
    <w:p>
      <w:pPr>
        <w:spacing w:after="0" w:line="212"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9.9 – Incompetence</w:t>
      </w:r>
    </w:p>
    <w:p>
      <w:pPr>
        <w:spacing w:after="0" w:line="226"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980"/>
          </w:cols>
          <w:pgMar w:left="440" w:top="1440" w:right="479" w:bottom="1440" w:gutter="0" w:footer="0" w:header="0"/>
        </w:sectPr>
      </w:pPr>
    </w:p>
    <w:bookmarkStart w:id="77" w:name="page78"/>
    <w:bookmarkEnd w:id="77"/>
    <w:p>
      <w:pPr>
        <w:spacing w:after="0" w:line="204" w:lineRule="exact"/>
        <w:rPr>
          <w:sz w:val="20"/>
          <w:szCs w:val="20"/>
          <w:color w:val="auto"/>
        </w:rPr>
      </w:pPr>
    </w:p>
    <w:p>
      <w:pPr>
        <w:ind w:right="660"/>
        <w:spacing w:after="0" w:line="232" w:lineRule="auto"/>
        <w:rPr>
          <w:sz w:val="20"/>
          <w:szCs w:val="20"/>
          <w:color w:val="auto"/>
        </w:rPr>
      </w:pPr>
      <w:r>
        <w:rPr>
          <w:rFonts w:ascii="Arial" w:cs="Arial" w:eastAsia="Arial" w:hAnsi="Arial"/>
          <w:sz w:val="22"/>
          <w:szCs w:val="22"/>
          <w:color w:val="auto"/>
        </w:rPr>
        <w:t>Participant or Beneficiary. Any such distribution from a Participant’s Plan Account shall be a complete discharge of any liability under the Plan with respect to the amount so paid.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9.10 – Section 409A Compliance</w:t>
      </w:r>
    </w:p>
    <w:p>
      <w:pPr>
        <w:spacing w:after="0" w:line="226" w:lineRule="exact"/>
        <w:rPr>
          <w:sz w:val="20"/>
          <w:szCs w:val="20"/>
          <w:color w:val="auto"/>
        </w:rPr>
      </w:pPr>
    </w:p>
    <w:p>
      <w:pPr>
        <w:ind w:firstLine="648"/>
        <w:spacing w:after="0" w:line="210" w:lineRule="auto"/>
        <w:rPr>
          <w:sz w:val="20"/>
          <w:szCs w:val="20"/>
          <w:color w:val="auto"/>
        </w:rPr>
      </w:pPr>
      <w:r>
        <w:rPr>
          <w:rFonts w:ascii="Arial" w:cs="Arial" w:eastAsia="Arial" w:hAnsi="Arial"/>
          <w:sz w:val="22"/>
          <w:szCs w:val="22"/>
          <w:color w:val="auto"/>
        </w:rPr>
        <w:t>To the extent that rights or distributions under this Plan are subject to Section 409A, the Plan shall be construed and administered in compliance with the conditions of Section 409A, and regulations and other guidance issued pursuant to Section 409A for deferral of income taxation.</w:t>
      </w:r>
    </w:p>
    <w:p>
      <w:pPr>
        <w:spacing w:after="0" w:line="2"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Each payment that constitutes “nonqualified deferred compensation” subject to Section 409A of the Code shall be treated as a separate payment for purposes of Section 409A of the Code. Any distribution election that would not comply with Section 409A shall not be effective for purposes of this Plan. To the extent that a provision of this Plan does not comply with Section 409A, such provision shall be void and without effect. The Corporation does not warrant that the Plan will comply with Section 409A with respect to any Participant or with respect to any distribution. In no event shall any RTX Company; any director, officer, or employee of a RTX Company (other than the Participant); or any member of the Committee be liable for any additional tax, interest, or penalty incurred by a Participant or Beneficiary as a result of the Plan’s failure to satisfy the requirements of Section 409A, or as a result of the Plan’s failure to satisfy any other requirements of applicable tax laws.</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 X – ADMINISTRATION AND CLAIMS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10.1 – Plan Administration</w:t>
      </w:r>
    </w:p>
    <w:p>
      <w:pPr>
        <w:spacing w:after="0" w:line="21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9"/>
          <w:szCs w:val="19"/>
          <w:color w:val="auto"/>
        </w:rPr>
        <w:t>The Committee shall be solely responsible for the administration and operation of the Plan and shall be the “administrator” of the Plan for purposes of ERISA. The Committee shall have full and exclusive authority and discretion to interpret the provisions of the Plan and to establish such administrative procedures as it deems necessary and appropriate to carry out the purposes of the Plan. All decisions and interpretations of the Committee shall be final and binding on all parties.</w:t>
      </w:r>
    </w:p>
    <w:p>
      <w:pPr>
        <w:spacing w:after="0" w:line="185" w:lineRule="exact"/>
        <w:rPr>
          <w:sz w:val="20"/>
          <w:szCs w:val="20"/>
          <w:color w:val="auto"/>
        </w:rPr>
      </w:pPr>
    </w:p>
    <w:p>
      <w:pPr>
        <w:ind w:right="200" w:firstLine="648"/>
        <w:spacing w:after="0" w:line="216" w:lineRule="auto"/>
        <w:rPr>
          <w:sz w:val="20"/>
          <w:szCs w:val="20"/>
          <w:color w:val="auto"/>
        </w:rPr>
      </w:pPr>
      <w:r>
        <w:rPr>
          <w:rFonts w:ascii="Arial" w:cs="Arial" w:eastAsia="Arial" w:hAnsi="Arial"/>
          <w:sz w:val="22"/>
          <w:szCs w:val="22"/>
          <w:color w:val="auto"/>
        </w:rPr>
        <w:t>Any person claiming a benefit, requesting an interpretation or ruling under the Plan, or requesting information under the Plan shall present the request in writing to the attention of the Deferred Compensation Committee via email to the RTX Total Rewards mailbox at RTXTotalRewards@rtx.com (preferred) or via postal mail to RTX Corporation, c/o Vice President, Executive Compensation, 4 Farm Springs Road, Farmington, CT 06032. The Committee shall respond in writing as soon as practicable.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Section 10.2 – Claim Procedures</w:t>
      </w:r>
    </w:p>
    <w:p>
      <w:pPr>
        <w:spacing w:after="0" w:line="212" w:lineRule="exact"/>
        <w:rPr>
          <w:sz w:val="20"/>
          <w:szCs w:val="20"/>
          <w:color w:val="auto"/>
        </w:rPr>
      </w:pPr>
    </w:p>
    <w:p>
      <w:pPr>
        <w:ind w:right="40" w:firstLine="648"/>
        <w:spacing w:after="0" w:line="214" w:lineRule="auto"/>
        <w:rPr>
          <w:sz w:val="20"/>
          <w:szCs w:val="20"/>
          <w:color w:val="auto"/>
        </w:rPr>
      </w:pPr>
      <w:r>
        <w:rPr>
          <w:rFonts w:ascii="Arial" w:cs="Arial" w:eastAsia="Arial" w:hAnsi="Arial"/>
          <w:sz w:val="22"/>
          <w:szCs w:val="22"/>
          <w:color w:val="auto"/>
        </w:rPr>
        <w:t>A Participant or Beneficiary who believes that he or she has been denied a benefit to which he or she is entitled under the Plan (referred to in this Section 10.2 as a “Claimant”) may file a written request with the Committee setting forth the claim. The Committee shall consider and resolve the claim as set forth below. In making a claim for benefits, a Participant must fully and finally exhaust the administrative claim and appeal procedures set out in this Section 10.2; failure to do so will cause the denial of benefits to be final and binding and preclude the Participant from filing suit in a court of law with respect to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020"/>
          </w:cols>
          <w:pgMar w:left="440" w:top="1440" w:right="439" w:bottom="1440" w:gutter="0" w:footer="0" w:header="0"/>
        </w:sectPr>
      </w:pPr>
    </w:p>
    <w:bookmarkStart w:id="78" w:name="page79"/>
    <w:bookmarkEnd w:id="78"/>
    <w:p>
      <w:pPr>
        <w:spacing w:after="0" w:line="204" w:lineRule="exact"/>
        <w:rPr>
          <w:sz w:val="20"/>
          <w:szCs w:val="20"/>
          <w:color w:val="auto"/>
        </w:rPr>
      </w:pPr>
    </w:p>
    <w:p>
      <w:pPr>
        <w:ind w:left="4" w:firstLine="644"/>
        <w:spacing w:after="0" w:line="218" w:lineRule="auto"/>
        <w:tabs>
          <w:tab w:leader="none" w:pos="1189" w:val="left"/>
        </w:tabs>
        <w:numPr>
          <w:ilvl w:val="1"/>
          <w:numId w:val="50"/>
        </w:numPr>
        <w:rPr>
          <w:rFonts w:ascii="Arial" w:cs="Arial" w:eastAsia="Arial" w:hAnsi="Arial"/>
          <w:sz w:val="22"/>
          <w:szCs w:val="22"/>
          <w:color w:val="auto"/>
        </w:rPr>
      </w:pPr>
      <w:r>
        <w:rPr>
          <w:rFonts w:ascii="Arial" w:cs="Arial" w:eastAsia="Arial" w:hAnsi="Arial"/>
          <w:sz w:val="22"/>
          <w:szCs w:val="22"/>
          <w:color w:val="auto"/>
        </w:rPr>
        <w:t>Upon receipt of a claim, the Committee shall advise the Claimant that a response will be forthcoming within ninety (90) days. The Committee may, however, extend the response period for up to an additional ninety (90) days for reasonable cause, and shall notify the Claimant of the reason for the extension and the expected response date. The Committee shall respond to the claim within the specified period.</w:t>
      </w:r>
    </w:p>
    <w:p>
      <w:pPr>
        <w:spacing w:after="0" w:line="187" w:lineRule="exact"/>
        <w:rPr>
          <w:rFonts w:ascii="Arial" w:cs="Arial" w:eastAsia="Arial" w:hAnsi="Arial"/>
          <w:sz w:val="22"/>
          <w:szCs w:val="22"/>
          <w:color w:val="auto"/>
        </w:rPr>
      </w:pPr>
    </w:p>
    <w:p>
      <w:pPr>
        <w:ind w:left="4" w:right="480" w:firstLine="644"/>
        <w:spacing w:after="0" w:line="213" w:lineRule="auto"/>
        <w:tabs>
          <w:tab w:leader="none" w:pos="1187"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the claim is denied in whole or in part, the Committee shall provide the Claimant with a written decision, using language calculated to be understood by the Claimant, setting forth</w:t>
      </w:r>
    </w:p>
    <w:p>
      <w:pPr>
        <w:ind w:left="4" w:right="20" w:hanging="4"/>
        <w:spacing w:after="0" w:line="237" w:lineRule="auto"/>
        <w:tabs>
          <w:tab w:leader="none" w:pos="26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specific reason or reasons for such denial; (ii) the specific reference to relevant provisions of this Plan on which such denial is based; (iii) a description of any additional material or information necessary for the Claimant to perfect his or her claim and an explanation why such material or such information is necessary; (iv) appropriate information as to the steps to be taken if the Claimant wishes to submit the claim for review; (v) the time limits for requesting a review of the claim; and</w:t>
      </w:r>
    </w:p>
    <w:p>
      <w:pPr>
        <w:ind w:left="364" w:hanging="364"/>
        <w:spacing w:after="0"/>
        <w:tabs>
          <w:tab w:leader="none" w:pos="36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Claimant’s right to bring an action for benefits under Section 502(a) of ERISA.</w:t>
      </w:r>
    </w:p>
    <w:p>
      <w:pPr>
        <w:spacing w:after="0" w:line="201" w:lineRule="exact"/>
        <w:rPr>
          <w:rFonts w:ascii="Arial" w:cs="Arial" w:eastAsia="Arial" w:hAnsi="Arial"/>
          <w:sz w:val="22"/>
          <w:szCs w:val="22"/>
          <w:color w:val="auto"/>
        </w:rPr>
      </w:pPr>
    </w:p>
    <w:p>
      <w:pPr>
        <w:jc w:val="both"/>
        <w:ind w:left="4" w:right="60" w:firstLine="643"/>
        <w:spacing w:after="0" w:line="226" w:lineRule="auto"/>
        <w:tabs>
          <w:tab w:leader="none" w:pos="1189" w:val="left"/>
        </w:tabs>
        <w:numPr>
          <w:ilvl w:val="1"/>
          <w:numId w:val="52"/>
        </w:numPr>
        <w:rPr>
          <w:rFonts w:ascii="Arial" w:cs="Arial" w:eastAsia="Arial" w:hAnsi="Arial"/>
          <w:sz w:val="21"/>
          <w:szCs w:val="21"/>
          <w:color w:val="auto"/>
        </w:rPr>
      </w:pPr>
      <w:r>
        <w:rPr>
          <w:rFonts w:ascii="Arial" w:cs="Arial" w:eastAsia="Arial" w:hAnsi="Arial"/>
          <w:sz w:val="21"/>
          <w:szCs w:val="21"/>
          <w:color w:val="auto"/>
        </w:rPr>
        <w:t>Within sixty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comments in writing for consideration by the Committee. If the Claimant does not request a review of the initial determination within such sixty (60)-day period, the Claimant shall be barred from challenging the determination.</w:t>
      </w:r>
    </w:p>
    <w:p>
      <w:pPr>
        <w:spacing w:after="0" w:line="186" w:lineRule="exact"/>
        <w:rPr>
          <w:rFonts w:ascii="Arial" w:cs="Arial" w:eastAsia="Arial" w:hAnsi="Arial"/>
          <w:sz w:val="21"/>
          <w:szCs w:val="21"/>
          <w:color w:val="auto"/>
        </w:rPr>
      </w:pPr>
    </w:p>
    <w:p>
      <w:pPr>
        <w:ind w:left="4" w:right="80" w:firstLine="644"/>
        <w:spacing w:after="0" w:line="218" w:lineRule="auto"/>
        <w:tabs>
          <w:tab w:leader="none" w:pos="1187" w:val="left"/>
        </w:tabs>
        <w:numPr>
          <w:ilvl w:val="1"/>
          <w:numId w:val="52"/>
        </w:numPr>
        <w:rPr>
          <w:rFonts w:ascii="Arial" w:cs="Arial" w:eastAsia="Arial" w:hAnsi="Arial"/>
          <w:sz w:val="22"/>
          <w:szCs w:val="22"/>
          <w:color w:val="auto"/>
        </w:rPr>
      </w:pPr>
      <w:r>
        <w:rPr>
          <w:rFonts w:ascii="Arial" w:cs="Arial" w:eastAsia="Arial" w:hAnsi="Arial"/>
          <w:sz w:val="22"/>
          <w:szCs w:val="22"/>
          <w:color w:val="auto"/>
        </w:rPr>
        <w:t>Within sixty (60) days after the Committee receives a request for review, it will review the initial determination. If special circumstances require that the sixty (60)-day time period be extended, the Committee will so notify the Claimant and will render the decision as soon as possible, but no later than one hundred twenty (120) days after receipt of the request for review.</w:t>
      </w:r>
    </w:p>
    <w:p>
      <w:pPr>
        <w:spacing w:after="0" w:line="201" w:lineRule="exact"/>
        <w:rPr>
          <w:rFonts w:ascii="Arial" w:cs="Arial" w:eastAsia="Arial" w:hAnsi="Arial"/>
          <w:sz w:val="22"/>
          <w:szCs w:val="22"/>
          <w:color w:val="auto"/>
        </w:rPr>
      </w:pPr>
    </w:p>
    <w:p>
      <w:pPr>
        <w:ind w:left="4" w:right="60" w:firstLine="644"/>
        <w:spacing w:after="0" w:line="224" w:lineRule="auto"/>
        <w:tabs>
          <w:tab w:leader="none" w:pos="1189" w:val="left"/>
        </w:tabs>
        <w:numPr>
          <w:ilvl w:val="1"/>
          <w:numId w:val="52"/>
        </w:numPr>
        <w:rPr>
          <w:rFonts w:ascii="Arial" w:cs="Arial" w:eastAsia="Arial" w:hAnsi="Arial"/>
          <w:sz w:val="21"/>
          <w:szCs w:val="21"/>
          <w:color w:val="auto"/>
        </w:rPr>
      </w:pPr>
      <w:r>
        <w:rPr>
          <w:rFonts w:ascii="Arial" w:cs="Arial" w:eastAsia="Arial" w:hAnsi="Arial"/>
          <w:sz w:val="21"/>
          <w:szCs w:val="21"/>
          <w:color w:val="auto"/>
        </w:rPr>
        <w:t>All decisions on review shall be final and binding with respect to all concerned parties, unless determined to be arbitrary and capricious by a court having jurisdiction. The decision on review shall set forth, in a manner calculated to be understood by the Claimant, (i) the specific reasons for the decision, including references to the relevant Plan provisions upon which the decision is based; (ii) the Claimant’s right to receive, upon request and free of charge, reasonable access to and copies of all documents, records, and other information, relevant to his or her benefits; and (iii) the Claimant’s right to bring an action for benefits under Section 502(a) of ERISA.</w:t>
      </w:r>
    </w:p>
    <w:p>
      <w:pPr>
        <w:spacing w:after="0" w:line="200" w:lineRule="exact"/>
        <w:rPr>
          <w:rFonts w:ascii="Arial" w:cs="Arial" w:eastAsia="Arial" w:hAnsi="Arial"/>
          <w:sz w:val="21"/>
          <w:szCs w:val="21"/>
          <w:color w:val="auto"/>
        </w:rPr>
      </w:pPr>
    </w:p>
    <w:p>
      <w:pPr>
        <w:ind w:left="4" w:right="120" w:firstLine="644"/>
        <w:spacing w:after="0" w:line="234" w:lineRule="auto"/>
        <w:tabs>
          <w:tab w:leader="none" w:pos="1192" w:val="left"/>
        </w:tabs>
        <w:numPr>
          <w:ilvl w:val="1"/>
          <w:numId w:val="52"/>
        </w:numPr>
        <w:rPr>
          <w:rFonts w:ascii="Arial" w:cs="Arial" w:eastAsia="Arial" w:hAnsi="Arial"/>
          <w:sz w:val="21"/>
          <w:szCs w:val="21"/>
          <w:color w:val="auto"/>
        </w:rPr>
      </w:pPr>
      <w:r>
        <w:rPr>
          <w:rFonts w:ascii="Arial" w:cs="Arial" w:eastAsia="Arial" w:hAnsi="Arial"/>
          <w:sz w:val="21"/>
          <w:szCs w:val="21"/>
          <w:color w:val="auto"/>
        </w:rPr>
        <w:t>A Claimant who has exhausted all of the above claim procedures in this Section 10.1 and continues to contest the final determination of the Committee must bring an action for benefits under Section 502(a) of ERISA within one-year of the Committee’s final determination of a denial for benefits under Section 10.1(e).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64"/>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944"/>
          </w:cols>
          <w:pgMar w:left="436" w:top="1440" w:right="519" w:bottom="1440" w:gutter="0" w:footer="0" w:header="0"/>
        </w:sectPr>
      </w:pPr>
    </w:p>
    <w:bookmarkStart w:id="79" w:name="page80"/>
    <w:bookmarkEnd w:id="79"/>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REGULATORY MATTERS</w:t>
      </w:r>
    </w:p>
    <w:p>
      <w:pPr>
        <w:spacing w:after="0" w:line="212"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The Plan is subject to ERISA. However, because the Plan is an unfunded plan maintained by an employer primarily for the purpose of providing deferred compensation for a select group of management or highly compensated employees, the 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 A portion of this Plan constitutes an “excess benefit plan” as defined in Section 3(36) of ERISA.</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WHOM SHOULD QUESTIONS CONCERNING THE PLAN BE DIRECTED?</w:t>
      </w:r>
    </w:p>
    <w:p>
      <w:pPr>
        <w:spacing w:after="0" w:line="226" w:lineRule="exact"/>
        <w:rPr>
          <w:sz w:val="20"/>
          <w:szCs w:val="20"/>
          <w:color w:val="auto"/>
        </w:rPr>
      </w:pPr>
    </w:p>
    <w:p>
      <w:pPr>
        <w:ind w:right="260" w:firstLine="648"/>
        <w:spacing w:after="0" w:line="223" w:lineRule="auto"/>
        <w:rPr>
          <w:sz w:val="20"/>
          <w:szCs w:val="20"/>
          <w:color w:val="auto"/>
        </w:rPr>
      </w:pPr>
      <w:r>
        <w:rPr>
          <w:rFonts w:ascii="Arial" w:cs="Arial" w:eastAsia="Arial" w:hAnsi="Arial"/>
          <w:sz w:val="22"/>
          <w:szCs w:val="22"/>
          <w:color w:val="auto"/>
        </w:rPr>
        <w:t xml:space="preserve">All questions concerning the operation of the Plan (including information concerning the administrators of the Plan) should be directed to the RTX Total Rewards mailbox to the attention of the Deferred Compensation Committee at </w:t>
      </w:r>
      <w:r>
        <w:rPr>
          <w:rFonts w:ascii="Arial" w:cs="Arial" w:eastAsia="Arial" w:hAnsi="Arial"/>
          <w:sz w:val="22"/>
          <w:szCs w:val="22"/>
          <w:u w:val="single" w:color="auto"/>
          <w:color w:val="0562C1"/>
        </w:rPr>
        <w:t>RTXTotalRewards@rtx.com</w:t>
      </w:r>
      <w:r>
        <w:rPr>
          <w:rFonts w:ascii="Arial" w:cs="Arial" w:eastAsia="Arial" w:hAnsi="Arial"/>
          <w:sz w:val="22"/>
          <w:szCs w:val="22"/>
          <w:color w:val="0562C1"/>
        </w:rPr>
        <w:t xml:space="preserve"> </w:t>
      </w:r>
      <w:r>
        <w:rPr>
          <w:rFonts w:ascii="Arial" w:cs="Arial" w:eastAsia="Arial" w:hAnsi="Arial"/>
          <w:sz w:val="22"/>
          <w:szCs w:val="22"/>
          <w:color w:val="000000"/>
        </w:rPr>
        <w:t>(preferred) or via postal mail to:</w:t>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RTX Corporation</w:t>
      </w:r>
    </w:p>
    <w:p>
      <w:pPr>
        <w:ind w:left="1840"/>
        <w:spacing w:after="0" w:line="204" w:lineRule="auto"/>
        <w:rPr>
          <w:sz w:val="20"/>
          <w:szCs w:val="20"/>
          <w:color w:val="auto"/>
        </w:rPr>
      </w:pPr>
      <w:r>
        <w:rPr>
          <w:rFonts w:ascii="Arial" w:cs="Arial" w:eastAsia="Arial" w:hAnsi="Arial"/>
          <w:sz w:val="22"/>
          <w:szCs w:val="22"/>
          <w:color w:val="auto"/>
        </w:rPr>
        <w:t>4 Farm Springs Road</w:t>
      </w:r>
    </w:p>
    <w:p>
      <w:pPr>
        <w:ind w:left="1840"/>
        <w:spacing w:after="0" w:line="205" w:lineRule="auto"/>
        <w:rPr>
          <w:sz w:val="20"/>
          <w:szCs w:val="20"/>
          <w:color w:val="auto"/>
        </w:rPr>
      </w:pPr>
      <w:r>
        <w:rPr>
          <w:rFonts w:ascii="Arial" w:cs="Arial" w:eastAsia="Arial" w:hAnsi="Arial"/>
          <w:sz w:val="22"/>
          <w:szCs w:val="22"/>
          <w:color w:val="auto"/>
        </w:rPr>
        <w:t>Farmington, CT 06032</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Attn: Vice President, Executive Compensation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RTX CORPORATION</w:t>
      </w:r>
    </w:p>
    <w:p>
      <w:pPr>
        <w:spacing w:after="0" w:line="200" w:lineRule="exact"/>
        <w:rPr>
          <w:sz w:val="20"/>
          <w:szCs w:val="20"/>
          <w:color w:val="auto"/>
        </w:rPr>
      </w:pPr>
    </w:p>
    <w:p>
      <w:pPr>
        <w:spacing w:after="0" w:line="24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Jeffrey W. Kridler</w:t>
      </w:r>
    </w:p>
    <w:p>
      <w:pPr>
        <w:ind w:left="4260"/>
        <w:spacing w:after="0" w:line="211" w:lineRule="auto"/>
        <w:rPr>
          <w:sz w:val="20"/>
          <w:szCs w:val="20"/>
          <w:color w:val="auto"/>
        </w:rPr>
      </w:pPr>
      <w:r>
        <w:rPr>
          <w:rFonts w:ascii="Arial" w:cs="Arial" w:eastAsia="Arial" w:hAnsi="Arial"/>
          <w:sz w:val="20"/>
          <w:szCs w:val="20"/>
          <w:color w:val="auto"/>
        </w:rPr>
        <w:t>Jeffrey W. Kridler</w:t>
      </w:r>
    </w:p>
    <w:p>
      <w:pPr>
        <w:ind w:left="4200"/>
        <w:spacing w:after="0"/>
        <w:rPr>
          <w:sz w:val="20"/>
          <w:szCs w:val="20"/>
          <w:color w:val="auto"/>
        </w:rPr>
      </w:pPr>
      <w:r>
        <w:rPr>
          <w:rFonts w:ascii="Arial" w:cs="Arial" w:eastAsia="Arial" w:hAnsi="Arial"/>
          <w:sz w:val="20"/>
          <w:szCs w:val="20"/>
          <w:color w:val="auto"/>
        </w:rPr>
        <w:t>Corporate 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Christine L. Hill</w:t>
      </w:r>
    </w:p>
    <w:p>
      <w:pPr>
        <w:ind w:left="540"/>
        <w:spacing w:after="0" w:line="211" w:lineRule="auto"/>
        <w:rPr>
          <w:sz w:val="20"/>
          <w:szCs w:val="20"/>
          <w:color w:val="auto"/>
        </w:rPr>
      </w:pPr>
      <w:r>
        <w:rPr>
          <w:rFonts w:ascii="Arial" w:cs="Arial" w:eastAsia="Arial" w:hAnsi="Arial"/>
          <w:sz w:val="20"/>
          <w:szCs w:val="20"/>
          <w:color w:val="auto"/>
        </w:rPr>
        <w:t>Christine L. Hill</w:t>
      </w:r>
    </w:p>
    <w:p>
      <w:pPr>
        <w:ind w:left="540"/>
        <w:spacing w:after="0" w:line="197" w:lineRule="auto"/>
        <w:rPr>
          <w:sz w:val="20"/>
          <w:szCs w:val="20"/>
          <w:color w:val="auto"/>
        </w:rPr>
      </w:pPr>
      <w:r>
        <w:rPr>
          <w:rFonts w:ascii="Arial" w:cs="Arial" w:eastAsia="Arial" w:hAnsi="Arial"/>
          <w:sz w:val="20"/>
          <w:szCs w:val="20"/>
          <w:color w:val="auto"/>
        </w:rPr>
        <w:t>Vice President &amp; Associate General Counsel,</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Executive &amp; Global Compensation &amp; Benefits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940"/>
          </w:cols>
          <w:pgMar w:left="440" w:top="1440" w:right="51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RTX CORPORATION</w:t>
      </w:r>
    </w:p>
    <w:p>
      <w:pPr>
        <w:spacing w:after="0" w:line="26" w:lineRule="exact"/>
        <w:rPr>
          <w:sz w:val="20"/>
          <w:szCs w:val="20"/>
          <w:color w:val="auto"/>
        </w:rPr>
      </w:pPr>
    </w:p>
    <w:p>
      <w:pPr>
        <w:ind w:left="3580"/>
        <w:spacing w:after="0"/>
        <w:rPr>
          <w:sz w:val="20"/>
          <w:szCs w:val="20"/>
          <w:color w:val="auto"/>
        </w:rPr>
      </w:pPr>
      <w:r>
        <w:rPr>
          <w:rFonts w:ascii="Arial" w:cs="Arial" w:eastAsia="Arial" w:hAnsi="Arial"/>
          <w:sz w:val="20"/>
          <w:szCs w:val="20"/>
          <w:b w:val="1"/>
          <w:bCs w:val="1"/>
          <w:color w:val="auto"/>
        </w:rPr>
        <w:t>2018 LONG-TERM INCENTIVE PLAN</w:t>
      </w:r>
    </w:p>
    <w:p>
      <w:pPr>
        <w:spacing w:after="0" w:line="23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(As Amended and Restated as of October 1,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PURPOSE; DEFINITIONS</w:t>
      </w:r>
    </w:p>
    <w:p>
      <w:pPr>
        <w:spacing w:after="0" w:line="235" w:lineRule="exact"/>
        <w:rPr>
          <w:sz w:val="20"/>
          <w:szCs w:val="20"/>
          <w:color w:val="auto"/>
        </w:rPr>
      </w:pPr>
    </w:p>
    <w:p>
      <w:pPr>
        <w:jc w:val="both"/>
        <w:ind w:right="140"/>
        <w:spacing w:after="0" w:line="271" w:lineRule="auto"/>
        <w:rPr>
          <w:sz w:val="20"/>
          <w:szCs w:val="20"/>
          <w:color w:val="auto"/>
        </w:rPr>
      </w:pPr>
      <w:r>
        <w:rPr>
          <w:rFonts w:ascii="Arial" w:cs="Arial" w:eastAsia="Arial" w:hAnsi="Arial"/>
          <w:sz w:val="20"/>
          <w:szCs w:val="20"/>
          <w:color w:val="auto"/>
        </w:rPr>
        <w:t>The purpose of this Plan is to enable the Corporation to implement a compensation program that correlates compensation opportunities with shareowner value, focuses Management on long-term, sustainable performance, and provides the Corporation with a competitive advantage in attracting, retaining and motivating officers, employees and directors.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Plan, the following terms are defined as set forth below:</w:t>
      </w:r>
    </w:p>
    <w:p>
      <w:pPr>
        <w:spacing w:after="0" w:line="243" w:lineRule="exact"/>
        <w:rPr>
          <w:sz w:val="20"/>
          <w:szCs w:val="20"/>
          <w:color w:val="auto"/>
        </w:rPr>
      </w:pPr>
    </w:p>
    <w:p>
      <w:pPr>
        <w:ind w:left="500" w:right="260" w:hanging="492"/>
        <w:spacing w:after="0" w:line="274" w:lineRule="auto"/>
        <w:tabs>
          <w:tab w:leader="none" w:pos="349" w:val="left"/>
        </w:tabs>
        <w:numPr>
          <w:ilvl w:val="0"/>
          <w:numId w:val="53"/>
        </w:numPr>
        <w:rPr>
          <w:rFonts w:ascii="Arial" w:cs="Arial" w:eastAsia="Arial" w:hAnsi="Arial"/>
          <w:sz w:val="20"/>
          <w:szCs w:val="20"/>
          <w:color w:val="auto"/>
        </w:rPr>
      </w:pPr>
      <w:r>
        <w:rPr>
          <w:rFonts w:ascii="Arial" w:cs="Arial" w:eastAsia="Arial" w:hAnsi="Arial"/>
          <w:sz w:val="20"/>
          <w:szCs w:val="20"/>
          <w:color w:val="auto"/>
        </w:rPr>
        <w:t>“Affiliate” means a company or other entity in which the Corporation has an equity or other financial interest, including joint ventures and partnerships.</w:t>
      </w:r>
    </w:p>
    <w:p>
      <w:pPr>
        <w:spacing w:after="0" w:line="176" w:lineRule="exact"/>
        <w:rPr>
          <w:rFonts w:ascii="Arial" w:cs="Arial" w:eastAsia="Arial" w:hAnsi="Arial"/>
          <w:sz w:val="20"/>
          <w:szCs w:val="20"/>
          <w:color w:val="auto"/>
        </w:rPr>
      </w:pPr>
    </w:p>
    <w:p>
      <w:pPr>
        <w:ind w:left="500" w:right="420" w:hanging="492"/>
        <w:spacing w:after="0" w:line="288"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“Applicable Exchange” means the New York Stock Exchange or such other securities exchange as may at the applicable time be the principal market for the Common Stock.</w:t>
      </w:r>
    </w:p>
    <w:p>
      <w:pPr>
        <w:spacing w:after="0" w:line="163" w:lineRule="exact"/>
        <w:rPr>
          <w:rFonts w:ascii="Arial" w:cs="Arial" w:eastAsia="Arial" w:hAnsi="Arial"/>
          <w:sz w:val="20"/>
          <w:szCs w:val="20"/>
          <w:color w:val="auto"/>
        </w:rPr>
      </w:pPr>
    </w:p>
    <w:p>
      <w:pPr>
        <w:ind w:left="500" w:right="340" w:hanging="492"/>
        <w:spacing w:after="0" w:line="274" w:lineRule="auto"/>
        <w:tabs>
          <w:tab w:leader="none" w:pos="349" w:val="left"/>
        </w:tabs>
        <w:numPr>
          <w:ilvl w:val="0"/>
          <w:numId w:val="53"/>
        </w:numPr>
        <w:rPr>
          <w:rFonts w:ascii="Arial" w:cs="Arial" w:eastAsia="Arial" w:hAnsi="Arial"/>
          <w:sz w:val="20"/>
          <w:szCs w:val="20"/>
          <w:color w:val="auto"/>
        </w:rPr>
      </w:pPr>
      <w:r>
        <w:rPr>
          <w:rFonts w:ascii="Arial" w:cs="Arial" w:eastAsia="Arial" w:hAnsi="Arial"/>
          <w:sz w:val="20"/>
          <w:szCs w:val="20"/>
          <w:color w:val="auto"/>
        </w:rPr>
        <w:t>“Award” means a Stock Option, Stock Appreciation Right, Restricted Stock Award, Restricted Stock Unit Award, Other Stock-Based Award or Cash Award granted pursuant to the terms of this Plan.</w:t>
      </w:r>
    </w:p>
    <w:p>
      <w:pPr>
        <w:spacing w:after="0" w:line="190" w:lineRule="exact"/>
        <w:rPr>
          <w:rFonts w:ascii="Arial" w:cs="Arial" w:eastAsia="Arial" w:hAnsi="Arial"/>
          <w:sz w:val="20"/>
          <w:szCs w:val="20"/>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 Agreement” means a written or electronic document or agreement setting forth the terms and conditions of a specific Award.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“Board” means the Board of Directors of the Corporation.</w:t>
      </w:r>
    </w:p>
    <w:p>
      <w:pPr>
        <w:spacing w:after="0" w:line="229" w:lineRule="exact"/>
        <w:rPr>
          <w:rFonts w:ascii="Arial" w:cs="Arial" w:eastAsia="Arial" w:hAnsi="Arial"/>
          <w:sz w:val="20"/>
          <w:szCs w:val="20"/>
          <w:color w:val="auto"/>
        </w:rPr>
      </w:pPr>
    </w:p>
    <w:p>
      <w:pPr>
        <w:ind w:left="320" w:hanging="312"/>
        <w:spacing w:after="0"/>
        <w:tabs>
          <w:tab w:leader="none" w:pos="3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“Business Combination” has the meaning set forth in Section 10(e)(iii).</w:t>
      </w:r>
    </w:p>
    <w:p>
      <w:pPr>
        <w:spacing w:after="0" w:line="242" w:lineRule="exact"/>
        <w:rPr>
          <w:rFonts w:ascii="Arial" w:cs="Arial" w:eastAsia="Arial" w:hAnsi="Arial"/>
          <w:sz w:val="20"/>
          <w:szCs w:val="20"/>
          <w:color w:val="auto"/>
        </w:rPr>
      </w:pPr>
    </w:p>
    <w:p>
      <w:pPr>
        <w:ind w:left="360" w:hanging="352"/>
        <w:spacing w:after="0"/>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“Cash Award” means an award granted to a Participant under Section 9 of this Plan.</w:t>
      </w:r>
    </w:p>
    <w:p>
      <w:pPr>
        <w:spacing w:after="0" w:line="229" w:lineRule="exact"/>
        <w:rPr>
          <w:rFonts w:ascii="Arial" w:cs="Arial" w:eastAsia="Arial" w:hAnsi="Arial"/>
          <w:sz w:val="20"/>
          <w:szCs w:val="20"/>
          <w:color w:val="auto"/>
        </w:rPr>
      </w:pPr>
    </w:p>
    <w:p>
      <w:pPr>
        <w:ind w:left="500" w:right="60" w:hanging="492"/>
        <w:spacing w:after="0" w:line="261"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“Cause” means, unless otherwise provided in an Award Agreement: (i) conduct involving a felony criminal offense under U.S. federal or state law or an equivalent violation of the laws of any other country; (ii) dishonesty, fraud, self-dealing or material violations of civil law in the course of fulfilling the Participant’s employment duties; (iii) breach of the Participant’s intellectual property agreement or other written agreement with the Corporation; (iv) willful misconduct injurious to the Corporation or any of its Subsidiaries or Affiliates as shall be determined by the Committee; (v) negligent conduct injurious to the Corporation and any of its Subsidiaries and Affiliates, including negligent supervision of a subordinate who causes significant harm to the Corporation as determined by the Committee; or (vi) prior to a Change-in-Control, such other events as shall be determined by the Committee. Notwithstanding the general rule of Section 2(c), following a Change-in-Control, any determination by the Committee as to whether “Cause” exists shall be subject to de novo review.</w:t>
      </w:r>
    </w:p>
    <w:p>
      <w:pPr>
        <w:spacing w:after="0" w:line="192" w:lineRule="exact"/>
        <w:rPr>
          <w:rFonts w:ascii="Arial" w:cs="Arial" w:eastAsia="Arial" w:hAnsi="Arial"/>
          <w:sz w:val="20"/>
          <w:szCs w:val="20"/>
          <w:color w:val="auto"/>
        </w:rPr>
      </w:pPr>
    </w:p>
    <w:p>
      <w:pPr>
        <w:ind w:left="320" w:hanging="312"/>
        <w:spacing w:after="0"/>
        <w:tabs>
          <w:tab w:leader="none" w:pos="3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“Change-in-Control” has the meaning set forth in Section 10(e).</w:t>
      </w:r>
    </w:p>
    <w:p>
      <w:pPr>
        <w:sectPr>
          <w:pgSz w:w="11900" w:h="16838" w:orient="portrait"/>
          <w:cols w:equalWidth="0" w:num="1">
            <w:col w:w="11240"/>
          </w:cols>
          <w:pgMar w:left="320" w:top="104" w:right="339" w:bottom="1440" w:gutter="0" w:footer="0" w:header="0"/>
        </w:sectPr>
      </w:pPr>
    </w:p>
    <w:bookmarkStart w:id="81" w:name="page82"/>
    <w:bookmarkEnd w:id="81"/>
    <w:p>
      <w:pPr>
        <w:ind w:left="492" w:right="180" w:hanging="492"/>
        <w:spacing w:after="0" w:line="265" w:lineRule="auto"/>
        <w:tabs>
          <w:tab w:leader="none" w:pos="308"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85" w:lineRule="exact"/>
        <w:rPr>
          <w:rFonts w:ascii="Arial" w:cs="Arial" w:eastAsia="Arial" w:hAnsi="Arial"/>
          <w:sz w:val="20"/>
          <w:szCs w:val="20"/>
          <w:color w:val="auto"/>
        </w:rPr>
      </w:pPr>
    </w:p>
    <w:p>
      <w:pPr>
        <w:ind w:left="352" w:hanging="352"/>
        <w:spacing w:after="0"/>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“Committee” means the Committee referred to in Section 2.</w:t>
      </w:r>
    </w:p>
    <w:p>
      <w:pPr>
        <w:spacing w:after="0" w:line="242" w:lineRule="exact"/>
        <w:rPr>
          <w:rFonts w:ascii="Arial" w:cs="Arial" w:eastAsia="Arial" w:hAnsi="Arial"/>
          <w:sz w:val="20"/>
          <w:szCs w:val="20"/>
          <w:color w:val="auto"/>
        </w:rPr>
      </w:pPr>
    </w:p>
    <w:p>
      <w:pPr>
        <w:ind w:left="312" w:hanging="312"/>
        <w:spacing w:after="0"/>
        <w:tabs>
          <w:tab w:leader="none" w:pos="312"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“Common Stock” means common stock, par value $1 per share, of the Corporation.</w:t>
      </w:r>
    </w:p>
    <w:p>
      <w:pPr>
        <w:spacing w:after="0" w:line="229" w:lineRule="exact"/>
        <w:rPr>
          <w:rFonts w:ascii="Arial" w:cs="Arial" w:eastAsia="Arial" w:hAnsi="Arial"/>
          <w:sz w:val="20"/>
          <w:szCs w:val="20"/>
          <w:color w:val="auto"/>
        </w:rPr>
      </w:pPr>
    </w:p>
    <w:p>
      <w:pPr>
        <w:ind w:left="392" w:hanging="392"/>
        <w:spacing w:after="0"/>
        <w:tabs>
          <w:tab w:leader="none" w:pos="392"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“Corporate Transaction” has the meaning set forth in Section 3(e).</w:t>
      </w:r>
    </w:p>
    <w:p>
      <w:pPr>
        <w:spacing w:after="0" w:line="229" w:lineRule="exact"/>
        <w:rPr>
          <w:rFonts w:ascii="Arial" w:cs="Arial" w:eastAsia="Arial" w:hAnsi="Arial"/>
          <w:sz w:val="20"/>
          <w:szCs w:val="20"/>
          <w:color w:val="auto"/>
        </w:rPr>
      </w:pPr>
    </w:p>
    <w:p>
      <w:pPr>
        <w:ind w:left="352" w:hanging="352"/>
        <w:spacing w:after="0"/>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“Corporation” means RTX Corporation, a Delaware corporation, or its successor.</w:t>
      </w:r>
    </w:p>
    <w:p>
      <w:pPr>
        <w:spacing w:after="0" w:line="242" w:lineRule="exact"/>
        <w:rPr>
          <w:rFonts w:ascii="Arial" w:cs="Arial" w:eastAsia="Arial" w:hAnsi="Arial"/>
          <w:sz w:val="20"/>
          <w:szCs w:val="20"/>
          <w:color w:val="auto"/>
        </w:rPr>
      </w:pPr>
    </w:p>
    <w:p>
      <w:pPr>
        <w:ind w:left="492" w:right="20" w:hanging="492"/>
        <w:spacing w:after="0" w:line="262" w:lineRule="auto"/>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“Disability” means permanent and total disability as determined under the Corporation’s long-term disability plan 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 with respect to an Award that constitutes “nonqualified deferred compensation” subject to Section 409A of the Code.</w:t>
      </w:r>
    </w:p>
    <w:p>
      <w:pPr>
        <w:spacing w:after="0" w:line="189" w:lineRule="exact"/>
        <w:rPr>
          <w:rFonts w:ascii="Arial" w:cs="Arial" w:eastAsia="Arial" w:hAnsi="Arial"/>
          <w:sz w:val="20"/>
          <w:szCs w:val="20"/>
          <w:color w:val="auto"/>
        </w:rPr>
      </w:pPr>
    </w:p>
    <w:p>
      <w:pPr>
        <w:ind w:left="492" w:right="320" w:hanging="492"/>
        <w:spacing w:after="0" w:line="271" w:lineRule="auto"/>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“Disaffiliation” means a Subsidiary’s or an Affiliate’s ceasing to be a Subsidiary or Affiliate for any reason (including as a result of a public offering, or a spinoff or sale by the Corporation, of the stock of the Subsidiary or Affiliate) or a sale of a division of the Corporation and its Affiliates.</w:t>
      </w:r>
    </w:p>
    <w:p>
      <w:pPr>
        <w:spacing w:after="0" w:line="179" w:lineRule="exact"/>
        <w:rPr>
          <w:rFonts w:ascii="Arial" w:cs="Arial" w:eastAsia="Arial" w:hAnsi="Arial"/>
          <w:sz w:val="20"/>
          <w:szCs w:val="20"/>
          <w:color w:val="auto"/>
        </w:rPr>
      </w:pPr>
    </w:p>
    <w:p>
      <w:pPr>
        <w:ind w:left="352" w:hanging="352"/>
        <w:spacing w:after="0"/>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“Effective Date” has the meaning set forth in Section 12(a).</w:t>
      </w:r>
    </w:p>
    <w:p>
      <w:pPr>
        <w:spacing w:after="0" w:line="242" w:lineRule="exact"/>
        <w:rPr>
          <w:rFonts w:ascii="Arial" w:cs="Arial" w:eastAsia="Arial" w:hAnsi="Arial"/>
          <w:sz w:val="20"/>
          <w:szCs w:val="20"/>
          <w:color w:val="auto"/>
        </w:rPr>
      </w:pPr>
    </w:p>
    <w:p>
      <w:pPr>
        <w:ind w:left="492" w:hanging="492"/>
        <w:spacing w:after="0" w:line="264" w:lineRule="auto"/>
        <w:tabs>
          <w:tab w:leader="none" w:pos="308" w:val="left"/>
        </w:tabs>
        <w:numPr>
          <w:ilvl w:val="0"/>
          <w:numId w:val="54"/>
        </w:numPr>
        <w:rPr>
          <w:rFonts w:ascii="Arial" w:cs="Arial" w:eastAsia="Arial" w:hAnsi="Arial"/>
          <w:sz w:val="20"/>
          <w:szCs w:val="20"/>
          <w:color w:val="auto"/>
        </w:rPr>
      </w:pPr>
      <w:r>
        <w:rPr>
          <w:rFonts w:ascii="Arial" w:cs="Arial" w:eastAsia="Arial" w:hAnsi="Arial"/>
          <w:sz w:val="20"/>
          <w:szCs w:val="20"/>
          <w:color w:val="auto"/>
        </w:rPr>
        <w:t>“Eligible Individuals” means directors, officers, and employees of the Corporation or any of its Subsidiaries or Affiliates, and prospective directors, officers and employees who have accepted offers of employment or consultancy from the Corporation or its Subsidiaries or Affiliates.</w:t>
      </w:r>
    </w:p>
    <w:p>
      <w:pPr>
        <w:spacing w:after="0" w:line="199" w:lineRule="exact"/>
        <w:rPr>
          <w:rFonts w:ascii="Arial" w:cs="Arial" w:eastAsia="Arial" w:hAnsi="Arial"/>
          <w:sz w:val="20"/>
          <w:szCs w:val="20"/>
          <w:color w:val="auto"/>
        </w:rPr>
      </w:pPr>
    </w:p>
    <w:p>
      <w:pPr>
        <w:ind w:left="332" w:hanging="332"/>
        <w:spacing w:after="0"/>
        <w:tabs>
          <w:tab w:leader="none" w:pos="332"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“Exchange Act” means the Securities Exchange Act of 1934, as amended from time to time, and any successor thereto.</w:t>
      </w:r>
    </w:p>
    <w:p>
      <w:pPr>
        <w:spacing w:after="0" w:line="229" w:lineRule="exact"/>
        <w:rPr>
          <w:rFonts w:ascii="Arial" w:cs="Arial" w:eastAsia="Arial" w:hAnsi="Arial"/>
          <w:sz w:val="20"/>
          <w:szCs w:val="20"/>
          <w:color w:val="auto"/>
        </w:rPr>
      </w:pPr>
    </w:p>
    <w:p>
      <w:pPr>
        <w:ind w:left="492" w:hanging="492"/>
        <w:spacing w:after="0" w:line="279" w:lineRule="auto"/>
        <w:tabs>
          <w:tab w:leader="none" w:pos="308" w:val="left"/>
        </w:tabs>
        <w:numPr>
          <w:ilvl w:val="0"/>
          <w:numId w:val="54"/>
        </w:numPr>
        <w:rPr>
          <w:rFonts w:ascii="Arial" w:cs="Arial" w:eastAsia="Arial" w:hAnsi="Arial"/>
          <w:sz w:val="19"/>
          <w:szCs w:val="19"/>
          <w:color w:val="auto"/>
        </w:rPr>
      </w:pPr>
      <w:r>
        <w:rPr>
          <w:rFonts w:ascii="Arial" w:cs="Arial" w:eastAsia="Arial" w:hAnsi="Arial"/>
          <w:sz w:val="19"/>
          <w:szCs w:val="19"/>
          <w:color w:val="auto"/>
        </w:rPr>
        <w:t>“Fair Market Value” means, except as otherwise determined by the Committee, the closing price of a Share on the Applicable Exchange on the date of measurement or, if Shares were not traded on the Applicable Exchange on such measurement date, then on the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77" w:lineRule="exact"/>
        <w:rPr>
          <w:rFonts w:ascii="Arial" w:cs="Arial" w:eastAsia="Arial" w:hAnsi="Arial"/>
          <w:sz w:val="19"/>
          <w:szCs w:val="19"/>
          <w:color w:val="auto"/>
        </w:rPr>
      </w:pPr>
    </w:p>
    <w:p>
      <w:pPr>
        <w:ind w:left="352" w:hanging="352"/>
        <w:spacing w:after="0"/>
        <w:tabs>
          <w:tab w:leader="none" w:pos="3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“Forfeiture Amount” has the meaning set forth in Section 14(i).</w:t>
      </w:r>
    </w:p>
    <w:p>
      <w:pPr>
        <w:spacing w:after="0" w:line="229" w:lineRule="exact"/>
        <w:rPr>
          <w:rFonts w:ascii="Arial" w:cs="Arial" w:eastAsia="Arial" w:hAnsi="Arial"/>
          <w:sz w:val="20"/>
          <w:szCs w:val="20"/>
          <w:color w:val="auto"/>
        </w:rPr>
      </w:pPr>
    </w:p>
    <w:p>
      <w:pPr>
        <w:ind w:left="332" w:hanging="332"/>
        <w:spacing w:after="0"/>
        <w:tabs>
          <w:tab w:leader="none" w:pos="332" w:val="left"/>
        </w:tabs>
        <w:numPr>
          <w:ilvl w:val="0"/>
          <w:numId w:val="54"/>
        </w:numPr>
        <w:rPr>
          <w:rFonts w:ascii="Arial" w:cs="Arial" w:eastAsia="Arial" w:hAnsi="Arial"/>
          <w:sz w:val="20"/>
          <w:szCs w:val="20"/>
          <w:color w:val="auto"/>
        </w:rPr>
      </w:pPr>
      <w:r>
        <w:rPr>
          <w:rFonts w:ascii="Arial" w:cs="Arial" w:eastAsia="Arial" w:hAnsi="Arial"/>
          <w:sz w:val="20"/>
          <w:szCs w:val="20"/>
          <w:color w:val="auto"/>
        </w:rPr>
        <w:t>“Full-Value Award” means any Award other than a Stock Appreciation Right, Stock Option or Cash Award.</w:t>
      </w:r>
    </w:p>
    <w:p>
      <w:pPr>
        <w:spacing w:after="0" w:line="242" w:lineRule="exact"/>
        <w:rPr>
          <w:rFonts w:ascii="Arial" w:cs="Arial" w:eastAsia="Arial" w:hAnsi="Arial"/>
          <w:sz w:val="20"/>
          <w:szCs w:val="20"/>
          <w:color w:val="auto"/>
        </w:rPr>
      </w:pPr>
    </w:p>
    <w:p>
      <w:pPr>
        <w:ind w:left="492" w:right="200" w:hanging="492"/>
        <w:spacing w:after="0" w:line="264" w:lineRule="auto"/>
        <w:tabs>
          <w:tab w:leader="none" w:pos="383" w:val="left"/>
        </w:tabs>
        <w:numPr>
          <w:ilvl w:val="0"/>
          <w:numId w:val="54"/>
        </w:numPr>
        <w:rPr>
          <w:rFonts w:ascii="Arial" w:cs="Arial" w:eastAsia="Arial" w:hAnsi="Arial"/>
          <w:sz w:val="20"/>
          <w:szCs w:val="20"/>
          <w:color w:val="auto"/>
        </w:rPr>
      </w:pPr>
      <w:r>
        <w:rPr>
          <w:rFonts w:ascii="Arial" w:cs="Arial" w:eastAsia="Arial" w:hAnsi="Arial"/>
          <w:sz w:val="20"/>
          <w:szCs w:val="20"/>
          <w:color w:val="auto"/>
        </w:rPr>
        <w:t>“Good Reason” means, the occurrence of any of the following without a Participant’s consent: (i) a material reduction in the Participant’s annual base salary, annual bonus opportunities, long-term incentive opportunities or other compensation and benefits in the aggregate from those in effect immediately prior to</w:t>
      </w:r>
    </w:p>
    <w:p>
      <w:pPr>
        <w:sectPr>
          <w:pgSz w:w="11900" w:h="16838" w:orient="portrait"/>
          <w:cols w:equalWidth="0" w:num="1">
            <w:col w:w="11192"/>
          </w:cols>
          <w:pgMar w:left="328" w:top="1432" w:right="379" w:bottom="1440" w:gutter="0" w:footer="0" w:header="0"/>
        </w:sectPr>
      </w:pPr>
    </w:p>
    <w:bookmarkStart w:id="82" w:name="page83"/>
    <w:bookmarkEnd w:id="82"/>
    <w:p>
      <w:pPr>
        <w:ind w:left="492"/>
        <w:spacing w:after="0" w:line="292" w:lineRule="auto"/>
        <w:rPr>
          <w:sz w:val="20"/>
          <w:szCs w:val="20"/>
          <w:color w:val="auto"/>
        </w:rPr>
      </w:pPr>
      <w:r>
        <w:rPr>
          <w:rFonts w:ascii="Arial" w:cs="Arial" w:eastAsia="Arial" w:hAnsi="Arial"/>
          <w:sz w:val="18"/>
          <w:szCs w:val="18"/>
          <w:color w:val="auto"/>
        </w:rPr>
        <w:t>the Change-in-Control; (ii) a material diminution in the Participant’s title, duties, authority, responsibilities, functions or reporting relationship from those in effect immediately prior to the Change-in-Control; or (iii) a mandatory relocation of the Participant’s principal location of employment greater than 50 miles from immediately prior to the Change-in-Control. In order to invoke a termination for Good Reason, the Participant shall provide written notice to the Corporation of the existence of one or more of the conditions described in clauses (i) through (iii) within 90 days following the Participant’s knowledge of the initial existence of such condition or conditions, and the Corporation shall have 30 days following receipt of such written notice (the “Cure Period”) during which it may cure the condition, if curable. If the Corporation fails to cure the condition constituting Good Reason during the Cure Period, the Participant must terminate employment, if at all, within one year following the end of the Cure Period in order for such termination to constitute a termination for Good Reason. The Participant’s mental or physical incapacity following the occurrence of an event described above in clauses (i) through (iii) shall not affect the Participant’s ability to terminate employment for Good Reason.</w:t>
      </w:r>
    </w:p>
    <w:p>
      <w:pPr>
        <w:spacing w:after="0" w:line="168" w:lineRule="exact"/>
        <w:rPr>
          <w:sz w:val="20"/>
          <w:szCs w:val="20"/>
          <w:color w:val="auto"/>
        </w:rPr>
      </w:pPr>
    </w:p>
    <w:p>
      <w:pPr>
        <w:ind w:left="492" w:right="40" w:hanging="492"/>
        <w:spacing w:after="0" w:line="265" w:lineRule="auto"/>
        <w:tabs>
          <w:tab w:leader="none" w:pos="352" w:val="left"/>
        </w:tabs>
        <w:numPr>
          <w:ilvl w:val="0"/>
          <w:numId w:val="55"/>
        </w:numPr>
        <w:rPr>
          <w:rFonts w:ascii="Arial" w:cs="Arial" w:eastAsia="Arial" w:hAnsi="Arial"/>
          <w:sz w:val="20"/>
          <w:szCs w:val="20"/>
          <w:color w:val="auto"/>
        </w:rPr>
      </w:pPr>
      <w:r>
        <w:rPr>
          <w:rFonts w:ascii="Arial" w:cs="Arial" w:eastAsia="Arial" w:hAnsi="Arial"/>
          <w:sz w:val="20"/>
          <w:szCs w:val="20"/>
          <w:color w:val="auto"/>
        </w:rPr>
        <w:t>“Grant Date” means (i) the date on which the Committee or its delegate, as applicable, selects an Eligible Individual to receive a grant of an Award and determines the number of Shares, or the formula for earning a number of Shares, to be subject to such Award or the cash amount subject to such Award and all other material terms applicable to such Award; or (ii) such later date as the Committee or its delegate shall provide.</w:t>
      </w:r>
    </w:p>
    <w:p>
      <w:pPr>
        <w:spacing w:after="0" w:line="199" w:lineRule="exact"/>
        <w:rPr>
          <w:rFonts w:ascii="Arial" w:cs="Arial" w:eastAsia="Arial" w:hAnsi="Arial"/>
          <w:sz w:val="20"/>
          <w:szCs w:val="20"/>
          <w:color w:val="auto"/>
        </w:rPr>
      </w:pPr>
    </w:p>
    <w:p>
      <w:pPr>
        <w:ind w:left="492" w:right="140" w:hanging="492"/>
        <w:spacing w:after="0" w:line="274" w:lineRule="auto"/>
        <w:tabs>
          <w:tab w:leader="none" w:pos="339"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“Incentive Stock Option” means any Stock Option designated in the applicable Award Agreement as an “incentive stock option” within the meaning of Section 422 of the Code, and that in fact so qualifies.</w:t>
      </w:r>
    </w:p>
    <w:p>
      <w:pPr>
        <w:spacing w:after="0" w:line="176" w:lineRule="exact"/>
        <w:rPr>
          <w:rFonts w:ascii="Arial" w:cs="Arial" w:eastAsia="Arial" w:hAnsi="Arial"/>
          <w:sz w:val="20"/>
          <w:szCs w:val="20"/>
          <w:color w:val="auto"/>
        </w:rPr>
      </w:pPr>
    </w:p>
    <w:p>
      <w:pPr>
        <w:ind w:left="332" w:hanging="332"/>
        <w:spacing w:after="0"/>
        <w:tabs>
          <w:tab w:leader="none" w:pos="332"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“Incumbent Board” has the meaning set forth in Section 10(e)(ii).</w:t>
      </w:r>
    </w:p>
    <w:p>
      <w:pPr>
        <w:spacing w:after="0" w:line="243" w:lineRule="exact"/>
        <w:rPr>
          <w:sz w:val="20"/>
          <w:szCs w:val="20"/>
          <w:color w:val="auto"/>
        </w:rPr>
      </w:pPr>
    </w:p>
    <w:p>
      <w:pPr>
        <w:ind w:left="492" w:right="240" w:hanging="492"/>
        <w:spacing w:after="0" w:line="264" w:lineRule="auto"/>
        <w:tabs>
          <w:tab w:leader="none" w:pos="478"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“Individual Agreement” means, after a Change-in-Control, (i) a change-in-control or severance agreement between a Participant and the Corporation or one of its Affiliates, or (ii) a change-in-control or severance plan covering a Participant that is sponsored by the Corporation or one of its Affiliates.</w:t>
      </w:r>
    </w:p>
    <w:p>
      <w:pPr>
        <w:spacing w:after="0" w:line="199" w:lineRule="exact"/>
        <w:rPr>
          <w:rFonts w:ascii="Arial" w:cs="Arial" w:eastAsia="Arial" w:hAnsi="Arial"/>
          <w:sz w:val="20"/>
          <w:szCs w:val="20"/>
          <w:color w:val="auto"/>
        </w:rPr>
      </w:pPr>
    </w:p>
    <w:p>
      <w:pPr>
        <w:ind w:left="492" w:hanging="492"/>
        <w:spacing w:after="0"/>
        <w:tabs>
          <w:tab w:leader="none" w:pos="492"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“Nonqualified Stock Option” means any Stock Option that is not an Incentive Stock Option.</w:t>
      </w:r>
    </w:p>
    <w:p>
      <w:pPr>
        <w:spacing w:after="0" w:line="229" w:lineRule="exact"/>
        <w:rPr>
          <w:rFonts w:ascii="Arial" w:cs="Arial" w:eastAsia="Arial" w:hAnsi="Arial"/>
          <w:sz w:val="20"/>
          <w:szCs w:val="20"/>
          <w:color w:val="auto"/>
        </w:rPr>
      </w:pPr>
    </w:p>
    <w:p>
      <w:pPr>
        <w:ind w:left="472" w:hanging="472"/>
        <w:spacing w:after="0"/>
        <w:tabs>
          <w:tab w:leader="none" w:pos="472" w:val="left"/>
        </w:tabs>
        <w:numPr>
          <w:ilvl w:val="0"/>
          <w:numId w:val="56"/>
        </w:numPr>
        <w:rPr>
          <w:rFonts w:ascii="Arial" w:cs="Arial" w:eastAsia="Arial" w:hAnsi="Arial"/>
          <w:sz w:val="20"/>
          <w:szCs w:val="20"/>
          <w:color w:val="auto"/>
        </w:rPr>
      </w:pPr>
      <w:r>
        <w:rPr>
          <w:rFonts w:ascii="Arial" w:cs="Arial" w:eastAsia="Arial" w:hAnsi="Arial"/>
          <w:sz w:val="20"/>
          <w:szCs w:val="20"/>
          <w:color w:val="auto"/>
        </w:rPr>
        <w:t>“Other Stock-Based Award” means an award granted to a Participant under Section 8 of this Plan.</w:t>
      </w:r>
    </w:p>
    <w:p>
      <w:pPr>
        <w:spacing w:after="0" w:line="229" w:lineRule="exact"/>
        <w:rPr>
          <w:rFonts w:ascii="Arial" w:cs="Arial" w:eastAsia="Arial" w:hAnsi="Arial"/>
          <w:sz w:val="20"/>
          <w:szCs w:val="20"/>
          <w:color w:val="auto"/>
        </w:rPr>
      </w:pPr>
    </w:p>
    <w:p>
      <w:pPr>
        <w:ind w:left="492" w:hanging="492"/>
        <w:spacing w:after="0"/>
        <w:tabs>
          <w:tab w:leader="none" w:pos="492" w:val="left"/>
        </w:tabs>
        <w:numPr>
          <w:ilvl w:val="0"/>
          <w:numId w:val="56"/>
        </w:numPr>
        <w:rPr>
          <w:rFonts w:ascii="Arial" w:cs="Arial" w:eastAsia="Arial" w:hAnsi="Arial"/>
          <w:sz w:val="20"/>
          <w:szCs w:val="20"/>
          <w:color w:val="auto"/>
        </w:rPr>
      </w:pPr>
      <w:r>
        <w:rPr>
          <w:rFonts w:ascii="Arial" w:cs="Arial" w:eastAsia="Arial" w:hAnsi="Arial"/>
          <w:sz w:val="20"/>
          <w:szCs w:val="20"/>
          <w:color w:val="auto"/>
        </w:rPr>
        <w:t>“Outstanding Corporation Common Stock” has the meaning set forth in Section 10(e)(i).</w:t>
      </w:r>
    </w:p>
    <w:p>
      <w:pPr>
        <w:spacing w:after="0" w:line="242" w:lineRule="exact"/>
        <w:rPr>
          <w:rFonts w:ascii="Arial" w:cs="Arial" w:eastAsia="Arial" w:hAnsi="Arial"/>
          <w:sz w:val="20"/>
          <w:szCs w:val="20"/>
          <w:color w:val="auto"/>
        </w:rPr>
      </w:pPr>
    </w:p>
    <w:p>
      <w:pPr>
        <w:ind w:left="472" w:hanging="472"/>
        <w:spacing w:after="0"/>
        <w:tabs>
          <w:tab w:leader="none" w:pos="472" w:val="left"/>
        </w:tabs>
        <w:numPr>
          <w:ilvl w:val="0"/>
          <w:numId w:val="56"/>
        </w:numPr>
        <w:rPr>
          <w:rFonts w:ascii="Arial" w:cs="Arial" w:eastAsia="Arial" w:hAnsi="Arial"/>
          <w:sz w:val="20"/>
          <w:szCs w:val="20"/>
          <w:color w:val="auto"/>
        </w:rPr>
      </w:pPr>
      <w:r>
        <w:rPr>
          <w:rFonts w:ascii="Arial" w:cs="Arial" w:eastAsia="Arial" w:hAnsi="Arial"/>
          <w:sz w:val="20"/>
          <w:szCs w:val="20"/>
          <w:color w:val="auto"/>
        </w:rPr>
        <w:t>“Outstanding Corporation Voting Securities” has the meaning set forth in Section 10(e)(i).</w:t>
      </w:r>
    </w:p>
    <w:p>
      <w:pPr>
        <w:spacing w:after="0" w:line="229" w:lineRule="exact"/>
        <w:rPr>
          <w:rFonts w:ascii="Arial" w:cs="Arial" w:eastAsia="Arial" w:hAnsi="Arial"/>
          <w:sz w:val="20"/>
          <w:szCs w:val="20"/>
          <w:color w:val="auto"/>
        </w:rPr>
      </w:pPr>
    </w:p>
    <w:p>
      <w:pPr>
        <w:ind w:left="372" w:hanging="372"/>
        <w:spacing w:after="0"/>
        <w:tabs>
          <w:tab w:leader="none" w:pos="372" w:val="left"/>
        </w:tabs>
        <w:numPr>
          <w:ilvl w:val="0"/>
          <w:numId w:val="56"/>
        </w:numPr>
        <w:rPr>
          <w:rFonts w:ascii="Arial" w:cs="Arial" w:eastAsia="Arial" w:hAnsi="Arial"/>
          <w:sz w:val="20"/>
          <w:szCs w:val="20"/>
          <w:color w:val="auto"/>
        </w:rPr>
      </w:pPr>
      <w:r>
        <w:rPr>
          <w:rFonts w:ascii="Arial" w:cs="Arial" w:eastAsia="Arial" w:hAnsi="Arial"/>
          <w:sz w:val="20"/>
          <w:szCs w:val="20"/>
          <w:color w:val="auto"/>
        </w:rPr>
        <w:t>“Participant” means an Eligible Individual to whom an Award is or has been granted.</w:t>
      </w:r>
    </w:p>
    <w:p>
      <w:pPr>
        <w:spacing w:after="0" w:line="229" w:lineRule="exact"/>
        <w:rPr>
          <w:rFonts w:ascii="Arial" w:cs="Arial" w:eastAsia="Arial" w:hAnsi="Arial"/>
          <w:sz w:val="20"/>
          <w:szCs w:val="20"/>
          <w:color w:val="auto"/>
        </w:rPr>
      </w:pPr>
    </w:p>
    <w:p>
      <w:pPr>
        <w:ind w:left="492" w:hanging="492"/>
        <w:spacing w:after="0" w:line="278" w:lineRule="auto"/>
        <w:tabs>
          <w:tab w:leader="none" w:pos="501" w:val="left"/>
        </w:tabs>
        <w:numPr>
          <w:ilvl w:val="0"/>
          <w:numId w:val="56"/>
        </w:numPr>
        <w:rPr>
          <w:rFonts w:ascii="Arial" w:cs="Arial" w:eastAsia="Arial" w:hAnsi="Arial"/>
          <w:sz w:val="19"/>
          <w:szCs w:val="19"/>
          <w:color w:val="auto"/>
        </w:rPr>
      </w:pPr>
      <w:r>
        <w:rPr>
          <w:rFonts w:ascii="Arial" w:cs="Arial" w:eastAsia="Arial" w:hAnsi="Arial"/>
          <w:sz w:val="19"/>
          <w:szCs w:val="19"/>
          <w:color w:val="auto"/>
        </w:rPr>
        <w:t>“Performance Goals” means the performance goals established by the Committee in connection with the grant of an Award which may be based on attainment of specified levels of one or more of the following measures, or of any other measures determined by the Committee in its discretion: stock price, total shareholder return, earnings (whether based on earnings before taxes, earnings before interest and taxes or earnings before interest, taxes, depreciation and amortization), 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working capital and gross inventory turnover, risk-based capital, revenues, revenue growth, return on capital</w:t>
      </w:r>
    </w:p>
    <w:p>
      <w:pPr>
        <w:sectPr>
          <w:pgSz w:w="11900" w:h="16838" w:orient="portrait"/>
          <w:cols w:equalWidth="0" w:num="1">
            <w:col w:w="11212"/>
          </w:cols>
          <w:pgMar w:left="328" w:top="1432" w:right="359" w:bottom="1440" w:gutter="0" w:footer="0" w:header="0"/>
        </w:sectPr>
      </w:pPr>
    </w:p>
    <w:bookmarkStart w:id="83" w:name="page84"/>
    <w:bookmarkEnd w:id="83"/>
    <w:p>
      <w:pPr>
        <w:ind w:left="492" w:right="60"/>
        <w:spacing w:after="0" w:line="265" w:lineRule="auto"/>
        <w:rPr>
          <w:sz w:val="20"/>
          <w:szCs w:val="20"/>
          <w:color w:val="auto"/>
        </w:rPr>
      </w:pPr>
      <w:r>
        <w:rPr>
          <w:rFonts w:ascii="Arial" w:cs="Arial" w:eastAsia="Arial" w:hAnsi="Arial"/>
          <w:sz w:val="20"/>
          <w:szCs w:val="20"/>
          <w:color w:val="auto"/>
        </w:rPr>
        <w:t>(whether based on return on total capital or return on invested capital), cost control, gross profit, operating profit, unit volume, sales, in each case with respect to the Corporation or any one or more Subsidiaries, Affiliates, divisions, business units or business segments thereof, either in absolute terms or relative to the performance of one or more other companies (including an index covering multiple companies).</w:t>
      </w:r>
    </w:p>
    <w:p>
      <w:pPr>
        <w:spacing w:after="0" w:line="186" w:lineRule="exact"/>
        <w:rPr>
          <w:sz w:val="20"/>
          <w:szCs w:val="20"/>
          <w:color w:val="auto"/>
        </w:rPr>
      </w:pPr>
    </w:p>
    <w:p>
      <w:pPr>
        <w:ind w:left="492" w:hanging="492"/>
        <w:spacing w:after="0"/>
        <w:tabs>
          <w:tab w:leader="none" w:pos="492" w:val="left"/>
        </w:tabs>
        <w:numPr>
          <w:ilvl w:val="0"/>
          <w:numId w:val="57"/>
        </w:numPr>
        <w:rPr>
          <w:rFonts w:ascii="Arial" w:cs="Arial" w:eastAsia="Arial" w:hAnsi="Arial"/>
          <w:sz w:val="20"/>
          <w:szCs w:val="20"/>
          <w:color w:val="auto"/>
        </w:rPr>
      </w:pPr>
      <w:r>
        <w:rPr>
          <w:rFonts w:ascii="Arial" w:cs="Arial" w:eastAsia="Arial" w:hAnsi="Arial"/>
          <w:sz w:val="20"/>
          <w:szCs w:val="20"/>
          <w:color w:val="auto"/>
        </w:rPr>
        <w:t>“Person” has the meaning set forth in Section 10(e)(i).</w:t>
      </w:r>
    </w:p>
    <w:p>
      <w:pPr>
        <w:spacing w:after="0" w:line="242" w:lineRule="exact"/>
        <w:rPr>
          <w:rFonts w:ascii="Arial" w:cs="Arial" w:eastAsia="Arial" w:hAnsi="Arial"/>
          <w:sz w:val="20"/>
          <w:szCs w:val="20"/>
          <w:color w:val="auto"/>
        </w:rPr>
      </w:pPr>
    </w:p>
    <w:p>
      <w:pPr>
        <w:ind w:left="352" w:hanging="352"/>
        <w:spacing w:after="0"/>
        <w:tabs>
          <w:tab w:leader="none" w:pos="352" w:val="left"/>
        </w:tabs>
        <w:numPr>
          <w:ilvl w:val="0"/>
          <w:numId w:val="57"/>
        </w:numPr>
        <w:rPr>
          <w:rFonts w:ascii="Arial" w:cs="Arial" w:eastAsia="Arial" w:hAnsi="Arial"/>
          <w:sz w:val="20"/>
          <w:szCs w:val="20"/>
          <w:color w:val="auto"/>
        </w:rPr>
      </w:pPr>
      <w:r>
        <w:rPr>
          <w:rFonts w:ascii="Arial" w:cs="Arial" w:eastAsia="Arial" w:hAnsi="Arial"/>
          <w:sz w:val="20"/>
          <w:szCs w:val="20"/>
          <w:color w:val="auto"/>
        </w:rPr>
        <w:t>“Plan” means the RTX Corporation 2018 Long-Term Incentive Plan, as set forth herein and as amended from time to time.</w:t>
      </w:r>
    </w:p>
    <w:p>
      <w:pPr>
        <w:spacing w:after="0" w:line="229" w:lineRule="exact"/>
        <w:rPr>
          <w:rFonts w:ascii="Arial" w:cs="Arial" w:eastAsia="Arial" w:hAnsi="Arial"/>
          <w:sz w:val="20"/>
          <w:szCs w:val="20"/>
          <w:color w:val="auto"/>
        </w:rPr>
      </w:pPr>
    </w:p>
    <w:p>
      <w:pPr>
        <w:ind w:left="352" w:hanging="352"/>
        <w:spacing w:after="0"/>
        <w:tabs>
          <w:tab w:leader="none" w:pos="352" w:val="left"/>
        </w:tabs>
        <w:numPr>
          <w:ilvl w:val="0"/>
          <w:numId w:val="57"/>
        </w:numPr>
        <w:rPr>
          <w:rFonts w:ascii="Arial" w:cs="Arial" w:eastAsia="Arial" w:hAnsi="Arial"/>
          <w:sz w:val="20"/>
          <w:szCs w:val="20"/>
          <w:color w:val="auto"/>
        </w:rPr>
      </w:pPr>
      <w:r>
        <w:rPr>
          <w:rFonts w:ascii="Arial" w:cs="Arial" w:eastAsia="Arial" w:hAnsi="Arial"/>
          <w:sz w:val="20"/>
          <w:szCs w:val="20"/>
          <w:color w:val="auto"/>
        </w:rPr>
        <w:t>“Prior Plan” means the amended and restated United Technologies Corporation Long-Term Incentive Plan.</w:t>
      </w:r>
    </w:p>
    <w:p>
      <w:pPr>
        <w:spacing w:after="0" w:line="229" w:lineRule="exact"/>
        <w:rPr>
          <w:rFonts w:ascii="Arial" w:cs="Arial" w:eastAsia="Arial" w:hAnsi="Arial"/>
          <w:sz w:val="20"/>
          <w:szCs w:val="20"/>
          <w:color w:val="auto"/>
        </w:rPr>
      </w:pPr>
    </w:p>
    <w:p>
      <w:pPr>
        <w:ind w:left="492" w:hanging="492"/>
        <w:spacing w:after="0"/>
        <w:tabs>
          <w:tab w:leader="none" w:pos="492"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“Replaced Award” has the meaning set forth in Section 10(b).</w:t>
      </w:r>
    </w:p>
    <w:p>
      <w:pPr>
        <w:spacing w:after="0" w:line="242" w:lineRule="exact"/>
        <w:rPr>
          <w:rFonts w:ascii="Arial" w:cs="Arial" w:eastAsia="Arial" w:hAnsi="Arial"/>
          <w:sz w:val="20"/>
          <w:szCs w:val="20"/>
          <w:color w:val="auto"/>
        </w:rPr>
      </w:pPr>
    </w:p>
    <w:p>
      <w:pPr>
        <w:ind w:left="352" w:hanging="352"/>
        <w:spacing w:after="0"/>
        <w:tabs>
          <w:tab w:leader="none" w:pos="352"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“Replacement Award” has the meaning set forth in Section 10(b).</w:t>
      </w:r>
    </w:p>
    <w:p>
      <w:pPr>
        <w:spacing w:after="0" w:line="229" w:lineRule="exact"/>
        <w:rPr>
          <w:rFonts w:ascii="Arial" w:cs="Arial" w:eastAsia="Arial" w:hAnsi="Arial"/>
          <w:sz w:val="20"/>
          <w:szCs w:val="20"/>
          <w:color w:val="auto"/>
        </w:rPr>
      </w:pPr>
    </w:p>
    <w:p>
      <w:pPr>
        <w:ind w:left="552" w:hanging="552"/>
        <w:spacing w:after="0"/>
        <w:tabs>
          <w:tab w:leader="none" w:pos="552"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“Section 16(b)” has the meaning set forth in Section 11(a).</w:t>
      </w:r>
    </w:p>
    <w:p>
      <w:pPr>
        <w:spacing w:after="0" w:line="229" w:lineRule="exact"/>
        <w:rPr>
          <w:rFonts w:ascii="Arial" w:cs="Arial" w:eastAsia="Arial" w:hAnsi="Arial"/>
          <w:sz w:val="20"/>
          <w:szCs w:val="20"/>
          <w:color w:val="auto"/>
        </w:rPr>
      </w:pPr>
    </w:p>
    <w:p>
      <w:pPr>
        <w:ind w:left="492" w:hanging="492"/>
        <w:spacing w:after="0"/>
        <w:tabs>
          <w:tab w:leader="none" w:pos="492" w:val="left"/>
        </w:tabs>
        <w:numPr>
          <w:ilvl w:val="0"/>
          <w:numId w:val="57"/>
        </w:numPr>
        <w:rPr>
          <w:rFonts w:ascii="Arial" w:cs="Arial" w:eastAsia="Arial" w:hAnsi="Arial"/>
          <w:sz w:val="20"/>
          <w:szCs w:val="20"/>
          <w:color w:val="auto"/>
        </w:rPr>
      </w:pPr>
      <w:r>
        <w:rPr>
          <w:rFonts w:ascii="Arial" w:cs="Arial" w:eastAsia="Arial" w:hAnsi="Arial"/>
          <w:sz w:val="20"/>
          <w:szCs w:val="20"/>
          <w:color w:val="auto"/>
        </w:rPr>
        <w:t>“Share” means a share of the Corporation’s Common Stock.</w:t>
      </w:r>
    </w:p>
    <w:p>
      <w:pPr>
        <w:spacing w:after="0" w:line="242" w:lineRule="exact"/>
        <w:rPr>
          <w:rFonts w:ascii="Arial" w:cs="Arial" w:eastAsia="Arial" w:hAnsi="Arial"/>
          <w:sz w:val="20"/>
          <w:szCs w:val="20"/>
          <w:color w:val="auto"/>
        </w:rPr>
      </w:pPr>
    </w:p>
    <w:p>
      <w:pPr>
        <w:ind w:left="492" w:hanging="492"/>
        <w:spacing w:after="0"/>
        <w:tabs>
          <w:tab w:leader="none" w:pos="492" w:val="left"/>
        </w:tabs>
        <w:numPr>
          <w:ilvl w:val="0"/>
          <w:numId w:val="57"/>
        </w:numPr>
        <w:rPr>
          <w:rFonts w:ascii="Arial" w:cs="Arial" w:eastAsia="Arial" w:hAnsi="Arial"/>
          <w:sz w:val="20"/>
          <w:szCs w:val="20"/>
          <w:color w:val="auto"/>
        </w:rPr>
      </w:pPr>
      <w:r>
        <w:rPr>
          <w:rFonts w:ascii="Arial" w:cs="Arial" w:eastAsia="Arial" w:hAnsi="Arial"/>
          <w:sz w:val="20"/>
          <w:szCs w:val="20"/>
          <w:color w:val="auto"/>
        </w:rPr>
        <w:t>“Stock Appreciation Right” means an Award granted under Section 5(a).</w:t>
      </w:r>
    </w:p>
    <w:p>
      <w:pPr>
        <w:spacing w:after="0" w:line="229" w:lineRule="exact"/>
        <w:rPr>
          <w:rFonts w:ascii="Arial" w:cs="Arial" w:eastAsia="Arial" w:hAnsi="Arial"/>
          <w:sz w:val="20"/>
          <w:szCs w:val="20"/>
          <w:color w:val="auto"/>
        </w:rPr>
      </w:pPr>
    </w:p>
    <w:p>
      <w:pPr>
        <w:ind w:left="492" w:hanging="492"/>
        <w:spacing w:after="0"/>
        <w:tabs>
          <w:tab w:leader="none" w:pos="492" w:val="left"/>
        </w:tabs>
        <w:numPr>
          <w:ilvl w:val="0"/>
          <w:numId w:val="57"/>
        </w:numPr>
        <w:rPr>
          <w:rFonts w:ascii="Arial" w:cs="Arial" w:eastAsia="Arial" w:hAnsi="Arial"/>
          <w:sz w:val="20"/>
          <w:szCs w:val="20"/>
          <w:color w:val="auto"/>
        </w:rPr>
      </w:pPr>
      <w:r>
        <w:rPr>
          <w:rFonts w:ascii="Arial" w:cs="Arial" w:eastAsia="Arial" w:hAnsi="Arial"/>
          <w:sz w:val="20"/>
          <w:szCs w:val="20"/>
          <w:color w:val="auto"/>
        </w:rPr>
        <w:t>“Stock Option” means an Award granted under Section 5(b).</w:t>
      </w:r>
    </w:p>
    <w:p>
      <w:pPr>
        <w:spacing w:after="0" w:line="229" w:lineRule="exact"/>
        <w:rPr>
          <w:rFonts w:ascii="Arial" w:cs="Arial" w:eastAsia="Arial" w:hAnsi="Arial"/>
          <w:sz w:val="20"/>
          <w:szCs w:val="20"/>
          <w:color w:val="auto"/>
        </w:rPr>
      </w:pPr>
    </w:p>
    <w:p>
      <w:pPr>
        <w:ind w:left="492" w:right="240" w:hanging="492"/>
        <w:spacing w:after="0" w:line="316" w:lineRule="auto"/>
        <w:tabs>
          <w:tab w:leader="none" w:pos="501" w:val="left"/>
        </w:tabs>
        <w:numPr>
          <w:ilvl w:val="0"/>
          <w:numId w:val="57"/>
        </w:numPr>
        <w:rPr>
          <w:rFonts w:ascii="Arial" w:cs="Arial" w:eastAsia="Arial" w:hAnsi="Arial"/>
          <w:sz w:val="19"/>
          <w:szCs w:val="19"/>
          <w:color w:val="auto"/>
        </w:rPr>
      </w:pPr>
      <w:r>
        <w:rPr>
          <w:rFonts w:ascii="Arial" w:cs="Arial" w:eastAsia="Arial" w:hAnsi="Arial"/>
          <w:sz w:val="19"/>
          <w:szCs w:val="19"/>
          <w:color w:val="auto"/>
        </w:rPr>
        <w:t>“Subsidiary” means any corporation, partnership, joint venture, limited company or other entity during any period in which at least a 50% voting or profits interest is owned, directly or indirectly, by the Corporation or any successor to the Corporation.</w:t>
      </w:r>
    </w:p>
    <w:p>
      <w:pPr>
        <w:spacing w:after="0" w:line="140" w:lineRule="exact"/>
        <w:rPr>
          <w:rFonts w:ascii="Arial" w:cs="Arial" w:eastAsia="Arial" w:hAnsi="Arial"/>
          <w:sz w:val="19"/>
          <w:szCs w:val="19"/>
          <w:color w:val="auto"/>
        </w:rPr>
      </w:pPr>
    </w:p>
    <w:p>
      <w:pPr>
        <w:ind w:left="492" w:right="20" w:hanging="492"/>
        <w:spacing w:after="0" w:line="274" w:lineRule="auto"/>
        <w:tabs>
          <w:tab w:leader="none" w:pos="374" w:val="left"/>
        </w:tabs>
        <w:numPr>
          <w:ilvl w:val="0"/>
          <w:numId w:val="57"/>
        </w:numPr>
        <w:rPr>
          <w:rFonts w:ascii="Arial" w:cs="Arial" w:eastAsia="Arial" w:hAnsi="Arial"/>
          <w:sz w:val="20"/>
          <w:szCs w:val="20"/>
          <w:color w:val="auto"/>
        </w:rPr>
      </w:pPr>
      <w:r>
        <w:rPr>
          <w:rFonts w:ascii="Arial" w:cs="Arial" w:eastAsia="Arial" w:hAnsi="Arial"/>
          <w:sz w:val="20"/>
          <w:szCs w:val="20"/>
          <w:color w:val="auto"/>
        </w:rPr>
        <w:t>“Term” means the maximum period during which a Stock Appreciation Right or Stock Option may remain outstanding, subject to earlier termination upon Termination of Service or otherwise, as specified in the applicable Award Agreement.</w:t>
      </w:r>
    </w:p>
    <w:p>
      <w:pPr>
        <w:spacing w:after="0" w:line="190" w:lineRule="exact"/>
        <w:rPr>
          <w:rFonts w:ascii="Arial" w:cs="Arial" w:eastAsia="Arial" w:hAnsi="Arial"/>
          <w:sz w:val="20"/>
          <w:szCs w:val="20"/>
          <w:color w:val="auto"/>
        </w:rPr>
      </w:pPr>
    </w:p>
    <w:p>
      <w:pPr>
        <w:ind w:left="492" w:hanging="492"/>
        <w:spacing w:after="0" w:line="291" w:lineRule="auto"/>
        <w:tabs>
          <w:tab w:leader="none" w:pos="4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of Service” means the termination of the applicable Participant’s employment with, or performance of services for, the Corporation and any of its Subsidiaries or Affiliates. Unless otherwise determined by the Committee: (i) if a Participant’s employment with the Corporation and its Affiliates terminates but such Participant continues to provide services to the Corporation and its Affiliates in a non-employee capacity, such change in status shall not be deemed a Termination of Service, (ii) a Participant employed by, or performing services for, a Subsidiary or an Affiliate or a division of the Corporation and its Affiliates shall also be deemed to incur a Termination of Service if, as a result of a Disaffiliation, such Subsidiary, Affiliate or division ceases to be a Subsidiary, Affiliate or division, as the case may be, and the Participant does not immediately thereafter become an employee of, or service provider for, the Corporation or another Subsidiary or Affiliate, and (iii) a Participant shall not be deemed to have incurred a Termination of Service solely by reason of such individual’s incurrence of a Disability. Temporary absences from employment because of illness, vacation or leave of absence and transfers among the Corporation and its Subsidiaries and Affiliates shall not be considered a Termination of Service. Absences from employment by reason of notice periods, garden leaves or similar paid leaves implemented in contemplation of a permanent termination of employment shall not be recognized as service under this Plan. Notwithstanding the foregoing provisions of this definition, with respect to any Award that constitutes “nonqualified deferred</w:t>
      </w:r>
    </w:p>
    <w:p>
      <w:pPr>
        <w:sectPr>
          <w:pgSz w:w="11900" w:h="16838" w:orient="portrait"/>
          <w:cols w:equalWidth="0" w:num="1">
            <w:col w:w="11232"/>
          </w:cols>
          <w:pgMar w:left="328" w:top="1432" w:right="339" w:bottom="1440" w:gutter="0" w:footer="0" w:header="0"/>
        </w:sectPr>
      </w:pPr>
    </w:p>
    <w:bookmarkStart w:id="84" w:name="page85"/>
    <w:bookmarkEnd w:id="84"/>
    <w:p>
      <w:pPr>
        <w:ind w:left="500" w:right="140"/>
        <w:spacing w:after="0" w:line="288" w:lineRule="auto"/>
        <w:rPr>
          <w:sz w:val="20"/>
          <w:szCs w:val="20"/>
          <w:color w:val="auto"/>
        </w:rPr>
      </w:pPr>
      <w:r>
        <w:rPr>
          <w:rFonts w:ascii="Arial" w:cs="Arial" w:eastAsia="Arial" w:hAnsi="Arial"/>
          <w:sz w:val="18"/>
          <w:szCs w:val="18"/>
          <w:color w:val="auto"/>
        </w:rPr>
        <w:t>compensation” subject to Section 409A of the Code, a Participant shall not be considered to have experienced a “Termination of Service” unless the Participant has experienced a “separation from service” within the meaning of Section 409A of the Code (a “Separation from Service”), and a Separation from Service shall be deemed to occur where the Participant and the Corporation and its Subsidiaries and Affiliates reasonably anticipate that the bona fide level of services that the Participant will perform (whether as an employee or as an independent contractor) will be permanently reduced to a level that is less than thirty-seven and a half percent</w:t>
      </w:r>
    </w:p>
    <w:p>
      <w:pPr>
        <w:ind w:left="500" w:right="60"/>
        <w:spacing w:after="0" w:line="264" w:lineRule="auto"/>
        <w:rPr>
          <w:sz w:val="20"/>
          <w:szCs w:val="20"/>
          <w:color w:val="auto"/>
        </w:rPr>
      </w:pPr>
      <w:r>
        <w:rPr>
          <w:rFonts w:ascii="Arial" w:cs="Arial" w:eastAsia="Arial" w:hAnsi="Arial"/>
          <w:sz w:val="20"/>
          <w:szCs w:val="20"/>
          <w:color w:val="auto"/>
        </w:rPr>
        <w:t>(37.5%) of the average level of bona fide services the Participant performed during the immediately preceding 36 months (or the entire period the Participant has provided services if the Participant has been providing services to the Corporation and/or any of its Subsidiaries or Affiliates for less than 36 months).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ADMINISTRATION</w:t>
      </w:r>
    </w:p>
    <w:p>
      <w:pPr>
        <w:spacing w:after="0" w:line="235" w:lineRule="exact"/>
        <w:rPr>
          <w:sz w:val="20"/>
          <w:szCs w:val="20"/>
          <w:color w:val="auto"/>
        </w:rPr>
      </w:pPr>
    </w:p>
    <w:p>
      <w:pPr>
        <w:ind w:left="500" w:hanging="492"/>
        <w:spacing w:after="0" w:line="262" w:lineRule="auto"/>
        <w:tabs>
          <w:tab w:leader="none" w:pos="349" w:val="left"/>
        </w:tabs>
        <w:numPr>
          <w:ilvl w:val="0"/>
          <w:numId w:val="58"/>
        </w:numPr>
        <w:rPr>
          <w:rFonts w:ascii="Arial" w:cs="Arial" w:eastAsia="Arial" w:hAnsi="Arial"/>
          <w:sz w:val="20"/>
          <w:szCs w:val="20"/>
          <w:color w:val="auto"/>
        </w:rPr>
      </w:pPr>
      <w:r>
        <w:rPr>
          <w:rFonts w:ascii="Arial" w:cs="Arial" w:eastAsia="Arial" w:hAnsi="Arial"/>
          <w:sz w:val="20"/>
          <w:szCs w:val="20"/>
          <w:i w:val="1"/>
          <w:iCs w:val="1"/>
          <w:color w:val="auto"/>
        </w:rPr>
        <w:t xml:space="preserve">Committee. </w:t>
      </w:r>
      <w:r>
        <w:rPr>
          <w:rFonts w:ascii="Arial" w:cs="Arial" w:eastAsia="Arial" w:hAnsi="Arial"/>
          <w:sz w:val="20"/>
          <w:szCs w:val="20"/>
          <w:color w:val="auto"/>
        </w:rPr>
        <w:t>This Plan shall be administered by the Board directly, or if the Board elects, by the Human Capital &amp;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or such other committee of the Board as the Board may from time to time designate, which committee shall be 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Subject to the terms and conditions of this Plan, the Committee shall have absolute authority:</w:t>
      </w:r>
    </w:p>
    <w:p>
      <w:pPr>
        <w:spacing w:after="0" w:line="229" w:lineRule="exact"/>
        <w:rPr>
          <w:sz w:val="20"/>
          <w:szCs w:val="20"/>
          <w:color w:val="auto"/>
        </w:rPr>
      </w:pPr>
    </w:p>
    <w:p>
      <w:pPr>
        <w:ind w:left="800" w:hanging="306"/>
        <w:spacing w:after="0"/>
        <w:tabs>
          <w:tab w:leader="none" w:pos="8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select the Eligible Individuals to whom Awards may from time to time be granted;</w:t>
      </w:r>
    </w:p>
    <w:p>
      <w:pPr>
        <w:spacing w:after="0" w:line="229" w:lineRule="exact"/>
        <w:rPr>
          <w:rFonts w:ascii="Arial" w:cs="Arial" w:eastAsia="Arial" w:hAnsi="Arial"/>
          <w:sz w:val="20"/>
          <w:szCs w:val="20"/>
          <w:color w:val="auto"/>
        </w:rPr>
      </w:pPr>
    </w:p>
    <w:p>
      <w:pPr>
        <w:jc w:val="both"/>
        <w:ind w:left="820" w:right="620" w:hanging="326"/>
        <w:spacing w:after="0" w:line="271" w:lineRule="auto"/>
        <w:tabs>
          <w:tab w:leader="none" w:pos="853"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determine whether and to what extent Stock Appreciation Rights, Incentive Stock Options, Nonqualified Stock Options, Restricted Stock Units, Restricted Stock, Other Stock-Based Awards and Cash Awards or any combination thereof are to be granted hereunder;</w:t>
      </w:r>
    </w:p>
    <w:p>
      <w:pPr>
        <w:spacing w:after="0" w:line="179" w:lineRule="exact"/>
        <w:rPr>
          <w:rFonts w:ascii="Arial" w:cs="Arial" w:eastAsia="Arial" w:hAnsi="Arial"/>
          <w:sz w:val="20"/>
          <w:szCs w:val="20"/>
          <w:color w:val="auto"/>
        </w:rPr>
      </w:pPr>
    </w:p>
    <w:p>
      <w:pPr>
        <w:ind w:left="900" w:hanging="406"/>
        <w:spacing w:after="0"/>
        <w:tabs>
          <w:tab w:leader="none" w:pos="9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determine the number of Shares to be covered by each Award granted hereunder;</w:t>
      </w:r>
    </w:p>
    <w:p>
      <w:pPr>
        <w:spacing w:after="0" w:line="242" w:lineRule="exact"/>
        <w:rPr>
          <w:rFonts w:ascii="Arial" w:cs="Arial" w:eastAsia="Arial" w:hAnsi="Arial"/>
          <w:sz w:val="20"/>
          <w:szCs w:val="20"/>
          <w:color w:val="auto"/>
        </w:rPr>
      </w:pPr>
    </w:p>
    <w:p>
      <w:pPr>
        <w:ind w:left="820" w:right="40" w:hanging="326"/>
        <w:spacing w:after="0" w:line="262" w:lineRule="auto"/>
        <w:tabs>
          <w:tab w:leader="none" w:pos="88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approve the form of any Award Agreement and determine the terms and conditions of any Award granted hereunder, including, but not limited to, the exercise price (subject to Section 5(c)), any vesting condition, restriction or limitation (which may be related to the performance of the Participant, the Corporation or any Subsidiary or Affiliate), treatment on Termination of Service, and any vesting acceleration or forfeiture waiver regarding any Award and the Shares relating thereto, based on such factors as the Committee shall determine;</w:t>
      </w:r>
    </w:p>
    <w:p>
      <w:pPr>
        <w:spacing w:after="0" w:line="189" w:lineRule="exact"/>
        <w:rPr>
          <w:rFonts w:ascii="Arial" w:cs="Arial" w:eastAsia="Arial" w:hAnsi="Arial"/>
          <w:sz w:val="20"/>
          <w:szCs w:val="20"/>
          <w:color w:val="auto"/>
        </w:rPr>
      </w:pPr>
    </w:p>
    <w:p>
      <w:pPr>
        <w:ind w:left="820" w:right="20" w:hanging="326"/>
        <w:spacing w:after="0" w:line="303" w:lineRule="auto"/>
        <w:tabs>
          <w:tab w:leader="none" w:pos="8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modify, amend or adjust the terms and conditions (including, but not limited to, Performance Goals and measured results when necessary or appropriate for the purposes of preserving the validity of the goals as originally set by the Committee) of any Award (subject to Sections 5(d) and 5(e)), from time to time, including, without limitation, in order to comply with tax and securities laws, including laws of countries outside of the United States, and to comply with changes of law and accounting standards;</w:t>
      </w:r>
    </w:p>
    <w:p>
      <w:pPr>
        <w:spacing w:after="0" w:line="169" w:lineRule="exact"/>
        <w:rPr>
          <w:rFonts w:ascii="Arial" w:cs="Arial" w:eastAsia="Arial" w:hAnsi="Arial"/>
          <w:sz w:val="18"/>
          <w:szCs w:val="18"/>
          <w:color w:val="auto"/>
        </w:rPr>
      </w:pPr>
    </w:p>
    <w:p>
      <w:pPr>
        <w:ind w:left="820" w:right="20" w:hanging="326"/>
        <w:spacing w:after="0" w:line="301" w:lineRule="auto"/>
        <w:tabs>
          <w:tab w:leader="none" w:pos="897"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establish sub-plans and to determine to what extent and under what circumstances Common Stock or cash payable with respect to an Award shall be deferred either automatically or at the election of a Participant under such sub-plans;</w:t>
      </w:r>
    </w:p>
    <w:p>
      <w:pPr>
        <w:spacing w:after="0" w:line="153" w:lineRule="exact"/>
        <w:rPr>
          <w:rFonts w:ascii="Arial" w:cs="Arial" w:eastAsia="Arial" w:hAnsi="Arial"/>
          <w:sz w:val="19"/>
          <w:szCs w:val="19"/>
          <w:color w:val="auto"/>
        </w:rPr>
      </w:pPr>
    </w:p>
    <w:p>
      <w:pPr>
        <w:ind w:left="820" w:right="780" w:hanging="326"/>
        <w:spacing w:after="0" w:line="288" w:lineRule="auto"/>
        <w:tabs>
          <w:tab w:leader="none" w:pos="952" w:val="left"/>
        </w:tabs>
        <w:numPr>
          <w:ilvl w:val="0"/>
          <w:numId w:val="59"/>
        </w:numPr>
        <w:rPr>
          <w:rFonts w:ascii="Arial" w:cs="Arial" w:eastAsia="Arial" w:hAnsi="Arial"/>
          <w:sz w:val="20"/>
          <w:szCs w:val="20"/>
          <w:color w:val="auto"/>
        </w:rPr>
      </w:pPr>
      <w:r>
        <w:rPr>
          <w:rFonts w:ascii="Arial" w:cs="Arial" w:eastAsia="Arial" w:hAnsi="Arial"/>
          <w:sz w:val="20"/>
          <w:szCs w:val="20"/>
          <w:color w:val="auto"/>
        </w:rPr>
        <w:t>To determine under what circumstances an Award may be settled in cash, Shares, other property or a combination of the foregoing;</w:t>
      </w:r>
    </w:p>
    <w:p>
      <w:pPr>
        <w:sectPr>
          <w:pgSz w:w="11900" w:h="16838" w:orient="portrait"/>
          <w:cols w:equalWidth="0" w:num="1">
            <w:col w:w="11240"/>
          </w:cols>
          <w:pgMar w:left="320" w:top="1432" w:right="339" w:bottom="1440" w:gutter="0" w:footer="0" w:header="0"/>
        </w:sectPr>
      </w:pPr>
    </w:p>
    <w:bookmarkStart w:id="85" w:name="page86"/>
    <w:bookmarkEnd w:id="85"/>
    <w:p>
      <w:pPr>
        <w:ind w:left="893" w:right="180" w:hanging="326"/>
        <w:spacing w:after="0" w:line="274" w:lineRule="auto"/>
        <w:tabs>
          <w:tab w:leader="none" w:pos="1080" w:val="left"/>
        </w:tabs>
        <w:numPr>
          <w:ilvl w:val="2"/>
          <w:numId w:val="60"/>
        </w:numPr>
        <w:rPr>
          <w:rFonts w:ascii="Arial" w:cs="Arial" w:eastAsia="Arial" w:hAnsi="Arial"/>
          <w:sz w:val="20"/>
          <w:szCs w:val="20"/>
          <w:color w:val="auto"/>
        </w:rPr>
      </w:pPr>
      <w:r>
        <w:rPr>
          <w:rFonts w:ascii="Arial" w:cs="Arial" w:eastAsia="Arial" w:hAnsi="Arial"/>
          <w:sz w:val="20"/>
          <w:szCs w:val="20"/>
          <w:color w:val="auto"/>
        </w:rPr>
        <w:t>To adopt, alter and repeal such administrative rules, guidelines and practices governing this Plan as it shall, from time to time, deem advisable;</w:t>
      </w:r>
    </w:p>
    <w:p>
      <w:pPr>
        <w:spacing w:after="0" w:line="190" w:lineRule="exact"/>
        <w:rPr>
          <w:rFonts w:ascii="Arial" w:cs="Arial" w:eastAsia="Arial" w:hAnsi="Arial"/>
          <w:sz w:val="20"/>
          <w:szCs w:val="20"/>
          <w:color w:val="auto"/>
        </w:rPr>
      </w:pPr>
    </w:p>
    <w:p>
      <w:pPr>
        <w:ind w:left="973" w:hanging="406"/>
        <w:spacing w:after="0"/>
        <w:tabs>
          <w:tab w:leader="none" w:pos="973" w:val="left"/>
        </w:tabs>
        <w:numPr>
          <w:ilvl w:val="2"/>
          <w:numId w:val="60"/>
        </w:numPr>
        <w:rPr>
          <w:rFonts w:ascii="Arial" w:cs="Arial" w:eastAsia="Arial" w:hAnsi="Arial"/>
          <w:sz w:val="20"/>
          <w:szCs w:val="20"/>
          <w:color w:val="auto"/>
        </w:rPr>
      </w:pPr>
      <w:r>
        <w:rPr>
          <w:rFonts w:ascii="Arial" w:cs="Arial" w:eastAsia="Arial" w:hAnsi="Arial"/>
          <w:sz w:val="20"/>
          <w:szCs w:val="20"/>
          <w:color w:val="auto"/>
        </w:rPr>
        <w:t>To establish any “blackout” period that the Committee in its sole discretion deems necessary or advisable;</w:t>
      </w:r>
    </w:p>
    <w:p>
      <w:pPr>
        <w:spacing w:after="0" w:line="229" w:lineRule="exact"/>
        <w:rPr>
          <w:rFonts w:ascii="Arial" w:cs="Arial" w:eastAsia="Arial" w:hAnsi="Arial"/>
          <w:sz w:val="20"/>
          <w:szCs w:val="20"/>
          <w:color w:val="auto"/>
        </w:rPr>
      </w:pPr>
    </w:p>
    <w:p>
      <w:pPr>
        <w:ind w:left="893" w:right="520" w:hanging="326"/>
        <w:spacing w:after="0" w:line="274" w:lineRule="auto"/>
        <w:tabs>
          <w:tab w:leader="none" w:pos="915" w:val="left"/>
        </w:tabs>
        <w:numPr>
          <w:ilvl w:val="2"/>
          <w:numId w:val="60"/>
        </w:numPr>
        <w:rPr>
          <w:rFonts w:ascii="Arial" w:cs="Arial" w:eastAsia="Arial" w:hAnsi="Arial"/>
          <w:sz w:val="20"/>
          <w:szCs w:val="20"/>
          <w:color w:val="auto"/>
        </w:rPr>
      </w:pPr>
      <w:r>
        <w:rPr>
          <w:rFonts w:ascii="Arial" w:cs="Arial" w:eastAsia="Arial" w:hAnsi="Arial"/>
          <w:sz w:val="20"/>
          <w:szCs w:val="20"/>
          <w:color w:val="auto"/>
        </w:rPr>
        <w:t>To interpret the terms and provisions of this Plan and any Award issued under this Plan (and any Award Agreement relating thereto);</w:t>
      </w:r>
    </w:p>
    <w:p>
      <w:pPr>
        <w:spacing w:after="0" w:line="190" w:lineRule="exact"/>
        <w:rPr>
          <w:rFonts w:ascii="Arial" w:cs="Arial" w:eastAsia="Arial" w:hAnsi="Arial"/>
          <w:sz w:val="20"/>
          <w:szCs w:val="20"/>
          <w:color w:val="auto"/>
        </w:rPr>
      </w:pPr>
    </w:p>
    <w:p>
      <w:pPr>
        <w:ind w:left="973" w:hanging="406"/>
        <w:spacing w:after="0"/>
        <w:tabs>
          <w:tab w:leader="none" w:pos="973" w:val="left"/>
        </w:tabs>
        <w:numPr>
          <w:ilvl w:val="2"/>
          <w:numId w:val="60"/>
        </w:numPr>
        <w:rPr>
          <w:rFonts w:ascii="Arial" w:cs="Arial" w:eastAsia="Arial" w:hAnsi="Arial"/>
          <w:sz w:val="20"/>
          <w:szCs w:val="20"/>
          <w:color w:val="auto"/>
        </w:rPr>
      </w:pPr>
      <w:r>
        <w:rPr>
          <w:rFonts w:ascii="Arial" w:cs="Arial" w:eastAsia="Arial" w:hAnsi="Arial"/>
          <w:sz w:val="20"/>
          <w:szCs w:val="20"/>
          <w:color w:val="auto"/>
        </w:rPr>
        <w:t>To decide all other matters that must be determined in connection with an Award; and</w:t>
      </w:r>
    </w:p>
    <w:p>
      <w:pPr>
        <w:spacing w:after="0" w:line="229" w:lineRule="exact"/>
        <w:rPr>
          <w:rFonts w:ascii="Arial" w:cs="Arial" w:eastAsia="Arial" w:hAnsi="Arial"/>
          <w:sz w:val="20"/>
          <w:szCs w:val="20"/>
          <w:color w:val="auto"/>
        </w:rPr>
      </w:pPr>
    </w:p>
    <w:p>
      <w:pPr>
        <w:ind w:left="1033" w:hanging="466"/>
        <w:spacing w:after="0"/>
        <w:tabs>
          <w:tab w:leader="none" w:pos="1033" w:val="left"/>
        </w:tabs>
        <w:numPr>
          <w:ilvl w:val="2"/>
          <w:numId w:val="60"/>
        </w:numPr>
        <w:rPr>
          <w:rFonts w:ascii="Arial" w:cs="Arial" w:eastAsia="Arial" w:hAnsi="Arial"/>
          <w:sz w:val="20"/>
          <w:szCs w:val="20"/>
          <w:color w:val="auto"/>
        </w:rPr>
      </w:pPr>
      <w:r>
        <w:rPr>
          <w:rFonts w:ascii="Arial" w:cs="Arial" w:eastAsia="Arial" w:hAnsi="Arial"/>
          <w:sz w:val="20"/>
          <w:szCs w:val="20"/>
          <w:color w:val="auto"/>
        </w:rPr>
        <w:t>To otherwise administer this Plan.</w:t>
      </w:r>
    </w:p>
    <w:p>
      <w:pPr>
        <w:spacing w:after="0" w:line="229" w:lineRule="exact"/>
        <w:rPr>
          <w:rFonts w:ascii="Arial" w:cs="Arial" w:eastAsia="Arial" w:hAnsi="Arial"/>
          <w:sz w:val="20"/>
          <w:szCs w:val="20"/>
          <w:color w:val="auto"/>
        </w:rPr>
      </w:pPr>
    </w:p>
    <w:p>
      <w:pPr>
        <w:ind w:left="393" w:hanging="393"/>
        <w:spacing w:after="0"/>
        <w:tabs>
          <w:tab w:leader="none" w:pos="393" w:val="left"/>
        </w:tabs>
        <w:numPr>
          <w:ilvl w:val="0"/>
          <w:numId w:val="61"/>
        </w:numPr>
        <w:rPr>
          <w:rFonts w:ascii="Arial" w:cs="Arial" w:eastAsia="Arial" w:hAnsi="Arial"/>
          <w:sz w:val="20"/>
          <w:szCs w:val="20"/>
          <w:color w:val="auto"/>
        </w:rPr>
      </w:pPr>
      <w:r>
        <w:rPr>
          <w:rFonts w:ascii="Arial" w:cs="Arial" w:eastAsia="Arial" w:hAnsi="Arial"/>
          <w:sz w:val="20"/>
          <w:szCs w:val="20"/>
          <w:i w:val="1"/>
          <w:iCs w:val="1"/>
          <w:color w:val="auto"/>
        </w:rPr>
        <w:t>Procedures.</w:t>
      </w:r>
    </w:p>
    <w:p>
      <w:pPr>
        <w:spacing w:after="0" w:line="242" w:lineRule="exact"/>
        <w:rPr>
          <w:rFonts w:ascii="Arial" w:cs="Arial" w:eastAsia="Arial" w:hAnsi="Arial"/>
          <w:sz w:val="20"/>
          <w:szCs w:val="20"/>
          <w:color w:val="auto"/>
        </w:rPr>
      </w:pPr>
    </w:p>
    <w:p>
      <w:pPr>
        <w:ind w:left="893" w:hanging="326"/>
        <w:spacing w:after="0" w:line="262" w:lineRule="auto"/>
        <w:tabs>
          <w:tab w:leader="none" w:pos="871" w:val="left"/>
        </w:tabs>
        <w:numPr>
          <w:ilvl w:val="2"/>
          <w:numId w:val="61"/>
        </w:numPr>
        <w:rPr>
          <w:rFonts w:ascii="Arial" w:cs="Arial" w:eastAsia="Arial" w:hAnsi="Arial"/>
          <w:sz w:val="20"/>
          <w:szCs w:val="20"/>
          <w:color w:val="auto"/>
        </w:rPr>
      </w:pPr>
      <w:r>
        <w:rPr>
          <w:rFonts w:ascii="Arial" w:cs="Arial" w:eastAsia="Arial" w:hAnsi="Arial"/>
          <w:sz w:val="20"/>
          <w:szCs w:val="20"/>
          <w:color w:val="auto"/>
        </w:rPr>
        <w:t>The Committee may act only by a majority of its members then in office, except that the Committee may, except to the extent prohibited by applicable law, including Section 157(c) of the Delaware General Corporation Law, or the listing standards of the Applicable Exchange,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89" w:lineRule="exact"/>
        <w:rPr>
          <w:rFonts w:ascii="Arial" w:cs="Arial" w:eastAsia="Arial" w:hAnsi="Arial"/>
          <w:sz w:val="20"/>
          <w:szCs w:val="20"/>
          <w:color w:val="auto"/>
        </w:rPr>
      </w:pPr>
    </w:p>
    <w:p>
      <w:pPr>
        <w:ind w:left="893" w:right="540" w:hanging="326"/>
        <w:spacing w:after="0" w:line="347" w:lineRule="auto"/>
        <w:tabs>
          <w:tab w:leader="none" w:pos="926" w:val="left"/>
        </w:tabs>
        <w:numPr>
          <w:ilvl w:val="2"/>
          <w:numId w:val="61"/>
        </w:numPr>
        <w:rPr>
          <w:rFonts w:ascii="Arial" w:cs="Arial" w:eastAsia="Arial" w:hAnsi="Arial"/>
          <w:sz w:val="18"/>
          <w:szCs w:val="18"/>
          <w:color w:val="auto"/>
        </w:rPr>
      </w:pPr>
      <w:r>
        <w:rPr>
          <w:rFonts w:ascii="Arial" w:cs="Arial" w:eastAsia="Arial" w:hAnsi="Arial"/>
          <w:sz w:val="18"/>
          <w:szCs w:val="18"/>
          <w:color w:val="auto"/>
        </w:rPr>
        <w:t>Subject to Section 11(a), any authority granted to the Committee may be exercised by the full Board. To the extent that any permitted action taken by the Board conflicts with action taken by the Committee, the Board action shall control.</w:t>
      </w:r>
    </w:p>
    <w:p>
      <w:pPr>
        <w:spacing w:after="0" w:line="116" w:lineRule="exact"/>
        <w:rPr>
          <w:rFonts w:ascii="Arial" w:cs="Arial" w:eastAsia="Arial" w:hAnsi="Arial"/>
          <w:sz w:val="18"/>
          <w:szCs w:val="18"/>
          <w:color w:val="auto"/>
        </w:rPr>
      </w:pPr>
    </w:p>
    <w:p>
      <w:pPr>
        <w:ind w:left="573" w:hanging="492"/>
        <w:spacing w:after="0" w:line="279" w:lineRule="auto"/>
        <w:tabs>
          <w:tab w:leader="none" w:pos="422" w:val="left"/>
        </w:tabs>
        <w:numPr>
          <w:ilvl w:val="1"/>
          <w:numId w:val="61"/>
        </w:numPr>
        <w:rPr>
          <w:rFonts w:ascii="Arial" w:cs="Arial" w:eastAsia="Arial" w:hAnsi="Arial"/>
          <w:sz w:val="19"/>
          <w:szCs w:val="19"/>
          <w:color w:val="auto"/>
        </w:rPr>
      </w:pPr>
      <w:r>
        <w:rPr>
          <w:rFonts w:ascii="Arial" w:cs="Arial" w:eastAsia="Arial" w:hAnsi="Arial"/>
          <w:sz w:val="19"/>
          <w:szCs w:val="19"/>
          <w:i w:val="1"/>
          <w:iCs w:val="1"/>
          <w:color w:val="auto"/>
        </w:rPr>
        <w:t xml:space="preserve">Discretion of Committee. </w:t>
      </w:r>
      <w:r>
        <w:rPr>
          <w:rFonts w:ascii="Arial" w:cs="Arial" w:eastAsia="Arial" w:hAnsi="Arial"/>
          <w:sz w:val="19"/>
          <w:szCs w:val="19"/>
          <w:color w:val="auto"/>
        </w:rPr>
        <w:t>Subject to Section 1(i), any determination made by the Committee or pursuant to delegated authority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person pursuant to the provisions of this Plan shall be final, binding and conclusive on all persons, including the Corporation, Participants and Eligible Individuals.</w:t>
      </w:r>
    </w:p>
    <w:p>
      <w:pPr>
        <w:spacing w:after="0" w:line="188" w:lineRule="exact"/>
        <w:rPr>
          <w:rFonts w:ascii="Arial" w:cs="Arial" w:eastAsia="Arial" w:hAnsi="Arial"/>
          <w:sz w:val="19"/>
          <w:szCs w:val="19"/>
          <w:color w:val="auto"/>
        </w:rPr>
      </w:pPr>
    </w:p>
    <w:p>
      <w:pPr>
        <w:ind w:left="573" w:right="180" w:hanging="492"/>
        <w:spacing w:after="0" w:line="274" w:lineRule="auto"/>
        <w:tabs>
          <w:tab w:leader="none" w:pos="433" w:val="left"/>
        </w:tabs>
        <w:numPr>
          <w:ilvl w:val="1"/>
          <w:numId w:val="61"/>
        </w:numPr>
        <w:rPr>
          <w:rFonts w:ascii="Arial" w:cs="Arial" w:eastAsia="Arial" w:hAnsi="Arial"/>
          <w:sz w:val="20"/>
          <w:szCs w:val="20"/>
          <w:color w:val="auto"/>
        </w:rPr>
      </w:pPr>
      <w:r>
        <w:rPr>
          <w:rFonts w:ascii="Arial" w:cs="Arial" w:eastAsia="Arial" w:hAnsi="Arial"/>
          <w:sz w:val="20"/>
          <w:szCs w:val="20"/>
          <w:i w:val="1"/>
          <w:iCs w:val="1"/>
          <w:color w:val="auto"/>
        </w:rPr>
        <w:t xml:space="preserve">Cancellation or Suspension. </w:t>
      </w:r>
      <w:r>
        <w:rPr>
          <w:rFonts w:ascii="Arial" w:cs="Arial" w:eastAsia="Arial" w:hAnsi="Arial"/>
          <w:sz w:val="20"/>
          <w:szCs w:val="20"/>
          <w:color w:val="auto"/>
        </w:rPr>
        <w:t>Subject to Section 5(d), the Committee shall have full power and authority to determine whether, to what</w:t>
      </w:r>
      <w:r>
        <w:rPr>
          <w:rFonts w:ascii="Arial" w:cs="Arial" w:eastAsia="Arial" w:hAnsi="Arial"/>
          <w:sz w:val="20"/>
          <w:szCs w:val="20"/>
          <w:i w:val="1"/>
          <w:iCs w:val="1"/>
          <w:color w:val="auto"/>
        </w:rPr>
        <w:t xml:space="preserve"> </w:t>
      </w:r>
      <w:r>
        <w:rPr>
          <w:rFonts w:ascii="Arial" w:cs="Arial" w:eastAsia="Arial" w:hAnsi="Arial"/>
          <w:sz w:val="20"/>
          <w:szCs w:val="20"/>
          <w:color w:val="auto"/>
        </w:rPr>
        <w:t>extent and under what circumstances any Award shall be canceled or suspended.</w:t>
      </w:r>
    </w:p>
    <w:p>
      <w:pPr>
        <w:spacing w:after="0" w:line="176" w:lineRule="exact"/>
        <w:rPr>
          <w:rFonts w:ascii="Arial" w:cs="Arial" w:eastAsia="Arial" w:hAnsi="Arial"/>
          <w:sz w:val="20"/>
          <w:szCs w:val="20"/>
          <w:color w:val="auto"/>
        </w:rPr>
      </w:pPr>
    </w:p>
    <w:p>
      <w:pPr>
        <w:ind w:left="573" w:right="100" w:hanging="492"/>
        <w:spacing w:after="0" w:line="283" w:lineRule="auto"/>
        <w:tabs>
          <w:tab w:leader="none" w:pos="422" w:val="left"/>
        </w:tabs>
        <w:numPr>
          <w:ilvl w:val="1"/>
          <w:numId w:val="61"/>
        </w:numPr>
        <w:rPr>
          <w:rFonts w:ascii="Arial" w:cs="Arial" w:eastAsia="Arial" w:hAnsi="Arial"/>
          <w:sz w:val="19"/>
          <w:szCs w:val="19"/>
          <w:color w:val="auto"/>
        </w:rPr>
      </w:pPr>
      <w:r>
        <w:rPr>
          <w:rFonts w:ascii="Arial" w:cs="Arial" w:eastAsia="Arial" w:hAnsi="Arial"/>
          <w:sz w:val="19"/>
          <w:szCs w:val="19"/>
          <w:i w:val="1"/>
          <w:iCs w:val="1"/>
          <w:color w:val="auto"/>
        </w:rPr>
        <w:t xml:space="preserve">Award Agreements. </w:t>
      </w:r>
      <w:r>
        <w:rPr>
          <w:rFonts w:ascii="Arial" w:cs="Arial" w:eastAsia="Arial" w:hAnsi="Arial"/>
          <w:sz w:val="19"/>
          <w:szCs w:val="19"/>
          <w:color w:val="auto"/>
        </w:rPr>
        <w:t>The terms and conditions of each Award, as determined by the Committee, shall be set forth in a written (or</w:t>
      </w:r>
      <w:r>
        <w:rPr>
          <w:rFonts w:ascii="Arial" w:cs="Arial" w:eastAsia="Arial" w:hAnsi="Arial"/>
          <w:sz w:val="19"/>
          <w:szCs w:val="19"/>
          <w:i w:val="1"/>
          <w:iCs w:val="1"/>
          <w:color w:val="auto"/>
        </w:rPr>
        <w:t xml:space="preserve"> </w:t>
      </w:r>
      <w:r>
        <w:rPr>
          <w:rFonts w:ascii="Arial" w:cs="Arial" w:eastAsia="Arial" w:hAnsi="Arial"/>
          <w:sz w:val="19"/>
          <w:szCs w:val="19"/>
          <w:color w:val="auto"/>
        </w:rPr>
        <w:t>electronic) Award Agreement, which shall be delivered to the Participant receiving such Award upon, or as promptly as is reasonably practicable following, the grant of such Award. The effectiveness of an Award shall be subject to the Participant’s acceptance of the applicable Award Agreement within the time period specified in the Award Agreement, unless otherwise provided in the Award Agreement. Award Agreements may be amended only in accordance with Section 12(d) hereof.</w:t>
      </w:r>
    </w:p>
    <w:p>
      <w:pPr>
        <w:spacing w:after="0" w:line="169" w:lineRule="exact"/>
        <w:rPr>
          <w:rFonts w:ascii="Arial" w:cs="Arial" w:eastAsia="Arial" w:hAnsi="Arial"/>
          <w:sz w:val="19"/>
          <w:szCs w:val="19"/>
          <w:color w:val="auto"/>
        </w:rPr>
      </w:pPr>
    </w:p>
    <w:p>
      <w:pPr>
        <w:ind w:left="573" w:right="400" w:hanging="492"/>
        <w:spacing w:after="0" w:line="332" w:lineRule="auto"/>
        <w:tabs>
          <w:tab w:leader="none" w:pos="40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Minimum Vesting Period. </w:t>
      </w:r>
      <w:r>
        <w:rPr>
          <w:rFonts w:ascii="Arial" w:cs="Arial" w:eastAsia="Arial" w:hAnsi="Arial"/>
          <w:sz w:val="18"/>
          <w:szCs w:val="18"/>
          <w:color w:val="auto"/>
        </w:rPr>
        <w:t>Except for Awards granted with respect to a maximum of five percent of the Shares authorized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sentence of Section 3(a), Award Agreements shall not provide for a designated vesting period of less than one year.</w:t>
      </w:r>
    </w:p>
    <w:p>
      <w:pPr>
        <w:sectPr>
          <w:pgSz w:w="11900" w:h="16838" w:orient="portrait"/>
          <w:cols w:equalWidth="0" w:num="1">
            <w:col w:w="11213"/>
          </w:cols>
          <w:pgMar w:left="247" w:top="1432" w:right="439" w:bottom="1440" w:gutter="0" w:footer="0" w:header="0"/>
        </w:sectPr>
      </w:pPr>
    </w:p>
    <w:bookmarkStart w:id="86" w:name="page87"/>
    <w:bookmarkEnd w:id="86"/>
    <w:p>
      <w:pPr>
        <w:ind w:left="500" w:right="40" w:hanging="492"/>
        <w:spacing w:after="0" w:line="279" w:lineRule="auto"/>
        <w:tabs>
          <w:tab w:leader="none" w:pos="360"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 xml:space="preserve">Foreign Employees and Foreign Law Considerations. </w:t>
      </w:r>
      <w:r>
        <w:rPr>
          <w:rFonts w:ascii="Arial" w:cs="Arial" w:eastAsia="Arial" w:hAnsi="Arial"/>
          <w:sz w:val="19"/>
          <w:szCs w:val="19"/>
          <w:color w:val="auto"/>
        </w:rPr>
        <w:t>The Committee may grant Awards to Eligible Individuals who are foreign</w:t>
      </w:r>
      <w:r>
        <w:rPr>
          <w:rFonts w:ascii="Arial" w:cs="Arial" w:eastAsia="Arial" w:hAnsi="Arial"/>
          <w:sz w:val="19"/>
          <w:szCs w:val="19"/>
          <w:i w:val="1"/>
          <w:iCs w:val="1"/>
          <w:color w:val="auto"/>
        </w:rPr>
        <w:t xml:space="preserve"> </w:t>
      </w:r>
      <w:r>
        <w:rPr>
          <w:rFonts w:ascii="Arial" w:cs="Arial" w:eastAsia="Arial" w:hAnsi="Arial"/>
          <w:sz w:val="19"/>
          <w:szCs w:val="19"/>
          <w:color w:val="auto"/>
        </w:rPr>
        <w:t>nationals, who are located outside the United States, who are not compensated from a payroll maintained in the United States, and/or who are otherwise subject to (or could cause the Corporation to be subject to) legal or regulatory provisions of countries or jurisdictions outside the United States, and, in furtherance of such purposes, the Committee may adopt such procedures or sub-plans as may be necessary or advisable to comply with such legal or regulatory provisions.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COMMON STOCK SUBJECT TO PLAN</w:t>
      </w:r>
    </w:p>
    <w:p>
      <w:pPr>
        <w:spacing w:after="0" w:line="23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maximum number of Shares that may be issued pursuant to Awards granted under this Plan shall be the sum of</w:t>
      </w:r>
    </w:p>
    <w:p>
      <w:pPr>
        <w:spacing w:after="0" w:line="43" w:lineRule="exact"/>
        <w:rPr>
          <w:rFonts w:ascii="Arial" w:cs="Arial" w:eastAsia="Arial" w:hAnsi="Arial"/>
          <w:sz w:val="18"/>
          <w:szCs w:val="18"/>
          <w:color w:val="auto"/>
        </w:rPr>
      </w:pPr>
    </w:p>
    <w:p>
      <w:pPr>
        <w:ind w:left="500" w:right="60" w:hanging="6"/>
        <w:spacing w:after="0" w:line="292" w:lineRule="auto"/>
        <w:tabs>
          <w:tab w:leader="none" w:pos="7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75 million, (ii) the total number of Shares remaining available for new awards under the Plan as of immediately prior to the Effective Date, and (iii) the total number of Shares subject to outstanding Awards under the Plan as of immediately prior to the Effective Date. Shares issued under this Plan may be authorized and unissued Shares, treasury Shares, or Shares purchased in the open market or otherwise, at the sole discretion of the Committee. Each Share issued pursuant to a Full-Value Award will result in a reduction of the number of Shares available for issuance under this Plan by 4.03 Shares. Each Share issued pursuant to a Stock Option or Stock Appreciation Right will result in a reduction of the number of Shares available for issuance under this Plan by one Share. To the extent that an award under this Plan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this paragraph (a).</w:t>
      </w:r>
    </w:p>
    <w:p>
      <w:pPr>
        <w:spacing w:after="0" w:line="169" w:lineRule="exact"/>
        <w:rPr>
          <w:rFonts w:ascii="Arial" w:cs="Arial" w:eastAsia="Arial" w:hAnsi="Arial"/>
          <w:sz w:val="18"/>
          <w:szCs w:val="18"/>
          <w:color w:val="auto"/>
        </w:rPr>
      </w:pPr>
    </w:p>
    <w:p>
      <w:pPr>
        <w:ind w:left="500" w:right="140" w:hanging="492"/>
        <w:spacing w:after="0" w:line="262" w:lineRule="auto"/>
        <w:tabs>
          <w:tab w:leader="none" w:pos="360" w:val="left"/>
        </w:tabs>
        <w:numPr>
          <w:ilvl w:val="0"/>
          <w:numId w:val="63"/>
        </w:numPr>
        <w:rPr>
          <w:rFonts w:ascii="Arial" w:cs="Arial" w:eastAsia="Arial" w:hAnsi="Arial"/>
          <w:sz w:val="20"/>
          <w:szCs w:val="20"/>
          <w:color w:val="auto"/>
        </w:rPr>
      </w:pPr>
      <w:r>
        <w:rPr>
          <w:rFonts w:ascii="Arial" w:cs="Arial" w:eastAsia="Arial" w:hAnsi="Arial"/>
          <w:sz w:val="20"/>
          <w:szCs w:val="20"/>
          <w:i w:val="1"/>
          <w:iCs w:val="1"/>
          <w:color w:val="auto"/>
        </w:rPr>
        <w:t xml:space="preserve">Prior Plan. </w:t>
      </w:r>
      <w:r>
        <w:rPr>
          <w:rFonts w:ascii="Arial" w:cs="Arial" w:eastAsia="Arial" w:hAnsi="Arial"/>
          <w:sz w:val="20"/>
          <w:szCs w:val="20"/>
          <w:color w:val="auto"/>
        </w:rPr>
        <w:t>Awards outstanding under the Prior Plan as of the April 30, 2018 shall remain in full force and effect under the Prior Plan</w:t>
      </w:r>
      <w:r>
        <w:rPr>
          <w:rFonts w:ascii="Arial" w:cs="Arial" w:eastAsia="Arial" w:hAnsi="Arial"/>
          <w:sz w:val="20"/>
          <w:szCs w:val="20"/>
          <w:i w:val="1"/>
          <w:iCs w:val="1"/>
          <w:color w:val="auto"/>
        </w:rPr>
        <w:t xml:space="preserve"> </w:t>
      </w:r>
      <w:r>
        <w:rPr>
          <w:rFonts w:ascii="Arial" w:cs="Arial" w:eastAsia="Arial" w:hAnsi="Arial"/>
          <w:sz w:val="20"/>
          <w:szCs w:val="20"/>
          <w:color w:val="auto"/>
        </w:rPr>
        <w:t>according to their respective terms, and to the extent that any such award is forfeited, terminates, expires or lapses without being exercised (to the extent applicable), or is settled for cash, the Shares subject to such award not delivered as a result thereof shall again be available for Awards under this Plan on the same share counting basis as provided under paragraph (a) under this Section 3 (i.e., each Share subject to a Prior Plan full-value award will be added back as 4.03 Shares and each share subject to a Prior Plan stock option or stock appreciation right will be added back as one share); provided, however, that dividend equivalents may continue to be issued under the Corporation’s Prior Plan in respect of awards granted under the Prior Plan which are outstanding as of the April 30, 2018.</w:t>
      </w:r>
    </w:p>
    <w:p>
      <w:pPr>
        <w:spacing w:after="0" w:line="192" w:lineRule="exact"/>
        <w:rPr>
          <w:rFonts w:ascii="Arial" w:cs="Arial" w:eastAsia="Arial" w:hAnsi="Arial"/>
          <w:sz w:val="20"/>
          <w:szCs w:val="20"/>
          <w:color w:val="auto"/>
        </w:rPr>
      </w:pPr>
    </w:p>
    <w:p>
      <w:pPr>
        <w:jc w:val="right"/>
        <w:ind w:left="500" w:hanging="492"/>
        <w:spacing w:after="0" w:line="325" w:lineRule="auto"/>
        <w:tabs>
          <w:tab w:leader="none" w:pos="349"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Individual Limits. </w:t>
      </w:r>
      <w:r>
        <w:rPr>
          <w:rFonts w:ascii="Arial" w:cs="Arial" w:eastAsia="Arial" w:hAnsi="Arial"/>
          <w:sz w:val="16"/>
          <w:szCs w:val="16"/>
          <w:color w:val="auto"/>
        </w:rPr>
        <w:t>A Participant who is not a non-employee director may not be granted: (i) Stock Appreciation Rights and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excess of 1 million Shares during any calendar year, (ii) Full-Value Awards in excess of 500,000 Shares during any calendar year, or</w:t>
      </w:r>
    </w:p>
    <w:p>
      <w:pPr>
        <w:spacing w:after="0" w:line="1" w:lineRule="exact"/>
        <w:rPr>
          <w:rFonts w:ascii="Arial" w:cs="Arial" w:eastAsia="Arial" w:hAnsi="Arial"/>
          <w:sz w:val="16"/>
          <w:szCs w:val="16"/>
          <w:color w:val="auto"/>
        </w:rPr>
      </w:pPr>
    </w:p>
    <w:p>
      <w:pPr>
        <w:ind w:left="500" w:hanging="6"/>
        <w:spacing w:after="0" w:line="265" w:lineRule="auto"/>
        <w:tabs>
          <w:tab w:leader="none" w:pos="846" w:val="left"/>
        </w:tabs>
        <w:numPr>
          <w:ilvl w:val="1"/>
          <w:numId w:val="64"/>
        </w:numPr>
        <w:rPr>
          <w:rFonts w:ascii="Arial" w:cs="Arial" w:eastAsia="Arial" w:hAnsi="Arial"/>
          <w:sz w:val="20"/>
          <w:szCs w:val="20"/>
          <w:color w:val="auto"/>
        </w:rPr>
      </w:pPr>
      <w:r>
        <w:rPr>
          <w:rFonts w:ascii="Arial" w:cs="Arial" w:eastAsia="Arial" w:hAnsi="Arial"/>
          <w:sz w:val="20"/>
          <w:szCs w:val="20"/>
          <w:color w:val="auto"/>
        </w:rPr>
        <w:t>Cash Awards in excess of $10 million. Compensation payable by the Corporation to any non-employee director of the Corporation, including Awards granted under this Plan (with Awards valued based on the fair value on the Grant Date for accounting purposes) and cash fees paid or credited, in respect of such non-employee director’s service as a member of the Board during the calendar year, may not exceed $1.5 million during any single calendar year.</w:t>
      </w:r>
    </w:p>
    <w:p>
      <w:pPr>
        <w:spacing w:after="0" w:line="185" w:lineRule="exact"/>
        <w:rPr>
          <w:rFonts w:ascii="Arial" w:cs="Arial" w:eastAsia="Arial" w:hAnsi="Arial"/>
          <w:sz w:val="20"/>
          <w:szCs w:val="20"/>
          <w:color w:val="auto"/>
        </w:rPr>
      </w:pPr>
    </w:p>
    <w:p>
      <w:pPr>
        <w:ind w:left="500" w:right="20" w:hanging="492"/>
        <w:spacing w:after="0" w:line="276" w:lineRule="auto"/>
        <w:tabs>
          <w:tab w:leader="none" w:pos="360"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Rules for Calculating Shares Issued</w:t>
      </w:r>
      <w:r>
        <w:rPr>
          <w:rFonts w:ascii="Arial" w:cs="Arial" w:eastAsia="Arial" w:hAnsi="Arial"/>
          <w:sz w:val="19"/>
          <w:szCs w:val="19"/>
          <w:color w:val="auto"/>
        </w:rPr>
        <w:t>. To the extent that any Award is forfeited, terminates, expires or lapses instead of being exercised, or</w:t>
      </w:r>
      <w:r>
        <w:rPr>
          <w:rFonts w:ascii="Arial" w:cs="Arial" w:eastAsia="Arial" w:hAnsi="Arial"/>
          <w:sz w:val="19"/>
          <w:szCs w:val="19"/>
          <w:i w:val="1"/>
          <w:iCs w:val="1"/>
          <w:color w:val="auto"/>
        </w:rPr>
        <w:t xml:space="preserve"> </w:t>
      </w:r>
      <w:r>
        <w:rPr>
          <w:rFonts w:ascii="Arial" w:cs="Arial" w:eastAsia="Arial" w:hAnsi="Arial"/>
          <w:sz w:val="19"/>
          <w:szCs w:val="19"/>
          <w:color w:val="auto"/>
        </w:rPr>
        <w:t>any Award is settled for cash, the Shares subject to such Awards will not be counted as Shares issued under this Plan. If the exercise price of any Stock Appreciation Right or Stock Option and/or the tax withholding obligations relating to any Award are satisfied by delivering Shares (either actually or through a signed document affirming the Participant’s ownership and delivery of such Shares) or the Corporation withholding Shares relating to such Award, the gross number of Shares subject to the Award shall nonetheless be deemed to have been issued under this Plan. Shares reacquired by the</w:t>
      </w:r>
    </w:p>
    <w:p>
      <w:pPr>
        <w:sectPr>
          <w:pgSz w:w="11900" w:h="16838" w:orient="portrait"/>
          <w:cols w:equalWidth="0" w:num="1">
            <w:col w:w="11220"/>
          </w:cols>
          <w:pgMar w:left="320" w:top="1432" w:right="359" w:bottom="1440" w:gutter="0" w:footer="0" w:header="0"/>
        </w:sectPr>
      </w:pPr>
    </w:p>
    <w:bookmarkStart w:id="87" w:name="page88"/>
    <w:bookmarkEnd w:id="87"/>
    <w:p>
      <w:pPr>
        <w:ind w:left="492" w:right="320"/>
        <w:spacing w:after="0" w:line="274" w:lineRule="auto"/>
        <w:rPr>
          <w:sz w:val="20"/>
          <w:szCs w:val="20"/>
          <w:color w:val="auto"/>
        </w:rPr>
      </w:pPr>
      <w:r>
        <w:rPr>
          <w:rFonts w:ascii="Arial" w:cs="Arial" w:eastAsia="Arial" w:hAnsi="Arial"/>
          <w:sz w:val="20"/>
          <w:szCs w:val="20"/>
          <w:color w:val="auto"/>
        </w:rPr>
        <w:t>Corporation on the open market or otherwise using cash proceeds from the exercise of Stock Appreciation Rights or Stock Options shall not be available for Awards under the Plan.</w:t>
      </w:r>
    </w:p>
    <w:p>
      <w:pPr>
        <w:spacing w:after="0" w:line="190" w:lineRule="exact"/>
        <w:rPr>
          <w:sz w:val="20"/>
          <w:szCs w:val="20"/>
          <w:color w:val="auto"/>
        </w:rPr>
      </w:pPr>
    </w:p>
    <w:p>
      <w:pPr>
        <w:ind w:left="332" w:hanging="332"/>
        <w:spacing w:after="0"/>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i w:val="1"/>
          <w:iCs w:val="1"/>
          <w:color w:val="auto"/>
        </w:rPr>
        <w:t>Adjustment Provisions.</w:t>
      </w:r>
    </w:p>
    <w:p>
      <w:pPr>
        <w:spacing w:after="0" w:line="229" w:lineRule="exact"/>
        <w:rPr>
          <w:rFonts w:ascii="Arial" w:cs="Arial" w:eastAsia="Arial" w:hAnsi="Arial"/>
          <w:sz w:val="20"/>
          <w:szCs w:val="20"/>
          <w:color w:val="auto"/>
        </w:rPr>
      </w:pPr>
    </w:p>
    <w:p>
      <w:pPr>
        <w:ind w:left="972" w:right="220" w:hanging="486"/>
        <w:spacing w:after="0" w:line="323" w:lineRule="auto"/>
        <w:tabs>
          <w:tab w:leader="none" w:pos="788"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disposition for consideration of the Corporation’s direct or indirect ownership of a Subsidiary or Affiliate (including by reason of a Disaffiliation), or similar event affecting the Corporation or any of its Subsidiaries (each, a “Corporate Transaction”), the Committee or the Board may in its discretion make such substitutions or adjustments as it deems appropriate and equitable to:</w:t>
      </w:r>
    </w:p>
    <w:p>
      <w:pPr>
        <w:spacing w:after="0" w:line="2" w:lineRule="exact"/>
        <w:rPr>
          <w:rFonts w:ascii="Arial" w:cs="Arial" w:eastAsia="Arial" w:hAnsi="Arial"/>
          <w:sz w:val="16"/>
          <w:szCs w:val="16"/>
          <w:color w:val="auto"/>
        </w:rPr>
      </w:pPr>
    </w:p>
    <w:p>
      <w:pPr>
        <w:ind w:left="972" w:right="60"/>
        <w:spacing w:after="0" w:line="300" w:lineRule="auto"/>
        <w:rPr>
          <w:rFonts w:ascii="Arial" w:cs="Arial" w:eastAsia="Arial" w:hAnsi="Arial"/>
          <w:sz w:val="16"/>
          <w:szCs w:val="16"/>
          <w:color w:val="auto"/>
        </w:rPr>
      </w:pPr>
      <w:r>
        <w:rPr>
          <w:rFonts w:ascii="Arial" w:cs="Arial" w:eastAsia="Arial" w:hAnsi="Arial"/>
          <w:sz w:val="18"/>
          <w:szCs w:val="18"/>
          <w:color w:val="auto"/>
        </w:rPr>
        <w:t>(A)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p>
      <w:pPr>
        <w:spacing w:after="0" w:line="172" w:lineRule="exact"/>
        <w:rPr>
          <w:rFonts w:ascii="Arial" w:cs="Arial" w:eastAsia="Arial" w:hAnsi="Arial"/>
          <w:sz w:val="16"/>
          <w:szCs w:val="16"/>
          <w:color w:val="auto"/>
        </w:rPr>
      </w:pPr>
    </w:p>
    <w:p>
      <w:pPr>
        <w:ind w:left="972" w:right="60" w:hanging="486"/>
        <w:spacing w:after="0" w:line="293" w:lineRule="auto"/>
        <w:tabs>
          <w:tab w:leader="none" w:pos="8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of a stock dividend, stock split, reverse stock split, reorganization, share combination, or recapitalization or similar event affecting the capital structure of the Corporation, or a Disaffiliation, separation or spinoff, in each case without consideration, or other extraordinary dividend of cash or other property to the Corporation’s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 3(c) applicable to the grants to individuals of certain types of Awards; (C) the number and kind of Shares or other securities subject to outstanding Awards; (D) financial goals or measured results to preserve the validity of the original goals set by the Committee; and (E) the exercise price of outstanding Awards.</w:t>
      </w:r>
    </w:p>
    <w:p>
      <w:pPr>
        <w:spacing w:after="0" w:line="165" w:lineRule="exact"/>
        <w:rPr>
          <w:rFonts w:ascii="Arial" w:cs="Arial" w:eastAsia="Arial" w:hAnsi="Arial"/>
          <w:sz w:val="18"/>
          <w:szCs w:val="18"/>
          <w:color w:val="auto"/>
        </w:rPr>
      </w:pPr>
    </w:p>
    <w:p>
      <w:pPr>
        <w:ind w:left="972" w:hanging="486"/>
        <w:spacing w:after="0" w:line="291" w:lineRule="auto"/>
        <w:tabs>
          <w:tab w:leader="none" w:pos="898"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Corporate Transactions, such adjustments may include: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of the consideration being paid for each Share pursuant to such Corporate Transaction over the exercise price of such Stock Appreciation Right or Stock Option shall conclusively be deemed valid); (B) the substitution of other property (including cash or other securities of the Corporation and securities of entities other than the Corporation) for the Shares subject to outstanding Awards; and (C) in connection with any Disaffiliation, arranging for the assumption of Awards, or replacement of Awards with new awards based on other property or other securities (including other securities of the Corporation and securities of entities other than the Corporation), by the affected Subsidiary, Affiliate, or division or by the entity that controls such Subsidiary, Affiliate or division following such Disaffiliation (as well as any corresponding adjustments to Awards that remain based upon Corporation securities).</w:t>
      </w:r>
    </w:p>
    <w:p>
      <w:pPr>
        <w:spacing w:after="0" w:line="179" w:lineRule="exact"/>
        <w:rPr>
          <w:rFonts w:ascii="Arial" w:cs="Arial" w:eastAsia="Arial" w:hAnsi="Arial"/>
          <w:sz w:val="18"/>
          <w:szCs w:val="18"/>
          <w:color w:val="auto"/>
        </w:rPr>
      </w:pPr>
    </w:p>
    <w:p>
      <w:pPr>
        <w:ind w:left="972" w:right="120" w:hanging="486"/>
        <w:spacing w:after="0" w:line="264" w:lineRule="auto"/>
        <w:tabs>
          <w:tab w:leader="none" w:pos="874"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adjustments made pursuant to this Section 3(e) to Awards that are considered “nonqualified deferred compensation” subject to Section 409A of the Code shall be made in compliance with the requirements of Section 409A of the Code; and any adjustments made pursuant to Section 3(e) to</w:t>
      </w:r>
    </w:p>
    <w:p>
      <w:pPr>
        <w:sectPr>
          <w:pgSz w:w="11900" w:h="16838" w:orient="portrait"/>
          <w:cols w:equalWidth="0" w:num="1">
            <w:col w:w="11172"/>
          </w:cols>
          <w:pgMar w:left="328" w:top="1432" w:right="399" w:bottom="1440" w:gutter="0" w:footer="0" w:header="0"/>
        </w:sectPr>
      </w:pPr>
    </w:p>
    <w:bookmarkStart w:id="88" w:name="page89"/>
    <w:bookmarkEnd w:id="88"/>
    <w:p>
      <w:pPr>
        <w:ind w:left="980" w:right="100"/>
        <w:spacing w:after="0" w:line="265" w:lineRule="auto"/>
        <w:rPr>
          <w:sz w:val="20"/>
          <w:szCs w:val="20"/>
          <w:color w:val="auto"/>
        </w:rPr>
      </w:pPr>
      <w:r>
        <w:rPr>
          <w:rFonts w:ascii="Arial" w:cs="Arial" w:eastAsia="Arial" w:hAnsi="Arial"/>
          <w:sz w:val="20"/>
          <w:szCs w:val="20"/>
          <w:color w:val="auto"/>
        </w:rPr>
        <w:t>Awards that are not considered “deferred compensation” subject to Section 409A of the Code shall be made in such a manner as to ensure that after such adjustments, either: (A) the Awards continue not to constitute “deferred compensation” subject to Section 409A of the Code; or (B) there does not result in the imposition of any penalty taxes under Section 409A of the Code in respect of such Awards.</w:t>
      </w:r>
    </w:p>
    <w:p>
      <w:pPr>
        <w:spacing w:after="0" w:line="186" w:lineRule="exact"/>
        <w:rPr>
          <w:sz w:val="20"/>
          <w:szCs w:val="20"/>
          <w:color w:val="auto"/>
        </w:rPr>
      </w:pPr>
    </w:p>
    <w:p>
      <w:pPr>
        <w:ind w:left="840" w:hanging="340"/>
        <w:spacing w:after="0"/>
        <w:tabs>
          <w:tab w:leader="none" w:pos="8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adjustment under this Section 3(e) need not be applied uniformly to all Participants.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ELIGIBILITY</w:t>
      </w:r>
    </w:p>
    <w:p>
      <w:pPr>
        <w:spacing w:after="0" w:line="249" w:lineRule="exact"/>
        <w:rPr>
          <w:sz w:val="20"/>
          <w:szCs w:val="20"/>
          <w:color w:val="auto"/>
        </w:rPr>
      </w:pPr>
    </w:p>
    <w:p>
      <w:pPr>
        <w:ind w:right="480"/>
        <w:spacing w:after="0" w:line="332" w:lineRule="auto"/>
        <w:rPr>
          <w:sz w:val="20"/>
          <w:szCs w:val="20"/>
          <w:color w:val="auto"/>
        </w:rPr>
      </w:pPr>
      <w:r>
        <w:rPr>
          <w:rFonts w:ascii="Arial" w:cs="Arial" w:eastAsia="Arial" w:hAnsi="Arial"/>
          <w:sz w:val="18"/>
          <w:szCs w:val="18"/>
          <w:color w:val="auto"/>
        </w:rPr>
        <w:t>Awards may be granted under this Plan to Eligible Individuals; provided, however, that Incentive Stock Options may be granted only to employees of the Corporation and its subsidiaries or Parent Corporation (within the meaning of Section 424(f) of the Code).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STOCK APPRECIATION RIGHTS AND STOCK OPTIONS</w:t>
      </w:r>
    </w:p>
    <w:p>
      <w:pPr>
        <w:spacing w:after="0" w:line="249" w:lineRule="exact"/>
        <w:rPr>
          <w:sz w:val="20"/>
          <w:szCs w:val="20"/>
          <w:color w:val="auto"/>
        </w:rPr>
      </w:pPr>
    </w:p>
    <w:p>
      <w:pPr>
        <w:ind w:left="500" w:hanging="492"/>
        <w:spacing w:after="0" w:line="260" w:lineRule="auto"/>
        <w:tabs>
          <w:tab w:leader="none" w:pos="349"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 xml:space="preserve">Nature of Stock Appreciation Rights. </w:t>
      </w:r>
      <w:r>
        <w:rPr>
          <w:rFonts w:ascii="Arial" w:cs="Arial" w:eastAsia="Arial" w:hAnsi="Arial"/>
          <w:sz w:val="20"/>
          <w:szCs w:val="20"/>
          <w:color w:val="auto"/>
        </w:rPr>
        <w:t>Upon the exercise of a Stock Appreciation Right, the Participant shall be entitled to receive an</w:t>
      </w:r>
      <w:r>
        <w:rPr>
          <w:rFonts w:ascii="Arial" w:cs="Arial" w:eastAsia="Arial" w:hAnsi="Arial"/>
          <w:sz w:val="20"/>
          <w:szCs w:val="20"/>
          <w:i w:val="1"/>
          <w:iCs w:val="1"/>
          <w:color w:val="auto"/>
        </w:rPr>
        <w:t xml:space="preserve"> </w:t>
      </w:r>
      <w:r>
        <w:rPr>
          <w:rFonts w:ascii="Arial" w:cs="Arial" w:eastAsia="Arial" w:hAnsi="Arial"/>
          <w:sz w:val="20"/>
          <w:szCs w:val="20"/>
          <w:color w:val="auto"/>
        </w:rPr>
        <w:t>amount in cash, or Shares with a Fair Market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shall reserve to the Committee or the Participant the right to make that determination prior to or upon the exercise of the Stock Appreciation Right.</w:t>
      </w:r>
    </w:p>
    <w:p>
      <w:pPr>
        <w:spacing w:after="0" w:line="206" w:lineRule="exact"/>
        <w:rPr>
          <w:rFonts w:ascii="Arial" w:cs="Arial" w:eastAsia="Arial" w:hAnsi="Arial"/>
          <w:sz w:val="20"/>
          <w:szCs w:val="20"/>
          <w:color w:val="auto"/>
        </w:rPr>
      </w:pPr>
    </w:p>
    <w:p>
      <w:pPr>
        <w:ind w:left="500" w:hanging="492"/>
        <w:spacing w:after="0" w:line="264" w:lineRule="auto"/>
        <w:tabs>
          <w:tab w:leader="none" w:pos="360"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 xml:space="preserve">Types of Stock Options. </w:t>
      </w:r>
      <w:r>
        <w:rPr>
          <w:rFonts w:ascii="Arial" w:cs="Arial" w:eastAsia="Arial" w:hAnsi="Arial"/>
          <w:sz w:val="20"/>
          <w:szCs w:val="20"/>
          <w:color w:val="auto"/>
        </w:rPr>
        <w:t>Stock Options may be granted in the form of Incentive Stock Options or Nonqualified Stock Options. The Award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for a Stock Option shall indicate whether the Stock Option is intended to be an Incentive Stock Option or a Nonqualified Stock Option.</w:t>
      </w:r>
    </w:p>
    <w:p>
      <w:pPr>
        <w:spacing w:after="0" w:line="199" w:lineRule="exact"/>
        <w:rPr>
          <w:rFonts w:ascii="Arial" w:cs="Arial" w:eastAsia="Arial" w:hAnsi="Arial"/>
          <w:sz w:val="20"/>
          <w:szCs w:val="20"/>
          <w:color w:val="auto"/>
        </w:rPr>
      </w:pPr>
    </w:p>
    <w:p>
      <w:pPr>
        <w:ind w:left="500" w:right="80" w:hanging="492"/>
        <w:spacing w:after="0" w:line="293" w:lineRule="auto"/>
        <w:tabs>
          <w:tab w:leader="none" w:pos="349"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per Share subject to a Stock Appreciation Right or Stock Option shall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set forth in the applicable Award Agreement and shall not be less than the Fair Market Value of a Share on the applicable Grant Date. In no event may any Stock Appreciation Right or Stock Option granted under this Plan be amended, other than pursuant to Section 3(e), to decrease the exercise price thereof, be cancelled in exchange for cash (where such Stock Appreciation Right or Stock Option currently hold no value), or other Awards or in conjunction with the grant of any new Stock Appreciation Right or Stock Option with a lower exercise price, or otherwise be subject to any action that would be treated, under the Applicable Exchange listing standards or for accounting purposes, as a “repricing” of such Stock Appreciation Right or Stock Option, unless such amendment, cancellation or action is approved by the Corporation’s shareholders.</w:t>
      </w:r>
    </w:p>
    <w:p>
      <w:pPr>
        <w:spacing w:after="0" w:line="165" w:lineRule="exact"/>
        <w:rPr>
          <w:rFonts w:ascii="Arial" w:cs="Arial" w:eastAsia="Arial" w:hAnsi="Arial"/>
          <w:sz w:val="18"/>
          <w:szCs w:val="18"/>
          <w:color w:val="auto"/>
        </w:rPr>
      </w:pPr>
    </w:p>
    <w:p>
      <w:pPr>
        <w:ind w:left="500" w:right="280" w:hanging="492"/>
        <w:spacing w:after="0" w:line="288" w:lineRule="auto"/>
        <w:tabs>
          <w:tab w:leader="none" w:pos="360"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 xml:space="preserve">Term. </w:t>
      </w:r>
      <w:r>
        <w:rPr>
          <w:rFonts w:ascii="Arial" w:cs="Arial" w:eastAsia="Arial" w:hAnsi="Arial"/>
          <w:sz w:val="20"/>
          <w:szCs w:val="20"/>
          <w:color w:val="auto"/>
        </w:rPr>
        <w:t>The Term of each Stock Appreciation Right and each Stock Option shall be fixed by the Committee, but no Stock Appreciation</w:t>
      </w:r>
      <w:r>
        <w:rPr>
          <w:rFonts w:ascii="Arial" w:cs="Arial" w:eastAsia="Arial" w:hAnsi="Arial"/>
          <w:sz w:val="20"/>
          <w:szCs w:val="20"/>
          <w:i w:val="1"/>
          <w:iCs w:val="1"/>
          <w:color w:val="auto"/>
        </w:rPr>
        <w:t xml:space="preserve"> </w:t>
      </w:r>
      <w:r>
        <w:rPr>
          <w:rFonts w:ascii="Arial" w:cs="Arial" w:eastAsia="Arial" w:hAnsi="Arial"/>
          <w:sz w:val="20"/>
          <w:szCs w:val="20"/>
          <w:color w:val="auto"/>
        </w:rPr>
        <w:t>Right or Stock Option shall be exercisable more than 10 years after its Grant Date.</w:t>
      </w:r>
    </w:p>
    <w:p>
      <w:pPr>
        <w:spacing w:after="0" w:line="163" w:lineRule="exact"/>
        <w:rPr>
          <w:rFonts w:ascii="Arial" w:cs="Arial" w:eastAsia="Arial" w:hAnsi="Arial"/>
          <w:sz w:val="20"/>
          <w:szCs w:val="20"/>
          <w:color w:val="auto"/>
        </w:rPr>
      </w:pPr>
    </w:p>
    <w:p>
      <w:pPr>
        <w:ind w:left="500" w:right="40" w:hanging="492"/>
        <w:spacing w:after="0" w:line="283" w:lineRule="auto"/>
        <w:tabs>
          <w:tab w:leader="none" w:pos="349"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 xml:space="preserve">Exercisability; Method of Exercise. </w:t>
      </w:r>
      <w:r>
        <w:rPr>
          <w:rFonts w:ascii="Arial" w:cs="Arial" w:eastAsia="Arial" w:hAnsi="Arial"/>
          <w:sz w:val="19"/>
          <w:szCs w:val="19"/>
          <w:color w:val="auto"/>
        </w:rPr>
        <w:t>Except as otherwise provided herein, Stock Appreciation Rights and Stock Options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exercisable at such time or times and subject to such terms and conditions as shall be determined by the Committee. Subject to the provisions of this Section 5, Stock Appreciation Rights and Stock Options may be exercised, in whole or in part in accordance with the methods and procedures established by the Committee in the Award Agreement or otherwise.</w:t>
      </w:r>
    </w:p>
    <w:p>
      <w:pPr>
        <w:sectPr>
          <w:pgSz w:w="11900" w:h="16838" w:orient="portrait"/>
          <w:cols w:equalWidth="0" w:num="1">
            <w:col w:w="11220"/>
          </w:cols>
          <w:pgMar w:left="320" w:top="1432" w:right="359" w:bottom="1440" w:gutter="0" w:footer="0" w:header="0"/>
        </w:sectPr>
      </w:pPr>
    </w:p>
    <w:bookmarkStart w:id="89" w:name="page90"/>
    <w:bookmarkEnd w:id="89"/>
    <w:p>
      <w:pPr>
        <w:ind w:left="500" w:right="20" w:hanging="492"/>
        <w:spacing w:after="0" w:line="279" w:lineRule="auto"/>
        <w:tabs>
          <w:tab w:leader="none" w:pos="327"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Delivery; Rights of Shareowners. </w:t>
      </w:r>
      <w:r>
        <w:rPr>
          <w:rFonts w:ascii="Arial" w:cs="Arial" w:eastAsia="Arial" w:hAnsi="Arial"/>
          <w:sz w:val="19"/>
          <w:szCs w:val="19"/>
          <w:color w:val="auto"/>
        </w:rPr>
        <w:t>A Participant shall not be entitled to delivery of Shares pursuant to the exercise of a Stock Appreciation</w:t>
      </w:r>
      <w:r>
        <w:rPr>
          <w:rFonts w:ascii="Arial" w:cs="Arial" w:eastAsia="Arial" w:hAnsi="Arial"/>
          <w:sz w:val="19"/>
          <w:szCs w:val="19"/>
          <w:i w:val="1"/>
          <w:iCs w:val="1"/>
          <w:color w:val="auto"/>
        </w:rPr>
        <w:t xml:space="preserve"> </w:t>
      </w:r>
      <w:r>
        <w:rPr>
          <w:rFonts w:ascii="Arial" w:cs="Arial" w:eastAsia="Arial" w:hAnsi="Arial"/>
          <w:sz w:val="19"/>
          <w:szCs w:val="19"/>
          <w:color w:val="auto"/>
        </w:rPr>
        <w:t>Right or Stock Option until the exercise price therefore has been fully paid and applicable taxes have been withheld. Except as otherwise provided in Section 5(j), a Participant shall have all of the rights of a shareowner of the number of Shares deliverable pursuant to such Stock Appreciation Right or Stock Option (including, if applicable, the right to vote the applicable Shares), when the Participant: (i) has given written notice of exercise; (ii) if requested, has given the representation described in Section 14(a); and (iii) in the case of a Stock Option, has paid in full for such Shares.</w:t>
      </w:r>
    </w:p>
    <w:p>
      <w:pPr>
        <w:spacing w:after="0" w:line="177" w:lineRule="exact"/>
        <w:rPr>
          <w:rFonts w:ascii="Arial" w:cs="Arial" w:eastAsia="Arial" w:hAnsi="Arial"/>
          <w:sz w:val="19"/>
          <w:szCs w:val="19"/>
          <w:color w:val="auto"/>
        </w:rPr>
      </w:pPr>
    </w:p>
    <w:p>
      <w:pPr>
        <w:ind w:left="500" w:hanging="492"/>
        <w:spacing w:after="0" w:line="291" w:lineRule="auto"/>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Nontransferability of Stock Appreciation Rights and Stock Options. </w:t>
      </w:r>
      <w:r>
        <w:rPr>
          <w:rFonts w:ascii="Arial" w:cs="Arial" w:eastAsia="Arial" w:hAnsi="Arial"/>
          <w:sz w:val="18"/>
          <w:szCs w:val="18"/>
          <w:color w:val="auto"/>
        </w:rPr>
        <w:t>No Stock Appreciation Right or Stock Option shall be transferable</w:t>
      </w:r>
      <w:r>
        <w:rPr>
          <w:rFonts w:ascii="Arial" w:cs="Arial" w:eastAsia="Arial" w:hAnsi="Arial"/>
          <w:sz w:val="18"/>
          <w:szCs w:val="18"/>
          <w:i w:val="1"/>
          <w:iCs w:val="1"/>
          <w:color w:val="auto"/>
        </w:rPr>
        <w:t xml:space="preserve"> </w:t>
      </w:r>
      <w:r>
        <w:rPr>
          <w:rFonts w:ascii="Arial" w:cs="Arial" w:eastAsia="Arial" w:hAnsi="Arial"/>
          <w:sz w:val="18"/>
          <w:szCs w:val="18"/>
          <w:color w:val="auto"/>
        </w:rPr>
        <w:t>by a Participant other than, for no value or consideration: (i) by will or by the laws of descent and distribution; or (ii) in the case of a Stock Appreciation Right or Nonqualified Stock Option,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Any Stock Appreciation Right or Stock Option shall be exercisable, subject to the terms of this Plan, only by the Participant, the guardian or legal representative of the Participant, or any person to whom such Stock Appreciation Rights or Stock Option is transferred pursuant to this Section 5(g), it being understood that the term “holder” and “Participant” include such guardian, legal representative and other transferee; provided, however, that the term “Termination of Service” shall continue to refer to the Termination of Service of the original Participant. No Participant may enter into any agreement for the purpose of selling, transferring or otherwise engaging in any transaction that has the effect of exchanging his or her economic interest in any Award to another person or entity for a cash payment or other consideration unless first approved by a majority of the Corporation’s shareowners.</w:t>
      </w:r>
    </w:p>
    <w:p>
      <w:pPr>
        <w:spacing w:after="0" w:line="166" w:lineRule="exact"/>
        <w:rPr>
          <w:rFonts w:ascii="Arial" w:cs="Arial" w:eastAsia="Arial" w:hAnsi="Arial"/>
          <w:sz w:val="18"/>
          <w:szCs w:val="18"/>
          <w:color w:val="auto"/>
        </w:rPr>
      </w:pPr>
    </w:p>
    <w:p>
      <w:pPr>
        <w:ind w:left="500" w:right="160" w:hanging="492"/>
        <w:spacing w:after="0" w:line="288" w:lineRule="auto"/>
        <w:tabs>
          <w:tab w:leader="none" w:pos="360"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 xml:space="preserve">Termination of Service. </w:t>
      </w:r>
      <w:r>
        <w:rPr>
          <w:rFonts w:ascii="Arial" w:cs="Arial" w:eastAsia="Arial" w:hAnsi="Arial"/>
          <w:sz w:val="20"/>
          <w:szCs w:val="20"/>
          <w:color w:val="auto"/>
        </w:rPr>
        <w:t>The effect of a Participant’s Termination of Service on any Stock Appreciation Right or Stock Option then held</w:t>
      </w:r>
      <w:r>
        <w:rPr>
          <w:rFonts w:ascii="Arial" w:cs="Arial" w:eastAsia="Arial" w:hAnsi="Arial"/>
          <w:sz w:val="20"/>
          <w:szCs w:val="20"/>
          <w:i w:val="1"/>
          <w:iCs w:val="1"/>
          <w:color w:val="auto"/>
        </w:rPr>
        <w:t xml:space="preserve"> </w:t>
      </w:r>
      <w:r>
        <w:rPr>
          <w:rFonts w:ascii="Arial" w:cs="Arial" w:eastAsia="Arial" w:hAnsi="Arial"/>
          <w:sz w:val="20"/>
          <w:szCs w:val="20"/>
          <w:color w:val="auto"/>
        </w:rPr>
        <w:t>by the Participant shall be set forth in the applicable Award Agreement.</w:t>
      </w:r>
    </w:p>
    <w:p>
      <w:pPr>
        <w:spacing w:after="0" w:line="163" w:lineRule="exact"/>
        <w:rPr>
          <w:rFonts w:ascii="Arial" w:cs="Arial" w:eastAsia="Arial" w:hAnsi="Arial"/>
          <w:sz w:val="20"/>
          <w:szCs w:val="20"/>
          <w:color w:val="auto"/>
        </w:rPr>
      </w:pPr>
    </w:p>
    <w:p>
      <w:pPr>
        <w:ind w:left="500" w:right="80" w:hanging="492"/>
        <w:spacing w:after="0" w:line="275" w:lineRule="auto"/>
        <w:tabs>
          <w:tab w:leader="none" w:pos="316"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Additional Rules for Incentive Stock Options. </w:t>
      </w:r>
      <w:r>
        <w:rPr>
          <w:rFonts w:ascii="Arial" w:cs="Arial" w:eastAsia="Arial" w:hAnsi="Arial"/>
          <w:sz w:val="19"/>
          <w:szCs w:val="19"/>
          <w:color w:val="auto"/>
        </w:rPr>
        <w:t>Notwithstanding any other provision of this Plan to the contrary, no Stock Option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intended to qualify as an Incentive Stock Option may be granted to any Eligible Individual who at the time of such grant owns stock possessing more than 10% of the total combined voting power of all classes of stock of the Corporation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 Participant during any calendar year, under all of the incentive stock option plans of the Corporation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83" w:lineRule="exact"/>
        <w:rPr>
          <w:rFonts w:ascii="Arial" w:cs="Arial" w:eastAsia="Arial" w:hAnsi="Arial"/>
          <w:sz w:val="19"/>
          <w:szCs w:val="19"/>
          <w:color w:val="auto"/>
        </w:rPr>
      </w:pPr>
    </w:p>
    <w:p>
      <w:pPr>
        <w:ind w:left="500" w:hanging="492"/>
        <w:spacing w:after="0" w:line="271" w:lineRule="auto"/>
        <w:tabs>
          <w:tab w:leader="none" w:pos="316"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 xml:space="preserve">Dividends and Dividend Equivalents. </w:t>
      </w:r>
      <w:r>
        <w:rPr>
          <w:rFonts w:ascii="Arial" w:cs="Arial" w:eastAsia="Arial" w:hAnsi="Arial"/>
          <w:sz w:val="20"/>
          <w:szCs w:val="20"/>
          <w:color w:val="auto"/>
        </w:rPr>
        <w:t>Dividends (whether paid in cash or Shares) and dividend equivalents may not be paid or accrued on</w:t>
      </w:r>
      <w:r>
        <w:rPr>
          <w:rFonts w:ascii="Arial" w:cs="Arial" w:eastAsia="Arial" w:hAnsi="Arial"/>
          <w:sz w:val="20"/>
          <w:szCs w:val="20"/>
          <w:i w:val="1"/>
          <w:iCs w:val="1"/>
          <w:color w:val="auto"/>
        </w:rPr>
        <w:t xml:space="preserve"> </w:t>
      </w:r>
      <w:r>
        <w:rPr>
          <w:rFonts w:ascii="Arial" w:cs="Arial" w:eastAsia="Arial" w:hAnsi="Arial"/>
          <w:sz w:val="20"/>
          <w:szCs w:val="20"/>
          <w:color w:val="auto"/>
        </w:rPr>
        <w:t>Stock Appreciation Rights or Stock Options; provided that Stock Appreciation Rights and Stock Options may be adjusted under certain circumstances in accordance with the terms of Section 3(e).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RESTRICTED STOCK</w:t>
      </w:r>
    </w:p>
    <w:p>
      <w:pPr>
        <w:sectPr>
          <w:pgSz w:w="11900" w:h="16838" w:orient="portrait"/>
          <w:cols w:equalWidth="0" w:num="1">
            <w:col w:w="11220"/>
          </w:cols>
          <w:pgMar w:left="320" w:top="1432" w:right="359" w:bottom="1440" w:gutter="0" w:footer="0" w:header="0"/>
        </w:sectPr>
      </w:pPr>
    </w:p>
    <w:bookmarkStart w:id="90" w:name="page91"/>
    <w:bookmarkEnd w:id="90"/>
    <w:p>
      <w:pPr>
        <w:ind w:left="500" w:right="20" w:hanging="492"/>
        <w:spacing w:after="0" w:line="262" w:lineRule="auto"/>
        <w:tabs>
          <w:tab w:leader="none" w:pos="349"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Administration. </w:t>
      </w:r>
      <w:r>
        <w:rPr>
          <w:rFonts w:ascii="Arial" w:cs="Arial" w:eastAsia="Arial" w:hAnsi="Arial"/>
          <w:sz w:val="20"/>
          <w:szCs w:val="20"/>
          <w:color w:val="auto"/>
        </w:rPr>
        <w:t>Shares of Restricted Stock are actual Shares issued to a Participant and may be awarded either alone or in addition to</w:t>
      </w:r>
      <w:r>
        <w:rPr>
          <w:rFonts w:ascii="Arial" w:cs="Arial" w:eastAsia="Arial" w:hAnsi="Arial"/>
          <w:sz w:val="20"/>
          <w:szCs w:val="20"/>
          <w:i w:val="1"/>
          <w:iCs w:val="1"/>
          <w:color w:val="auto"/>
        </w:rPr>
        <w:t xml:space="preserve"> </w:t>
      </w:r>
      <w:r>
        <w:rPr>
          <w:rFonts w:ascii="Arial" w:cs="Arial" w:eastAsia="Arial" w:hAnsi="Arial"/>
          <w:sz w:val="20"/>
          <w:szCs w:val="20"/>
          <w:color w:val="auto"/>
        </w:rPr>
        <w:t>other 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202" w:lineRule="exact"/>
        <w:rPr>
          <w:rFonts w:ascii="Arial" w:cs="Arial" w:eastAsia="Arial" w:hAnsi="Arial"/>
          <w:sz w:val="20"/>
          <w:szCs w:val="20"/>
          <w:color w:val="auto"/>
        </w:rPr>
      </w:pPr>
    </w:p>
    <w:p>
      <w:pPr>
        <w:ind w:left="500" w:right="340" w:hanging="492"/>
        <w:spacing w:after="0" w:line="306"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Book Entry Registration or Certificated Shares. </w:t>
      </w:r>
      <w:r>
        <w:rPr>
          <w:rFonts w:ascii="Arial" w:cs="Arial" w:eastAsia="Arial" w:hAnsi="Arial"/>
          <w:sz w:val="18"/>
          <w:szCs w:val="18"/>
          <w:color w:val="auto"/>
        </w:rPr>
        <w:t>Shares of Restricted Stock shall be evidenced in such manner as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deem appropriate, including book-entry registration or issuance of one or more stock certificates registered in the name of the Participant and bearing an appropriate legend referring to the terms, conditions and restrictions applicable to such Award.</w:t>
      </w:r>
    </w:p>
    <w:p>
      <w:pPr>
        <w:spacing w:after="0" w:line="166" w:lineRule="exact"/>
        <w:rPr>
          <w:rFonts w:ascii="Arial" w:cs="Arial" w:eastAsia="Arial" w:hAnsi="Arial"/>
          <w:sz w:val="18"/>
          <w:szCs w:val="18"/>
          <w:color w:val="auto"/>
        </w:rPr>
      </w:pPr>
    </w:p>
    <w:p>
      <w:pPr>
        <w:ind w:left="500" w:right="620" w:hanging="492"/>
        <w:spacing w:after="0" w:line="264" w:lineRule="auto"/>
        <w:tabs>
          <w:tab w:leader="none" w:pos="349"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Terms and Conditions. </w:t>
      </w:r>
      <w:r>
        <w:rPr>
          <w:rFonts w:ascii="Arial" w:cs="Arial" w:eastAsia="Arial" w:hAnsi="Arial"/>
          <w:sz w:val="20"/>
          <w:szCs w:val="20"/>
          <w:color w:val="auto"/>
        </w:rPr>
        <w:t>Shares of Restricted Stock shall be subject to the following terms and conditions and such other terms and</w:t>
      </w:r>
      <w:r>
        <w:rPr>
          <w:rFonts w:ascii="Arial" w:cs="Arial" w:eastAsia="Arial" w:hAnsi="Arial"/>
          <w:sz w:val="20"/>
          <w:szCs w:val="20"/>
          <w:i w:val="1"/>
          <w:iCs w:val="1"/>
          <w:color w:val="auto"/>
        </w:rPr>
        <w:t xml:space="preserve"> </w:t>
      </w:r>
      <w:r>
        <w:rPr>
          <w:rFonts w:ascii="Arial" w:cs="Arial" w:eastAsia="Arial" w:hAnsi="Arial"/>
          <w:sz w:val="20"/>
          <w:szCs w:val="20"/>
          <w:color w:val="auto"/>
        </w:rPr>
        <w:t>conditions as are set forth in the applicable Award Agreement (including the vesting or forfeiture provisions applicable upon a Termination of Service):</w:t>
      </w:r>
    </w:p>
    <w:p>
      <w:pPr>
        <w:spacing w:after="0" w:line="199" w:lineRule="exact"/>
        <w:rPr>
          <w:rFonts w:ascii="Arial" w:cs="Arial" w:eastAsia="Arial" w:hAnsi="Arial"/>
          <w:sz w:val="20"/>
          <w:szCs w:val="20"/>
          <w:color w:val="auto"/>
        </w:rPr>
      </w:pPr>
    </w:p>
    <w:p>
      <w:pPr>
        <w:ind w:left="900" w:hanging="406"/>
        <w:spacing w:after="0" w:line="262" w:lineRule="auto"/>
        <w:tabs>
          <w:tab w:leader="none" w:pos="797"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the attainment of Performance Goals and the continued service of the applicable Participant. The conditions for grant or vesting and the other provisions of Restricted Stock Awards (including any applicable Performance Goals) need not be the same with respect to each recipient.</w:t>
      </w:r>
    </w:p>
    <w:p>
      <w:pPr>
        <w:spacing w:after="0" w:line="189" w:lineRule="exact"/>
        <w:rPr>
          <w:rFonts w:ascii="Arial" w:cs="Arial" w:eastAsia="Arial" w:hAnsi="Arial"/>
          <w:sz w:val="20"/>
          <w:szCs w:val="20"/>
          <w:color w:val="auto"/>
        </w:rPr>
      </w:pPr>
    </w:p>
    <w:p>
      <w:pPr>
        <w:ind w:left="900" w:right="260" w:hanging="406"/>
        <w:spacing w:after="0" w:line="265" w:lineRule="auto"/>
        <w:tabs>
          <w:tab w:leader="none" w:pos="852" w:val="left"/>
        </w:tabs>
        <w:numPr>
          <w:ilvl w:val="1"/>
          <w:numId w:val="70"/>
        </w:numPr>
        <w:rPr>
          <w:rFonts w:ascii="Arial" w:cs="Arial" w:eastAsia="Arial" w:hAnsi="Arial"/>
          <w:sz w:val="20"/>
          <w:szCs w:val="20"/>
          <w:color w:val="auto"/>
        </w:rPr>
      </w:pPr>
      <w:r>
        <w:rPr>
          <w:rFonts w:ascii="Arial" w:cs="Arial" w:eastAsia="Arial" w:hAnsi="Arial"/>
          <w:sz w:val="20"/>
          <w:szCs w:val="20"/>
          <w:color w:val="auto"/>
        </w:rPr>
        <w:t>Subject to the provisions of this Plan and the applicable Award Agreement, during the period, if any, set by the Committee, commencing with the date of such Restricted Stock Award for which such vesting restrictions apply, and until the expiration of such period, the Participant shall not be permitted to sell, assign, transfer, pledge or otherwise encumber Shares of Restricted Stock.</w:t>
      </w:r>
    </w:p>
    <w:p>
      <w:pPr>
        <w:spacing w:after="0" w:line="199" w:lineRule="exact"/>
        <w:rPr>
          <w:rFonts w:ascii="Arial" w:cs="Arial" w:eastAsia="Arial" w:hAnsi="Arial"/>
          <w:sz w:val="20"/>
          <w:szCs w:val="20"/>
          <w:color w:val="auto"/>
        </w:rPr>
      </w:pPr>
    </w:p>
    <w:p>
      <w:pPr>
        <w:ind w:left="500" w:right="80" w:hanging="492"/>
        <w:spacing w:after="0" w:line="265" w:lineRule="auto"/>
        <w:tabs>
          <w:tab w:leader="none" w:pos="360"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Rights of a Shareowner. </w:t>
      </w:r>
      <w:r>
        <w:rPr>
          <w:rFonts w:ascii="Arial" w:cs="Arial" w:eastAsia="Arial" w:hAnsi="Arial"/>
          <w:sz w:val="20"/>
          <w:szCs w:val="20"/>
          <w:color w:val="auto"/>
        </w:rPr>
        <w:t>Except as provided in this Section 6 and the applicable Award Agreement, the applicable Participant shall have,</w:t>
      </w:r>
      <w:r>
        <w:rPr>
          <w:rFonts w:ascii="Arial" w:cs="Arial" w:eastAsia="Arial" w:hAnsi="Arial"/>
          <w:sz w:val="20"/>
          <w:szCs w:val="20"/>
          <w:i w:val="1"/>
          <w:iCs w:val="1"/>
          <w:color w:val="auto"/>
        </w:rPr>
        <w:t xml:space="preserve"> </w:t>
      </w:r>
      <w:r>
        <w:rPr>
          <w:rFonts w:ascii="Arial" w:cs="Arial" w:eastAsia="Arial" w:hAnsi="Arial"/>
          <w:sz w:val="20"/>
          <w:szCs w:val="20"/>
          <w:color w:val="auto"/>
        </w:rPr>
        <w:t>with respect to the Shares of Restricted Stock, all of the rights of a shareowner of the Corporation holding the class or series of Common Stock that is the subject of the Restricted Stock, including, if applicable, the right to vote the Shares and the right to receive any dividends (subject to Section 14(e)).</w:t>
      </w:r>
    </w:p>
    <w:p>
      <w:pPr>
        <w:spacing w:after="0" w:line="185" w:lineRule="exact"/>
        <w:rPr>
          <w:rFonts w:ascii="Arial" w:cs="Arial" w:eastAsia="Arial" w:hAnsi="Arial"/>
          <w:sz w:val="20"/>
          <w:szCs w:val="20"/>
          <w:color w:val="auto"/>
        </w:rPr>
      </w:pPr>
    </w:p>
    <w:p>
      <w:pPr>
        <w:ind w:left="500" w:right="640" w:hanging="492"/>
        <w:spacing w:after="0" w:line="274" w:lineRule="auto"/>
        <w:tabs>
          <w:tab w:leader="none" w:pos="343" w:val="left"/>
        </w:tabs>
        <w:numPr>
          <w:ilvl w:val="0"/>
          <w:numId w:val="70"/>
        </w:numPr>
        <w:rPr>
          <w:rFonts w:ascii="Arial" w:cs="Arial" w:eastAsia="Arial" w:hAnsi="Arial"/>
          <w:sz w:val="20"/>
          <w:szCs w:val="20"/>
          <w:color w:val="auto"/>
        </w:rPr>
      </w:pPr>
      <w:r>
        <w:rPr>
          <w:rFonts w:ascii="Arial" w:cs="Arial" w:eastAsia="Arial" w:hAnsi="Arial"/>
          <w:sz w:val="20"/>
          <w:szCs w:val="20"/>
          <w:i w:val="1"/>
          <w:iCs w:val="1"/>
          <w:color w:val="auto"/>
        </w:rPr>
        <w:t xml:space="preserve">Termination of Service. </w:t>
      </w:r>
      <w:r>
        <w:rPr>
          <w:rFonts w:ascii="Arial" w:cs="Arial" w:eastAsia="Arial" w:hAnsi="Arial"/>
          <w:sz w:val="20"/>
          <w:szCs w:val="20"/>
          <w:color w:val="auto"/>
        </w:rPr>
        <w:t>The effect of a Participant’s Termination of Service on his or her Restricted Stock shall be set forth in the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Award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RESTRICTED STOCK UNITS</w:t>
      </w:r>
    </w:p>
    <w:p>
      <w:pPr>
        <w:spacing w:after="0" w:line="235" w:lineRule="exact"/>
        <w:rPr>
          <w:sz w:val="20"/>
          <w:szCs w:val="20"/>
          <w:color w:val="auto"/>
        </w:rPr>
      </w:pPr>
    </w:p>
    <w:p>
      <w:pPr>
        <w:ind w:left="500" w:right="60" w:hanging="492"/>
        <w:spacing w:after="0" w:line="271" w:lineRule="auto"/>
        <w:tabs>
          <w:tab w:leader="none" w:pos="349"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Nature of Awards. </w:t>
      </w:r>
      <w:r>
        <w:rPr>
          <w:rFonts w:ascii="Arial" w:cs="Arial" w:eastAsia="Arial" w:hAnsi="Arial"/>
          <w:sz w:val="20"/>
          <w:szCs w:val="20"/>
          <w:color w:val="auto"/>
        </w:rPr>
        <w:t>Restricted stock units and deferred stock units (together, “Restricted Stock Units”) are Awards denominated in Shares</w:t>
      </w:r>
      <w:r>
        <w:rPr>
          <w:rFonts w:ascii="Arial" w:cs="Arial" w:eastAsia="Arial" w:hAnsi="Arial"/>
          <w:sz w:val="20"/>
          <w:szCs w:val="20"/>
          <w:i w:val="1"/>
          <w:iCs w:val="1"/>
          <w:color w:val="auto"/>
        </w:rPr>
        <w:t xml:space="preserve"> </w:t>
      </w:r>
      <w:r>
        <w:rPr>
          <w:rFonts w:ascii="Arial" w:cs="Arial" w:eastAsia="Arial" w:hAnsi="Arial"/>
          <w:sz w:val="20"/>
          <w:szCs w:val="20"/>
          <w:color w:val="auto"/>
        </w:rPr>
        <w:t>that will be settled, subject to the terms and conditions of the Restricted Stock Units, in a specified number of Shares or an amount of cash equal to the Fair Market Value of a specified number of Shares.</w:t>
      </w:r>
    </w:p>
    <w:p>
      <w:pPr>
        <w:spacing w:after="0" w:line="179" w:lineRule="exact"/>
        <w:rPr>
          <w:rFonts w:ascii="Arial" w:cs="Arial" w:eastAsia="Arial" w:hAnsi="Arial"/>
          <w:sz w:val="20"/>
          <w:szCs w:val="20"/>
          <w:color w:val="auto"/>
        </w:rPr>
      </w:pPr>
    </w:p>
    <w:p>
      <w:pPr>
        <w:ind w:left="500" w:right="40" w:hanging="492"/>
        <w:spacing w:after="0" w:line="271" w:lineRule="auto"/>
        <w:tabs>
          <w:tab w:leader="none" w:pos="360" w:val="left"/>
        </w:tabs>
        <w:numPr>
          <w:ilvl w:val="0"/>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Terms and Conditions. </w:t>
      </w:r>
      <w:r>
        <w:rPr>
          <w:rFonts w:ascii="Arial" w:cs="Arial" w:eastAsia="Arial" w:hAnsi="Arial"/>
          <w:sz w:val="20"/>
          <w:szCs w:val="20"/>
          <w:color w:val="auto"/>
        </w:rPr>
        <w:t>Restricted Stock Units shall be subject to the following terms and conditions and such other terms and conditions</w:t>
      </w:r>
      <w:r>
        <w:rPr>
          <w:rFonts w:ascii="Arial" w:cs="Arial" w:eastAsia="Arial" w:hAnsi="Arial"/>
          <w:sz w:val="20"/>
          <w:szCs w:val="20"/>
          <w:i w:val="1"/>
          <w:iCs w:val="1"/>
          <w:color w:val="auto"/>
        </w:rPr>
        <w:t xml:space="preserve"> </w:t>
      </w:r>
      <w:r>
        <w:rPr>
          <w:rFonts w:ascii="Arial" w:cs="Arial" w:eastAsia="Arial" w:hAnsi="Arial"/>
          <w:sz w:val="20"/>
          <w:szCs w:val="20"/>
          <w:color w:val="auto"/>
        </w:rPr>
        <w:t>as are set forth in the applicable Award Agreement (including the vesting or forfeiture provisions applicable upon a Termination of Service):</w:t>
      </w:r>
    </w:p>
    <w:p>
      <w:pPr>
        <w:sectPr>
          <w:pgSz w:w="11900" w:h="16838" w:orient="portrait"/>
          <w:cols w:equalWidth="0" w:num="1">
            <w:col w:w="11200"/>
          </w:cols>
          <w:pgMar w:left="320" w:top="1432" w:right="379" w:bottom="1440" w:gutter="0" w:footer="0" w:header="0"/>
        </w:sectPr>
      </w:pPr>
    </w:p>
    <w:bookmarkStart w:id="91" w:name="page92"/>
    <w:bookmarkEnd w:id="91"/>
    <w:p>
      <w:pPr>
        <w:ind w:left="980" w:hanging="486"/>
        <w:spacing w:after="0" w:line="277" w:lineRule="auto"/>
        <w:tabs>
          <w:tab w:leader="none" w:pos="796"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the attainment of Performance Goals and the continued service of the applicable Participant. The conditions for grant or vesting and the other provisions of Restricted Stock Units (including any applicable Performance Goals) need not be the same with respect to each recipient. An Award of Restricted Stock Units shall be settled as and when the Restricted Stock Units vest, at a later time specified by the Committee in the applicable Award Agreement, or, if the Committee so permits, in accordance with an election of the Participant.</w:t>
      </w:r>
    </w:p>
    <w:p>
      <w:pPr>
        <w:spacing w:after="0" w:line="178" w:lineRule="exact"/>
        <w:rPr>
          <w:rFonts w:ascii="Arial" w:cs="Arial" w:eastAsia="Arial" w:hAnsi="Arial"/>
          <w:sz w:val="19"/>
          <w:szCs w:val="19"/>
          <w:color w:val="auto"/>
        </w:rPr>
      </w:pPr>
    </w:p>
    <w:p>
      <w:pPr>
        <w:ind w:left="980" w:right="520" w:hanging="486"/>
        <w:spacing w:after="0" w:line="271" w:lineRule="auto"/>
        <w:tabs>
          <w:tab w:leader="none" w:pos="851"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Award Agreement for Restricted Stock Units shall specify whether, to what extent and on what terms and conditions the applicable Participant shall be entitled to receive payments corresponding to the dividends payable on the Common Stock (subject to Section 14(e)).</w:t>
      </w:r>
    </w:p>
    <w:p>
      <w:pPr>
        <w:spacing w:after="0" w:line="179" w:lineRule="exact"/>
        <w:rPr>
          <w:rFonts w:ascii="Arial" w:cs="Arial" w:eastAsia="Arial" w:hAnsi="Arial"/>
          <w:sz w:val="20"/>
          <w:szCs w:val="20"/>
          <w:color w:val="auto"/>
        </w:rPr>
      </w:pPr>
    </w:p>
    <w:p>
      <w:pPr>
        <w:ind w:left="660" w:right="200" w:hanging="652"/>
        <w:spacing w:after="0" w:line="271" w:lineRule="auto"/>
        <w:tabs>
          <w:tab w:leader="none" w:pos="347"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 xml:space="preserve">Rights of a Shareowner. </w:t>
      </w:r>
      <w:r>
        <w:rPr>
          <w:rFonts w:ascii="Arial" w:cs="Arial" w:eastAsia="Arial" w:hAnsi="Arial"/>
          <w:sz w:val="20"/>
          <w:szCs w:val="20"/>
          <w:color w:val="auto"/>
        </w:rPr>
        <w:t>A Participant to whom Restricted Stock Units are awarded shall have no rights as a shareowner with respect to</w:t>
      </w:r>
      <w:r>
        <w:rPr>
          <w:rFonts w:ascii="Arial" w:cs="Arial" w:eastAsia="Arial" w:hAnsi="Arial"/>
          <w:sz w:val="20"/>
          <w:szCs w:val="20"/>
          <w:i w:val="1"/>
          <w:iCs w:val="1"/>
          <w:color w:val="auto"/>
        </w:rPr>
        <w:t xml:space="preserve"> </w:t>
      </w:r>
      <w:r>
        <w:rPr>
          <w:rFonts w:ascii="Arial" w:cs="Arial" w:eastAsia="Arial" w:hAnsi="Arial"/>
          <w:sz w:val="20"/>
          <w:szCs w:val="20"/>
          <w:color w:val="auto"/>
        </w:rPr>
        <w:t>the Shares represented by the Restricted Stock Units unless and until Shares are actually delivered to the Participant in settlement thereof.</w:t>
      </w:r>
    </w:p>
    <w:p>
      <w:pPr>
        <w:spacing w:after="0" w:line="179" w:lineRule="exact"/>
        <w:rPr>
          <w:rFonts w:ascii="Arial" w:cs="Arial" w:eastAsia="Arial" w:hAnsi="Arial"/>
          <w:sz w:val="20"/>
          <w:szCs w:val="20"/>
          <w:color w:val="auto"/>
        </w:rPr>
      </w:pPr>
    </w:p>
    <w:p>
      <w:pPr>
        <w:ind w:left="660" w:right="200" w:hanging="652"/>
        <w:spacing w:after="0" w:line="288" w:lineRule="auto"/>
        <w:tabs>
          <w:tab w:leader="none" w:pos="358" w:val="left"/>
        </w:tabs>
        <w:numPr>
          <w:ilvl w:val="0"/>
          <w:numId w:val="73"/>
        </w:numPr>
        <w:rPr>
          <w:rFonts w:ascii="Arial" w:cs="Arial" w:eastAsia="Arial" w:hAnsi="Arial"/>
          <w:sz w:val="20"/>
          <w:szCs w:val="20"/>
          <w:color w:val="auto"/>
        </w:rPr>
      </w:pPr>
      <w:r>
        <w:rPr>
          <w:rFonts w:ascii="Arial" w:cs="Arial" w:eastAsia="Arial" w:hAnsi="Arial"/>
          <w:sz w:val="20"/>
          <w:szCs w:val="20"/>
          <w:i w:val="1"/>
          <w:iCs w:val="1"/>
          <w:color w:val="auto"/>
        </w:rPr>
        <w:t xml:space="preserve">Termination of Service. </w:t>
      </w:r>
      <w:r>
        <w:rPr>
          <w:rFonts w:ascii="Arial" w:cs="Arial" w:eastAsia="Arial" w:hAnsi="Arial"/>
          <w:sz w:val="20"/>
          <w:szCs w:val="20"/>
          <w:color w:val="auto"/>
        </w:rPr>
        <w:t>The effect of a Participant’s Termination of Service on his or her Restricted Stock Units shall be set forth in the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Award Agreement.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8: OTHER STOCK-BASED AWARDS</w:t>
      </w:r>
    </w:p>
    <w:p>
      <w:pPr>
        <w:spacing w:after="0" w:line="235"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The Committee may grant equity-based or equity-related awards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 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 CASH AWARDS</w:t>
      </w:r>
    </w:p>
    <w:p>
      <w:pPr>
        <w:spacing w:after="0" w:line="235" w:lineRule="exact"/>
        <w:rPr>
          <w:sz w:val="20"/>
          <w:szCs w:val="20"/>
          <w:color w:val="auto"/>
        </w:rPr>
      </w:pPr>
    </w:p>
    <w:p>
      <w:pPr>
        <w:ind w:right="640"/>
        <w:spacing w:after="0" w:line="288" w:lineRule="auto"/>
        <w:rPr>
          <w:sz w:val="20"/>
          <w:szCs w:val="20"/>
          <w:color w:val="auto"/>
        </w:rPr>
      </w:pPr>
      <w:r>
        <w:rPr>
          <w:rFonts w:ascii="Arial" w:cs="Arial" w:eastAsia="Arial" w:hAnsi="Arial"/>
          <w:sz w:val="20"/>
          <w:szCs w:val="20"/>
          <w:color w:val="auto"/>
        </w:rPr>
        <w:t>The Committee may grant awards that are denominated and payable in cash in such amounts and subject to such terms and conditions consistent with the terms of this Plan as the Committee shall determine.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10: CHANGE-IN-CONTROL PROVISIONS</w:t>
      </w:r>
    </w:p>
    <w:p>
      <w:pPr>
        <w:spacing w:after="0" w:line="235" w:lineRule="exact"/>
        <w:rPr>
          <w:sz w:val="20"/>
          <w:szCs w:val="20"/>
          <w:color w:val="auto"/>
        </w:rPr>
      </w:pPr>
    </w:p>
    <w:p>
      <w:pPr>
        <w:ind w:left="660" w:right="340" w:hanging="652"/>
        <w:spacing w:after="0" w:line="316" w:lineRule="auto"/>
        <w:tabs>
          <w:tab w:leader="none" w:pos="347"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The provisions of this Section 10 shall, subject to Section 3(e), apply notwithstanding any other provision of this Plan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contrary, except to the extent the Committee specifically provides otherwise in an Award Agreement.</w:t>
      </w:r>
    </w:p>
    <w:p>
      <w:pPr>
        <w:spacing w:after="0" w:line="140" w:lineRule="exact"/>
        <w:rPr>
          <w:rFonts w:ascii="Arial" w:cs="Arial" w:eastAsia="Arial" w:hAnsi="Arial"/>
          <w:sz w:val="19"/>
          <w:szCs w:val="19"/>
          <w:color w:val="auto"/>
        </w:rPr>
      </w:pPr>
    </w:p>
    <w:p>
      <w:pPr>
        <w:ind w:left="660" w:right="20" w:hanging="652"/>
        <w:spacing w:after="0" w:line="303" w:lineRule="auto"/>
        <w:tabs>
          <w:tab w:leader="none" w:pos="358"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Impact of Change-in-Control. </w:t>
      </w:r>
      <w:r>
        <w:rPr>
          <w:rFonts w:ascii="Arial" w:cs="Arial" w:eastAsia="Arial" w:hAnsi="Arial"/>
          <w:sz w:val="18"/>
          <w:szCs w:val="18"/>
          <w:color w:val="auto"/>
        </w:rPr>
        <w:t>Upon the occurrence of a Change-in-Control: (i) all then-outstanding Stock Appreciation Rights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shall become fully vested and exercisable, all Full-Value Awards (other than performance-based Awards), and all Cash Awards (other than performance-based Awards) shall vest in full, be free of restrictions, and be deemed to be earned and payable in an amount equal to the full value of such Award, except in each case to the extent that another Award meeting the requirements</w:t>
      </w:r>
    </w:p>
    <w:p>
      <w:pPr>
        <w:sectPr>
          <w:pgSz w:w="11900" w:h="16838" w:orient="portrait"/>
          <w:cols w:equalWidth="0" w:num="1">
            <w:col w:w="11240"/>
          </w:cols>
          <w:pgMar w:left="320" w:top="1432" w:right="339" w:bottom="1440" w:gutter="0" w:footer="0" w:header="0"/>
        </w:sectPr>
      </w:pPr>
    </w:p>
    <w:bookmarkStart w:id="92" w:name="page93"/>
    <w:bookmarkEnd w:id="92"/>
    <w:p>
      <w:pPr>
        <w:ind w:left="652" w:right="140"/>
        <w:spacing w:after="0" w:line="337" w:lineRule="auto"/>
        <w:rPr>
          <w:sz w:val="20"/>
          <w:szCs w:val="20"/>
          <w:color w:val="auto"/>
        </w:rPr>
      </w:pPr>
      <w:r>
        <w:rPr>
          <w:rFonts w:ascii="Arial" w:cs="Arial" w:eastAsia="Arial" w:hAnsi="Arial"/>
          <w:sz w:val="16"/>
          <w:szCs w:val="16"/>
          <w:color w:val="auto"/>
        </w:rPr>
        <w:t>of Section 10(c) (any award meeting the requirements of Section 10(c), a “Replacement Award”) is provided to the Participant pursuant to Section 3(e) to replace such Award (any award intended to be replaced by a Replacement Award, a “Replaced Award”), 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w:t>
      </w:r>
    </w:p>
    <w:p>
      <w:pPr>
        <w:spacing w:after="0" w:line="136" w:lineRule="exact"/>
        <w:rPr>
          <w:sz w:val="20"/>
          <w:szCs w:val="20"/>
          <w:color w:val="auto"/>
        </w:rPr>
      </w:pPr>
    </w:p>
    <w:p>
      <w:pPr>
        <w:ind w:left="652" w:hanging="652"/>
        <w:spacing w:after="0" w:line="290" w:lineRule="auto"/>
        <w:tabs>
          <w:tab w:leader="none" w:pos="339"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Replacement Awards. </w:t>
      </w:r>
      <w:r>
        <w:rPr>
          <w:rFonts w:ascii="Arial" w:cs="Arial" w:eastAsia="Arial" w:hAnsi="Arial"/>
          <w:sz w:val="18"/>
          <w:szCs w:val="18"/>
          <w:color w:val="auto"/>
        </w:rPr>
        <w:t>An Award shall meet the conditions of this Section 10(c) (and hence qualify as a Replacement Award) if: (i) it is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type as the Replaced Award (except that for any Replaced Award that is performance-based, the Replacement Award shall be subject solely to time-based vesting for the remainder of the applicable performance period (or such shorter period as determined by the Committee) and the applicable Performance Goals shall be deemed to be achieved at the greater of: (x) the applicable target level; and (y) the level of achievement as determined by the Committee taking into account performance through the latest date preceding the Change-in-Control as to which performance can, as a practical matter, be determined (but not later than the end of the applicable performance period)); (ii) it has a value equal to the value of the Replaced Award as of the date of the Change-in-Control, as determined by the Committee in its sole discretion consistent with Section 3(e); (iii) the underlying Replaced Award was an equity-based award, it relates to publicly traded equity securities of the Corporation or the entity surviving the Corporation following the Change-in-Control; (iv) it contains terms relating to time-based vesting (including with respect to a Termination of Service) that are substantially identical to those of the Replaced Award; and (v) its other terms and conditions are not less favorable to the Participant than the terms and conditions of the Replaced Award (including the provisions that would apply in the event of a subsequent Change-in-Control) as of the date of the Change-in-Control.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Change-in-Control. The determination whether the conditions of this Section 10(c) are satisfied shall be made by the Committee, as constituted immediately before the Change-in-Control, in its sole discretion.</w:t>
      </w:r>
    </w:p>
    <w:p>
      <w:pPr>
        <w:spacing w:after="0" w:line="176" w:lineRule="exact"/>
        <w:rPr>
          <w:rFonts w:ascii="Arial" w:cs="Arial" w:eastAsia="Arial" w:hAnsi="Arial"/>
          <w:sz w:val="18"/>
          <w:szCs w:val="18"/>
          <w:color w:val="auto"/>
        </w:rPr>
      </w:pPr>
    </w:p>
    <w:p>
      <w:pPr>
        <w:ind w:left="652" w:hanging="652"/>
        <w:spacing w:after="0" w:line="293" w:lineRule="auto"/>
        <w:tabs>
          <w:tab w:leader="none" w:pos="35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w:t>
      </w:r>
      <w:r>
        <w:rPr>
          <w:rFonts w:ascii="Arial" w:cs="Arial" w:eastAsia="Arial" w:hAnsi="Arial"/>
          <w:sz w:val="18"/>
          <w:szCs w:val="18"/>
          <w:color w:val="auto"/>
        </w:rPr>
        <w:t>Notwithstanding any other provision of this Plan to the contrary, and unless otherwise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set forth in the applicable Award Agreement, upon a Termination of Service of a Participant by the Corporation other than for Cause or by the Participant for Good Reason within 24 months (or such longer period as is specified in the applicable Award Agreement) following a Change-in-Control: (i) all Replacement Awards held by such Participant shall vest in full and be free of restrictions, and (ii) unless otherwise provided in the applicable Award Agreement, notwithstanding any other provision of this Plan to the contrary, any Stock Appreciation Right or Stock Option held by the Participant as of the date of the Change-in-Control that remains outstanding as of the date of such Termination of Service may thereafter be exercised until the expiration of the stated full Term of such Stock Appreciation Right or Nonqualified Stock Option.</w:t>
      </w:r>
    </w:p>
    <w:p>
      <w:pPr>
        <w:spacing w:after="0" w:line="178" w:lineRule="exact"/>
        <w:rPr>
          <w:rFonts w:ascii="Arial" w:cs="Arial" w:eastAsia="Arial" w:hAnsi="Arial"/>
          <w:sz w:val="18"/>
          <w:szCs w:val="18"/>
          <w:color w:val="auto"/>
        </w:rPr>
      </w:pPr>
    </w:p>
    <w:p>
      <w:pPr>
        <w:ind w:left="652" w:right="360" w:hanging="652"/>
        <w:spacing w:after="0" w:line="274" w:lineRule="auto"/>
        <w:tabs>
          <w:tab w:leader="none" w:pos="339" w:val="left"/>
        </w:tabs>
        <w:numPr>
          <w:ilvl w:val="0"/>
          <w:numId w:val="75"/>
        </w:numPr>
        <w:rPr>
          <w:rFonts w:ascii="Arial" w:cs="Arial" w:eastAsia="Arial" w:hAnsi="Arial"/>
          <w:sz w:val="20"/>
          <w:szCs w:val="20"/>
          <w:color w:val="auto"/>
        </w:rPr>
      </w:pPr>
      <w:r>
        <w:rPr>
          <w:rFonts w:ascii="Arial" w:cs="Arial" w:eastAsia="Arial" w:hAnsi="Arial"/>
          <w:sz w:val="20"/>
          <w:szCs w:val="20"/>
          <w:i w:val="1"/>
          <w:iCs w:val="1"/>
          <w:color w:val="auto"/>
        </w:rPr>
        <w:t xml:space="preserve">Definition of Change-in-Control. </w:t>
      </w:r>
      <w:r>
        <w:rPr>
          <w:rFonts w:ascii="Arial" w:cs="Arial" w:eastAsia="Arial" w:hAnsi="Arial"/>
          <w:sz w:val="20"/>
          <w:szCs w:val="20"/>
          <w:color w:val="auto"/>
        </w:rPr>
        <w:t>For purposes of this Plan, a “Change-in-Control” shall mean the happening of any of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events:</w:t>
      </w:r>
    </w:p>
    <w:p>
      <w:pPr>
        <w:sectPr>
          <w:pgSz w:w="11900" w:h="16838" w:orient="portrait"/>
          <w:cols w:equalWidth="0" w:num="1">
            <w:col w:w="11192"/>
          </w:cols>
          <w:pgMar w:left="328" w:top="1432" w:right="379" w:bottom="1440" w:gutter="0" w:footer="0" w:header="0"/>
        </w:sectPr>
      </w:pPr>
    </w:p>
    <w:bookmarkStart w:id="93" w:name="page94"/>
    <w:bookmarkEnd w:id="93"/>
    <w:p>
      <w:pPr>
        <w:ind w:left="644" w:right="20" w:hanging="644"/>
        <w:spacing w:after="0" w:line="293" w:lineRule="auto"/>
        <w:tabs>
          <w:tab w:leader="none" w:pos="2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acquisition by any individual, entity or group (within the meaning of Section 13(d)(3) or 14(d)(2) of the Exchange Act) (a “Person”) of beneficial ownership (within the meaning of Rule 13d-3 promulgated under the Exchange Act) of 20% or more of either: (1) the then outstanding shares of common stock of the Corporation (the “Outstanding Corporation Common Stock”); or (2) the combined voting power of the then outstanding voting securities of the Corporation entitled to vote generally in the election of directors (the “Outstanding Corporation Voting Securities”); provided, however, that for purposes of this subsection (i), the following acquisitions shall not constitute a Change-in-Control: (1) any acquisition directly from the Corporation, (2) any acquisition by the Corporation, (3) any acquisition by any employee benefit plan (or related trust) sponsored or maintained by the Corporation or any entity controlled by the Corporation, or (4) any acquisition by any entity pursuant to a transaction that complies with clauses (1), (2) and (3) of subsection (iii) of this Section 10(e); or</w:t>
      </w:r>
    </w:p>
    <w:p>
      <w:pPr>
        <w:spacing w:after="0" w:line="169" w:lineRule="exact"/>
        <w:rPr>
          <w:rFonts w:ascii="Arial" w:cs="Arial" w:eastAsia="Arial" w:hAnsi="Arial"/>
          <w:sz w:val="18"/>
          <w:szCs w:val="18"/>
          <w:color w:val="auto"/>
        </w:rPr>
      </w:pPr>
    </w:p>
    <w:p>
      <w:pPr>
        <w:ind w:left="644" w:right="20" w:hanging="644"/>
        <w:spacing w:after="0" w:line="293" w:lineRule="auto"/>
        <w:tabs>
          <w:tab w:leader="none" w:pos="3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the individuals who, as of the Effective Date, constitute the Board (the “Incumbent Board”) cease for any reason to constitute at least a majority of the Board; provided, however, that, for purposes of this Section 10(e), any individual who becomes a member of the Board subsequent to the Effective Date whose election, or nomination for election by the Corporation’s shareowners, was approved by a vote of at least two-thirds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69" w:lineRule="exact"/>
        <w:rPr>
          <w:rFonts w:ascii="Arial" w:cs="Arial" w:eastAsia="Arial" w:hAnsi="Arial"/>
          <w:sz w:val="18"/>
          <w:szCs w:val="18"/>
          <w:color w:val="auto"/>
        </w:rPr>
      </w:pPr>
    </w:p>
    <w:p>
      <w:pPr>
        <w:ind w:left="644" w:hanging="644"/>
        <w:spacing w:after="0" w:line="289" w:lineRule="auto"/>
        <w:tabs>
          <w:tab w:leader="none" w:pos="4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consummation of a reorganization, merger, statutory share exchange or consolidation or similar transaction involving the Corporation or any of its subsidiaries or sale or other disposition of all or substantially all of the assets of the Corporation, or the acquisition of assets or securities of another entity by the Corporation or any of its subsidiaries (a “Business Combination”), in each case, unless, following such Business Combination, (1)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an entity that,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(2) no Person (excluding any entity resulting from such Business Combination or any employee benefit plan (or related trust) of the Corporation or such entity resulting from such Business Combination) beneficially owns, directly or indirectly, 20% or more of, respectively, the then outstanding shares of common stock (or, for a noncorporate entity, equivalent securities) of the entity resulting from such Business Combination or the combined voting power of the then</w:t>
      </w:r>
    </w:p>
    <w:p>
      <w:pPr>
        <w:sectPr>
          <w:pgSz w:w="11900" w:h="16838" w:orient="portrait"/>
          <w:cols w:equalWidth="0" w:num="1">
            <w:col w:w="10564"/>
          </w:cols>
          <w:pgMar w:left="976" w:top="1432" w:right="359" w:bottom="1440" w:gutter="0" w:footer="0" w:header="0"/>
        </w:sectPr>
      </w:pPr>
    </w:p>
    <w:bookmarkStart w:id="94" w:name="page95"/>
    <w:bookmarkEnd w:id="94"/>
    <w:p>
      <w:pPr>
        <w:ind w:left="1300" w:right="220"/>
        <w:spacing w:after="0" w:line="303" w:lineRule="auto"/>
        <w:rPr>
          <w:sz w:val="20"/>
          <w:szCs w:val="20"/>
          <w:color w:val="auto"/>
        </w:rPr>
      </w:pPr>
      <w:r>
        <w:rPr>
          <w:rFonts w:ascii="Arial" w:cs="Arial" w:eastAsia="Arial" w:hAnsi="Arial"/>
          <w:sz w:val="18"/>
          <w:szCs w:val="18"/>
          <w:color w:val="auto"/>
        </w:rPr>
        <w:t>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iv.  The approval by the shareholders of the Corporation of a complete liquidation or dissolution of the Corporation.</w:t>
      </w:r>
    </w:p>
    <w:p>
      <w:pPr>
        <w:spacing w:after="0" w:line="242" w:lineRule="exact"/>
        <w:rPr>
          <w:sz w:val="20"/>
          <w:szCs w:val="20"/>
          <w:color w:val="auto"/>
        </w:rPr>
      </w:pPr>
    </w:p>
    <w:p>
      <w:pPr>
        <w:ind w:left="660" w:right="140" w:hanging="652"/>
        <w:spacing w:after="0" w:line="295" w:lineRule="auto"/>
        <w:tabs>
          <w:tab w:leader="none" w:pos="3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Notwithstanding any other provision of this Plan, any Award Agreement or any Individual Agreement, for any Award that constitutes nonqualified deferred compensation within the meaning of Section 409A of the Code, a Change-in-Control shall not constitute a settlement or distribution event with respect to such Award, or an event that otherwise changes the timing of settlement or distribution of such Award, unless the Change-in-Control also constitutes an event described in Section 409A(a) (2) (v) of the Code and the regulations promulgated thereunder (a “Section 409A CIC”); provided, however, that whether or not a Change-in-Control is a Section 409A CIC, such Change-in-Control shall result in the accelerated vesting of such Award to the extent provided by the Award Agreement, this Plan, any Individual Agreement or otherwise by the Committee.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11: SECTION 16(B); SECTION 409A</w:t>
      </w:r>
    </w:p>
    <w:p>
      <w:pPr>
        <w:spacing w:after="0" w:line="235" w:lineRule="exact"/>
        <w:rPr>
          <w:sz w:val="20"/>
          <w:szCs w:val="20"/>
          <w:color w:val="auto"/>
        </w:rPr>
      </w:pPr>
    </w:p>
    <w:p>
      <w:pPr>
        <w:ind w:left="660" w:right="140" w:hanging="652"/>
        <w:spacing w:after="0" w:line="263" w:lineRule="auto"/>
        <w:tabs>
          <w:tab w:leader="none" w:pos="347"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provisions of this Plan are intended to ensure that no transaction under this Plan is subject to (and all such transactions will be exempt from) the short-swing profit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88" w:lineRule="exact"/>
        <w:rPr>
          <w:rFonts w:ascii="Arial" w:cs="Arial" w:eastAsia="Arial" w:hAnsi="Arial"/>
          <w:sz w:val="20"/>
          <w:szCs w:val="20"/>
          <w:color w:val="auto"/>
        </w:rPr>
      </w:pPr>
    </w:p>
    <w:p>
      <w:pPr>
        <w:ind w:left="660" w:hanging="652"/>
        <w:spacing w:after="0" w:line="291" w:lineRule="auto"/>
        <w:tabs>
          <w:tab w:leader="none" w:pos="3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Plan and the Awards granted hereunder are intended to comply with the requirements of Section 409A of the Code or an exemption or exclusion therefrom and, with respect to amounts that are subject to Section 409A of the Code, it is intended that this Plan be administered and interpreted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Corporation), amounts that constitute “nonqualified deferred compensation” subject to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ectPr>
          <w:pgSz w:w="11900" w:h="16838" w:orient="portrait"/>
          <w:cols w:equalWidth="0" w:num="1">
            <w:col w:w="11240"/>
          </w:cols>
          <w:pgMar w:left="320" w:top="1432" w:right="339" w:bottom="1440" w:gutter="0" w:footer="0" w:header="0"/>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SECTION 12: TERM, AMENDMENT AND TERMINATION</w:t>
      </w:r>
    </w:p>
    <w:p>
      <w:pPr>
        <w:spacing w:after="0" w:line="235" w:lineRule="exact"/>
        <w:rPr>
          <w:sz w:val="20"/>
          <w:szCs w:val="20"/>
          <w:color w:val="auto"/>
        </w:rPr>
      </w:pPr>
    </w:p>
    <w:p>
      <w:pPr>
        <w:ind w:left="660" w:right="460" w:hanging="652"/>
        <w:spacing w:after="0" w:line="288" w:lineRule="auto"/>
        <w:tabs>
          <w:tab w:leader="none" w:pos="347" w:val="left"/>
        </w:tabs>
        <w:numPr>
          <w:ilvl w:val="0"/>
          <w:numId w:val="79"/>
        </w:numPr>
        <w:rPr>
          <w:rFonts w:ascii="Arial" w:cs="Arial" w:eastAsia="Arial" w:hAnsi="Arial"/>
          <w:sz w:val="20"/>
          <w:szCs w:val="20"/>
          <w:color w:val="auto"/>
        </w:rPr>
      </w:pPr>
      <w:r>
        <w:rPr>
          <w:rFonts w:ascii="Arial" w:cs="Arial" w:eastAsia="Arial" w:hAnsi="Arial"/>
          <w:sz w:val="20"/>
          <w:szCs w:val="20"/>
          <w:i w:val="1"/>
          <w:iCs w:val="1"/>
          <w:color w:val="auto"/>
        </w:rPr>
        <w:t xml:space="preserve">Effectiveness. </w:t>
      </w:r>
      <w:r>
        <w:rPr>
          <w:rFonts w:ascii="Arial" w:cs="Arial" w:eastAsia="Arial" w:hAnsi="Arial"/>
          <w:sz w:val="20"/>
          <w:szCs w:val="20"/>
          <w:color w:val="auto"/>
        </w:rPr>
        <w:t>This Plan was originally approved by the Board on February 5, 2018, subject to and contingent upon approval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Corporation’s shareowners.</w:t>
      </w:r>
    </w:p>
    <w:p>
      <w:pPr>
        <w:spacing w:after="0" w:line="163" w:lineRule="exact"/>
        <w:rPr>
          <w:rFonts w:ascii="Arial" w:cs="Arial" w:eastAsia="Arial" w:hAnsi="Arial"/>
          <w:sz w:val="20"/>
          <w:szCs w:val="20"/>
          <w:color w:val="auto"/>
        </w:rPr>
      </w:pPr>
    </w:p>
    <w:p>
      <w:pPr>
        <w:ind w:left="1060" w:right="320" w:hanging="404"/>
        <w:spacing w:after="0" w:line="274" w:lineRule="auto"/>
        <w:tabs>
          <w:tab w:leader="none" w:pos="957"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Plan was amended and restated effective April 26, 2021, (the “Effective Date”), following approval by the Corporation’s shareowners on such date.</w:t>
      </w:r>
    </w:p>
    <w:p>
      <w:pPr>
        <w:spacing w:after="0" w:line="190" w:lineRule="exact"/>
        <w:rPr>
          <w:rFonts w:ascii="Arial" w:cs="Arial" w:eastAsia="Arial" w:hAnsi="Arial"/>
          <w:sz w:val="20"/>
          <w:szCs w:val="20"/>
          <w:color w:val="auto"/>
        </w:rPr>
      </w:pPr>
    </w:p>
    <w:p>
      <w:pPr>
        <w:ind w:left="1060" w:hanging="404"/>
        <w:spacing w:after="0" w:line="303" w:lineRule="auto"/>
        <w:tabs>
          <w:tab w:leader="none" w:pos="101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Plan is hereby further amended and restated effective as of October 1, 2023, for the purposes of renaming the Plan, the RTX Corporation 2018 Long-Term Incentive Plan, changing all company references from ‘Raytheon Technologies Corporation’ to ‘RTX Corporation’, updating the name of the ‘Compensation Committee’ to the ‘Human Capital &amp; Compensation Committee’, clarifying that Awards are subject to all applicable clawback policies, and certain other administrative changes.</w:t>
      </w:r>
    </w:p>
    <w:p>
      <w:pPr>
        <w:spacing w:after="0" w:line="156" w:lineRule="exact"/>
        <w:rPr>
          <w:rFonts w:ascii="Arial" w:cs="Arial" w:eastAsia="Arial" w:hAnsi="Arial"/>
          <w:sz w:val="18"/>
          <w:szCs w:val="18"/>
          <w:color w:val="auto"/>
        </w:rPr>
      </w:pPr>
    </w:p>
    <w:p>
      <w:pPr>
        <w:ind w:left="660" w:right="360" w:hanging="652"/>
        <w:spacing w:after="0" w:line="274" w:lineRule="auto"/>
        <w:tabs>
          <w:tab w:leader="none" w:pos="358" w:val="left"/>
        </w:tabs>
        <w:numPr>
          <w:ilvl w:val="0"/>
          <w:numId w:val="79"/>
        </w:numPr>
        <w:rPr>
          <w:rFonts w:ascii="Arial" w:cs="Arial" w:eastAsia="Arial" w:hAnsi="Arial"/>
          <w:sz w:val="20"/>
          <w:szCs w:val="20"/>
          <w:color w:val="auto"/>
        </w:rPr>
      </w:pPr>
      <w:r>
        <w:rPr>
          <w:rFonts w:ascii="Arial" w:cs="Arial" w:eastAsia="Arial" w:hAnsi="Arial"/>
          <w:sz w:val="20"/>
          <w:szCs w:val="20"/>
          <w:i w:val="1"/>
          <w:iCs w:val="1"/>
          <w:color w:val="auto"/>
        </w:rPr>
        <w:t xml:space="preserve">Termination. </w:t>
      </w:r>
      <w:r>
        <w:rPr>
          <w:rFonts w:ascii="Arial" w:cs="Arial" w:eastAsia="Arial" w:hAnsi="Arial"/>
          <w:sz w:val="20"/>
          <w:szCs w:val="20"/>
          <w:color w:val="auto"/>
        </w:rPr>
        <w:t>This Plan will terminate on the tenth anniversary of the Effective Date. Awards outstanding as of such date shall not be</w:t>
      </w:r>
      <w:r>
        <w:rPr>
          <w:rFonts w:ascii="Arial" w:cs="Arial" w:eastAsia="Arial" w:hAnsi="Arial"/>
          <w:sz w:val="20"/>
          <w:szCs w:val="20"/>
          <w:i w:val="1"/>
          <w:iCs w:val="1"/>
          <w:color w:val="auto"/>
        </w:rPr>
        <w:t xml:space="preserve"> </w:t>
      </w:r>
      <w:r>
        <w:rPr>
          <w:rFonts w:ascii="Arial" w:cs="Arial" w:eastAsia="Arial" w:hAnsi="Arial"/>
          <w:sz w:val="20"/>
          <w:szCs w:val="20"/>
          <w:color w:val="auto"/>
        </w:rPr>
        <w:t>affected or impaired by the termination of this Plan.</w:t>
      </w:r>
    </w:p>
    <w:p>
      <w:pPr>
        <w:spacing w:after="0" w:line="190" w:lineRule="exact"/>
        <w:rPr>
          <w:rFonts w:ascii="Arial" w:cs="Arial" w:eastAsia="Arial" w:hAnsi="Arial"/>
          <w:sz w:val="20"/>
          <w:szCs w:val="20"/>
          <w:color w:val="auto"/>
        </w:rPr>
      </w:pPr>
    </w:p>
    <w:p>
      <w:pPr>
        <w:ind w:left="660" w:hanging="652"/>
        <w:spacing w:after="0" w:line="260" w:lineRule="auto"/>
        <w:tabs>
          <w:tab w:leader="none" w:pos="347" w:val="left"/>
        </w:tabs>
        <w:numPr>
          <w:ilvl w:val="0"/>
          <w:numId w:val="79"/>
        </w:numPr>
        <w:rPr>
          <w:rFonts w:ascii="Arial" w:cs="Arial" w:eastAsia="Arial" w:hAnsi="Arial"/>
          <w:sz w:val="20"/>
          <w:szCs w:val="20"/>
          <w:color w:val="auto"/>
        </w:rPr>
      </w:pPr>
      <w:r>
        <w:rPr>
          <w:rFonts w:ascii="Arial" w:cs="Arial" w:eastAsia="Arial" w:hAnsi="Arial"/>
          <w:sz w:val="20"/>
          <w:szCs w:val="20"/>
          <w:i w:val="1"/>
          <w:iCs w:val="1"/>
          <w:color w:val="auto"/>
        </w:rPr>
        <w:t xml:space="preserve">Amendment of Plan. </w:t>
      </w:r>
      <w:r>
        <w:rPr>
          <w:rFonts w:ascii="Arial" w:cs="Arial" w:eastAsia="Arial" w:hAnsi="Arial"/>
          <w:sz w:val="20"/>
          <w:szCs w:val="20"/>
          <w:color w:val="auto"/>
        </w:rPr>
        <w:t>The Board or the Committee may amend, alter, or discontinue this Plan, but no amendment, alteration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discontinuation shall be made that would materially impair the rights of the Participant with respect to a previously granted Award without such Participant’s consent, except such an amendment made to comply with applicable law, including Section 409A of the Code, Applicable Exchange listing standards, tax or accounting rules. In addition, no amendment shall be made without the approval of the Corporation’s shareowners to the extent such approval is required by applicable law or the listing standards of the Applicable Exchange.</w:t>
      </w:r>
    </w:p>
    <w:p>
      <w:pPr>
        <w:spacing w:after="0" w:line="206" w:lineRule="exact"/>
        <w:rPr>
          <w:rFonts w:ascii="Arial" w:cs="Arial" w:eastAsia="Arial" w:hAnsi="Arial"/>
          <w:sz w:val="20"/>
          <w:szCs w:val="20"/>
          <w:color w:val="auto"/>
        </w:rPr>
      </w:pPr>
    </w:p>
    <w:p>
      <w:pPr>
        <w:ind w:left="660" w:right="40" w:hanging="652"/>
        <w:spacing w:after="0" w:line="265" w:lineRule="auto"/>
        <w:tabs>
          <w:tab w:leader="none" w:pos="358" w:val="left"/>
        </w:tabs>
        <w:numPr>
          <w:ilvl w:val="0"/>
          <w:numId w:val="79"/>
        </w:numPr>
        <w:rPr>
          <w:rFonts w:ascii="Arial" w:cs="Arial" w:eastAsia="Arial" w:hAnsi="Arial"/>
          <w:sz w:val="20"/>
          <w:szCs w:val="20"/>
          <w:color w:val="auto"/>
        </w:rPr>
      </w:pPr>
      <w:r>
        <w:rPr>
          <w:rFonts w:ascii="Arial" w:cs="Arial" w:eastAsia="Arial" w:hAnsi="Arial"/>
          <w:sz w:val="20"/>
          <w:szCs w:val="20"/>
          <w:i w:val="1"/>
          <w:iCs w:val="1"/>
          <w:color w:val="auto"/>
        </w:rPr>
        <w:t xml:space="preserve">Amendment of Awards. </w:t>
      </w:r>
      <w:r>
        <w:rPr>
          <w:rFonts w:ascii="Arial" w:cs="Arial" w:eastAsia="Arial" w:hAnsi="Arial"/>
          <w:sz w:val="20"/>
          <w:szCs w:val="20"/>
          <w:color w:val="auto"/>
        </w:rPr>
        <w:t>Subject to Section 5(c), the Committee may unilaterally amend the terms of any Award theretofore granted, but</w:t>
      </w:r>
      <w:r>
        <w:rPr>
          <w:rFonts w:ascii="Arial" w:cs="Arial" w:eastAsia="Arial" w:hAnsi="Arial"/>
          <w:sz w:val="20"/>
          <w:szCs w:val="20"/>
          <w:i w:val="1"/>
          <w:iCs w:val="1"/>
          <w:color w:val="auto"/>
        </w:rPr>
        <w:t xml:space="preserve"> </w:t>
      </w:r>
      <w:r>
        <w:rPr>
          <w:rFonts w:ascii="Arial" w:cs="Arial" w:eastAsia="Arial" w:hAnsi="Arial"/>
          <w:sz w:val="20"/>
          <w:szCs w:val="20"/>
          <w:color w:val="auto"/>
        </w:rPr>
        <w:t>no such amendment shall, without the Participant’s consent, materially impair the rights of any Participant with respect to an Award, except such an amendment made to cause this Plan or Award to comply with applicable law, including Section 409A of the Code, Applicable Exchange listing standards, tax or accounting rules.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13: UNFUNDED STATUS OF PLAN</w:t>
      </w:r>
    </w:p>
    <w:p>
      <w:pPr>
        <w:spacing w:after="0" w:line="235"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Neither the Corporation nor the Committee shall have any obligation to segregate assets or establish a trust or other arrangements to meet the obligations created under the Plan. Any liability of the Corporation to any Participant with respect to an Award shall be based solely upon contractual obligation created by the Plan and the Award Agreement. No such obligation shall be deemed to be secured by any pledge or encumbrance on the property of the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14: GENERAL PROVISIONS</w:t>
      </w:r>
    </w:p>
    <w:p>
      <w:pPr>
        <w:spacing w:after="0" w:line="235" w:lineRule="exact"/>
        <w:rPr>
          <w:sz w:val="20"/>
          <w:szCs w:val="20"/>
          <w:color w:val="auto"/>
        </w:rPr>
      </w:pPr>
    </w:p>
    <w:p>
      <w:pPr>
        <w:ind w:left="660" w:right="200" w:hanging="652"/>
        <w:spacing w:after="0" w:line="303" w:lineRule="auto"/>
        <w:tabs>
          <w:tab w:leader="none" w:pos="347"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Conditions for Issuance. </w:t>
      </w:r>
      <w:r>
        <w:rPr>
          <w:rFonts w:ascii="Arial" w:cs="Arial" w:eastAsia="Arial" w:hAnsi="Arial"/>
          <w:sz w:val="18"/>
          <w:szCs w:val="18"/>
          <w:color w:val="auto"/>
        </w:rPr>
        <w:t>The Committee may require each person purchasing or receiving Shares pursuant to an Award to represent to</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 with the Corporation in writing that such person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Corporation</w:t>
      </w:r>
    </w:p>
    <w:p>
      <w:pPr>
        <w:sectPr>
          <w:pgSz w:w="11900" w:h="16838" w:orient="portrait"/>
          <w:cols w:equalWidth="0" w:num="1">
            <w:col w:w="11180"/>
          </w:cols>
          <w:pgMar w:left="320" w:top="1426" w:right="399" w:bottom="1440" w:gutter="0" w:footer="0" w:header="0"/>
        </w:sectPr>
      </w:pPr>
    </w:p>
    <w:bookmarkStart w:id="96" w:name="page97"/>
    <w:bookmarkEnd w:id="96"/>
    <w:p>
      <w:pPr>
        <w:ind w:left="652" w:right="80"/>
        <w:spacing w:after="0" w:line="274" w:lineRule="auto"/>
        <w:rPr>
          <w:sz w:val="20"/>
          <w:szCs w:val="20"/>
          <w:color w:val="auto"/>
        </w:rPr>
      </w:pPr>
      <w:r>
        <w:rPr>
          <w:rFonts w:ascii="Arial" w:cs="Arial" w:eastAsia="Arial" w:hAnsi="Arial"/>
          <w:sz w:val="20"/>
          <w:szCs w:val="20"/>
          <w:color w:val="auto"/>
        </w:rPr>
        <w:t>shall not be required to issue or deliver any Shares (whether in certificated or book-entry form) under this Plan prior to fulfillment of all of the following conditions:</w:t>
      </w:r>
    </w:p>
    <w:p>
      <w:pPr>
        <w:spacing w:after="0" w:line="190" w:lineRule="exact"/>
        <w:rPr>
          <w:sz w:val="20"/>
          <w:szCs w:val="20"/>
          <w:color w:val="auto"/>
        </w:rPr>
      </w:pPr>
    </w:p>
    <w:p>
      <w:pPr>
        <w:ind w:left="992" w:hanging="344"/>
        <w:spacing w:after="0"/>
        <w:tabs>
          <w:tab w:leader="none" w:pos="992" w:val="left"/>
        </w:tabs>
        <w:numPr>
          <w:ilvl w:val="1"/>
          <w:numId w:val="81"/>
        </w:numPr>
        <w:rPr>
          <w:rFonts w:ascii="Arial" w:cs="Arial" w:eastAsia="Arial" w:hAnsi="Arial"/>
          <w:sz w:val="20"/>
          <w:szCs w:val="20"/>
          <w:color w:val="auto"/>
        </w:rPr>
      </w:pPr>
      <w:r>
        <w:rPr>
          <w:rFonts w:ascii="Arial" w:cs="Arial" w:eastAsia="Arial" w:hAnsi="Arial"/>
          <w:sz w:val="20"/>
          <w:szCs w:val="20"/>
          <w:color w:val="auto"/>
        </w:rPr>
        <w:t>listing or approval for listing upon notice of issuance, of such Shares on the Applicable Exchange;</w:t>
      </w:r>
    </w:p>
    <w:p>
      <w:pPr>
        <w:spacing w:after="0" w:line="229" w:lineRule="exact"/>
        <w:rPr>
          <w:rFonts w:ascii="Arial" w:cs="Arial" w:eastAsia="Arial" w:hAnsi="Arial"/>
          <w:sz w:val="20"/>
          <w:szCs w:val="20"/>
          <w:color w:val="auto"/>
        </w:rPr>
      </w:pPr>
    </w:p>
    <w:p>
      <w:pPr>
        <w:ind w:left="1292" w:right="200" w:hanging="644"/>
        <w:spacing w:after="0" w:line="271" w:lineRule="auto"/>
        <w:tabs>
          <w:tab w:leader="none" w:pos="1001"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registration or other qualification of such Shares of the Corporation under any state or federal law or regulation, or the maintaining in effect of any such registration or other qualification that the Committee shall, in its absolute discretion upon the advice of counsel, deem necessary or advisable; and</w:t>
      </w:r>
    </w:p>
    <w:p>
      <w:pPr>
        <w:spacing w:after="0" w:line="179" w:lineRule="exact"/>
        <w:rPr>
          <w:rFonts w:ascii="Arial" w:cs="Arial" w:eastAsia="Arial" w:hAnsi="Arial"/>
          <w:sz w:val="20"/>
          <w:szCs w:val="20"/>
          <w:color w:val="auto"/>
        </w:rPr>
      </w:pPr>
    </w:p>
    <w:p>
      <w:pPr>
        <w:ind w:left="1292" w:right="140" w:hanging="644"/>
        <w:spacing w:after="0" w:line="274" w:lineRule="auto"/>
        <w:tabs>
          <w:tab w:leader="none" w:pos="1056" w:val="left"/>
        </w:tabs>
        <w:numPr>
          <w:ilvl w:val="1"/>
          <w:numId w:val="81"/>
        </w:numPr>
        <w:rPr>
          <w:rFonts w:ascii="Arial" w:cs="Arial" w:eastAsia="Arial" w:hAnsi="Arial"/>
          <w:sz w:val="20"/>
          <w:szCs w:val="20"/>
          <w:color w:val="auto"/>
        </w:rPr>
      </w:pPr>
      <w:r>
        <w:rPr>
          <w:rFonts w:ascii="Arial" w:cs="Arial" w:eastAsia="Arial" w:hAnsi="Arial"/>
          <w:sz w:val="20"/>
          <w:szCs w:val="20"/>
          <w:color w:val="auto"/>
        </w:rPr>
        <w:t>obtaining any other consent, approval, or permit from any state or federal governmental agency that the Committee shall, in its absolute discretion, determine to be necessary or advisable.</w:t>
      </w:r>
    </w:p>
    <w:p>
      <w:pPr>
        <w:spacing w:after="0" w:line="190" w:lineRule="exact"/>
        <w:rPr>
          <w:rFonts w:ascii="Arial" w:cs="Arial" w:eastAsia="Arial" w:hAnsi="Arial"/>
          <w:sz w:val="20"/>
          <w:szCs w:val="20"/>
          <w:color w:val="auto"/>
        </w:rPr>
      </w:pPr>
    </w:p>
    <w:p>
      <w:pPr>
        <w:ind w:left="652" w:hanging="652"/>
        <w:spacing w:after="0" w:line="274" w:lineRule="auto"/>
        <w:tabs>
          <w:tab w:leader="none" w:pos="350" w:val="left"/>
        </w:tabs>
        <w:numPr>
          <w:ilvl w:val="0"/>
          <w:numId w:val="82"/>
        </w:numPr>
        <w:rPr>
          <w:rFonts w:ascii="Arial" w:cs="Arial" w:eastAsia="Arial" w:hAnsi="Arial"/>
          <w:sz w:val="20"/>
          <w:szCs w:val="20"/>
          <w:color w:val="auto"/>
        </w:rPr>
      </w:pPr>
      <w:r>
        <w:rPr>
          <w:rFonts w:ascii="Arial" w:cs="Arial" w:eastAsia="Arial" w:hAnsi="Arial"/>
          <w:sz w:val="20"/>
          <w:szCs w:val="20"/>
          <w:i w:val="1"/>
          <w:iCs w:val="1"/>
          <w:color w:val="auto"/>
        </w:rPr>
        <w:t xml:space="preserve">Additional Compensation Arrangements. </w:t>
      </w:r>
      <w:r>
        <w:rPr>
          <w:rFonts w:ascii="Arial" w:cs="Arial" w:eastAsia="Arial" w:hAnsi="Arial"/>
          <w:sz w:val="20"/>
          <w:szCs w:val="20"/>
          <w:color w:val="auto"/>
        </w:rPr>
        <w:t>Nothing contained in this Plan shall prevent the Corporation or any Subsidiary or Affiliate from</w:t>
      </w:r>
      <w:r>
        <w:rPr>
          <w:rFonts w:ascii="Arial" w:cs="Arial" w:eastAsia="Arial" w:hAnsi="Arial"/>
          <w:sz w:val="20"/>
          <w:szCs w:val="20"/>
          <w:i w:val="1"/>
          <w:iCs w:val="1"/>
          <w:color w:val="auto"/>
        </w:rPr>
        <w:t xml:space="preserve"> </w:t>
      </w:r>
      <w:r>
        <w:rPr>
          <w:rFonts w:ascii="Arial" w:cs="Arial" w:eastAsia="Arial" w:hAnsi="Arial"/>
          <w:sz w:val="20"/>
          <w:szCs w:val="20"/>
          <w:color w:val="auto"/>
        </w:rPr>
        <w:t>adopting other or additional compensation arrangements for its employees.</w:t>
      </w:r>
    </w:p>
    <w:p>
      <w:pPr>
        <w:spacing w:after="0" w:line="176" w:lineRule="exact"/>
        <w:rPr>
          <w:rFonts w:ascii="Arial" w:cs="Arial" w:eastAsia="Arial" w:hAnsi="Arial"/>
          <w:sz w:val="20"/>
          <w:szCs w:val="20"/>
          <w:color w:val="auto"/>
        </w:rPr>
      </w:pPr>
    </w:p>
    <w:p>
      <w:pPr>
        <w:ind w:left="652" w:right="60" w:hanging="652"/>
        <w:spacing w:after="0" w:line="271" w:lineRule="auto"/>
        <w:tabs>
          <w:tab w:leader="none" w:pos="339" w:val="left"/>
        </w:tabs>
        <w:numPr>
          <w:ilvl w:val="0"/>
          <w:numId w:val="82"/>
        </w:numPr>
        <w:rPr>
          <w:rFonts w:ascii="Arial" w:cs="Arial" w:eastAsia="Arial" w:hAnsi="Arial"/>
          <w:sz w:val="20"/>
          <w:szCs w:val="20"/>
          <w:color w:val="auto"/>
        </w:rPr>
      </w:pPr>
      <w:r>
        <w:rPr>
          <w:rFonts w:ascii="Arial" w:cs="Arial" w:eastAsia="Arial" w:hAnsi="Arial"/>
          <w:sz w:val="20"/>
          <w:szCs w:val="20"/>
          <w:i w:val="1"/>
          <w:iCs w:val="1"/>
          <w:color w:val="auto"/>
        </w:rPr>
        <w:t xml:space="preserve">No Contract of Employment. </w:t>
      </w:r>
      <w:r>
        <w:rPr>
          <w:rFonts w:ascii="Arial" w:cs="Arial" w:eastAsia="Arial" w:hAnsi="Arial"/>
          <w:sz w:val="20"/>
          <w:szCs w:val="20"/>
          <w:color w:val="auto"/>
        </w:rPr>
        <w:t>This Plan shall not constitute a contract of employment, and adoption of this Plan shall not confer upon any</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 any right to continued employment, nor shall it interfere in any way with the right of the Corporation or any Subsidiary or Affiliate to terminate the employment of any employee at any time.</w:t>
      </w:r>
    </w:p>
    <w:p>
      <w:pPr>
        <w:spacing w:after="0" w:line="179" w:lineRule="exact"/>
        <w:rPr>
          <w:rFonts w:ascii="Arial" w:cs="Arial" w:eastAsia="Arial" w:hAnsi="Arial"/>
          <w:sz w:val="20"/>
          <w:szCs w:val="20"/>
          <w:color w:val="auto"/>
        </w:rPr>
      </w:pPr>
    </w:p>
    <w:p>
      <w:pPr>
        <w:ind w:left="652" w:right="100" w:hanging="652"/>
        <w:spacing w:after="0" w:line="276" w:lineRule="auto"/>
        <w:tabs>
          <w:tab w:leader="none" w:pos="350" w:val="left"/>
        </w:tabs>
        <w:numPr>
          <w:ilvl w:val="0"/>
          <w:numId w:val="82"/>
        </w:numPr>
        <w:rPr>
          <w:rFonts w:ascii="Arial" w:cs="Arial" w:eastAsia="Arial" w:hAnsi="Arial"/>
          <w:sz w:val="19"/>
          <w:szCs w:val="19"/>
          <w:color w:val="auto"/>
        </w:rPr>
      </w:pPr>
      <w:r>
        <w:rPr>
          <w:rFonts w:ascii="Arial" w:cs="Arial" w:eastAsia="Arial" w:hAnsi="Arial"/>
          <w:sz w:val="19"/>
          <w:szCs w:val="19"/>
          <w:i w:val="1"/>
          <w:iCs w:val="1"/>
          <w:color w:val="auto"/>
        </w:rPr>
        <w:t xml:space="preserve">Required Taxes. </w:t>
      </w:r>
      <w:r>
        <w:rPr>
          <w:rFonts w:ascii="Arial" w:cs="Arial" w:eastAsia="Arial" w:hAnsi="Arial"/>
          <w:sz w:val="19"/>
          <w:szCs w:val="19"/>
          <w:color w:val="auto"/>
        </w:rPr>
        <w:t>No later than the date as of which an amount first becomes includible in the gross income of a Participant for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state, local or foreign income, or employment or other tax purposes with respect to any Award under this Plan, such Participant shall pay to the Corporation, or make arrangements satisfactory to the Corporation regarding the payment of, any federal, state, local or foreign taxes of any kind required by law to be withheld with respect to such amount. Unless otherwise determined by the Corporation, withholding obligations may be settled with Common Stock, including Common Stock that is part of the Award that gives rise to the withholding requirement, having a Fair Market Value on the date of withholding equal to the amount required to be withheld for tax purposes, all in accordance with such procedures as the Committee establishes. The obligations of the Corporation under this Plan shall be conditional on such payment or arrangements, and the Corporation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79" w:lineRule="exact"/>
        <w:rPr>
          <w:rFonts w:ascii="Arial" w:cs="Arial" w:eastAsia="Arial" w:hAnsi="Arial"/>
          <w:sz w:val="19"/>
          <w:szCs w:val="19"/>
          <w:color w:val="auto"/>
        </w:rPr>
      </w:pPr>
    </w:p>
    <w:p>
      <w:pPr>
        <w:ind w:left="652" w:right="320" w:hanging="652"/>
        <w:spacing w:after="0" w:line="271" w:lineRule="auto"/>
        <w:tabs>
          <w:tab w:leader="none" w:pos="339" w:val="left"/>
        </w:tabs>
        <w:numPr>
          <w:ilvl w:val="0"/>
          <w:numId w:val="82"/>
        </w:numPr>
        <w:rPr>
          <w:rFonts w:ascii="Arial" w:cs="Arial" w:eastAsia="Arial" w:hAnsi="Arial"/>
          <w:sz w:val="20"/>
          <w:szCs w:val="20"/>
          <w:color w:val="auto"/>
        </w:rPr>
      </w:pPr>
      <w:r>
        <w:rPr>
          <w:rFonts w:ascii="Arial" w:cs="Arial" w:eastAsia="Arial" w:hAnsi="Arial"/>
          <w:sz w:val="20"/>
          <w:szCs w:val="20"/>
          <w:i w:val="1"/>
          <w:iCs w:val="1"/>
          <w:color w:val="auto"/>
        </w:rPr>
        <w:t xml:space="preserve">Dividends and Dividend Equivalents. </w:t>
      </w:r>
      <w:r>
        <w:rPr>
          <w:rFonts w:ascii="Arial" w:cs="Arial" w:eastAsia="Arial" w:hAnsi="Arial"/>
          <w:sz w:val="20"/>
          <w:szCs w:val="20"/>
          <w:color w:val="auto"/>
        </w:rPr>
        <w:t>Any dividends or dividend equivalents credited with respect to any Award will be subject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same time- and/or performance-based vesting conditions applicable to such Award and shall, if vested, be delivered or paid at the same time as such Award.</w:t>
      </w:r>
    </w:p>
    <w:p>
      <w:pPr>
        <w:spacing w:after="0" w:line="179" w:lineRule="exact"/>
        <w:rPr>
          <w:rFonts w:ascii="Arial" w:cs="Arial" w:eastAsia="Arial" w:hAnsi="Arial"/>
          <w:sz w:val="20"/>
          <w:szCs w:val="20"/>
          <w:color w:val="auto"/>
        </w:rPr>
      </w:pPr>
    </w:p>
    <w:p>
      <w:pPr>
        <w:ind w:left="652" w:right="380" w:hanging="652"/>
        <w:spacing w:after="0" w:line="369" w:lineRule="auto"/>
        <w:tabs>
          <w:tab w:leader="none" w:pos="317"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Designation of Death Beneficiary. </w:t>
      </w:r>
      <w:r>
        <w:rPr>
          <w:rFonts w:ascii="Arial" w:cs="Arial" w:eastAsia="Arial" w:hAnsi="Arial"/>
          <w:sz w:val="16"/>
          <w:szCs w:val="16"/>
          <w:color w:val="auto"/>
        </w:rPr>
        <w:t>To the extent the Committee permits beneficiary designations, the Committee may establish such</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as it deems appropriate for a Participant to designate a beneficiary to whom any amounts payable in the event of such Participant’s death are to be paid or by whom any rights of such Participant, after such Participant’s death, may be exercised.</w:t>
      </w:r>
    </w:p>
    <w:p>
      <w:pPr>
        <w:sectPr>
          <w:pgSz w:w="11900" w:h="16838" w:orient="portrait"/>
          <w:cols w:equalWidth="0" w:num="1">
            <w:col w:w="11232"/>
          </w:cols>
          <w:pgMar w:left="328" w:top="1432" w:right="339" w:bottom="1440" w:gutter="0" w:footer="0" w:header="0"/>
        </w:sectPr>
      </w:pPr>
    </w:p>
    <w:bookmarkStart w:id="97" w:name="page98"/>
    <w:bookmarkEnd w:id="97"/>
    <w:p>
      <w:pPr>
        <w:ind w:left="652" w:hanging="652"/>
        <w:spacing w:after="0" w:line="262" w:lineRule="auto"/>
        <w:tabs>
          <w:tab w:leader="none" w:pos="350"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 xml:space="preserve">Governing Law and Interpretation. </w:t>
      </w:r>
      <w:r>
        <w:rPr>
          <w:rFonts w:ascii="Arial" w:cs="Arial" w:eastAsia="Arial" w:hAnsi="Arial"/>
          <w:sz w:val="20"/>
          <w:szCs w:val="20"/>
          <w:color w:val="auto"/>
        </w:rPr>
        <w:t>This Plan and all Awards made, and actions taken hereunder shall be governed by and construed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laws of the State of Delaware, without reference to principles of conflict of laws. The captions of this Plan are not part of the provisions hereof and shall have no force or effect. Whenever the words “include,” “includes” or “including” are used in this Plan, they shall be deemed to be followed by the words “but not limited to” and the word “or” shall be understood to mean “and/or” where the context so requires.</w:t>
      </w:r>
    </w:p>
    <w:p>
      <w:pPr>
        <w:spacing w:after="0" w:line="202" w:lineRule="exact"/>
        <w:rPr>
          <w:rFonts w:ascii="Arial" w:cs="Arial" w:eastAsia="Arial" w:hAnsi="Arial"/>
          <w:sz w:val="20"/>
          <w:szCs w:val="20"/>
          <w:color w:val="auto"/>
        </w:rPr>
      </w:pPr>
    </w:p>
    <w:p>
      <w:pPr>
        <w:ind w:left="652" w:right="40" w:hanging="652"/>
        <w:spacing w:after="0" w:line="274" w:lineRule="auto"/>
        <w:tabs>
          <w:tab w:leader="none" w:pos="350"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 xml:space="preserve">Non-Transferability. </w:t>
      </w:r>
      <w:r>
        <w:rPr>
          <w:rFonts w:ascii="Arial" w:cs="Arial" w:eastAsia="Arial" w:hAnsi="Arial"/>
          <w:sz w:val="20"/>
          <w:szCs w:val="20"/>
          <w:color w:val="auto"/>
        </w:rPr>
        <w:t>Except as otherwise provided in Section 5(g), Awards under this Plan are not transferable except by will or by laws</w:t>
      </w:r>
      <w:r>
        <w:rPr>
          <w:rFonts w:ascii="Arial" w:cs="Arial" w:eastAsia="Arial" w:hAnsi="Arial"/>
          <w:sz w:val="20"/>
          <w:szCs w:val="20"/>
          <w:i w:val="1"/>
          <w:iCs w:val="1"/>
          <w:color w:val="auto"/>
        </w:rPr>
        <w:t xml:space="preserve"> </w:t>
      </w:r>
      <w:r>
        <w:rPr>
          <w:rFonts w:ascii="Arial" w:cs="Arial" w:eastAsia="Arial" w:hAnsi="Arial"/>
          <w:sz w:val="20"/>
          <w:szCs w:val="20"/>
          <w:color w:val="auto"/>
        </w:rPr>
        <w:t>of descent and distribution.</w:t>
      </w:r>
    </w:p>
    <w:p>
      <w:pPr>
        <w:spacing w:after="0" w:line="176" w:lineRule="exact"/>
        <w:rPr>
          <w:rFonts w:ascii="Arial" w:cs="Arial" w:eastAsia="Arial" w:hAnsi="Arial"/>
          <w:sz w:val="20"/>
          <w:szCs w:val="20"/>
          <w:color w:val="auto"/>
        </w:rPr>
      </w:pPr>
    </w:p>
    <w:p>
      <w:pPr>
        <w:ind w:left="312" w:hanging="312"/>
        <w:spacing w:after="0"/>
        <w:tabs>
          <w:tab w:leader="none" w:pos="312"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Clawback Policies.</w:t>
      </w:r>
    </w:p>
    <w:p>
      <w:pPr>
        <w:spacing w:after="0" w:line="242" w:lineRule="exact"/>
        <w:rPr>
          <w:rFonts w:ascii="Arial" w:cs="Arial" w:eastAsia="Arial" w:hAnsi="Arial"/>
          <w:sz w:val="20"/>
          <w:szCs w:val="20"/>
          <w:color w:val="auto"/>
        </w:rPr>
      </w:pPr>
    </w:p>
    <w:p>
      <w:pPr>
        <w:ind w:left="1292" w:right="120" w:hanging="644"/>
        <w:spacing w:after="0" w:line="274" w:lineRule="auto"/>
        <w:tabs>
          <w:tab w:leader="none" w:pos="946" w:val="left"/>
        </w:tabs>
        <w:numPr>
          <w:ilvl w:val="1"/>
          <w:numId w:val="83"/>
        </w:numPr>
        <w:rPr>
          <w:rFonts w:ascii="Arial" w:cs="Arial" w:eastAsia="Arial" w:hAnsi="Arial"/>
          <w:sz w:val="20"/>
          <w:szCs w:val="20"/>
          <w:color w:val="auto"/>
        </w:rPr>
      </w:pPr>
      <w:r>
        <w:rPr>
          <w:rFonts w:ascii="Arial" w:cs="Arial" w:eastAsia="Arial" w:hAnsi="Arial"/>
          <w:sz w:val="20"/>
          <w:szCs w:val="20"/>
          <w:color w:val="auto"/>
        </w:rPr>
        <w:t>All Awards granted under the Plan prior to December 6, 2020 remain subject to the terms and conditions of Section 14(i) of the Plan as in effect immediately prior to December 6, 2020.</w:t>
      </w:r>
    </w:p>
    <w:p>
      <w:pPr>
        <w:spacing w:after="0" w:line="176" w:lineRule="exact"/>
        <w:rPr>
          <w:rFonts w:ascii="Arial" w:cs="Arial" w:eastAsia="Arial" w:hAnsi="Arial"/>
          <w:sz w:val="20"/>
          <w:szCs w:val="20"/>
          <w:color w:val="auto"/>
        </w:rPr>
      </w:pPr>
    </w:p>
    <w:p>
      <w:pPr>
        <w:ind w:left="1292" w:right="120" w:hanging="644"/>
        <w:spacing w:after="0" w:line="303" w:lineRule="auto"/>
        <w:tabs>
          <w:tab w:leader="none" w:pos="100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Awards granted under the Plan (whether before, on or after December 6, 2020, including any proceeds from such Awards (whether paid in Shares or cash), shall be subject as applicable to any compensation clawback, recoupment or other similar policies required by law or regulations, or as adopted by the Board of Directors or the Human Capital &amp; Compensation Committee of the Board of Directors, as such policies may be in effect from time to time.</w:t>
      </w:r>
    </w:p>
    <w:p>
      <w:pPr>
        <w:spacing w:after="0" w:line="169" w:lineRule="exact"/>
        <w:rPr>
          <w:rFonts w:ascii="Arial" w:cs="Arial" w:eastAsia="Arial" w:hAnsi="Arial"/>
          <w:sz w:val="18"/>
          <w:szCs w:val="18"/>
          <w:color w:val="auto"/>
        </w:rPr>
      </w:pPr>
    </w:p>
    <w:p>
      <w:pPr>
        <w:ind w:left="1292" w:right="100" w:hanging="644"/>
        <w:spacing w:after="0" w:line="264" w:lineRule="auto"/>
        <w:tabs>
          <w:tab w:leader="none" w:pos="1056" w:val="left"/>
        </w:tabs>
        <w:numPr>
          <w:ilvl w:val="1"/>
          <w:numId w:val="83"/>
        </w:numPr>
        <w:rPr>
          <w:rFonts w:ascii="Arial" w:cs="Arial" w:eastAsia="Arial" w:hAnsi="Arial"/>
          <w:sz w:val="20"/>
          <w:szCs w:val="20"/>
          <w:color w:val="auto"/>
        </w:rPr>
      </w:pPr>
      <w:r>
        <w:rPr>
          <w:rFonts w:ascii="Arial" w:cs="Arial" w:eastAsia="Arial" w:hAnsi="Arial"/>
          <w:sz w:val="20"/>
          <w:szCs w:val="20"/>
          <w:i w:val="1"/>
          <w:iCs w:val="1"/>
          <w:color w:val="auto"/>
        </w:rPr>
        <w:t xml:space="preserve">Effect of Change-in-Control. </w:t>
      </w:r>
      <w:r>
        <w:rPr>
          <w:rFonts w:ascii="Arial" w:cs="Arial" w:eastAsia="Arial" w:hAnsi="Arial"/>
          <w:sz w:val="20"/>
          <w:szCs w:val="20"/>
          <w:color w:val="auto"/>
        </w:rPr>
        <w:t>Notwithstanding the foregoing and notwithstanding anything to the contrary in any Award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or otherwise, this Section 14(i) shall not be applicable to any Participant following a Change-in-Control, except as required by law.</w:t>
      </w:r>
    </w:p>
    <w:p>
      <w:pPr>
        <w:spacing w:after="0" w:line="199" w:lineRule="exact"/>
        <w:rPr>
          <w:rFonts w:ascii="Arial" w:cs="Arial" w:eastAsia="Arial" w:hAnsi="Arial"/>
          <w:sz w:val="20"/>
          <w:szCs w:val="20"/>
          <w:color w:val="auto"/>
        </w:rPr>
      </w:pPr>
    </w:p>
    <w:p>
      <w:pPr>
        <w:ind w:left="1292" w:right="300" w:hanging="644"/>
        <w:spacing w:after="0" w:line="264" w:lineRule="auto"/>
        <w:tabs>
          <w:tab w:leader="none" w:pos="1032" w:val="left"/>
        </w:tabs>
        <w:numPr>
          <w:ilvl w:val="1"/>
          <w:numId w:val="83"/>
        </w:numPr>
        <w:rPr>
          <w:rFonts w:ascii="Arial" w:cs="Arial" w:eastAsia="Arial" w:hAnsi="Arial"/>
          <w:sz w:val="20"/>
          <w:szCs w:val="20"/>
          <w:color w:val="auto"/>
        </w:rPr>
      </w:pPr>
      <w:r>
        <w:rPr>
          <w:rFonts w:ascii="Arial" w:cs="Arial" w:eastAsia="Arial" w:hAnsi="Arial"/>
          <w:sz w:val="20"/>
          <w:szCs w:val="20"/>
          <w:i w:val="1"/>
          <w:iCs w:val="1"/>
          <w:color w:val="auto"/>
        </w:rPr>
        <w:t xml:space="preserve">Nonexclusive Remedy. </w:t>
      </w:r>
      <w:r>
        <w:rPr>
          <w:rFonts w:ascii="Arial" w:cs="Arial" w:eastAsia="Arial" w:hAnsi="Arial"/>
          <w:sz w:val="20"/>
          <w:szCs w:val="20"/>
          <w:color w:val="auto"/>
        </w:rPr>
        <w:t>This Section 14(i) shall be a nonexclusive remedy and nothing contained in this Section 14(i) shall</w:t>
      </w:r>
      <w:r>
        <w:rPr>
          <w:rFonts w:ascii="Arial" w:cs="Arial" w:eastAsia="Arial" w:hAnsi="Arial"/>
          <w:sz w:val="20"/>
          <w:szCs w:val="20"/>
          <w:i w:val="1"/>
          <w:iCs w:val="1"/>
          <w:color w:val="auto"/>
        </w:rPr>
        <w:t xml:space="preserve"> </w:t>
      </w:r>
      <w:r>
        <w:rPr>
          <w:rFonts w:ascii="Arial" w:cs="Arial" w:eastAsia="Arial" w:hAnsi="Arial"/>
          <w:sz w:val="20"/>
          <w:szCs w:val="20"/>
          <w:color w:val="auto"/>
        </w:rPr>
        <w:t>preclude the Corporation from pursuing any other applicable remedies available to it, whether in addition to, or in lieu of (except as required by law), application of this Section 14(i).</w:t>
      </w:r>
    </w:p>
    <w:p>
      <w:pPr>
        <w:sectPr>
          <w:pgSz w:w="11900" w:h="16838" w:orient="portrait"/>
          <w:cols w:equalWidth="0" w:num="1">
            <w:col w:w="11152"/>
          </w:cols>
          <w:pgMar w:left="328" w:top="1432" w:right="41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RTX CORPORATION</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BOARD OF DIRECTORS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DEFERRED STOCK UNIT PLAN</w:t>
      </w:r>
    </w:p>
    <w:p>
      <w:pPr>
        <w:spacing w:after="0" w:line="200" w:lineRule="exact"/>
        <w:rPr>
          <w:sz w:val="20"/>
          <w:szCs w:val="20"/>
          <w:color w:val="auto"/>
        </w:rPr>
      </w:pPr>
    </w:p>
    <w:p>
      <w:pPr>
        <w:spacing w:after="0" w:line="269"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(As Amended and Restated Effective October 1, 2023)</w:t>
      </w:r>
    </w:p>
    <w:p>
      <w:pPr>
        <w:sectPr>
          <w:pgSz w:w="11900" w:h="16838" w:orient="portrait"/>
          <w:cols w:equalWidth="0" w:num="1">
            <w:col w:w="10120"/>
          </w:cols>
          <w:pgMar w:left="1440" w:top="104" w:right="339" w:bottom="1440" w:gutter="0" w:footer="0" w:header="0"/>
        </w:sectPr>
      </w:pPr>
    </w:p>
    <w:bookmarkStart w:id="99" w:name="page100"/>
    <w:bookmarkEnd w:id="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RTX CORPORATION</w:t>
      </w:r>
    </w:p>
    <w:p>
      <w:pPr>
        <w:jc w:val="center"/>
        <w:ind w:right="19"/>
        <w:spacing w:after="0" w:line="204" w:lineRule="auto"/>
        <w:rPr>
          <w:sz w:val="20"/>
          <w:szCs w:val="20"/>
          <w:color w:val="auto"/>
        </w:rPr>
      </w:pPr>
      <w:r>
        <w:rPr>
          <w:rFonts w:ascii="Arial" w:cs="Arial" w:eastAsia="Arial" w:hAnsi="Arial"/>
          <w:sz w:val="22"/>
          <w:szCs w:val="22"/>
          <w:b w:val="1"/>
          <w:bCs w:val="1"/>
          <w:color w:val="auto"/>
        </w:rPr>
        <w:t>BOARD OF DIRECTORS</w:t>
      </w:r>
    </w:p>
    <w:p>
      <w:pPr>
        <w:jc w:val="center"/>
        <w:ind w:right="19"/>
        <w:spacing w:after="0" w:line="205" w:lineRule="auto"/>
        <w:rPr>
          <w:sz w:val="20"/>
          <w:szCs w:val="20"/>
          <w:color w:val="auto"/>
        </w:rPr>
      </w:pPr>
      <w:r>
        <w:rPr>
          <w:rFonts w:ascii="Arial" w:cs="Arial" w:eastAsia="Arial" w:hAnsi="Arial"/>
          <w:sz w:val="22"/>
          <w:szCs w:val="22"/>
          <w:b w:val="1"/>
          <w:bCs w:val="1"/>
          <w:color w:val="auto"/>
        </w:rPr>
        <w:t>DEFERRED STOCK UNIT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13"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96"/>
        </w:trPr>
        <w:tc>
          <w:tcPr>
            <w:tcW w:w="6360" w:type="dxa"/>
            <w:vAlign w:val="bottom"/>
            <w:gridSpan w:val="2"/>
          </w:tcPr>
          <w:p>
            <w:pPr>
              <w:spacing w:after="0"/>
              <w:rPr>
                <w:sz w:val="20"/>
                <w:szCs w:val="20"/>
                <w:color w:val="auto"/>
              </w:rPr>
            </w:pPr>
            <w:r>
              <w:rPr>
                <w:rFonts w:ascii="Arial" w:cs="Arial" w:eastAsia="Arial" w:hAnsi="Arial"/>
                <w:sz w:val="22"/>
                <w:szCs w:val="22"/>
                <w:color w:val="auto"/>
              </w:rPr>
              <w:t>ARTICLE I INTRODUCTION AND PURPOSE</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1.01</w:t>
            </w:r>
          </w:p>
        </w:tc>
        <w:tc>
          <w:tcPr>
            <w:tcW w:w="5660" w:type="dxa"/>
            <w:vAlign w:val="bottom"/>
          </w:tcPr>
          <w:p>
            <w:pPr>
              <w:ind w:left="120"/>
              <w:spacing w:after="0"/>
              <w:rPr>
                <w:sz w:val="20"/>
                <w:szCs w:val="20"/>
                <w:color w:val="auto"/>
              </w:rPr>
            </w:pPr>
            <w:r>
              <w:rPr>
                <w:rFonts w:ascii="Arial" w:cs="Arial" w:eastAsia="Arial" w:hAnsi="Arial"/>
                <w:sz w:val="22"/>
                <w:szCs w:val="22"/>
                <w:color w:val="auto"/>
              </w:rPr>
              <w:t>Purpose of Plan</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1.02</w:t>
            </w:r>
          </w:p>
        </w:tc>
        <w:tc>
          <w:tcPr>
            <w:tcW w:w="5660" w:type="dxa"/>
            <w:vAlign w:val="bottom"/>
          </w:tcPr>
          <w:p>
            <w:pPr>
              <w:ind w:left="120"/>
              <w:spacing w:after="0"/>
              <w:rPr>
                <w:sz w:val="20"/>
                <w:szCs w:val="20"/>
                <w:color w:val="auto"/>
              </w:rPr>
            </w:pPr>
            <w:r>
              <w:rPr>
                <w:rFonts w:ascii="Arial" w:cs="Arial" w:eastAsia="Arial" w:hAnsi="Arial"/>
                <w:sz w:val="22"/>
                <w:szCs w:val="22"/>
                <w:color w:val="auto"/>
              </w:rPr>
              <w:t>Effective Date of Plan and Amendments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74"/>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1.03</w:t>
            </w:r>
          </w:p>
        </w:tc>
        <w:tc>
          <w:tcPr>
            <w:tcW w:w="5660" w:type="dxa"/>
            <w:vAlign w:val="bottom"/>
          </w:tcPr>
          <w:p>
            <w:pPr>
              <w:ind w:left="120"/>
              <w:spacing w:after="0"/>
              <w:rPr>
                <w:sz w:val="20"/>
                <w:szCs w:val="20"/>
                <w:color w:val="auto"/>
              </w:rPr>
            </w:pPr>
            <w:r>
              <w:rPr>
                <w:rFonts w:ascii="Arial" w:cs="Arial" w:eastAsia="Arial" w:hAnsi="Arial"/>
                <w:sz w:val="22"/>
                <w:szCs w:val="22"/>
                <w:color w:val="auto"/>
              </w:rPr>
              <w:t>Impact of Carrier and Otis Spin-off</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527"/>
        </w:trPr>
        <w:tc>
          <w:tcPr>
            <w:tcW w:w="6360" w:type="dxa"/>
            <w:vAlign w:val="bottom"/>
            <w:gridSpan w:val="2"/>
          </w:tcPr>
          <w:p>
            <w:pPr>
              <w:spacing w:after="0"/>
              <w:rPr>
                <w:sz w:val="20"/>
                <w:szCs w:val="20"/>
                <w:color w:val="auto"/>
              </w:rPr>
            </w:pPr>
            <w:r>
              <w:rPr>
                <w:rFonts w:ascii="Arial" w:cs="Arial" w:eastAsia="Arial" w:hAnsi="Arial"/>
                <w:sz w:val="22"/>
                <w:szCs w:val="22"/>
                <w:color w:val="auto"/>
              </w:rPr>
              <w:t>ARTICLE II DEFINITIONS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3</w:t>
            </w:r>
          </w:p>
        </w:tc>
        <w:tc>
          <w:tcPr>
            <w:tcW w:w="0" w:type="dxa"/>
            <w:vAlign w:val="bottom"/>
          </w:tcPr>
          <w:p>
            <w:pPr>
              <w:spacing w:after="0"/>
              <w:rPr>
                <w:sz w:val="1"/>
                <w:szCs w:val="1"/>
                <w:color w:val="auto"/>
              </w:rPr>
            </w:pPr>
          </w:p>
        </w:tc>
      </w:tr>
      <w:tr>
        <w:trPr>
          <w:trHeight w:val="522"/>
        </w:trPr>
        <w:tc>
          <w:tcPr>
            <w:tcW w:w="6360" w:type="dxa"/>
            <w:vAlign w:val="bottom"/>
            <w:gridSpan w:val="2"/>
          </w:tcPr>
          <w:p>
            <w:pPr>
              <w:spacing w:after="0"/>
              <w:rPr>
                <w:sz w:val="20"/>
                <w:szCs w:val="20"/>
                <w:color w:val="auto"/>
              </w:rPr>
            </w:pPr>
            <w:r>
              <w:rPr>
                <w:rFonts w:ascii="Arial" w:cs="Arial" w:eastAsia="Arial" w:hAnsi="Arial"/>
                <w:sz w:val="22"/>
                <w:szCs w:val="22"/>
                <w:color w:val="auto"/>
              </w:rPr>
              <w:t>ARTICLE III ELIGIBLE COMPENSATION</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3.01</w:t>
            </w:r>
          </w:p>
        </w:tc>
        <w:tc>
          <w:tcPr>
            <w:tcW w:w="5660" w:type="dxa"/>
            <w:vAlign w:val="bottom"/>
          </w:tcPr>
          <w:p>
            <w:pPr>
              <w:ind w:left="120"/>
              <w:spacing w:after="0"/>
              <w:rPr>
                <w:sz w:val="20"/>
                <w:szCs w:val="20"/>
                <w:color w:val="auto"/>
              </w:rPr>
            </w:pPr>
            <w:r>
              <w:rPr>
                <w:rFonts w:ascii="Arial" w:cs="Arial" w:eastAsia="Arial" w:hAnsi="Arial"/>
                <w:sz w:val="22"/>
                <w:szCs w:val="22"/>
                <w:color w:val="auto"/>
              </w:rPr>
              <w:t>Annual Retainer</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3.02</w:t>
            </w:r>
          </w:p>
        </w:tc>
        <w:tc>
          <w:tcPr>
            <w:tcW w:w="5660" w:type="dxa"/>
            <w:vAlign w:val="bottom"/>
          </w:tcPr>
          <w:p>
            <w:pPr>
              <w:ind w:left="120"/>
              <w:spacing w:after="0"/>
              <w:rPr>
                <w:sz w:val="20"/>
                <w:szCs w:val="20"/>
                <w:color w:val="auto"/>
              </w:rPr>
            </w:pPr>
            <w:r>
              <w:rPr>
                <w:rFonts w:ascii="Arial" w:cs="Arial" w:eastAsia="Arial" w:hAnsi="Arial"/>
                <w:sz w:val="22"/>
                <w:szCs w:val="22"/>
                <w:color w:val="auto"/>
              </w:rPr>
              <w:t>Annual Deferred Stock Unit Award</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3.03</w:t>
            </w:r>
          </w:p>
        </w:tc>
        <w:tc>
          <w:tcPr>
            <w:tcW w:w="5660" w:type="dxa"/>
            <w:vAlign w:val="bottom"/>
          </w:tcPr>
          <w:p>
            <w:pPr>
              <w:ind w:left="120"/>
              <w:spacing w:after="0"/>
              <w:rPr>
                <w:sz w:val="20"/>
                <w:szCs w:val="20"/>
                <w:color w:val="auto"/>
              </w:rPr>
            </w:pPr>
            <w:r>
              <w:rPr>
                <w:rFonts w:ascii="Arial" w:cs="Arial" w:eastAsia="Arial" w:hAnsi="Arial"/>
                <w:sz w:val="22"/>
                <w:szCs w:val="22"/>
                <w:color w:val="auto"/>
              </w:rPr>
              <w:t>New Director Restricted Stock Unit Award</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4"/>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3.04</w:t>
            </w:r>
          </w:p>
        </w:tc>
        <w:tc>
          <w:tcPr>
            <w:tcW w:w="5660" w:type="dxa"/>
            <w:vAlign w:val="bottom"/>
          </w:tcPr>
          <w:p>
            <w:pPr>
              <w:ind w:left="120"/>
              <w:spacing w:after="0"/>
              <w:rPr>
                <w:sz w:val="20"/>
                <w:szCs w:val="20"/>
                <w:color w:val="auto"/>
              </w:rPr>
            </w:pPr>
            <w:r>
              <w:rPr>
                <w:rFonts w:ascii="Arial" w:cs="Arial" w:eastAsia="Arial" w:hAnsi="Arial"/>
                <w:sz w:val="22"/>
                <w:szCs w:val="22"/>
                <w:color w:val="auto"/>
              </w:rPr>
              <w:t>Duplication of Benefits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536"/>
        </w:trPr>
        <w:tc>
          <w:tcPr>
            <w:tcW w:w="6360" w:type="dxa"/>
            <w:vAlign w:val="bottom"/>
            <w:gridSpan w:val="2"/>
          </w:tcPr>
          <w:p>
            <w:pPr>
              <w:spacing w:after="0"/>
              <w:rPr>
                <w:sz w:val="20"/>
                <w:szCs w:val="20"/>
                <w:color w:val="auto"/>
              </w:rPr>
            </w:pPr>
            <w:r>
              <w:rPr>
                <w:rFonts w:ascii="Arial" w:cs="Arial" w:eastAsia="Arial" w:hAnsi="Arial"/>
                <w:sz w:val="22"/>
                <w:szCs w:val="22"/>
                <w:color w:val="auto"/>
              </w:rPr>
              <w:t>ARTICLE IV ACCOUNTS AND CREDITS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4.01</w:t>
            </w:r>
          </w:p>
        </w:tc>
        <w:tc>
          <w:tcPr>
            <w:tcW w:w="5660" w:type="dxa"/>
            <w:vAlign w:val="bottom"/>
          </w:tcPr>
          <w:p>
            <w:pPr>
              <w:ind w:left="120"/>
              <w:spacing w:after="0"/>
              <w:rPr>
                <w:sz w:val="20"/>
                <w:szCs w:val="20"/>
                <w:color w:val="auto"/>
              </w:rPr>
            </w:pPr>
            <w:r>
              <w:rPr>
                <w:rFonts w:ascii="Arial" w:cs="Arial" w:eastAsia="Arial" w:hAnsi="Arial"/>
                <w:sz w:val="22"/>
                <w:szCs w:val="22"/>
                <w:color w:val="auto"/>
              </w:rPr>
              <w:t>Annual Deferred Stock Unit Award</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4.02</w:t>
            </w:r>
          </w:p>
        </w:tc>
        <w:tc>
          <w:tcPr>
            <w:tcW w:w="5660" w:type="dxa"/>
            <w:vAlign w:val="bottom"/>
          </w:tcPr>
          <w:p>
            <w:pPr>
              <w:ind w:left="120"/>
              <w:spacing w:after="0"/>
              <w:rPr>
                <w:sz w:val="20"/>
                <w:szCs w:val="20"/>
                <w:color w:val="auto"/>
              </w:rPr>
            </w:pPr>
            <w:r>
              <w:rPr>
                <w:rFonts w:ascii="Arial" w:cs="Arial" w:eastAsia="Arial" w:hAnsi="Arial"/>
                <w:sz w:val="22"/>
                <w:szCs w:val="22"/>
                <w:color w:val="auto"/>
              </w:rPr>
              <w:t>Elective Annual Retainer</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4.03</w:t>
            </w:r>
          </w:p>
        </w:tc>
        <w:tc>
          <w:tcPr>
            <w:tcW w:w="5660" w:type="dxa"/>
            <w:vAlign w:val="bottom"/>
          </w:tcPr>
          <w:p>
            <w:pPr>
              <w:ind w:left="120"/>
              <w:spacing w:after="0"/>
              <w:rPr>
                <w:sz w:val="20"/>
                <w:szCs w:val="20"/>
                <w:color w:val="auto"/>
              </w:rPr>
            </w:pPr>
            <w:r>
              <w:rPr>
                <w:rFonts w:ascii="Arial" w:cs="Arial" w:eastAsia="Arial" w:hAnsi="Arial"/>
                <w:sz w:val="22"/>
                <w:szCs w:val="22"/>
                <w:color w:val="auto"/>
              </w:rPr>
              <w:t>New Director Restricted Stock Unit Award</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4.04</w:t>
            </w:r>
          </w:p>
        </w:tc>
        <w:tc>
          <w:tcPr>
            <w:tcW w:w="5660" w:type="dxa"/>
            <w:vAlign w:val="bottom"/>
          </w:tcPr>
          <w:p>
            <w:pPr>
              <w:ind w:left="120"/>
              <w:spacing w:after="0"/>
              <w:rPr>
                <w:sz w:val="20"/>
                <w:szCs w:val="20"/>
                <w:color w:val="auto"/>
              </w:rPr>
            </w:pPr>
            <w:r>
              <w:rPr>
                <w:rFonts w:ascii="Arial" w:cs="Arial" w:eastAsia="Arial" w:hAnsi="Arial"/>
                <w:sz w:val="22"/>
                <w:szCs w:val="22"/>
                <w:color w:val="auto"/>
              </w:rPr>
              <w:t>Accounts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8</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4.05</w:t>
            </w:r>
          </w:p>
        </w:tc>
        <w:tc>
          <w:tcPr>
            <w:tcW w:w="5660" w:type="dxa"/>
            <w:vAlign w:val="bottom"/>
          </w:tcPr>
          <w:p>
            <w:pPr>
              <w:ind w:left="120"/>
              <w:spacing w:after="0"/>
              <w:rPr>
                <w:sz w:val="20"/>
                <w:szCs w:val="20"/>
                <w:color w:val="auto"/>
              </w:rPr>
            </w:pPr>
            <w:r>
              <w:rPr>
                <w:rFonts w:ascii="Arial" w:cs="Arial" w:eastAsia="Arial" w:hAnsi="Arial"/>
                <w:sz w:val="22"/>
                <w:szCs w:val="22"/>
                <w:color w:val="auto"/>
              </w:rPr>
              <w:t>Deferred Stock Unit Accounts</w:t>
            </w:r>
          </w:p>
        </w:tc>
        <w:tc>
          <w:tcPr>
            <w:tcW w:w="420" w:type="dxa"/>
            <w:vAlign w:val="bottom"/>
          </w:tcPr>
          <w:p>
            <w:pPr>
              <w:jc w:val="center"/>
              <w:spacing w:after="0"/>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74"/>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4.06</w:t>
            </w:r>
          </w:p>
        </w:tc>
        <w:tc>
          <w:tcPr>
            <w:tcW w:w="5660" w:type="dxa"/>
            <w:vAlign w:val="bottom"/>
          </w:tcPr>
          <w:p>
            <w:pPr>
              <w:ind w:left="120"/>
              <w:spacing w:after="0"/>
              <w:rPr>
                <w:sz w:val="20"/>
                <w:szCs w:val="20"/>
                <w:color w:val="auto"/>
              </w:rPr>
            </w:pPr>
            <w:r>
              <w:rPr>
                <w:rFonts w:ascii="Arial" w:cs="Arial" w:eastAsia="Arial" w:hAnsi="Arial"/>
                <w:sz w:val="22"/>
                <w:szCs w:val="22"/>
                <w:color w:val="auto"/>
              </w:rPr>
              <w:t>Hypothetical Nature of Accounts and Investments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482"/>
        </w:trPr>
        <w:tc>
          <w:tcPr>
            <w:tcW w:w="6360" w:type="dxa"/>
            <w:vAlign w:val="bottom"/>
            <w:gridSpan w:val="2"/>
          </w:tcPr>
          <w:p>
            <w:pPr>
              <w:spacing w:after="0"/>
              <w:rPr>
                <w:sz w:val="20"/>
                <w:szCs w:val="20"/>
                <w:color w:val="auto"/>
              </w:rPr>
            </w:pPr>
            <w:r>
              <w:rPr>
                <w:rFonts w:ascii="Arial" w:cs="Arial" w:eastAsia="Arial" w:hAnsi="Arial"/>
                <w:sz w:val="22"/>
                <w:szCs w:val="22"/>
                <w:color w:val="auto"/>
              </w:rPr>
              <w:t>ARTICLE V ELECTION PROCEDURES AND</w:t>
            </w:r>
          </w:p>
        </w:tc>
        <w:tc>
          <w:tcPr>
            <w:tcW w:w="420" w:type="dxa"/>
            <w:vAlign w:val="bottom"/>
            <w:vMerge w:val="restart"/>
          </w:tcPr>
          <w:p>
            <w:pPr>
              <w:jc w:val="center"/>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22"/>
                <w:szCs w:val="22"/>
                <w:color w:val="auto"/>
              </w:rPr>
              <w:t>DISTRIBUTIONS</w:t>
            </w: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5.01</w:t>
            </w:r>
          </w:p>
        </w:tc>
        <w:tc>
          <w:tcPr>
            <w:tcW w:w="5660" w:type="dxa"/>
            <w:vAlign w:val="bottom"/>
          </w:tcPr>
          <w:p>
            <w:pPr>
              <w:ind w:left="120"/>
              <w:spacing w:after="0"/>
              <w:rPr>
                <w:sz w:val="20"/>
                <w:szCs w:val="20"/>
                <w:color w:val="auto"/>
              </w:rPr>
            </w:pPr>
            <w:r>
              <w:rPr>
                <w:rFonts w:ascii="Arial" w:cs="Arial" w:eastAsia="Arial" w:hAnsi="Arial"/>
                <w:sz w:val="22"/>
                <w:szCs w:val="22"/>
                <w:color w:val="auto"/>
              </w:rPr>
              <w:t>Annual Retainer Deferral Election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5.02</w:t>
            </w:r>
          </w:p>
        </w:tc>
        <w:tc>
          <w:tcPr>
            <w:tcW w:w="5660" w:type="dxa"/>
            <w:vAlign w:val="bottom"/>
          </w:tcPr>
          <w:p>
            <w:pPr>
              <w:ind w:left="120"/>
              <w:spacing w:after="0"/>
              <w:rPr>
                <w:sz w:val="20"/>
                <w:szCs w:val="20"/>
                <w:color w:val="auto"/>
              </w:rPr>
            </w:pPr>
            <w:r>
              <w:rPr>
                <w:rFonts w:ascii="Arial" w:cs="Arial" w:eastAsia="Arial" w:hAnsi="Arial"/>
                <w:sz w:val="22"/>
                <w:szCs w:val="22"/>
                <w:color w:val="auto"/>
              </w:rPr>
              <w:t>Annual Retainer Deferral Election Deadline</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10</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5.03</w:t>
            </w:r>
          </w:p>
        </w:tc>
        <w:tc>
          <w:tcPr>
            <w:tcW w:w="5660" w:type="dxa"/>
            <w:vAlign w:val="bottom"/>
          </w:tcPr>
          <w:p>
            <w:pPr>
              <w:ind w:left="120"/>
              <w:spacing w:after="0"/>
              <w:rPr>
                <w:sz w:val="20"/>
                <w:szCs w:val="20"/>
                <w:color w:val="auto"/>
              </w:rPr>
            </w:pPr>
            <w:r>
              <w:rPr>
                <w:rFonts w:ascii="Arial" w:cs="Arial" w:eastAsia="Arial" w:hAnsi="Arial"/>
                <w:sz w:val="22"/>
                <w:szCs w:val="22"/>
                <w:color w:val="auto"/>
              </w:rPr>
              <w:t>Distribution Commencement Date</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11</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5.04</w:t>
            </w:r>
          </w:p>
        </w:tc>
        <w:tc>
          <w:tcPr>
            <w:tcW w:w="5660" w:type="dxa"/>
            <w:vAlign w:val="bottom"/>
          </w:tcPr>
          <w:p>
            <w:pPr>
              <w:ind w:left="120"/>
              <w:spacing w:after="0"/>
              <w:rPr>
                <w:sz w:val="20"/>
                <w:szCs w:val="20"/>
                <w:color w:val="auto"/>
              </w:rPr>
            </w:pPr>
            <w:r>
              <w:rPr>
                <w:rFonts w:ascii="Arial" w:cs="Arial" w:eastAsia="Arial" w:hAnsi="Arial"/>
                <w:sz w:val="22"/>
                <w:szCs w:val="22"/>
                <w:color w:val="auto"/>
              </w:rPr>
              <w:t>Election of Form and Amount of Distribution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12</w:t>
            </w:r>
          </w:p>
        </w:tc>
        <w:tc>
          <w:tcPr>
            <w:tcW w:w="0" w:type="dxa"/>
            <w:vAlign w:val="bottom"/>
          </w:tcPr>
          <w:p>
            <w:pPr>
              <w:spacing w:after="0"/>
              <w:rPr>
                <w:sz w:val="1"/>
                <w:szCs w:val="1"/>
                <w:color w:val="auto"/>
              </w:rPr>
            </w:pPr>
          </w:p>
        </w:tc>
      </w:tr>
      <w:tr>
        <w:trPr>
          <w:trHeight w:val="274"/>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5.05</w:t>
            </w:r>
          </w:p>
        </w:tc>
        <w:tc>
          <w:tcPr>
            <w:tcW w:w="5660" w:type="dxa"/>
            <w:vAlign w:val="bottom"/>
          </w:tcPr>
          <w:p>
            <w:pPr>
              <w:ind w:left="120"/>
              <w:spacing w:after="0"/>
              <w:rPr>
                <w:sz w:val="20"/>
                <w:szCs w:val="20"/>
                <w:color w:val="auto"/>
              </w:rPr>
            </w:pPr>
            <w:r>
              <w:rPr>
                <w:rFonts w:ascii="Arial" w:cs="Arial" w:eastAsia="Arial" w:hAnsi="Arial"/>
                <w:sz w:val="22"/>
                <w:szCs w:val="22"/>
                <w:color w:val="auto"/>
              </w:rPr>
              <w:t>Change in Distribution Election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536"/>
        </w:trPr>
        <w:tc>
          <w:tcPr>
            <w:tcW w:w="6360" w:type="dxa"/>
            <w:vAlign w:val="bottom"/>
            <w:gridSpan w:val="2"/>
          </w:tcPr>
          <w:p>
            <w:pPr>
              <w:spacing w:after="0"/>
              <w:rPr>
                <w:sz w:val="20"/>
                <w:szCs w:val="20"/>
                <w:color w:val="auto"/>
              </w:rPr>
            </w:pPr>
            <w:r>
              <w:rPr>
                <w:rFonts w:ascii="Arial" w:cs="Arial" w:eastAsia="Arial" w:hAnsi="Arial"/>
                <w:sz w:val="22"/>
                <w:szCs w:val="22"/>
                <w:color w:val="auto"/>
              </w:rPr>
              <w:t>ARTICLE VI ADMINISTRATION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6.01</w:t>
            </w:r>
          </w:p>
        </w:tc>
        <w:tc>
          <w:tcPr>
            <w:tcW w:w="5660" w:type="dxa"/>
            <w:vAlign w:val="bottom"/>
          </w:tcPr>
          <w:p>
            <w:pPr>
              <w:ind w:left="120"/>
              <w:spacing w:after="0"/>
              <w:rPr>
                <w:sz w:val="20"/>
                <w:szCs w:val="20"/>
                <w:color w:val="auto"/>
              </w:rPr>
            </w:pPr>
            <w:r>
              <w:rPr>
                <w:rFonts w:ascii="Arial" w:cs="Arial" w:eastAsia="Arial" w:hAnsi="Arial"/>
                <w:sz w:val="22"/>
                <w:szCs w:val="22"/>
                <w:color w:val="auto"/>
              </w:rPr>
              <w:t>In General</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6.02</w:t>
            </w:r>
          </w:p>
        </w:tc>
        <w:tc>
          <w:tcPr>
            <w:tcW w:w="5660" w:type="dxa"/>
            <w:vAlign w:val="bottom"/>
          </w:tcPr>
          <w:p>
            <w:pPr>
              <w:ind w:left="120"/>
              <w:spacing w:after="0"/>
              <w:rPr>
                <w:sz w:val="20"/>
                <w:szCs w:val="20"/>
                <w:color w:val="auto"/>
              </w:rPr>
            </w:pPr>
            <w:r>
              <w:rPr>
                <w:rFonts w:ascii="Arial" w:cs="Arial" w:eastAsia="Arial" w:hAnsi="Arial"/>
                <w:sz w:val="22"/>
                <w:szCs w:val="22"/>
                <w:color w:val="auto"/>
              </w:rPr>
              <w:t>Plan Amendment and Termination</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13</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6.03</w:t>
            </w:r>
          </w:p>
        </w:tc>
        <w:tc>
          <w:tcPr>
            <w:tcW w:w="5660" w:type="dxa"/>
            <w:vAlign w:val="bottom"/>
          </w:tcPr>
          <w:p>
            <w:pPr>
              <w:ind w:left="120"/>
              <w:spacing w:after="0"/>
              <w:rPr>
                <w:sz w:val="20"/>
                <w:szCs w:val="20"/>
                <w:color w:val="auto"/>
              </w:rPr>
            </w:pPr>
            <w:r>
              <w:rPr>
                <w:rFonts w:ascii="Arial" w:cs="Arial" w:eastAsia="Arial" w:hAnsi="Arial"/>
                <w:sz w:val="22"/>
                <w:szCs w:val="22"/>
                <w:color w:val="auto"/>
              </w:rPr>
              <w:t>Reports to Participants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6.04</w:t>
            </w:r>
          </w:p>
        </w:tc>
        <w:tc>
          <w:tcPr>
            <w:tcW w:w="5660" w:type="dxa"/>
            <w:vAlign w:val="bottom"/>
          </w:tcPr>
          <w:p>
            <w:pPr>
              <w:ind w:left="120"/>
              <w:spacing w:after="0"/>
              <w:rPr>
                <w:sz w:val="20"/>
                <w:szCs w:val="20"/>
                <w:color w:val="auto"/>
              </w:rPr>
            </w:pPr>
            <w:r>
              <w:rPr>
                <w:rFonts w:ascii="Arial" w:cs="Arial" w:eastAsia="Arial" w:hAnsi="Arial"/>
                <w:sz w:val="22"/>
                <w:szCs w:val="22"/>
                <w:color w:val="auto"/>
              </w:rPr>
              <w:t>Delegation of Authority</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274"/>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6.05</w:t>
            </w:r>
          </w:p>
        </w:tc>
        <w:tc>
          <w:tcPr>
            <w:tcW w:w="5660" w:type="dxa"/>
            <w:vAlign w:val="bottom"/>
          </w:tcPr>
          <w:p>
            <w:pPr>
              <w:ind w:left="120"/>
              <w:spacing w:after="0"/>
              <w:rPr>
                <w:sz w:val="20"/>
                <w:szCs w:val="20"/>
                <w:color w:val="auto"/>
              </w:rPr>
            </w:pPr>
            <w:r>
              <w:rPr>
                <w:rFonts w:ascii="Arial" w:cs="Arial" w:eastAsia="Arial" w:hAnsi="Arial"/>
                <w:sz w:val="22"/>
                <w:szCs w:val="22"/>
                <w:color w:val="auto"/>
              </w:rPr>
              <w:t>Distribution of Shares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536"/>
        </w:trPr>
        <w:tc>
          <w:tcPr>
            <w:tcW w:w="6360" w:type="dxa"/>
            <w:vAlign w:val="bottom"/>
            <w:gridSpan w:val="2"/>
          </w:tcPr>
          <w:p>
            <w:pPr>
              <w:spacing w:after="0"/>
              <w:rPr>
                <w:sz w:val="20"/>
                <w:szCs w:val="20"/>
                <w:color w:val="auto"/>
              </w:rPr>
            </w:pPr>
            <w:r>
              <w:rPr>
                <w:rFonts w:ascii="Arial" w:cs="Arial" w:eastAsia="Arial" w:hAnsi="Arial"/>
                <w:sz w:val="22"/>
                <w:szCs w:val="22"/>
                <w:color w:val="auto"/>
              </w:rPr>
              <w:t>ARTICLE VII MISCELLANEOUS</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14</w:t>
            </w:r>
          </w:p>
        </w:tc>
        <w:tc>
          <w:tcPr>
            <w:tcW w:w="0" w:type="dxa"/>
            <w:vAlign w:val="bottom"/>
          </w:tcPr>
          <w:p>
            <w:pPr>
              <w:spacing w:after="0"/>
              <w:rPr>
                <w:sz w:val="1"/>
                <w:szCs w:val="1"/>
                <w:color w:val="auto"/>
              </w:rPr>
            </w:pPr>
          </w:p>
        </w:tc>
      </w:tr>
      <w:tr>
        <w:trPr>
          <w:trHeight w:val="270"/>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7.01</w:t>
            </w:r>
          </w:p>
        </w:tc>
        <w:tc>
          <w:tcPr>
            <w:tcW w:w="5660" w:type="dxa"/>
            <w:vAlign w:val="bottom"/>
          </w:tcPr>
          <w:p>
            <w:pPr>
              <w:ind w:left="120"/>
              <w:spacing w:after="0"/>
              <w:rPr>
                <w:sz w:val="20"/>
                <w:szCs w:val="20"/>
                <w:color w:val="auto"/>
              </w:rPr>
            </w:pPr>
            <w:r>
              <w:rPr>
                <w:rFonts w:ascii="Arial" w:cs="Arial" w:eastAsia="Arial" w:hAnsi="Arial"/>
                <w:sz w:val="22"/>
                <w:szCs w:val="22"/>
                <w:color w:val="auto"/>
              </w:rPr>
              <w:t>Rights Not Assignable</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15</w:t>
            </w:r>
          </w:p>
        </w:tc>
        <w:tc>
          <w:tcPr>
            <w:tcW w:w="0" w:type="dxa"/>
            <w:vAlign w:val="bottom"/>
          </w:tcPr>
          <w:p>
            <w:pPr>
              <w:spacing w:after="0"/>
              <w:rPr>
                <w:sz w:val="1"/>
                <w:szCs w:val="1"/>
                <w:color w:val="auto"/>
              </w:rPr>
            </w:pPr>
          </w:p>
        </w:tc>
      </w:tr>
      <w:tr>
        <w:trPr>
          <w:trHeight w:val="274"/>
        </w:trPr>
        <w:tc>
          <w:tcPr>
            <w:tcW w:w="700" w:type="dxa"/>
            <w:vAlign w:val="bottom"/>
          </w:tcPr>
          <w:p>
            <w:pPr>
              <w:jc w:val="right"/>
              <w:ind w:right="12"/>
              <w:spacing w:after="0"/>
              <w:rPr>
                <w:sz w:val="20"/>
                <w:szCs w:val="20"/>
                <w:color w:val="auto"/>
              </w:rPr>
            </w:pPr>
            <w:r>
              <w:rPr>
                <w:rFonts w:ascii="Arial" w:cs="Arial" w:eastAsia="Arial" w:hAnsi="Arial"/>
                <w:sz w:val="22"/>
                <w:szCs w:val="22"/>
                <w:color w:val="auto"/>
              </w:rPr>
              <w:t>7.02</w:t>
            </w:r>
          </w:p>
        </w:tc>
        <w:tc>
          <w:tcPr>
            <w:tcW w:w="5660" w:type="dxa"/>
            <w:vAlign w:val="bottom"/>
          </w:tcPr>
          <w:p>
            <w:pPr>
              <w:ind w:left="120"/>
              <w:spacing w:after="0"/>
              <w:rPr>
                <w:sz w:val="20"/>
                <w:szCs w:val="20"/>
                <w:color w:val="auto"/>
              </w:rPr>
            </w:pPr>
            <w:r>
              <w:rPr>
                <w:rFonts w:ascii="Arial" w:cs="Arial" w:eastAsia="Arial" w:hAnsi="Arial"/>
                <w:sz w:val="22"/>
                <w:szCs w:val="22"/>
                <w:color w:val="auto"/>
              </w:rPr>
              <w:t>Certain Rights Reserved</w:t>
            </w:r>
          </w:p>
        </w:tc>
        <w:tc>
          <w:tcPr>
            <w:tcW w:w="420" w:type="dxa"/>
            <w:vAlign w:val="bottom"/>
          </w:tcPr>
          <w:p>
            <w:pPr>
              <w:jc w:val="center"/>
              <w:spacing w:after="0"/>
              <w:rPr>
                <w:sz w:val="20"/>
                <w:szCs w:val="20"/>
                <w:color w:val="auto"/>
              </w:rPr>
            </w:pPr>
            <w:r>
              <w:rPr>
                <w:rFonts w:ascii="Arial" w:cs="Arial" w:eastAsia="Arial" w:hAnsi="Arial"/>
                <w:sz w:val="22"/>
                <w:szCs w:val="22"/>
                <w:color w:val="auto"/>
                <w:w w:val="81"/>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9019"/>
          </w:cols>
          <w:pgMar w:left="1440" w:top="1440" w:right="1440" w:bottom="1440" w:gutter="0" w:footer="0" w:header="0"/>
          <w:type w:val="continuous"/>
        </w:sectPr>
      </w:pPr>
    </w:p>
    <w:bookmarkStart w:id="101" w:name="page102"/>
    <w:bookmarkEnd w:id="101"/>
    <w:p>
      <w:pPr>
        <w:spacing w:after="0" w:line="353"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7.03</w:t>
            </w:r>
          </w:p>
        </w:tc>
        <w:tc>
          <w:tcPr>
            <w:tcW w:w="5060" w:type="dxa"/>
            <w:vAlign w:val="bottom"/>
          </w:tcPr>
          <w:p>
            <w:pPr>
              <w:ind w:left="120"/>
              <w:spacing w:after="0"/>
              <w:rPr>
                <w:sz w:val="20"/>
                <w:szCs w:val="20"/>
                <w:color w:val="auto"/>
              </w:rPr>
            </w:pPr>
            <w:r>
              <w:rPr>
                <w:rFonts w:ascii="Arial" w:cs="Arial" w:eastAsia="Arial" w:hAnsi="Arial"/>
                <w:sz w:val="22"/>
                <w:szCs w:val="22"/>
                <w:color w:val="auto"/>
              </w:rPr>
              <w:t>Withholding Taxes</w:t>
            </w:r>
          </w:p>
        </w:tc>
        <w:tc>
          <w:tcPr>
            <w:tcW w:w="9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7.04</w:t>
            </w:r>
          </w:p>
        </w:tc>
        <w:tc>
          <w:tcPr>
            <w:tcW w:w="5060" w:type="dxa"/>
            <w:vAlign w:val="bottom"/>
          </w:tcPr>
          <w:p>
            <w:pPr>
              <w:ind w:left="120"/>
              <w:spacing w:after="0"/>
              <w:rPr>
                <w:sz w:val="20"/>
                <w:szCs w:val="20"/>
                <w:color w:val="auto"/>
              </w:rPr>
            </w:pPr>
            <w:r>
              <w:rPr>
                <w:rFonts w:ascii="Arial" w:cs="Arial" w:eastAsia="Arial" w:hAnsi="Arial"/>
                <w:sz w:val="22"/>
                <w:szCs w:val="22"/>
                <w:color w:val="auto"/>
              </w:rPr>
              <w:t>Compliance with Section 409A</w:t>
            </w:r>
          </w:p>
        </w:tc>
        <w:tc>
          <w:tcPr>
            <w:tcW w:w="9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7.05</w:t>
            </w:r>
          </w:p>
        </w:tc>
        <w:tc>
          <w:tcPr>
            <w:tcW w:w="5060" w:type="dxa"/>
            <w:vAlign w:val="bottom"/>
          </w:tcPr>
          <w:p>
            <w:pPr>
              <w:ind w:left="120"/>
              <w:spacing w:after="0"/>
              <w:rPr>
                <w:sz w:val="20"/>
                <w:szCs w:val="20"/>
                <w:color w:val="auto"/>
              </w:rPr>
            </w:pPr>
            <w:r>
              <w:rPr>
                <w:rFonts w:ascii="Arial" w:cs="Arial" w:eastAsia="Arial" w:hAnsi="Arial"/>
                <w:sz w:val="22"/>
                <w:szCs w:val="22"/>
                <w:color w:val="auto"/>
              </w:rPr>
              <w:t>Incompetence</w:t>
            </w:r>
          </w:p>
        </w:tc>
        <w:tc>
          <w:tcPr>
            <w:tcW w:w="9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7.06</w:t>
            </w:r>
          </w:p>
        </w:tc>
        <w:tc>
          <w:tcPr>
            <w:tcW w:w="5060" w:type="dxa"/>
            <w:vAlign w:val="bottom"/>
          </w:tcPr>
          <w:p>
            <w:pPr>
              <w:ind w:left="120"/>
              <w:spacing w:after="0"/>
              <w:rPr>
                <w:sz w:val="20"/>
                <w:szCs w:val="20"/>
                <w:color w:val="auto"/>
              </w:rPr>
            </w:pPr>
            <w:r>
              <w:rPr>
                <w:rFonts w:ascii="Arial" w:cs="Arial" w:eastAsia="Arial" w:hAnsi="Arial"/>
                <w:sz w:val="22"/>
                <w:szCs w:val="22"/>
                <w:color w:val="auto"/>
              </w:rPr>
              <w:t>Inability to Locate Participants and Beneficiaries</w:t>
            </w:r>
          </w:p>
        </w:tc>
        <w:tc>
          <w:tcPr>
            <w:tcW w:w="9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7.07</w:t>
            </w:r>
          </w:p>
        </w:tc>
        <w:tc>
          <w:tcPr>
            <w:tcW w:w="5060" w:type="dxa"/>
            <w:vAlign w:val="bottom"/>
          </w:tcPr>
          <w:p>
            <w:pPr>
              <w:ind w:left="120"/>
              <w:spacing w:after="0"/>
              <w:rPr>
                <w:sz w:val="20"/>
                <w:szCs w:val="20"/>
                <w:color w:val="auto"/>
              </w:rPr>
            </w:pPr>
            <w:r>
              <w:rPr>
                <w:rFonts w:ascii="Arial" w:cs="Arial" w:eastAsia="Arial" w:hAnsi="Arial"/>
                <w:sz w:val="22"/>
                <w:szCs w:val="22"/>
                <w:color w:val="auto"/>
              </w:rPr>
              <w:t>Successors</w:t>
            </w:r>
          </w:p>
        </w:tc>
        <w:tc>
          <w:tcPr>
            <w:tcW w:w="9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7.08</w:t>
            </w:r>
          </w:p>
        </w:tc>
        <w:tc>
          <w:tcPr>
            <w:tcW w:w="5060" w:type="dxa"/>
            <w:vAlign w:val="bottom"/>
          </w:tcPr>
          <w:p>
            <w:pPr>
              <w:ind w:left="120"/>
              <w:spacing w:after="0"/>
              <w:rPr>
                <w:sz w:val="20"/>
                <w:szCs w:val="20"/>
                <w:color w:val="auto"/>
              </w:rPr>
            </w:pPr>
            <w:r>
              <w:rPr>
                <w:rFonts w:ascii="Arial" w:cs="Arial" w:eastAsia="Arial" w:hAnsi="Arial"/>
                <w:sz w:val="22"/>
                <w:szCs w:val="22"/>
                <w:color w:val="auto"/>
              </w:rPr>
              <w:t>Usage</w:t>
            </w:r>
          </w:p>
        </w:tc>
        <w:tc>
          <w:tcPr>
            <w:tcW w:w="9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7.09</w:t>
            </w:r>
          </w:p>
        </w:tc>
        <w:tc>
          <w:tcPr>
            <w:tcW w:w="5060" w:type="dxa"/>
            <w:vAlign w:val="bottom"/>
          </w:tcPr>
          <w:p>
            <w:pPr>
              <w:ind w:left="120"/>
              <w:spacing w:after="0"/>
              <w:rPr>
                <w:sz w:val="20"/>
                <w:szCs w:val="20"/>
                <w:color w:val="auto"/>
              </w:rPr>
            </w:pPr>
            <w:r>
              <w:rPr>
                <w:rFonts w:ascii="Arial" w:cs="Arial" w:eastAsia="Arial" w:hAnsi="Arial"/>
                <w:sz w:val="22"/>
                <w:szCs w:val="22"/>
                <w:color w:val="auto"/>
              </w:rPr>
              <w:t>Severability</w:t>
            </w:r>
          </w:p>
        </w:tc>
        <w:tc>
          <w:tcPr>
            <w:tcW w:w="9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7.10</w:t>
            </w:r>
          </w:p>
        </w:tc>
        <w:tc>
          <w:tcPr>
            <w:tcW w:w="5060" w:type="dxa"/>
            <w:vAlign w:val="bottom"/>
          </w:tcPr>
          <w:p>
            <w:pPr>
              <w:ind w:left="120"/>
              <w:spacing w:after="0"/>
              <w:rPr>
                <w:sz w:val="20"/>
                <w:szCs w:val="20"/>
                <w:color w:val="auto"/>
              </w:rPr>
            </w:pPr>
            <w:r>
              <w:rPr>
                <w:rFonts w:ascii="Arial" w:cs="Arial" w:eastAsia="Arial" w:hAnsi="Arial"/>
                <w:sz w:val="22"/>
                <w:szCs w:val="22"/>
                <w:color w:val="auto"/>
              </w:rPr>
              <w:t>Share Ownership Requirements</w:t>
            </w:r>
          </w:p>
        </w:tc>
        <w:tc>
          <w:tcPr>
            <w:tcW w:w="9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4"/>
        </w:trPr>
        <w:tc>
          <w:tcPr>
            <w:tcW w:w="500" w:type="dxa"/>
            <w:vAlign w:val="bottom"/>
          </w:tcPr>
          <w:p>
            <w:pPr>
              <w:jc w:val="right"/>
              <w:ind w:right="12"/>
              <w:spacing w:after="0"/>
              <w:rPr>
                <w:sz w:val="20"/>
                <w:szCs w:val="20"/>
                <w:color w:val="auto"/>
              </w:rPr>
            </w:pPr>
            <w:r>
              <w:rPr>
                <w:rFonts w:ascii="Arial" w:cs="Arial" w:eastAsia="Arial" w:hAnsi="Arial"/>
                <w:sz w:val="22"/>
                <w:szCs w:val="22"/>
                <w:color w:val="auto"/>
                <w:w w:val="83"/>
              </w:rPr>
              <w:t>7.11</w:t>
            </w:r>
          </w:p>
        </w:tc>
        <w:tc>
          <w:tcPr>
            <w:tcW w:w="506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92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pacing w:after="0" w:line="322" w:lineRule="exact"/>
        <w:rPr>
          <w:sz w:val="20"/>
          <w:szCs w:val="20"/>
          <w:color w:val="auto"/>
        </w:rPr>
      </w:pPr>
    </w:p>
    <w:p>
      <w:pPr>
        <w:ind w:left="20" w:right="159" w:hanging="4579"/>
        <w:spacing w:after="0" w:line="232" w:lineRule="auto"/>
        <w:rPr>
          <w:sz w:val="20"/>
          <w:szCs w:val="20"/>
          <w:color w:val="auto"/>
        </w:rPr>
      </w:pPr>
      <w:r>
        <w:rPr>
          <w:rFonts w:ascii="Arial" w:cs="Arial" w:eastAsia="Arial" w:hAnsi="Arial"/>
          <w:sz w:val="22"/>
          <w:szCs w:val="22"/>
          <w:color w:val="auto"/>
        </w:rPr>
        <w:t>PENDIX A</w:t>
      </w:r>
      <w:r>
        <w:rPr>
          <w:sz w:val="20"/>
          <w:szCs w:val="20"/>
          <w:color w:val="auto"/>
        </w:rPr>
        <w:t xml:space="preserve"> </w:t>
      </w:r>
      <w:r>
        <w:rPr>
          <w:rFonts w:ascii="Arial" w:cs="Arial" w:eastAsia="Arial" w:hAnsi="Arial"/>
          <w:sz w:val="22"/>
          <w:szCs w:val="22"/>
          <w:color w:val="auto"/>
        </w:rPr>
        <w:t>United Technologies Corporation Board of Directors Deferred Stock Unit Plan as in effect on October 3, 2004 (the “Prior Plan”)</w:t>
      </w:r>
    </w:p>
    <w:p>
      <w:pPr>
        <w:spacing w:after="0" w:line="38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52" w:lineRule="exact"/>
        <w:rPr>
          <w:sz w:val="20"/>
          <w:szCs w:val="20"/>
          <w:color w:val="auto"/>
        </w:rPr>
      </w:pPr>
    </w:p>
    <w:p>
      <w:pPr>
        <w:jc w:val="center"/>
        <w:ind w:right="-84"/>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ind w:right="-84"/>
        <w:spacing w:after="0"/>
        <w:rPr>
          <w:sz w:val="20"/>
          <w:szCs w:val="20"/>
          <w:color w:val="auto"/>
        </w:rPr>
      </w:pPr>
      <w:r>
        <w:rPr>
          <w:rFonts w:ascii="Arial" w:cs="Arial" w:eastAsia="Arial" w:hAnsi="Arial"/>
          <w:sz w:val="22"/>
          <w:szCs w:val="22"/>
          <w:b w:val="1"/>
          <w:bCs w:val="1"/>
          <w:color w:val="auto"/>
        </w:rPr>
        <w:t>INTRODUCTION AND PURPOSE</w:t>
      </w:r>
    </w:p>
    <w:p>
      <w:pPr>
        <w:spacing w:after="0" w:line="196" w:lineRule="exact"/>
        <w:rPr>
          <w:sz w:val="20"/>
          <w:szCs w:val="20"/>
          <w:color w:val="auto"/>
        </w:rPr>
      </w:pPr>
    </w:p>
    <w:p>
      <w:pPr>
        <w:ind w:left="645"/>
        <w:spacing w:after="0"/>
        <w:tabs>
          <w:tab w:leader="none" w:pos="1285" w:val="left"/>
        </w:tabs>
        <w:rPr>
          <w:sz w:val="20"/>
          <w:szCs w:val="20"/>
          <w:color w:val="auto"/>
        </w:rPr>
      </w:pPr>
      <w:r>
        <w:rPr>
          <w:rFonts w:ascii="Arial" w:cs="Arial" w:eastAsia="Arial" w:hAnsi="Arial"/>
          <w:sz w:val="22"/>
          <w:szCs w:val="22"/>
          <w:b w:val="1"/>
          <w:bCs w:val="1"/>
          <w:color w:val="010000"/>
        </w:rPr>
        <w:t>1.01</w:t>
      </w:r>
      <w:r>
        <w:rPr>
          <w:sz w:val="20"/>
          <w:szCs w:val="20"/>
          <w:color w:val="auto"/>
        </w:rPr>
        <w:tab/>
      </w:r>
      <w:r>
        <w:rPr>
          <w:rFonts w:ascii="Arial" w:cs="Arial" w:eastAsia="Arial" w:hAnsi="Arial"/>
          <w:sz w:val="19"/>
          <w:szCs w:val="19"/>
          <w:b w:val="1"/>
          <w:bCs w:val="1"/>
          <w:color w:val="auto"/>
        </w:rPr>
        <w:t>Purpose of Plan</w:t>
      </w:r>
    </w:p>
    <w:p>
      <w:pPr>
        <w:spacing w:after="0" w:line="50" w:lineRule="exact"/>
        <w:rPr>
          <w:sz w:val="20"/>
          <w:szCs w:val="20"/>
          <w:color w:val="auto"/>
        </w:rPr>
      </w:pPr>
    </w:p>
    <w:p>
      <w:pPr>
        <w:ind w:left="5" w:firstLine="648"/>
        <w:spacing w:after="0" w:line="277" w:lineRule="auto"/>
        <w:rPr>
          <w:sz w:val="20"/>
          <w:szCs w:val="20"/>
          <w:color w:val="auto"/>
        </w:rPr>
      </w:pPr>
      <w:r>
        <w:rPr>
          <w:rFonts w:ascii="Arial" w:cs="Arial" w:eastAsia="Arial" w:hAnsi="Arial"/>
          <w:sz w:val="22"/>
          <w:szCs w:val="22"/>
          <w:color w:val="auto"/>
        </w:rPr>
        <w:t>The RTX Corporation Board of Directors Deferred Stock Unit Plan (the “Plan”) was established to provide an arrangement for non-employee directors to receive an annual Deferred Stock Unit Award and a New Director Restricted Stock Unit Award and the opportunity to defer their Annual Retainer in the form of deferred stock units equal in value to shares of the Corporation’s common stock for the purpose of aligning the interests of non-employee directors with those of the Corporation’s shareowners.</w:t>
      </w:r>
    </w:p>
    <w:p>
      <w:pPr>
        <w:spacing w:after="0" w:line="181" w:lineRule="exact"/>
        <w:rPr>
          <w:sz w:val="20"/>
          <w:szCs w:val="20"/>
          <w:color w:val="auto"/>
        </w:rPr>
      </w:pPr>
    </w:p>
    <w:p>
      <w:pPr>
        <w:ind w:left="645"/>
        <w:spacing w:after="0"/>
        <w:tabs>
          <w:tab w:leader="none" w:pos="1285" w:val="left"/>
        </w:tabs>
        <w:rPr>
          <w:sz w:val="20"/>
          <w:szCs w:val="20"/>
          <w:color w:val="auto"/>
        </w:rPr>
      </w:pPr>
      <w:r>
        <w:rPr>
          <w:rFonts w:ascii="Arial" w:cs="Arial" w:eastAsia="Arial" w:hAnsi="Arial"/>
          <w:sz w:val="22"/>
          <w:szCs w:val="22"/>
          <w:b w:val="1"/>
          <w:bCs w:val="1"/>
          <w:color w:val="010000"/>
        </w:rPr>
        <w:t>1.02</w:t>
      </w:r>
      <w:r>
        <w:rPr>
          <w:sz w:val="20"/>
          <w:szCs w:val="20"/>
          <w:color w:val="auto"/>
        </w:rPr>
        <w:tab/>
      </w:r>
      <w:r>
        <w:rPr>
          <w:rFonts w:ascii="Arial" w:cs="Arial" w:eastAsia="Arial" w:hAnsi="Arial"/>
          <w:sz w:val="19"/>
          <w:szCs w:val="19"/>
          <w:b w:val="1"/>
          <w:bCs w:val="1"/>
          <w:color w:val="auto"/>
        </w:rPr>
        <w:t>Effective Date of Plan and Amendments</w:t>
      </w:r>
    </w:p>
    <w:p>
      <w:pPr>
        <w:spacing w:after="0" w:line="50" w:lineRule="exact"/>
        <w:rPr>
          <w:sz w:val="20"/>
          <w:szCs w:val="20"/>
          <w:color w:val="auto"/>
        </w:rPr>
      </w:pPr>
    </w:p>
    <w:p>
      <w:pPr>
        <w:ind w:left="1185" w:hanging="537"/>
        <w:spacing w:after="0"/>
        <w:tabs>
          <w:tab w:leader="none" w:pos="1185"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Plan as originally adopted on January 1, 1996 was amended and restated effective January 1, 2005 for the</w:t>
      </w:r>
    </w:p>
    <w:p>
      <w:pPr>
        <w:spacing w:after="0" w:line="78" w:lineRule="exact"/>
        <w:rPr>
          <w:rFonts w:ascii="Arial" w:cs="Arial" w:eastAsia="Arial" w:hAnsi="Arial"/>
          <w:sz w:val="19"/>
          <w:szCs w:val="19"/>
          <w:color w:val="auto"/>
        </w:rPr>
      </w:pPr>
    </w:p>
    <w:p>
      <w:pPr>
        <w:ind w:left="5" w:right="40"/>
        <w:spacing w:after="0" w:line="318" w:lineRule="auto"/>
        <w:rPr>
          <w:rFonts w:ascii="Arial" w:cs="Arial" w:eastAsia="Arial" w:hAnsi="Arial"/>
          <w:sz w:val="19"/>
          <w:szCs w:val="19"/>
          <w:color w:val="auto"/>
        </w:rPr>
      </w:pPr>
      <w:r>
        <w:rPr>
          <w:rFonts w:ascii="Arial" w:cs="Arial" w:eastAsia="Arial" w:hAnsi="Arial"/>
          <w:sz w:val="19"/>
          <w:szCs w:val="19"/>
          <w:color w:val="auto"/>
        </w:rPr>
        <w:t>purpose of complying with Section 409A of the Internal Revenue Code with respect to deferrals that were earned or vested after December 31, 2004. Amounts that were earned or vested (within the meaning of Section 409A) prior to January 1, 2005,</w:t>
      </w:r>
    </w:p>
    <w:p>
      <w:pPr>
        <w:spacing w:after="0" w:line="1" w:lineRule="exact"/>
        <w:rPr>
          <w:rFonts w:ascii="Arial" w:cs="Arial" w:eastAsia="Arial" w:hAnsi="Arial"/>
          <w:sz w:val="19"/>
          <w:szCs w:val="19"/>
          <w:color w:val="auto"/>
        </w:rPr>
      </w:pPr>
    </w:p>
    <w:p>
      <w:pPr>
        <w:ind w:left="5" w:right="120"/>
        <w:spacing w:after="0" w:line="372" w:lineRule="auto"/>
        <w:rPr>
          <w:rFonts w:ascii="Arial" w:cs="Arial" w:eastAsia="Arial" w:hAnsi="Arial"/>
          <w:sz w:val="19"/>
          <w:szCs w:val="19"/>
          <w:color w:val="auto"/>
        </w:rPr>
      </w:pPr>
      <w:r>
        <w:rPr>
          <w:rFonts w:ascii="Arial" w:cs="Arial" w:eastAsia="Arial" w:hAnsi="Arial"/>
          <w:sz w:val="19"/>
          <w:szCs w:val="19"/>
          <w:color w:val="auto"/>
        </w:rPr>
        <w:t>and any subsequent increases in these amounts that are permitted to be treated as grandfathered benefits under Section 409A, are generally subject to and shall continue to be governed by the terms of the Prior Plan set forth in Appendix A.</w:t>
      </w:r>
    </w:p>
    <w:p>
      <w:pPr>
        <w:spacing w:after="0" w:line="146" w:lineRule="exact"/>
        <w:rPr>
          <w:rFonts w:ascii="Arial" w:cs="Arial" w:eastAsia="Arial" w:hAnsi="Arial"/>
          <w:sz w:val="19"/>
          <w:szCs w:val="19"/>
          <w:color w:val="auto"/>
        </w:rPr>
      </w:pPr>
    </w:p>
    <w:p>
      <w:pPr>
        <w:ind w:left="5" w:right="980" w:firstLine="643"/>
        <w:spacing w:after="0" w:line="275" w:lineRule="auto"/>
        <w:tabs>
          <w:tab w:leader="none" w:pos="1188"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Plan was amended and restated in 2010 for the purposes of: (i) revising the retainer structure; (ii) establishing share ownership guidelines for non-employee directors; and</w:t>
      </w:r>
    </w:p>
    <w:p>
      <w:pPr>
        <w:ind w:left="5" w:right="120" w:hanging="5"/>
        <w:spacing w:after="0" w:line="387" w:lineRule="auto"/>
        <w:tabs>
          <w:tab w:leader="none" w:pos="383" w:val="left"/>
        </w:tabs>
        <w:numPr>
          <w:ilvl w:val="0"/>
          <w:numId w:val="85"/>
        </w:numPr>
        <w:rPr>
          <w:rFonts w:ascii="Arial" w:cs="Arial" w:eastAsia="Arial" w:hAnsi="Arial"/>
          <w:sz w:val="19"/>
          <w:szCs w:val="19"/>
          <w:color w:val="auto"/>
        </w:rPr>
      </w:pPr>
      <w:r>
        <w:rPr>
          <w:rFonts w:ascii="Arial" w:cs="Arial" w:eastAsia="Arial" w:hAnsi="Arial"/>
          <w:sz w:val="19"/>
          <w:szCs w:val="19"/>
          <w:color w:val="auto"/>
        </w:rPr>
        <w:t>providing that distributions from this Plan and the Prior Plan will be comprised of shares of the Corporation’s common stock rather than cash. Changes effected by this amendment and restatement were generally effective as of October 13, 2010.</w:t>
      </w:r>
    </w:p>
    <w:p>
      <w:pPr>
        <w:spacing w:after="0" w:line="118" w:lineRule="exact"/>
        <w:rPr>
          <w:rFonts w:ascii="Arial" w:cs="Arial" w:eastAsia="Arial" w:hAnsi="Arial"/>
          <w:sz w:val="19"/>
          <w:szCs w:val="19"/>
          <w:color w:val="auto"/>
        </w:rPr>
      </w:pPr>
    </w:p>
    <w:p>
      <w:pPr>
        <w:ind w:left="5" w:right="660" w:firstLine="643"/>
        <w:spacing w:after="0" w:line="302" w:lineRule="auto"/>
        <w:tabs>
          <w:tab w:leader="none" w:pos="119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Plan was amended effective February 1, 2013, for the purpose of revising the retainer fee and annual deferred stock unit award amounts.</w:t>
      </w:r>
    </w:p>
    <w:p>
      <w:pPr>
        <w:spacing w:after="0" w:line="200" w:lineRule="exact"/>
        <w:rPr>
          <w:rFonts w:ascii="Arial" w:cs="Arial" w:eastAsia="Arial" w:hAnsi="Arial"/>
          <w:sz w:val="22"/>
          <w:szCs w:val="22"/>
          <w:color w:val="auto"/>
        </w:rPr>
      </w:pPr>
    </w:p>
    <w:p>
      <w:pPr>
        <w:ind w:left="5" w:right="280" w:firstLine="643"/>
        <w:spacing w:after="0" w:line="349" w:lineRule="auto"/>
        <w:tabs>
          <w:tab w:leader="none" w:pos="1188"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Plan was amended and restated for the purposes of: (i) revising the retainer fee and annual deferred stock unit award amounts as integrated into this Plan effective April 27, 2015; and (ii) establishing a retainer fee and deferred stock unit award for the position of non- executive Chairman of the Board effective November 23, 2014.</w:t>
      </w:r>
    </w:p>
    <w:p>
      <w:pPr>
        <w:spacing w:after="0" w:line="167" w:lineRule="exact"/>
        <w:rPr>
          <w:sz w:val="20"/>
          <w:szCs w:val="20"/>
          <w:color w:val="auto"/>
        </w:rPr>
      </w:pPr>
    </w:p>
    <w:p>
      <w:pPr>
        <w:ind w:left="5" w:right="60" w:firstLine="643"/>
        <w:spacing w:after="0" w:line="318" w:lineRule="auto"/>
        <w:tabs>
          <w:tab w:leader="none" w:pos="1185"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Plan was amended and restated effective April 24, 2017 for the purposes of: (i) revising the retainer fee and annual deferred stock unit award amounts; (ii) establishing that non- employee directors serving in multiple leadership roles</w:t>
      </w:r>
    </w:p>
    <w:p>
      <w:pPr>
        <w:spacing w:after="0" w:line="1" w:lineRule="exact"/>
        <w:rPr>
          <w:rFonts w:ascii="Arial" w:cs="Arial" w:eastAsia="Arial" w:hAnsi="Arial"/>
          <w:sz w:val="19"/>
          <w:szCs w:val="19"/>
          <w:color w:val="auto"/>
        </w:rPr>
      </w:pPr>
    </w:p>
    <w:p>
      <w:pPr>
        <w:ind w:left="5" w:right="100"/>
        <w:spacing w:after="0" w:line="289" w:lineRule="auto"/>
        <w:rPr>
          <w:rFonts w:ascii="Arial" w:cs="Arial" w:eastAsia="Arial" w:hAnsi="Arial"/>
          <w:sz w:val="19"/>
          <w:szCs w:val="19"/>
          <w:color w:val="auto"/>
        </w:rPr>
      </w:pPr>
      <w:r>
        <w:rPr>
          <w:rFonts w:ascii="Arial" w:cs="Arial" w:eastAsia="Arial" w:hAnsi="Arial"/>
          <w:sz w:val="22"/>
          <w:szCs w:val="22"/>
          <w:color w:val="auto"/>
        </w:rPr>
        <w:t>would receive the additional awards specified for each role; and (iii) certain other changes related to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55"/>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925"/>
          </w:cols>
          <w:pgMar w:left="435" w:top="1440" w:right="539" w:bottom="1440" w:gutter="0" w:footer="0" w:header="0"/>
        </w:sectPr>
      </w:pPr>
    </w:p>
    <w:bookmarkStart w:id="103" w:name="page104"/>
    <w:bookmarkEnd w:id="103"/>
    <w:p>
      <w:pPr>
        <w:spacing w:after="0" w:line="42" w:lineRule="exact"/>
        <w:rPr>
          <w:sz w:val="20"/>
          <w:szCs w:val="20"/>
          <w:color w:val="auto"/>
        </w:rPr>
      </w:pPr>
    </w:p>
    <w:p>
      <w:pPr>
        <w:ind w:right="860" w:firstLine="644"/>
        <w:spacing w:after="0" w:line="302" w:lineRule="auto"/>
        <w:tabs>
          <w:tab w:leader="none" w:pos="118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Plan was amended and restated effective April 29, 2019 for the purpose of revising the retainer fee and annual deferred stock unit award amounts.</w:t>
      </w:r>
    </w:p>
    <w:p>
      <w:pPr>
        <w:spacing w:after="0" w:line="200" w:lineRule="exact"/>
        <w:rPr>
          <w:rFonts w:ascii="Arial" w:cs="Arial" w:eastAsia="Arial" w:hAnsi="Arial"/>
          <w:sz w:val="22"/>
          <w:szCs w:val="22"/>
          <w:color w:val="auto"/>
        </w:rPr>
      </w:pPr>
    </w:p>
    <w:p>
      <w:pPr>
        <w:ind w:right="580" w:firstLine="644"/>
        <w:spacing w:after="0" w:line="314" w:lineRule="auto"/>
        <w:tabs>
          <w:tab w:leader="none" w:pos="1179"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Plan was amended and restated effective January 1, 2020, for the purpose of effecting certain changes related to certain Corporate transactions, and to sunset the New Director Restricted Stock Unit Award.</w:t>
      </w:r>
    </w:p>
    <w:p>
      <w:pPr>
        <w:spacing w:after="0" w:line="191" w:lineRule="exact"/>
        <w:rPr>
          <w:rFonts w:ascii="Arial" w:cs="Arial" w:eastAsia="Arial" w:hAnsi="Arial"/>
          <w:sz w:val="21"/>
          <w:szCs w:val="21"/>
          <w:color w:val="auto"/>
        </w:rPr>
      </w:pPr>
    </w:p>
    <w:p>
      <w:pPr>
        <w:ind w:left="1180" w:hanging="537"/>
        <w:spacing w:after="0"/>
        <w:tabs>
          <w:tab w:leader="none" w:pos="11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Plan was amended and restated effective May 2, 2023 for the purposes of: (i) renaming the Plan, the</w:t>
      </w:r>
    </w:p>
    <w:p>
      <w:pPr>
        <w:spacing w:after="0" w:line="78" w:lineRule="exact"/>
        <w:rPr>
          <w:rFonts w:ascii="Arial" w:cs="Arial" w:eastAsia="Arial" w:hAnsi="Arial"/>
          <w:sz w:val="19"/>
          <w:szCs w:val="19"/>
          <w:color w:val="auto"/>
        </w:rPr>
      </w:pPr>
    </w:p>
    <w:p>
      <w:pPr>
        <w:ind w:right="200"/>
        <w:spacing w:after="0" w:line="336" w:lineRule="auto"/>
        <w:rPr>
          <w:rFonts w:ascii="Arial" w:cs="Arial" w:eastAsia="Arial" w:hAnsi="Arial"/>
          <w:sz w:val="19"/>
          <w:szCs w:val="19"/>
          <w:color w:val="auto"/>
        </w:rPr>
      </w:pPr>
      <w:r>
        <w:rPr>
          <w:rFonts w:ascii="Arial" w:cs="Arial" w:eastAsia="Arial" w:hAnsi="Arial"/>
          <w:sz w:val="19"/>
          <w:szCs w:val="19"/>
          <w:color w:val="auto"/>
        </w:rPr>
        <w:t>Raytheon Technologies Corporation Board of Directors Deferred Stock Unit Plan, changing all company references from ‘United Technologies Corporation’ to ‘Raytheon Technologies Corporation, (ii) revising the retainer fee and annual deferred stock unit award amounts; (iii) eliminating role awards for Audit Committee members; (iv) revising the role award for the Human Capital &amp; Compensation Committee Chair; and (v) certain other administrative changes.</w:t>
      </w:r>
    </w:p>
    <w:p>
      <w:pPr>
        <w:spacing w:after="0" w:line="180" w:lineRule="exact"/>
        <w:rPr>
          <w:rFonts w:ascii="Arial" w:cs="Arial" w:eastAsia="Arial" w:hAnsi="Arial"/>
          <w:sz w:val="19"/>
          <w:szCs w:val="19"/>
          <w:color w:val="auto"/>
        </w:rPr>
      </w:pPr>
    </w:p>
    <w:p>
      <w:pPr>
        <w:ind w:right="80" w:firstLine="644"/>
        <w:spacing w:after="0" w:line="285" w:lineRule="auto"/>
        <w:tabs>
          <w:tab w:leader="none" w:pos="1185"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Plan is hereby amended and restated effective as of October 1, 2023, for the purposes of renaming the Plan, the RTX Corporation Board of Directors Deferred Stock Unit Plan, and changing all company references from ‘Raytheon Technologies Corporation’ to ‘RTX Corporation’.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1.03 Impact of Carrier and Otis Spin-off</w:t>
      </w:r>
    </w:p>
    <w:p>
      <w:pPr>
        <w:spacing w:after="0" w:line="50" w:lineRule="exact"/>
        <w:rPr>
          <w:sz w:val="20"/>
          <w:szCs w:val="20"/>
          <w:color w:val="auto"/>
        </w:rPr>
      </w:pPr>
    </w:p>
    <w:p>
      <w:pPr>
        <w:ind w:firstLine="648"/>
        <w:spacing w:after="0" w:line="322" w:lineRule="auto"/>
        <w:rPr>
          <w:sz w:val="20"/>
          <w:szCs w:val="20"/>
          <w:color w:val="auto"/>
        </w:rPr>
      </w:pPr>
      <w:r>
        <w:rPr>
          <w:rFonts w:ascii="Arial" w:cs="Arial" w:eastAsia="Arial" w:hAnsi="Arial"/>
          <w:sz w:val="19"/>
          <w:szCs w:val="19"/>
          <w:color w:val="auto"/>
        </w:rPr>
        <w:t>Prior to the merger of United Technologies Corporation (“UTC”) with Raytheon Company on April 3, 2020 (the “Merger”), UTC separated into three independent companies, the Corporation, Carrier Global Corporation (“Carrier”), and Otis Worldwide Corporation (“Otis”), through spin-off transactions also on April 3, 2020. The transaction by which Otis and Carrier Corporation ceased to be subsidiaries of UTC is referred to herein as the “Spin-off.” Pursuant to the terms of the Employee Matters Agreement between UTC, Carrier and Otis: (a) vested Deferred Stock Units were converted upon the Spin-off into UTC, Otis and Carrier Deferred Stock Units; (b) vested restricted Deferred Stock Units granted under a New Director Restricted Stock Unit Award were converted upon the Spin-off into UTC, Otis and Carrier Deferred Stock Units; and (c) unvested restricted Deferred Stock Units granted under a New Director Restricted Stock Unit Award were converted into UTC Deferred Stock Units. Following the Merger and change of UTC’s name to Raytheon Technologies Corporation, the UTC Deferred Stock Units automatically became RTX Deferred Stock Units. RTX Deferred Stock Units credited to Participants under this Plan shall be distributed in shares of RTX Common Stock issued under the LTIP; however, Otis and Carrier Deferred Stock Units shall be distributed in cash. The settlement of Deferred Stock Units in Common Stock and cash, as applicable, and other adjustments described herein shall in no event: (i) increase the value of any Participant’s Account; (ii) modify any Participant’s distribution election; or (iii) alter the procedures in effect under the Plan with respect to elections and distributions other than the substitution of cash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40"/>
          </w:cols>
          <w:pgMar w:left="440" w:top="1440" w:right="519" w:bottom="1440" w:gutter="0" w:footer="0" w:header="0"/>
        </w:sectPr>
      </w:pPr>
    </w:p>
    <w:bookmarkStart w:id="104" w:name="page105"/>
    <w:bookmarkEnd w:id="104"/>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certain shares. The Plan shall be under no obligation to hold or issue shares of Otis or Carrier Common Stock.</w:t>
      </w: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010000"/>
        </w:rPr>
        <w:t>ARTICLE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DEFINITIONS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Unless the context clearly indicates otherwise, the following terms, when used in capitalized form in the Plan, shall have the meanings set forth below:</w:t>
      </w:r>
    </w:p>
    <w:p>
      <w:pPr>
        <w:spacing w:after="0" w:line="200" w:lineRule="exact"/>
        <w:rPr>
          <w:sz w:val="20"/>
          <w:szCs w:val="20"/>
          <w:color w:val="auto"/>
        </w:rPr>
      </w:pPr>
    </w:p>
    <w:p>
      <w:pPr>
        <w:ind w:right="300" w:firstLine="648"/>
        <w:spacing w:after="0" w:line="349" w:lineRule="auto"/>
        <w:rPr>
          <w:sz w:val="20"/>
          <w:szCs w:val="20"/>
          <w:color w:val="auto"/>
        </w:rPr>
      </w:pPr>
      <w:r>
        <w:rPr>
          <w:rFonts w:ascii="Arial" w:cs="Arial" w:eastAsia="Arial" w:hAnsi="Arial"/>
          <w:sz w:val="19"/>
          <w:szCs w:val="19"/>
          <w:b w:val="1"/>
          <w:bCs w:val="1"/>
          <w:i w:val="1"/>
          <w:iCs w:val="1"/>
          <w:color w:val="auto"/>
        </w:rPr>
        <w:t xml:space="preserve">Account </w:t>
      </w:r>
      <w:r>
        <w:rPr>
          <w:rFonts w:ascii="Arial" w:cs="Arial" w:eastAsia="Arial" w:hAnsi="Arial"/>
          <w:sz w:val="19"/>
          <w:szCs w:val="19"/>
          <w:color w:val="auto"/>
        </w:rPr>
        <w:t>means a bookkeeping account established for a Participant under</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is credited with Deferred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Units but excluding accounts under the Prior Plan. Accounts under the Prior Plan will be valued and administered separately in accordance with the terms and procedures in effect under the Prior Plan set forth in Appendix A.</w:t>
      </w:r>
    </w:p>
    <w:p>
      <w:pPr>
        <w:spacing w:after="0" w:line="167" w:lineRule="exact"/>
        <w:rPr>
          <w:sz w:val="20"/>
          <w:szCs w:val="20"/>
          <w:color w:val="auto"/>
        </w:rPr>
      </w:pPr>
    </w:p>
    <w:p>
      <w:pPr>
        <w:ind w:right="860" w:firstLine="648"/>
        <w:spacing w:after="0" w:line="289" w:lineRule="auto"/>
        <w:rPr>
          <w:sz w:val="20"/>
          <w:szCs w:val="20"/>
          <w:color w:val="auto"/>
        </w:rPr>
      </w:pPr>
      <w:r>
        <w:rPr>
          <w:rFonts w:ascii="Arial" w:cs="Arial" w:eastAsia="Arial" w:hAnsi="Arial"/>
          <w:sz w:val="22"/>
          <w:szCs w:val="22"/>
          <w:b w:val="1"/>
          <w:bCs w:val="1"/>
          <w:i w:val="1"/>
          <w:iCs w:val="1"/>
          <w:color w:val="auto"/>
        </w:rPr>
        <w:t xml:space="preserve">Annual Deferred Stock Unit Award </w:t>
      </w:r>
      <w:r>
        <w:rPr>
          <w:rFonts w:ascii="Arial" w:cs="Arial" w:eastAsia="Arial" w:hAnsi="Arial"/>
          <w:sz w:val="22"/>
          <w:szCs w:val="22"/>
          <w:color w:val="auto"/>
        </w:rPr>
        <w:t>means the annual grant of Deferred Stock Units made to Participants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Annual Meeting </w:t>
      </w:r>
      <w:r>
        <w:rPr>
          <w:rFonts w:ascii="Arial" w:cs="Arial" w:eastAsia="Arial" w:hAnsi="Arial"/>
          <w:sz w:val="22"/>
          <w:szCs w:val="22"/>
          <w:color w:val="auto"/>
        </w:rPr>
        <w:t>means the Corporation’s Annual Meeting of Shareowners.</w:t>
      </w:r>
    </w:p>
    <w:p>
      <w:pPr>
        <w:spacing w:after="0" w:line="220" w:lineRule="exact"/>
        <w:rPr>
          <w:sz w:val="20"/>
          <w:szCs w:val="20"/>
          <w:color w:val="auto"/>
        </w:rPr>
      </w:pPr>
    </w:p>
    <w:p>
      <w:pPr>
        <w:ind w:right="2800" w:firstLine="648"/>
        <w:spacing w:after="0" w:line="343" w:lineRule="auto"/>
        <w:rPr>
          <w:sz w:val="20"/>
          <w:szCs w:val="20"/>
          <w:color w:val="auto"/>
        </w:rPr>
      </w:pPr>
      <w:r>
        <w:rPr>
          <w:rFonts w:ascii="Arial" w:cs="Arial" w:eastAsia="Arial" w:hAnsi="Arial"/>
          <w:sz w:val="19"/>
          <w:szCs w:val="19"/>
          <w:b w:val="1"/>
          <w:bCs w:val="1"/>
          <w:i w:val="1"/>
          <w:iCs w:val="1"/>
          <w:color w:val="auto"/>
        </w:rPr>
        <w:t xml:space="preserve">Annual Retainer </w:t>
      </w:r>
      <w:r>
        <w:rPr>
          <w:rFonts w:ascii="Arial" w:cs="Arial" w:eastAsia="Arial" w:hAnsi="Arial"/>
          <w:sz w:val="19"/>
          <w:szCs w:val="19"/>
          <w:color w:val="auto"/>
        </w:rPr>
        <w:t>means the annual retainer fee payable to a Participant under</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for services to the Corporation as an independent Director in the capacities indicated.</w:t>
      </w:r>
    </w:p>
    <w:p>
      <w:pPr>
        <w:spacing w:after="0" w:line="212"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b w:val="1"/>
          <w:bCs w:val="1"/>
          <w:i w:val="1"/>
          <w:iCs w:val="1"/>
          <w:color w:val="auto"/>
        </w:rPr>
        <w:t xml:space="preserve">Beneficiary </w:t>
      </w:r>
      <w:r>
        <w:rPr>
          <w:rFonts w:ascii="Arial" w:cs="Arial" w:eastAsia="Arial" w:hAnsi="Arial"/>
          <w:sz w:val="22"/>
          <w:szCs w:val="22"/>
          <w:color w:val="auto"/>
        </w:rPr>
        <w:t>means a Participant’s beneficiary, designated in writing in a form and manner satisfactory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or if a Participant fails to designate a beneficiary, or if all of the Participant’s designated Beneficiaries predecease the Participant, the Participant’s estate.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means the Board of Directors of the Corporation.</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 xml:space="preserve">Board Cycle </w:t>
      </w:r>
      <w:r>
        <w:rPr>
          <w:rFonts w:ascii="Arial" w:cs="Arial" w:eastAsia="Arial" w:hAnsi="Arial"/>
          <w:sz w:val="19"/>
          <w:szCs w:val="19"/>
          <w:color w:val="auto"/>
        </w:rPr>
        <w:t>means the period beginning on an Annual Meeting and ending at the start of the next Annual Meeting.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Carrier </w:t>
      </w:r>
      <w:r>
        <w:rPr>
          <w:rFonts w:ascii="Arial" w:cs="Arial" w:eastAsia="Arial" w:hAnsi="Arial"/>
          <w:sz w:val="22"/>
          <w:szCs w:val="22"/>
          <w:color w:val="auto"/>
        </w:rPr>
        <w:t>means Carrier Global Corporation.</w:t>
      </w:r>
    </w:p>
    <w:p>
      <w:pPr>
        <w:spacing w:after="0" w:line="247" w:lineRule="exact"/>
        <w:rPr>
          <w:sz w:val="20"/>
          <w:szCs w:val="20"/>
          <w:color w:val="auto"/>
        </w:rPr>
      </w:pPr>
    </w:p>
    <w:p>
      <w:pPr>
        <w:ind w:right="480" w:firstLine="648"/>
        <w:spacing w:after="0" w:line="372" w:lineRule="auto"/>
        <w:rPr>
          <w:sz w:val="20"/>
          <w:szCs w:val="20"/>
          <w:color w:val="auto"/>
        </w:rPr>
      </w:pPr>
      <w:r>
        <w:rPr>
          <w:rFonts w:ascii="Arial" w:cs="Arial" w:eastAsia="Arial" w:hAnsi="Arial"/>
          <w:sz w:val="19"/>
          <w:szCs w:val="19"/>
          <w:b w:val="1"/>
          <w:bCs w:val="1"/>
          <w:i w:val="1"/>
          <w:iCs w:val="1"/>
          <w:color w:val="auto"/>
        </w:rPr>
        <w:t xml:space="preserve">Carrier Deferred Stock Units </w:t>
      </w:r>
      <w:r>
        <w:rPr>
          <w:rFonts w:ascii="Arial" w:cs="Arial" w:eastAsia="Arial" w:hAnsi="Arial"/>
          <w:sz w:val="19"/>
          <w:szCs w:val="19"/>
          <w:color w:val="auto"/>
        </w:rPr>
        <w:t>means Deferred Stock Units of Carrier Global Corporation distributable in cash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Each Carrier Deferred Stock Unit is equal in value to a share of Carrier common stock.</w:t>
      </w:r>
    </w:p>
    <w:p>
      <w:pPr>
        <w:spacing w:after="0" w:line="146"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b w:val="1"/>
          <w:bCs w:val="1"/>
          <w:i w:val="1"/>
          <w:iCs w:val="1"/>
          <w:color w:val="auto"/>
        </w:rPr>
        <w:t xml:space="preserve">Closing Price </w:t>
      </w:r>
      <w:r>
        <w:rPr>
          <w:rFonts w:ascii="Arial" w:cs="Arial" w:eastAsia="Arial" w:hAnsi="Arial"/>
          <w:sz w:val="22"/>
          <w:szCs w:val="22"/>
          <w:color w:val="auto"/>
        </w:rPr>
        <w:t>means, with respect to any date specified by the Plan, the closing price of common stock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composite tape of New York Stock Exchange on such date (or if there was no reported sale of common stock on such date, on the next following day on which there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60"/>
          </w:cols>
          <w:pgMar w:left="440" w:top="1440" w:right="599" w:bottom="1440" w:gutter="0" w:footer="0" w:header="0"/>
        </w:sectPr>
      </w:pPr>
    </w:p>
    <w:bookmarkStart w:id="105" w:name="page106"/>
    <w:bookmarkEnd w:id="105"/>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such a reported sale) which common stock is the underlying referenced security of the relevant Deferred Stock Unit.</w:t>
      </w:r>
    </w:p>
    <w:p>
      <w:pPr>
        <w:spacing w:after="0" w:line="299" w:lineRule="exact"/>
        <w:rPr>
          <w:sz w:val="20"/>
          <w:szCs w:val="20"/>
          <w:color w:val="auto"/>
        </w:rPr>
      </w:pPr>
    </w:p>
    <w:p>
      <w:pPr>
        <w:ind w:right="120" w:firstLine="648"/>
        <w:spacing w:after="0" w:line="284" w:lineRule="auto"/>
        <w:rPr>
          <w:sz w:val="20"/>
          <w:szCs w:val="20"/>
          <w:color w:val="auto"/>
        </w:rPr>
      </w:pPr>
      <w:r>
        <w:rPr>
          <w:rFonts w:ascii="Arial" w:cs="Arial" w:eastAsia="Arial" w:hAnsi="Arial"/>
          <w:sz w:val="22"/>
          <w:szCs w:val="22"/>
          <w:b w:val="1"/>
          <w:bCs w:val="1"/>
          <w:i w:val="1"/>
          <w:iCs w:val="1"/>
          <w:color w:val="auto"/>
        </w:rPr>
        <w:t xml:space="preserve">Code </w:t>
      </w:r>
      <w:r>
        <w:rPr>
          <w:rFonts w:ascii="Arial" w:cs="Arial" w:eastAsia="Arial" w:hAnsi="Arial"/>
          <w:sz w:val="22"/>
          <w:szCs w:val="22"/>
          <w:color w:val="auto"/>
        </w:rPr>
        <w:t>means the Internal Revenue Code of 1986, as amended from time to time, and any successor thereto. References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any Section of the Internal Revenue Code shall include any final regulations or other applicable guidance. References to “Section 409A” shall include any final regulations or other applicable guidance issued thereunder by the Internal Revenue Service from time to time.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Committee </w:t>
      </w:r>
      <w:r>
        <w:rPr>
          <w:rFonts w:ascii="Arial" w:cs="Arial" w:eastAsia="Arial" w:hAnsi="Arial"/>
          <w:sz w:val="21"/>
          <w:szCs w:val="21"/>
          <w:color w:val="auto"/>
        </w:rPr>
        <w:t>means the Governance and Public Policy Committee (and any successor Committee) of the Board.</w:t>
      </w:r>
    </w:p>
    <w:p>
      <w:pPr>
        <w:spacing w:after="0" w:line="299" w:lineRule="exact"/>
        <w:rPr>
          <w:sz w:val="20"/>
          <w:szCs w:val="20"/>
          <w:color w:val="auto"/>
        </w:rPr>
      </w:pPr>
    </w:p>
    <w:p>
      <w:pPr>
        <w:ind w:right="300" w:firstLine="648"/>
        <w:spacing w:after="0" w:line="314" w:lineRule="auto"/>
        <w:rPr>
          <w:sz w:val="20"/>
          <w:szCs w:val="20"/>
          <w:color w:val="auto"/>
        </w:rPr>
      </w:pPr>
      <w:r>
        <w:rPr>
          <w:rFonts w:ascii="Arial" w:cs="Arial" w:eastAsia="Arial" w:hAnsi="Arial"/>
          <w:sz w:val="21"/>
          <w:szCs w:val="21"/>
          <w:b w:val="1"/>
          <w:bCs w:val="1"/>
          <w:i w:val="1"/>
          <w:iCs w:val="1"/>
          <w:color w:val="auto"/>
        </w:rPr>
        <w:t xml:space="preserve">Conversion Date </w:t>
      </w:r>
      <w:r>
        <w:rPr>
          <w:rFonts w:ascii="Arial" w:cs="Arial" w:eastAsia="Arial" w:hAnsi="Arial"/>
          <w:sz w:val="21"/>
          <w:szCs w:val="21"/>
          <w:color w:val="auto"/>
        </w:rPr>
        <w:t>means the date Deferred Stock Units are converted to shares of RTX Common Stock, immediately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prior to the delivery of such shares to a Participant or Beneficiary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herein.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Corporation </w:t>
      </w:r>
      <w:r>
        <w:rPr>
          <w:rFonts w:ascii="Arial" w:cs="Arial" w:eastAsia="Arial" w:hAnsi="Arial"/>
          <w:sz w:val="22"/>
          <w:szCs w:val="22"/>
          <w:color w:val="auto"/>
        </w:rPr>
        <w:t>means RTX Corporation.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 xml:space="preserve">Deferred Annual Retainer </w:t>
      </w:r>
      <w:r>
        <w:rPr>
          <w:rFonts w:ascii="Arial" w:cs="Arial" w:eastAsia="Arial" w:hAnsi="Arial"/>
          <w:sz w:val="19"/>
          <w:szCs w:val="19"/>
          <w:color w:val="auto"/>
        </w:rPr>
        <w:t>means any portion of a Participant’s Annual Retainer deferred in accordance with</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ind w:right="100" w:firstLine="648"/>
        <w:spacing w:after="0" w:line="279" w:lineRule="auto"/>
        <w:rPr>
          <w:sz w:val="20"/>
          <w:szCs w:val="20"/>
          <w:color w:val="auto"/>
        </w:rPr>
      </w:pPr>
      <w:r>
        <w:rPr>
          <w:rFonts w:ascii="Arial" w:cs="Arial" w:eastAsia="Arial" w:hAnsi="Arial"/>
          <w:sz w:val="22"/>
          <w:szCs w:val="22"/>
          <w:b w:val="1"/>
          <w:bCs w:val="1"/>
          <w:i w:val="1"/>
          <w:iCs w:val="1"/>
          <w:color w:val="auto"/>
        </w:rPr>
        <w:t xml:space="preserve">Deferred Stock Units </w:t>
      </w:r>
      <w:r>
        <w:rPr>
          <w:rFonts w:ascii="Arial" w:cs="Arial" w:eastAsia="Arial" w:hAnsi="Arial"/>
          <w:sz w:val="22"/>
          <w:szCs w:val="22"/>
          <w:color w:val="auto"/>
        </w:rPr>
        <w:t>means hypothetical shares of common stock that will be settled in actual shares, or an amount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cash equal to the fair market value of shares, of common stock (as applicable), that have been deferred in accordance with Section 409A.</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22"/>
          <w:szCs w:val="22"/>
          <w:b w:val="1"/>
          <w:bCs w:val="1"/>
          <w:i w:val="1"/>
          <w:iCs w:val="1"/>
          <w:color w:val="auto"/>
        </w:rPr>
        <w:t xml:space="preserve">Distribution Anniversary Date </w:t>
      </w:r>
      <w:r>
        <w:rPr>
          <w:rFonts w:ascii="Arial" w:cs="Arial" w:eastAsia="Arial" w:hAnsi="Arial"/>
          <w:sz w:val="22"/>
          <w:szCs w:val="22"/>
          <w:color w:val="auto"/>
        </w:rPr>
        <w:t>means an anniversary of the Distribution Commencement Date.</w:t>
      </w:r>
    </w:p>
    <w:p>
      <w:pPr>
        <w:spacing w:after="0" w:line="274" w:lineRule="exact"/>
        <w:rPr>
          <w:sz w:val="20"/>
          <w:szCs w:val="20"/>
          <w:color w:val="auto"/>
        </w:rPr>
      </w:pPr>
    </w:p>
    <w:p>
      <w:pPr>
        <w:ind w:right="2660" w:firstLine="622"/>
        <w:spacing w:after="0" w:line="302" w:lineRule="auto"/>
        <w:rPr>
          <w:sz w:val="20"/>
          <w:szCs w:val="20"/>
          <w:color w:val="auto"/>
        </w:rPr>
      </w:pPr>
      <w:r>
        <w:rPr>
          <w:rFonts w:ascii="Arial" w:cs="Arial" w:eastAsia="Arial" w:hAnsi="Arial"/>
          <w:sz w:val="22"/>
          <w:szCs w:val="22"/>
          <w:b w:val="1"/>
          <w:bCs w:val="1"/>
          <w:i w:val="1"/>
          <w:iCs w:val="1"/>
          <w:color w:val="auto"/>
        </w:rPr>
        <w:t xml:space="preserve">Distribution Commencement Date </w:t>
      </w:r>
      <w:r>
        <w:rPr>
          <w:rFonts w:ascii="Arial" w:cs="Arial" w:eastAsia="Arial" w:hAnsi="Arial"/>
          <w:sz w:val="22"/>
          <w:szCs w:val="22"/>
          <w:color w:val="auto"/>
        </w:rPr>
        <w:t>means the first business day that is 30 days following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date of Separation from Service.</w:t>
      </w:r>
    </w:p>
    <w:p>
      <w:pPr>
        <w:spacing w:after="0" w:line="187" w:lineRule="exact"/>
        <w:rPr>
          <w:sz w:val="20"/>
          <w:szCs w:val="20"/>
          <w:color w:val="auto"/>
        </w:rPr>
      </w:pPr>
    </w:p>
    <w:p>
      <w:pPr>
        <w:jc w:val="both"/>
        <w:ind w:right="160" w:firstLine="648"/>
        <w:spacing w:after="0" w:line="298" w:lineRule="auto"/>
        <w:rPr>
          <w:sz w:val="20"/>
          <w:szCs w:val="20"/>
          <w:color w:val="auto"/>
        </w:rPr>
      </w:pPr>
      <w:r>
        <w:rPr>
          <w:rFonts w:ascii="Arial" w:cs="Arial" w:eastAsia="Arial" w:hAnsi="Arial"/>
          <w:sz w:val="22"/>
          <w:szCs w:val="22"/>
          <w:b w:val="1"/>
          <w:bCs w:val="1"/>
          <w:i w:val="1"/>
          <w:iCs w:val="1"/>
          <w:color w:val="auto"/>
        </w:rPr>
        <w:t xml:space="preserve">Election </w:t>
      </w:r>
      <w:r>
        <w:rPr>
          <w:rFonts w:ascii="Arial" w:cs="Arial" w:eastAsia="Arial" w:hAnsi="Arial"/>
          <w:sz w:val="22"/>
          <w:szCs w:val="22"/>
          <w:color w:val="auto"/>
        </w:rPr>
        <w:t>means an irrevocable election by a Participant either to defer all or a portion of the Annual Retainer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otherwise payable in cash or to specify how an Account will be distributed (i.e., as a lump sum, or in 10 or 15 annual installments).</w:t>
      </w:r>
    </w:p>
    <w:p>
      <w:pPr>
        <w:spacing w:after="0" w:line="205"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22"/>
          <w:szCs w:val="22"/>
          <w:b w:val="1"/>
          <w:bCs w:val="1"/>
          <w:i w:val="1"/>
          <w:iCs w:val="1"/>
          <w:color w:val="auto"/>
        </w:rPr>
        <w:t xml:space="preserve">Employee Matters Agreement </w:t>
      </w:r>
      <w:r>
        <w:rPr>
          <w:rFonts w:ascii="Arial" w:cs="Arial" w:eastAsia="Arial" w:hAnsi="Arial"/>
          <w:sz w:val="22"/>
          <w:szCs w:val="22"/>
          <w:color w:val="auto"/>
        </w:rPr>
        <w:t>means the Employee Matters Agreement entered into, by and among the Corporation,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Otis, and Carrier.</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LTIP </w:t>
      </w:r>
      <w:r>
        <w:rPr>
          <w:rFonts w:ascii="Arial" w:cs="Arial" w:eastAsia="Arial" w:hAnsi="Arial"/>
          <w:sz w:val="22"/>
          <w:szCs w:val="22"/>
          <w:color w:val="auto"/>
        </w:rPr>
        <w:t>means the RTX Corporation 2018 Long-Term Incentive Plan,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00"/>
          </w:cols>
          <w:pgMar w:left="440" w:top="1440" w:right="459" w:bottom="1440" w:gutter="0" w:footer="0" w:header="0"/>
        </w:sectPr>
      </w:pPr>
    </w:p>
    <w:bookmarkStart w:id="106" w:name="page107"/>
    <w:bookmarkEnd w:id="106"/>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Merger </w:t>
      </w:r>
      <w:r>
        <w:rPr>
          <w:rFonts w:ascii="Arial" w:cs="Arial" w:eastAsia="Arial" w:hAnsi="Arial"/>
          <w:sz w:val="22"/>
          <w:szCs w:val="22"/>
          <w:color w:val="auto"/>
        </w:rPr>
        <w:t>means the merger of United Technologies Corporation with Raytheon Company on April 3, 2020.</w:t>
      </w:r>
    </w:p>
    <w:p>
      <w:pPr>
        <w:spacing w:after="0" w:line="287" w:lineRule="exact"/>
        <w:rPr>
          <w:sz w:val="20"/>
          <w:szCs w:val="20"/>
          <w:color w:val="auto"/>
        </w:rPr>
      </w:pPr>
    </w:p>
    <w:p>
      <w:pPr>
        <w:ind w:right="520" w:firstLine="648"/>
        <w:spacing w:after="0" w:line="302" w:lineRule="auto"/>
        <w:rPr>
          <w:sz w:val="20"/>
          <w:szCs w:val="20"/>
          <w:color w:val="auto"/>
        </w:rPr>
      </w:pPr>
      <w:r>
        <w:rPr>
          <w:rFonts w:ascii="Arial" w:cs="Arial" w:eastAsia="Arial" w:hAnsi="Arial"/>
          <w:sz w:val="22"/>
          <w:szCs w:val="22"/>
          <w:b w:val="1"/>
          <w:bCs w:val="1"/>
          <w:i w:val="1"/>
          <w:iCs w:val="1"/>
          <w:color w:val="auto"/>
        </w:rPr>
        <w:t xml:space="preserve">New Director Restricted Stock Unit Award </w:t>
      </w:r>
      <w:r>
        <w:rPr>
          <w:rFonts w:ascii="Arial" w:cs="Arial" w:eastAsia="Arial" w:hAnsi="Arial"/>
          <w:sz w:val="22"/>
          <w:szCs w:val="22"/>
          <w:color w:val="auto"/>
        </w:rPr>
        <w:t>means the one-time Deferred Stock Unit award that was previously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granted to a Participant upon election to the Board as provided in Section 3.03.</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Otis </w:t>
      </w:r>
      <w:r>
        <w:rPr>
          <w:rFonts w:ascii="Arial" w:cs="Arial" w:eastAsia="Arial" w:hAnsi="Arial"/>
          <w:sz w:val="22"/>
          <w:szCs w:val="22"/>
          <w:color w:val="auto"/>
        </w:rPr>
        <w:t>means Otis Worldwide Corporation.</w:t>
      </w:r>
    </w:p>
    <w:p>
      <w:pPr>
        <w:spacing w:after="0" w:line="247" w:lineRule="exact"/>
        <w:rPr>
          <w:sz w:val="20"/>
          <w:szCs w:val="20"/>
          <w:color w:val="auto"/>
        </w:rPr>
      </w:pPr>
    </w:p>
    <w:p>
      <w:pPr>
        <w:ind w:right="880" w:firstLine="648"/>
        <w:spacing w:after="0" w:line="387" w:lineRule="auto"/>
        <w:rPr>
          <w:sz w:val="20"/>
          <w:szCs w:val="20"/>
          <w:color w:val="auto"/>
        </w:rPr>
      </w:pPr>
      <w:r>
        <w:rPr>
          <w:rFonts w:ascii="Arial" w:cs="Arial" w:eastAsia="Arial" w:hAnsi="Arial"/>
          <w:sz w:val="19"/>
          <w:szCs w:val="19"/>
          <w:b w:val="1"/>
          <w:bCs w:val="1"/>
          <w:i w:val="1"/>
          <w:iCs w:val="1"/>
          <w:color w:val="auto"/>
        </w:rPr>
        <w:t xml:space="preserve">Otis Deferred Stock Units </w:t>
      </w:r>
      <w:r>
        <w:rPr>
          <w:rFonts w:ascii="Arial" w:cs="Arial" w:eastAsia="Arial" w:hAnsi="Arial"/>
          <w:sz w:val="19"/>
          <w:szCs w:val="19"/>
          <w:color w:val="auto"/>
        </w:rPr>
        <w:t>means Deferred Stock Units of Otis Worldwide Corporation distributable in cash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Each Otis Deferred Stock Unit is equal in value to a share of Otis common stock.</w:t>
      </w:r>
    </w:p>
    <w:p>
      <w:pPr>
        <w:spacing w:after="0" w:line="119" w:lineRule="exact"/>
        <w:rPr>
          <w:sz w:val="20"/>
          <w:szCs w:val="20"/>
          <w:color w:val="auto"/>
        </w:rPr>
      </w:pPr>
    </w:p>
    <w:p>
      <w:pPr>
        <w:ind w:firstLine="648"/>
        <w:spacing w:after="0" w:line="280" w:lineRule="auto"/>
        <w:rPr>
          <w:sz w:val="20"/>
          <w:szCs w:val="20"/>
          <w:color w:val="auto"/>
        </w:rPr>
      </w:pPr>
      <w:r>
        <w:rPr>
          <w:rFonts w:ascii="Arial" w:cs="Arial" w:eastAsia="Arial" w:hAnsi="Arial"/>
          <w:sz w:val="22"/>
          <w:szCs w:val="22"/>
          <w:b w:val="1"/>
          <w:bCs w:val="1"/>
          <w:i w:val="1"/>
          <w:iCs w:val="1"/>
          <w:color w:val="auto"/>
        </w:rPr>
        <w:t xml:space="preserve">Participant </w:t>
      </w:r>
      <w:r>
        <w:rPr>
          <w:rFonts w:ascii="Arial" w:cs="Arial" w:eastAsia="Arial" w:hAnsi="Arial"/>
          <w:sz w:val="22"/>
          <w:szCs w:val="22"/>
          <w:color w:val="auto"/>
        </w:rPr>
        <w:t>means a non-employee member of the Board. A Participant, who has an existing Account under the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but is not, or is no longer serving as a non-employee director, shall not be eligible for additional awards under the Plan, but shall remain a Participant under the Plan with respect to his or her Account until it is distributed or forfeited in accordance with the terms of the Plan.</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Plan </w:t>
      </w:r>
      <w:r>
        <w:rPr>
          <w:rFonts w:ascii="Arial" w:cs="Arial" w:eastAsia="Arial" w:hAnsi="Arial"/>
          <w:sz w:val="21"/>
          <w:szCs w:val="21"/>
          <w:color w:val="auto"/>
        </w:rPr>
        <w:t>means this RTX Corporation Board of Directors Deferred Stock Unit Plan, as amended from time to time.</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Plan Year </w:t>
      </w:r>
      <w:r>
        <w:rPr>
          <w:rFonts w:ascii="Arial" w:cs="Arial" w:eastAsia="Arial" w:hAnsi="Arial"/>
          <w:sz w:val="22"/>
          <w:szCs w:val="22"/>
          <w:color w:val="auto"/>
        </w:rPr>
        <w:t>means the calendar year.</w:t>
      </w:r>
    </w:p>
    <w:p>
      <w:pPr>
        <w:spacing w:after="0" w:line="247" w:lineRule="exact"/>
        <w:rPr>
          <w:sz w:val="20"/>
          <w:szCs w:val="20"/>
          <w:color w:val="auto"/>
        </w:rPr>
      </w:pPr>
    </w:p>
    <w:p>
      <w:pPr>
        <w:jc w:val="both"/>
        <w:ind w:right="380" w:firstLine="648"/>
        <w:spacing w:after="0" w:line="285" w:lineRule="auto"/>
        <w:rPr>
          <w:sz w:val="20"/>
          <w:szCs w:val="20"/>
          <w:color w:val="auto"/>
        </w:rPr>
      </w:pPr>
      <w:r>
        <w:rPr>
          <w:rFonts w:ascii="Arial" w:cs="Arial" w:eastAsia="Arial" w:hAnsi="Arial"/>
          <w:sz w:val="22"/>
          <w:szCs w:val="22"/>
          <w:b w:val="1"/>
          <w:bCs w:val="1"/>
          <w:i w:val="1"/>
          <w:iCs w:val="1"/>
          <w:color w:val="auto"/>
        </w:rPr>
        <w:t xml:space="preserve">Prior Plan </w:t>
      </w:r>
      <w:r>
        <w:rPr>
          <w:rFonts w:ascii="Arial" w:cs="Arial" w:eastAsia="Arial" w:hAnsi="Arial"/>
          <w:sz w:val="22"/>
          <w:szCs w:val="22"/>
          <w:color w:val="auto"/>
        </w:rPr>
        <w:t>means the United Technologies Corporation Board of Directors Deferred Stock Unit Plan, as in effect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October 3, 2004, and as modified thereafter from time to time in a manner that does not constitute a "material modification" for purposes of Section 409A, as set forth in Appendix A hereto.</w:t>
      </w:r>
    </w:p>
    <w:p>
      <w:pPr>
        <w:spacing w:after="0" w:line="273" w:lineRule="exact"/>
        <w:rPr>
          <w:sz w:val="20"/>
          <w:szCs w:val="20"/>
          <w:color w:val="auto"/>
        </w:rPr>
      </w:pPr>
    </w:p>
    <w:p>
      <w:pPr>
        <w:ind w:left="620"/>
        <w:spacing w:after="0"/>
        <w:rPr>
          <w:sz w:val="20"/>
          <w:szCs w:val="20"/>
          <w:color w:val="auto"/>
        </w:rPr>
      </w:pPr>
      <w:r>
        <w:rPr>
          <w:rFonts w:ascii="Arial" w:cs="Arial" w:eastAsia="Arial" w:hAnsi="Arial"/>
          <w:sz w:val="22"/>
          <w:szCs w:val="22"/>
          <w:b w:val="1"/>
          <w:bCs w:val="1"/>
          <w:i w:val="1"/>
          <w:iCs w:val="1"/>
          <w:color w:val="auto"/>
        </w:rPr>
        <w:t xml:space="preserve">Recapitalization Event </w:t>
      </w:r>
      <w:r>
        <w:rPr>
          <w:rFonts w:ascii="Arial" w:cs="Arial" w:eastAsia="Arial" w:hAnsi="Arial"/>
          <w:sz w:val="22"/>
          <w:szCs w:val="22"/>
          <w:color w:val="auto"/>
        </w:rPr>
        <w:t>means a transaction or event described in Section 4.05(a)(iii).</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RTX </w:t>
      </w:r>
      <w:r>
        <w:rPr>
          <w:rFonts w:ascii="Arial" w:cs="Arial" w:eastAsia="Arial" w:hAnsi="Arial"/>
          <w:sz w:val="22"/>
          <w:szCs w:val="22"/>
          <w:color w:val="auto"/>
        </w:rPr>
        <w:t>means RTX Corporation.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RTX Common Stock </w:t>
      </w:r>
      <w:r>
        <w:rPr>
          <w:rFonts w:ascii="Arial" w:cs="Arial" w:eastAsia="Arial" w:hAnsi="Arial"/>
          <w:sz w:val="22"/>
          <w:szCs w:val="22"/>
          <w:color w:val="auto"/>
        </w:rPr>
        <w:t>shall mean the common stock of the Corporation.</w:t>
      </w:r>
    </w:p>
    <w:p>
      <w:pPr>
        <w:spacing w:after="0" w:line="247" w:lineRule="exact"/>
        <w:rPr>
          <w:sz w:val="20"/>
          <w:szCs w:val="20"/>
          <w:color w:val="auto"/>
        </w:rPr>
      </w:pPr>
    </w:p>
    <w:p>
      <w:pPr>
        <w:jc w:val="both"/>
        <w:ind w:right="380" w:firstLine="648"/>
        <w:spacing w:after="0" w:line="318" w:lineRule="auto"/>
        <w:rPr>
          <w:sz w:val="20"/>
          <w:szCs w:val="20"/>
          <w:color w:val="auto"/>
        </w:rPr>
      </w:pPr>
      <w:r>
        <w:rPr>
          <w:rFonts w:ascii="Arial" w:cs="Arial" w:eastAsia="Arial" w:hAnsi="Arial"/>
          <w:sz w:val="19"/>
          <w:szCs w:val="19"/>
          <w:b w:val="1"/>
          <w:bCs w:val="1"/>
          <w:i w:val="1"/>
          <w:iCs w:val="1"/>
          <w:color w:val="auto"/>
        </w:rPr>
        <w:t xml:space="preserve">RTX Deferred Stock Units </w:t>
      </w:r>
      <w:r>
        <w:rPr>
          <w:rFonts w:ascii="Arial" w:cs="Arial" w:eastAsia="Arial" w:hAnsi="Arial"/>
          <w:sz w:val="19"/>
          <w:szCs w:val="19"/>
          <w:color w:val="auto"/>
        </w:rPr>
        <w:t>means Deferred Stock Units of the Corporation convertible into actual shares of RTX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Stock as of the Conversion Date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Each RTX Deferred Stock Unit is equal in value to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one share of RTX Common</w:t>
      </w:r>
    </w:p>
    <w:p>
      <w:pPr>
        <w:spacing w:after="0" w:line="21" w:lineRule="exact"/>
        <w:rPr>
          <w:sz w:val="20"/>
          <w:szCs w:val="20"/>
          <w:color w:val="auto"/>
        </w:rPr>
      </w:pPr>
    </w:p>
    <w:p>
      <w:pPr>
        <w:ind w:right="60"/>
        <w:spacing w:after="0" w:line="269" w:lineRule="auto"/>
        <w:rPr>
          <w:sz w:val="20"/>
          <w:szCs w:val="20"/>
          <w:color w:val="auto"/>
        </w:rPr>
      </w:pPr>
      <w:r>
        <w:rPr>
          <w:rFonts w:ascii="Arial" w:cs="Arial" w:eastAsia="Arial" w:hAnsi="Arial"/>
          <w:sz w:val="21"/>
          <w:szCs w:val="21"/>
          <w:color w:val="auto"/>
        </w:rPr>
        <w:t>Stock. RTX Deferred Stock Units are awarded under the LTIP and distributed and administered in accordance with the terms of this Plan. Prior to the Merger, RTX Deferred Stock Units were referred to as UTC Deferred Stock Units.</w:t>
      </w:r>
    </w:p>
    <w:p>
      <w:pPr>
        <w:spacing w:after="0" w:line="200" w:lineRule="exact"/>
        <w:rPr>
          <w:sz w:val="20"/>
          <w:szCs w:val="20"/>
          <w:color w:val="auto"/>
        </w:rPr>
      </w:pPr>
    </w:p>
    <w:p>
      <w:pPr>
        <w:spacing w:after="0" w:line="348"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440" w:top="1440" w:right="379" w:bottom="1440" w:gutter="0" w:footer="0" w:header="0"/>
        </w:sectPr>
      </w:pPr>
    </w:p>
    <w:bookmarkStart w:id="107" w:name="page108"/>
    <w:bookmarkEnd w:id="107"/>
    <w:p>
      <w:pPr>
        <w:spacing w:after="0" w:line="285" w:lineRule="exact"/>
        <w:rPr>
          <w:sz w:val="20"/>
          <w:szCs w:val="20"/>
          <w:color w:val="auto"/>
        </w:rPr>
      </w:pPr>
    </w:p>
    <w:p>
      <w:pPr>
        <w:jc w:val="both"/>
        <w:ind w:right="320" w:firstLine="648"/>
        <w:spacing w:after="0" w:line="304" w:lineRule="auto"/>
        <w:rPr>
          <w:sz w:val="20"/>
          <w:szCs w:val="20"/>
          <w:color w:val="auto"/>
        </w:rPr>
      </w:pPr>
      <w:r>
        <w:rPr>
          <w:rFonts w:ascii="Arial" w:cs="Arial" w:eastAsia="Arial" w:hAnsi="Arial"/>
          <w:sz w:val="21"/>
          <w:szCs w:val="21"/>
          <w:b w:val="1"/>
          <w:bCs w:val="1"/>
          <w:i w:val="1"/>
          <w:iCs w:val="1"/>
          <w:color w:val="auto"/>
        </w:rPr>
        <w:t xml:space="preserve">Separation from Service </w:t>
      </w:r>
      <w:r>
        <w:rPr>
          <w:rFonts w:ascii="Arial" w:cs="Arial" w:eastAsia="Arial" w:hAnsi="Arial"/>
          <w:sz w:val="21"/>
          <w:szCs w:val="21"/>
          <w:color w:val="auto"/>
        </w:rPr>
        <w:t>means a Participant’s resignation, removal, or retirement from the Board (for a reason other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than death) that constitutes a good-faith, complete termination of the Participant’s relationship with the Corporation and that also qualifies as a “separation from service” for purposes of Section 409A of the Code.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Separation from Service Anniversary Date </w:t>
      </w:r>
      <w:r>
        <w:rPr>
          <w:rFonts w:ascii="Arial" w:cs="Arial" w:eastAsia="Arial" w:hAnsi="Arial"/>
          <w:sz w:val="21"/>
          <w:szCs w:val="21"/>
          <w:color w:val="auto"/>
        </w:rPr>
        <w:t>means an anniversary of the date of Separation from Service.</w:t>
      </w:r>
    </w:p>
    <w:p>
      <w:pPr>
        <w:spacing w:after="0" w:line="299"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b w:val="1"/>
          <w:bCs w:val="1"/>
          <w:i w:val="1"/>
          <w:iCs w:val="1"/>
          <w:color w:val="auto"/>
        </w:rPr>
        <w:t xml:space="preserve">Spin-off </w:t>
      </w:r>
      <w:r>
        <w:rPr>
          <w:rFonts w:ascii="Arial" w:cs="Arial" w:eastAsia="Arial" w:hAnsi="Arial"/>
          <w:sz w:val="22"/>
          <w:szCs w:val="22"/>
          <w:color w:val="auto"/>
        </w:rPr>
        <w:t>means the separation from United Technologies Corporation of Otis Worldwide Corporation and Carrier Global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Corporation into independent companies on April 3, 2020.</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ELIGIBLE COMPENSATION</w:t>
      </w:r>
    </w:p>
    <w:p>
      <w:pPr>
        <w:spacing w:after="0" w:line="19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3.01</w:t>
      </w:r>
      <w:r>
        <w:rPr>
          <w:sz w:val="20"/>
          <w:szCs w:val="20"/>
          <w:color w:val="auto"/>
        </w:rPr>
        <w:tab/>
      </w:r>
      <w:r>
        <w:rPr>
          <w:rFonts w:ascii="Arial" w:cs="Arial" w:eastAsia="Arial" w:hAnsi="Arial"/>
          <w:sz w:val="19"/>
          <w:szCs w:val="19"/>
          <w:b w:val="1"/>
          <w:bCs w:val="1"/>
          <w:color w:val="auto"/>
        </w:rPr>
        <w:t>Annual Retainer</w:t>
      </w:r>
    </w:p>
    <w:p>
      <w:pPr>
        <w:spacing w:after="0" w:line="50" w:lineRule="exact"/>
        <w:rPr>
          <w:sz w:val="20"/>
          <w:szCs w:val="20"/>
          <w:color w:val="auto"/>
        </w:rPr>
      </w:pPr>
    </w:p>
    <w:p>
      <w:pPr>
        <w:ind w:right="300" w:firstLine="1292"/>
        <w:spacing w:after="0" w:line="316" w:lineRule="auto"/>
        <w:tabs>
          <w:tab w:leader="none" w:pos="1833" w:val="left"/>
        </w:tabs>
        <w:numPr>
          <w:ilvl w:val="0"/>
          <w:numId w:val="88"/>
        </w:numPr>
        <w:rPr>
          <w:rFonts w:ascii="Arial" w:cs="Arial" w:eastAsia="Arial" w:hAnsi="Arial"/>
          <w:sz w:val="19"/>
          <w:szCs w:val="19"/>
          <w:color w:val="010000"/>
        </w:rPr>
      </w:pPr>
      <w:r>
        <w:rPr>
          <w:rFonts w:ascii="Arial" w:cs="Arial" w:eastAsia="Arial" w:hAnsi="Arial"/>
          <w:sz w:val="19"/>
          <w:szCs w:val="19"/>
          <w:i w:val="1"/>
          <w:iCs w:val="1"/>
          <w:color w:val="auto"/>
        </w:rPr>
        <w:t xml:space="preserve">Annual Retainer Amount. </w:t>
      </w:r>
      <w:r>
        <w:rPr>
          <w:rFonts w:ascii="Arial" w:cs="Arial" w:eastAsia="Arial" w:hAnsi="Arial"/>
          <w:sz w:val="19"/>
          <w:szCs w:val="19"/>
          <w:color w:val="auto"/>
        </w:rPr>
        <w:t>Effective May 2, 2023, subject to subsection (b)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3.01</w:t>
      </w:r>
      <w:r>
        <w:rPr>
          <w:rFonts w:ascii="Arial" w:cs="Arial" w:eastAsia="Arial" w:hAnsi="Arial"/>
          <w:sz w:val="19"/>
          <w:szCs w:val="19"/>
          <w:color w:val="auto"/>
        </w:rPr>
        <w:t>, each</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will receive a base Annual Retainer of $130,000. In addition to the base Annual Retainer, Participants serving in leadership roles on the Board and/or its committees shall receive the following additional Annual Retainer amounts: $32,000</w:t>
      </w:r>
    </w:p>
    <w:p>
      <w:pPr>
        <w:ind w:right="160"/>
        <w:spacing w:after="0" w:line="318" w:lineRule="auto"/>
        <w:rPr>
          <w:rFonts w:ascii="Arial" w:cs="Arial" w:eastAsia="Arial" w:hAnsi="Arial"/>
          <w:sz w:val="19"/>
          <w:szCs w:val="19"/>
          <w:color w:val="010000"/>
        </w:rPr>
      </w:pPr>
      <w:r>
        <w:rPr>
          <w:rFonts w:ascii="Arial" w:cs="Arial" w:eastAsia="Arial" w:hAnsi="Arial"/>
          <w:sz w:val="19"/>
          <w:szCs w:val="19"/>
          <w:color w:val="auto"/>
        </w:rPr>
        <w:t>for the Lead Director; $16,000 for the Audit Committee Chair; $12,000 for the Human Capital &amp; Compensation Committee Chair; $10,000 each for the Chairs of all other committees of the Board. In the event that a Participant serves in more than one</w:t>
      </w:r>
    </w:p>
    <w:p>
      <w:pPr>
        <w:spacing w:after="0" w:line="1" w:lineRule="exact"/>
        <w:rPr>
          <w:rFonts w:ascii="Arial" w:cs="Arial" w:eastAsia="Arial" w:hAnsi="Arial"/>
          <w:sz w:val="19"/>
          <w:szCs w:val="19"/>
          <w:color w:val="010000"/>
        </w:rPr>
      </w:pPr>
    </w:p>
    <w:p>
      <w:pPr>
        <w:ind w:right="220"/>
        <w:spacing w:after="0" w:line="289" w:lineRule="auto"/>
        <w:rPr>
          <w:rFonts w:ascii="Arial" w:cs="Arial" w:eastAsia="Arial" w:hAnsi="Arial"/>
          <w:sz w:val="19"/>
          <w:szCs w:val="19"/>
          <w:color w:val="010000"/>
        </w:rPr>
      </w:pPr>
      <w:r>
        <w:rPr>
          <w:rFonts w:ascii="Arial" w:cs="Arial" w:eastAsia="Arial" w:hAnsi="Arial"/>
          <w:sz w:val="22"/>
          <w:szCs w:val="22"/>
          <w:color w:val="auto"/>
        </w:rPr>
        <w:t>role listed above, the Participant will receive the additional amounts specified for each role. The Annual Retainer is subject to change, from time to time, at the discretion of the Committee.</w:t>
      </w:r>
    </w:p>
    <w:p>
      <w:pPr>
        <w:spacing w:after="0" w:line="214" w:lineRule="exact"/>
        <w:rPr>
          <w:rFonts w:ascii="Arial" w:cs="Arial" w:eastAsia="Arial" w:hAnsi="Arial"/>
          <w:sz w:val="19"/>
          <w:szCs w:val="19"/>
          <w:color w:val="010000"/>
        </w:rPr>
      </w:pPr>
    </w:p>
    <w:p>
      <w:pPr>
        <w:ind w:left="1820" w:hanging="528"/>
        <w:spacing w:after="0"/>
        <w:tabs>
          <w:tab w:leader="none" w:pos="1820" w:val="left"/>
        </w:tabs>
        <w:numPr>
          <w:ilvl w:val="0"/>
          <w:numId w:val="88"/>
        </w:numPr>
        <w:rPr>
          <w:rFonts w:ascii="Arial" w:cs="Arial" w:eastAsia="Arial" w:hAnsi="Arial"/>
          <w:sz w:val="21"/>
          <w:szCs w:val="21"/>
          <w:color w:val="010000"/>
        </w:rPr>
      </w:pPr>
      <w:r>
        <w:rPr>
          <w:rFonts w:ascii="Arial" w:cs="Arial" w:eastAsia="Arial" w:hAnsi="Arial"/>
          <w:sz w:val="21"/>
          <w:szCs w:val="21"/>
          <w:i w:val="1"/>
          <w:iCs w:val="1"/>
          <w:color w:val="auto"/>
        </w:rPr>
        <w:t xml:space="preserve">New Participants. </w:t>
      </w:r>
      <w:r>
        <w:rPr>
          <w:rFonts w:ascii="Arial" w:cs="Arial" w:eastAsia="Arial" w:hAnsi="Arial"/>
          <w:sz w:val="21"/>
          <w:szCs w:val="21"/>
          <w:color w:val="auto"/>
        </w:rPr>
        <w:t>If a Participant is elected to the Board before September 30 of a Board Cycle, the</w:t>
      </w:r>
    </w:p>
    <w:p>
      <w:pPr>
        <w:spacing w:after="0" w:line="55" w:lineRule="exact"/>
        <w:rPr>
          <w:rFonts w:ascii="Arial" w:cs="Arial" w:eastAsia="Arial" w:hAnsi="Arial"/>
          <w:sz w:val="21"/>
          <w:szCs w:val="21"/>
          <w:color w:val="010000"/>
        </w:rPr>
      </w:pPr>
    </w:p>
    <w:p>
      <w:pPr>
        <w:ind w:right="540"/>
        <w:spacing w:after="0" w:line="298" w:lineRule="auto"/>
        <w:rPr>
          <w:rFonts w:ascii="Arial" w:cs="Arial" w:eastAsia="Arial" w:hAnsi="Arial"/>
          <w:sz w:val="21"/>
          <w:szCs w:val="21"/>
          <w:color w:val="010000"/>
        </w:rPr>
      </w:pPr>
      <w:r>
        <w:rPr>
          <w:rFonts w:ascii="Arial" w:cs="Arial" w:eastAsia="Arial" w:hAnsi="Arial"/>
          <w:sz w:val="21"/>
          <w:szCs w:val="21"/>
          <w:color w:val="auto"/>
        </w:rPr>
        <w:t xml:space="preserve">Participant will receive the full amount of the then applicable Annual Retainer. If a Participant is elected to the Board after September 30 of a Board Cycle, the Participant will receive 50% of the applicable Annual Retainer Amount set forth in subsection (a) above. Such amounts will be eligible for deferral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24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3.02</w:t>
      </w:r>
      <w:r>
        <w:rPr>
          <w:sz w:val="20"/>
          <w:szCs w:val="20"/>
          <w:color w:val="auto"/>
        </w:rPr>
        <w:tab/>
      </w:r>
      <w:r>
        <w:rPr>
          <w:rFonts w:ascii="Arial" w:cs="Arial" w:eastAsia="Arial" w:hAnsi="Arial"/>
          <w:sz w:val="19"/>
          <w:szCs w:val="19"/>
          <w:b w:val="1"/>
          <w:bCs w:val="1"/>
          <w:color w:val="auto"/>
        </w:rPr>
        <w:t>Annual Deferred Stock Unit Award</w:t>
      </w:r>
    </w:p>
    <w:p>
      <w:pPr>
        <w:spacing w:after="0" w:line="50" w:lineRule="exact"/>
        <w:rPr>
          <w:sz w:val="20"/>
          <w:szCs w:val="20"/>
          <w:color w:val="auto"/>
        </w:rPr>
      </w:pPr>
    </w:p>
    <w:p>
      <w:pPr>
        <w:jc w:val="both"/>
        <w:ind w:right="180" w:firstLine="1292"/>
        <w:spacing w:after="0" w:line="349" w:lineRule="auto"/>
        <w:tabs>
          <w:tab w:leader="none" w:pos="1833" w:val="left"/>
        </w:tabs>
        <w:numPr>
          <w:ilvl w:val="0"/>
          <w:numId w:val="89"/>
        </w:numPr>
        <w:rPr>
          <w:rFonts w:ascii="Arial" w:cs="Arial" w:eastAsia="Arial" w:hAnsi="Arial"/>
          <w:sz w:val="19"/>
          <w:szCs w:val="19"/>
          <w:color w:val="010000"/>
        </w:rPr>
      </w:pPr>
      <w:r>
        <w:rPr>
          <w:rFonts w:ascii="Arial" w:cs="Arial" w:eastAsia="Arial" w:hAnsi="Arial"/>
          <w:sz w:val="19"/>
          <w:szCs w:val="19"/>
          <w:i w:val="1"/>
          <w:iCs w:val="1"/>
          <w:color w:val="auto"/>
        </w:rPr>
        <w:t xml:space="preserve">Annual Deferred Stock Unit Award. </w:t>
      </w:r>
      <w:r>
        <w:rPr>
          <w:rFonts w:ascii="Arial" w:cs="Arial" w:eastAsia="Arial" w:hAnsi="Arial"/>
          <w:sz w:val="19"/>
          <w:szCs w:val="19"/>
          <w:color w:val="auto"/>
        </w:rPr>
        <w:t>Effective May 2, 2023, subject to subsection (b)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3.02</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each Participant will receive a base annual Deferred Stock Unit Award of $195,000, valued at the time of issuance, credited to the Participant’s Account. In addition to the base annual Deferred Stock Unit Award, Participants serving in leadership roles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80"/>
          </w:cols>
          <w:pgMar w:left="440" w:top="1440" w:right="379" w:bottom="1440" w:gutter="0" w:footer="0" w:header="0"/>
        </w:sectPr>
      </w:pPr>
    </w:p>
    <w:bookmarkStart w:id="108" w:name="page109"/>
    <w:bookmarkEnd w:id="108"/>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on the Board and/or its committees shall receive the following additional annual Deferred Stock Units: $48,000 for the Lead</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Director; $24,000 for the Audit Committee Chair; $18,000 for the Human Capital &amp; Compensation Committee Chair;</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$15,000 each for the Chairs of all other committees of the Board. In the event that a Participant serves in more than one role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listed above, the Participant shall receive the additional Deferred Stock Unit awards specified for each role. The Annual</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Deferred Stock Unit Award is subject to change, from time to time, at the discretion of the Committee.</w:t>
      </w:r>
    </w:p>
    <w:p>
      <w:pPr>
        <w:spacing w:after="0" w:line="287" w:lineRule="exact"/>
        <w:rPr>
          <w:sz w:val="20"/>
          <w:szCs w:val="20"/>
          <w:color w:val="auto"/>
        </w:rPr>
      </w:pPr>
    </w:p>
    <w:p>
      <w:pPr>
        <w:ind w:firstLine="1292"/>
        <w:spacing w:after="0" w:line="318" w:lineRule="auto"/>
        <w:tabs>
          <w:tab w:leader="none" w:pos="1831" w:val="left"/>
        </w:tabs>
        <w:numPr>
          <w:ilvl w:val="0"/>
          <w:numId w:val="90"/>
        </w:numPr>
        <w:rPr>
          <w:rFonts w:ascii="Arial" w:cs="Arial" w:eastAsia="Arial" w:hAnsi="Arial"/>
          <w:sz w:val="19"/>
          <w:szCs w:val="19"/>
          <w:color w:val="010000"/>
        </w:rPr>
      </w:pPr>
      <w:r>
        <w:rPr>
          <w:rFonts w:ascii="Arial" w:cs="Arial" w:eastAsia="Arial" w:hAnsi="Arial"/>
          <w:sz w:val="19"/>
          <w:szCs w:val="19"/>
          <w:i w:val="1"/>
          <w:iCs w:val="1"/>
          <w:color w:val="auto"/>
        </w:rPr>
        <w:t xml:space="preserve">New Participants. </w:t>
      </w:r>
      <w:r>
        <w:rPr>
          <w:rFonts w:ascii="Arial" w:cs="Arial" w:eastAsia="Arial" w:hAnsi="Arial"/>
          <w:sz w:val="19"/>
          <w:szCs w:val="19"/>
          <w:color w:val="auto"/>
        </w:rPr>
        <w:t>If a Participant is elected to the Board before September 30 of a Board Cycle,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will receive an Annual Deferred Stock Unit Award equal in value to the amounts specified in subsection (a) above.</w:t>
      </w:r>
    </w:p>
    <w:p>
      <w:pPr>
        <w:spacing w:after="0" w:line="1" w:lineRule="exact"/>
        <w:rPr>
          <w:rFonts w:ascii="Arial" w:cs="Arial" w:eastAsia="Arial" w:hAnsi="Arial"/>
          <w:sz w:val="19"/>
          <w:szCs w:val="19"/>
          <w:color w:val="010000"/>
        </w:rPr>
      </w:pPr>
    </w:p>
    <w:p>
      <w:pPr>
        <w:ind w:right="220"/>
        <w:spacing w:after="0" w:line="289" w:lineRule="auto"/>
        <w:rPr>
          <w:rFonts w:ascii="Arial" w:cs="Arial" w:eastAsia="Arial" w:hAnsi="Arial"/>
          <w:sz w:val="19"/>
          <w:szCs w:val="19"/>
          <w:color w:val="010000"/>
        </w:rPr>
      </w:pPr>
      <w:r>
        <w:rPr>
          <w:rFonts w:ascii="Arial" w:cs="Arial" w:eastAsia="Arial" w:hAnsi="Arial"/>
          <w:sz w:val="22"/>
          <w:szCs w:val="22"/>
          <w:color w:val="auto"/>
        </w:rPr>
        <w:t>If a Participant is elected to the Board after September 30 of a Board Cycle, the Participant will receive an Annual Deferred Stock Unit Award equal to 50% of the value specified in subsection (a).</w:t>
      </w:r>
    </w:p>
    <w:p>
      <w:pPr>
        <w:spacing w:after="0" w:line="16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3.03</w:t>
      </w:r>
      <w:r>
        <w:rPr>
          <w:sz w:val="20"/>
          <w:szCs w:val="20"/>
          <w:color w:val="auto"/>
        </w:rPr>
        <w:tab/>
      </w:r>
      <w:r>
        <w:rPr>
          <w:rFonts w:ascii="Arial" w:cs="Arial" w:eastAsia="Arial" w:hAnsi="Arial"/>
          <w:sz w:val="19"/>
          <w:szCs w:val="19"/>
          <w:b w:val="1"/>
          <w:bCs w:val="1"/>
          <w:color w:val="auto"/>
        </w:rPr>
        <w:t>New Director Restricted Stock Unit Award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Effective as of October 10, 2019, no further New Director Restricted Stock Unit Awards shall be granted to new</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Participants. Previously, upon election to the Board, a Participant would have received an unvested award of restricted</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Deferred Stock Units, equal in value to $100,000 as of such date.</w:t>
      </w:r>
    </w:p>
    <w:p>
      <w:pPr>
        <w:spacing w:after="0" w:line="24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3.04</w:t>
      </w:r>
      <w:r>
        <w:rPr>
          <w:sz w:val="20"/>
          <w:szCs w:val="20"/>
          <w:color w:val="auto"/>
        </w:rPr>
        <w:tab/>
      </w:r>
      <w:r>
        <w:rPr>
          <w:rFonts w:ascii="Arial" w:cs="Arial" w:eastAsia="Arial" w:hAnsi="Arial"/>
          <w:sz w:val="19"/>
          <w:szCs w:val="19"/>
          <w:b w:val="1"/>
          <w:bCs w:val="1"/>
          <w:color w:val="auto"/>
        </w:rPr>
        <w:t>Duplication of Benefits</w:t>
      </w:r>
    </w:p>
    <w:p>
      <w:pPr>
        <w:spacing w:after="0" w:line="50" w:lineRule="exact"/>
        <w:rPr>
          <w:sz w:val="20"/>
          <w:szCs w:val="20"/>
          <w:color w:val="auto"/>
        </w:rPr>
      </w:pPr>
    </w:p>
    <w:p>
      <w:pPr>
        <w:ind w:right="180" w:firstLine="648"/>
        <w:spacing w:after="0" w:line="280" w:lineRule="auto"/>
        <w:rPr>
          <w:sz w:val="20"/>
          <w:szCs w:val="20"/>
          <w:color w:val="auto"/>
        </w:rPr>
      </w:pPr>
      <w:r>
        <w:rPr>
          <w:rFonts w:ascii="Arial" w:cs="Arial" w:eastAsia="Arial" w:hAnsi="Arial"/>
          <w:sz w:val="22"/>
          <w:szCs w:val="22"/>
          <w:color w:val="auto"/>
        </w:rPr>
        <w:t xml:space="preserve">To the extent that a new Participant has received compensation for his or her service on the board of directors of an entity that becomes, or was previously, affiliated with the Corporation, and such compensation relates to the same Plan Year for which the Participant shall receive compensation under this Plan, the Annual Retainer and Annual Deferred Stock Unit Award, under </w:t>
      </w:r>
      <w:r>
        <w:rPr>
          <w:rFonts w:ascii="Arial" w:cs="Arial" w:eastAsia="Arial" w:hAnsi="Arial"/>
          <w:sz w:val="22"/>
          <w:szCs w:val="22"/>
          <w:u w:val="single" w:color="auto"/>
          <w:color w:val="auto"/>
        </w:rPr>
        <w:t>Sections 3.01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3.02</w:t>
      </w:r>
      <w:r>
        <w:rPr>
          <w:rFonts w:ascii="Arial" w:cs="Arial" w:eastAsia="Arial" w:hAnsi="Arial"/>
          <w:sz w:val="22"/>
          <w:szCs w:val="22"/>
          <w:color w:val="auto"/>
        </w:rPr>
        <w:t xml:space="preserve"> respectively, shall be appropriately adjusted to prevent a duplication of benefits for the same period of service.</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ACCOUNTS AND CREDITS</w:t>
      </w:r>
    </w:p>
    <w:p>
      <w:pPr>
        <w:spacing w:after="0" w:line="19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4.01</w:t>
      </w:r>
      <w:r>
        <w:rPr>
          <w:sz w:val="20"/>
          <w:szCs w:val="20"/>
          <w:color w:val="auto"/>
        </w:rPr>
        <w:tab/>
      </w:r>
      <w:r>
        <w:rPr>
          <w:rFonts w:ascii="Arial" w:cs="Arial" w:eastAsia="Arial" w:hAnsi="Arial"/>
          <w:sz w:val="19"/>
          <w:szCs w:val="19"/>
          <w:b w:val="1"/>
          <w:bCs w:val="1"/>
          <w:color w:val="auto"/>
        </w:rPr>
        <w:t>Annual Deferred Stock Unit Award</w:t>
      </w:r>
    </w:p>
    <w:p>
      <w:pPr>
        <w:spacing w:after="0" w:line="50"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22"/>
          <w:szCs w:val="22"/>
          <w:color w:val="auto"/>
        </w:rPr>
        <w:t>The Annual Deferred Stock Unit Award shall be credited automatically to an Account established for the Participant, effective as of the date of the Annual Meeting. Participants may not elect to receive the Annual Deferred Stock Unit Award as current cash compensation.</w:t>
      </w:r>
    </w:p>
    <w:p>
      <w:pPr>
        <w:spacing w:after="0" w:line="17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4.02</w:t>
      </w:r>
      <w:r>
        <w:rPr>
          <w:sz w:val="20"/>
          <w:szCs w:val="20"/>
          <w:color w:val="auto"/>
        </w:rPr>
        <w:tab/>
      </w:r>
      <w:r>
        <w:rPr>
          <w:rFonts w:ascii="Arial" w:cs="Arial" w:eastAsia="Arial" w:hAnsi="Arial"/>
          <w:sz w:val="19"/>
          <w:szCs w:val="19"/>
          <w:b w:val="1"/>
          <w:bCs w:val="1"/>
          <w:color w:val="auto"/>
        </w:rPr>
        <w:t>Elective Annual Retainer</w:t>
      </w:r>
    </w:p>
    <w:p>
      <w:pPr>
        <w:spacing w:after="0" w:line="50" w:lineRule="exact"/>
        <w:rPr>
          <w:sz w:val="20"/>
          <w:szCs w:val="20"/>
          <w:color w:val="auto"/>
        </w:rPr>
      </w:pPr>
    </w:p>
    <w:p>
      <w:pPr>
        <w:ind w:right="60" w:firstLine="648"/>
        <w:spacing w:after="0" w:line="302" w:lineRule="auto"/>
        <w:rPr>
          <w:sz w:val="20"/>
          <w:szCs w:val="20"/>
          <w:color w:val="auto"/>
        </w:rPr>
      </w:pPr>
      <w:r>
        <w:rPr>
          <w:rFonts w:ascii="Arial" w:cs="Arial" w:eastAsia="Arial" w:hAnsi="Arial"/>
          <w:sz w:val="22"/>
          <w:szCs w:val="22"/>
          <w:color w:val="auto"/>
        </w:rPr>
        <w:t xml:space="preserve">The Annual Retainer will be paid on the date of the Annual Meeting unless the Participant makes a timely irrevocable election in accordance with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to defer the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00"/>
          </w:cols>
          <w:pgMar w:left="440" w:top="1440" w:right="559" w:bottom="1440" w:gutter="0" w:footer="0" w:header="0"/>
        </w:sectPr>
      </w:pPr>
    </w:p>
    <w:bookmarkStart w:id="109" w:name="page110"/>
    <w:bookmarkEnd w:id="109"/>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of the Annual Retainer as RTX Deferred Stock Units subject to the terms of this Plan, in lieu of a current cash payment.</w:t>
      </w:r>
    </w:p>
    <w:p>
      <w:pPr>
        <w:spacing w:after="0" w:line="27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4.03</w:t>
      </w:r>
      <w:r>
        <w:rPr>
          <w:sz w:val="20"/>
          <w:szCs w:val="20"/>
          <w:color w:val="auto"/>
        </w:rPr>
        <w:tab/>
      </w:r>
      <w:r>
        <w:rPr>
          <w:rFonts w:ascii="Arial" w:cs="Arial" w:eastAsia="Arial" w:hAnsi="Arial"/>
          <w:sz w:val="19"/>
          <w:szCs w:val="19"/>
          <w:b w:val="1"/>
          <w:bCs w:val="1"/>
          <w:color w:val="auto"/>
        </w:rPr>
        <w:t>New Director Restricted Stock Unit Award</w:t>
      </w:r>
    </w:p>
    <w:p>
      <w:pPr>
        <w:spacing w:after="0" w:line="50" w:lineRule="exact"/>
        <w:rPr>
          <w:sz w:val="20"/>
          <w:szCs w:val="20"/>
          <w:color w:val="auto"/>
        </w:rPr>
      </w:pPr>
    </w:p>
    <w:p>
      <w:pPr>
        <w:ind w:left="1820" w:hanging="528"/>
        <w:spacing w:after="0"/>
        <w:tabs>
          <w:tab w:leader="none" w:pos="1820" w:val="left"/>
        </w:tabs>
        <w:numPr>
          <w:ilvl w:val="0"/>
          <w:numId w:val="91"/>
        </w:numPr>
        <w:rPr>
          <w:rFonts w:ascii="Arial" w:cs="Arial" w:eastAsia="Arial" w:hAnsi="Arial"/>
          <w:sz w:val="19"/>
          <w:szCs w:val="19"/>
          <w:color w:val="010000"/>
        </w:rPr>
      </w:pPr>
      <w:r>
        <w:rPr>
          <w:rFonts w:ascii="Arial" w:cs="Arial" w:eastAsia="Arial" w:hAnsi="Arial"/>
          <w:sz w:val="19"/>
          <w:szCs w:val="19"/>
          <w:i w:val="1"/>
          <w:iCs w:val="1"/>
          <w:color w:val="auto"/>
        </w:rPr>
        <w:t xml:space="preserve">Prospective Elimination of New Director Restricted Stock Unit Award. </w:t>
      </w:r>
      <w:r>
        <w:rPr>
          <w:rFonts w:ascii="Arial" w:cs="Arial" w:eastAsia="Arial" w:hAnsi="Arial"/>
          <w:sz w:val="19"/>
          <w:szCs w:val="19"/>
          <w:color w:val="auto"/>
        </w:rPr>
        <w:t>Effective as October 10, 2019, the</w:t>
      </w:r>
    </w:p>
    <w:p>
      <w:pPr>
        <w:spacing w:after="0" w:line="78" w:lineRule="exact"/>
        <w:rPr>
          <w:rFonts w:ascii="Arial" w:cs="Arial" w:eastAsia="Arial" w:hAnsi="Arial"/>
          <w:sz w:val="19"/>
          <w:szCs w:val="19"/>
          <w:color w:val="010000"/>
        </w:rPr>
      </w:pPr>
    </w:p>
    <w:p>
      <w:pPr>
        <w:ind w:right="160"/>
        <w:spacing w:after="0" w:line="279" w:lineRule="auto"/>
        <w:rPr>
          <w:rFonts w:ascii="Arial" w:cs="Arial" w:eastAsia="Arial" w:hAnsi="Arial"/>
          <w:sz w:val="19"/>
          <w:szCs w:val="19"/>
          <w:color w:val="010000"/>
        </w:rPr>
      </w:pPr>
      <w:r>
        <w:rPr>
          <w:rFonts w:ascii="Arial" w:cs="Arial" w:eastAsia="Arial" w:hAnsi="Arial"/>
          <w:sz w:val="22"/>
          <w:szCs w:val="22"/>
          <w:color w:val="auto"/>
        </w:rPr>
        <w:t>New Director Restricted Stock Unit Award shall no longer be awarded to new Participants. Previously, upon the Participant’s election to the Board, the Corporation would credit the amount of the New Director Restricted Stock Unit Award to a New Director Restricted Stock Unit Account established for a Participant.</w:t>
      </w:r>
    </w:p>
    <w:p>
      <w:pPr>
        <w:spacing w:after="0" w:line="224" w:lineRule="exact"/>
        <w:rPr>
          <w:rFonts w:ascii="Arial" w:cs="Arial" w:eastAsia="Arial" w:hAnsi="Arial"/>
          <w:sz w:val="19"/>
          <w:szCs w:val="19"/>
          <w:color w:val="010000"/>
        </w:rPr>
      </w:pPr>
    </w:p>
    <w:p>
      <w:pPr>
        <w:ind w:left="1820" w:hanging="528"/>
        <w:spacing w:after="0"/>
        <w:tabs>
          <w:tab w:leader="none" w:pos="1820" w:val="left"/>
        </w:tabs>
        <w:numPr>
          <w:ilvl w:val="0"/>
          <w:numId w:val="91"/>
        </w:numPr>
        <w:rPr>
          <w:rFonts w:ascii="Arial" w:cs="Arial" w:eastAsia="Arial" w:hAnsi="Arial"/>
          <w:sz w:val="19"/>
          <w:szCs w:val="19"/>
          <w:color w:val="010000"/>
        </w:rPr>
      </w:pPr>
      <w:r>
        <w:rPr>
          <w:rFonts w:ascii="Arial" w:cs="Arial" w:eastAsia="Arial" w:hAnsi="Arial"/>
          <w:sz w:val="19"/>
          <w:szCs w:val="19"/>
          <w:i w:val="1"/>
          <w:iCs w:val="1"/>
          <w:color w:val="auto"/>
        </w:rPr>
        <w:t xml:space="preserve">Historical New Director Restricted Stock Unit Awards. </w:t>
      </w:r>
      <w:r>
        <w:rPr>
          <w:rFonts w:ascii="Arial" w:cs="Arial" w:eastAsia="Arial" w:hAnsi="Arial"/>
          <w:sz w:val="19"/>
          <w:szCs w:val="19"/>
          <w:color w:val="auto"/>
        </w:rPr>
        <w:t>Any New Director Restricted Stock Unit Award</w:t>
      </w:r>
    </w:p>
    <w:p>
      <w:pPr>
        <w:spacing w:after="0" w:line="78" w:lineRule="exact"/>
        <w:rPr>
          <w:rFonts w:ascii="Arial" w:cs="Arial" w:eastAsia="Arial" w:hAnsi="Arial"/>
          <w:sz w:val="19"/>
          <w:szCs w:val="19"/>
          <w:color w:val="010000"/>
        </w:rPr>
      </w:pPr>
    </w:p>
    <w:p>
      <w:pPr>
        <w:jc w:val="both"/>
        <w:ind w:right="120"/>
        <w:spacing w:after="0" w:line="318" w:lineRule="auto"/>
        <w:rPr>
          <w:rFonts w:ascii="Arial" w:cs="Arial" w:eastAsia="Arial" w:hAnsi="Arial"/>
          <w:sz w:val="19"/>
          <w:szCs w:val="19"/>
          <w:color w:val="010000"/>
        </w:rPr>
      </w:pPr>
      <w:r>
        <w:rPr>
          <w:rFonts w:ascii="Arial" w:cs="Arial" w:eastAsia="Arial" w:hAnsi="Arial"/>
          <w:sz w:val="19"/>
          <w:szCs w:val="19"/>
          <w:color w:val="auto"/>
        </w:rPr>
        <w:t>granted prior to October 10, 2019 shall be maintained under a separate Account and remain eligible to vest as provided in this Section 4.03. Such Account shall be credited with dividend equivalents in the form of additional Deferred Stock Units which</w:t>
      </w:r>
    </w:p>
    <w:p>
      <w:pPr>
        <w:spacing w:after="0" w:line="1" w:lineRule="exact"/>
        <w:rPr>
          <w:rFonts w:ascii="Arial" w:cs="Arial" w:eastAsia="Arial" w:hAnsi="Arial"/>
          <w:sz w:val="19"/>
          <w:szCs w:val="19"/>
          <w:color w:val="010000"/>
        </w:rPr>
      </w:pPr>
    </w:p>
    <w:p>
      <w:pPr>
        <w:ind w:right="60"/>
        <w:spacing w:after="0" w:line="318" w:lineRule="auto"/>
        <w:rPr>
          <w:rFonts w:ascii="Arial" w:cs="Arial" w:eastAsia="Arial" w:hAnsi="Arial"/>
          <w:sz w:val="19"/>
          <w:szCs w:val="19"/>
          <w:color w:val="010000"/>
        </w:rPr>
      </w:pPr>
      <w:r>
        <w:rPr>
          <w:rFonts w:ascii="Arial" w:cs="Arial" w:eastAsia="Arial" w:hAnsi="Arial"/>
          <w:sz w:val="19"/>
          <w:szCs w:val="19"/>
          <w:color w:val="auto"/>
        </w:rPr>
        <w:t>relate to the underlying common stock of RTX, Carrier and Otis as applicable, which will vest immediately, but will otherwise be subject to the same restrictions applicable to the Deferred Stock Units credited to the Account. New Director Restricted</w:t>
      </w:r>
    </w:p>
    <w:p>
      <w:pPr>
        <w:spacing w:after="0" w:line="1" w:lineRule="exact"/>
        <w:rPr>
          <w:rFonts w:ascii="Arial" w:cs="Arial" w:eastAsia="Arial" w:hAnsi="Arial"/>
          <w:sz w:val="19"/>
          <w:szCs w:val="19"/>
          <w:color w:val="010000"/>
        </w:rPr>
      </w:pPr>
    </w:p>
    <w:p>
      <w:pPr>
        <w:ind w:right="80"/>
        <w:spacing w:after="0" w:line="289" w:lineRule="auto"/>
        <w:rPr>
          <w:rFonts w:ascii="Arial" w:cs="Arial" w:eastAsia="Arial" w:hAnsi="Arial"/>
          <w:sz w:val="19"/>
          <w:szCs w:val="19"/>
          <w:color w:val="010000"/>
        </w:rPr>
      </w:pPr>
      <w:r>
        <w:rPr>
          <w:rFonts w:ascii="Arial" w:cs="Arial" w:eastAsia="Arial" w:hAnsi="Arial"/>
          <w:sz w:val="22"/>
          <w:szCs w:val="22"/>
          <w:color w:val="auto"/>
        </w:rPr>
        <w:t>Stock Units and any additional dividend equivalents in the form of additional Deferred Stock Units may not be settled prior to a Separation from Service.</w:t>
      </w:r>
    </w:p>
    <w:p>
      <w:pPr>
        <w:spacing w:after="0" w:line="214" w:lineRule="exact"/>
        <w:rPr>
          <w:rFonts w:ascii="Arial" w:cs="Arial" w:eastAsia="Arial" w:hAnsi="Arial"/>
          <w:sz w:val="19"/>
          <w:szCs w:val="19"/>
          <w:color w:val="010000"/>
        </w:rPr>
      </w:pPr>
    </w:p>
    <w:p>
      <w:pPr>
        <w:ind w:left="1820" w:hanging="528"/>
        <w:spacing w:after="0"/>
        <w:tabs>
          <w:tab w:leader="none" w:pos="1820" w:val="left"/>
        </w:tabs>
        <w:numPr>
          <w:ilvl w:val="0"/>
          <w:numId w:val="91"/>
        </w:numPr>
        <w:rPr>
          <w:rFonts w:ascii="Arial" w:cs="Arial" w:eastAsia="Arial" w:hAnsi="Arial"/>
          <w:sz w:val="21"/>
          <w:szCs w:val="21"/>
          <w:color w:val="010000"/>
        </w:rPr>
      </w:pPr>
      <w:r>
        <w:rPr>
          <w:rFonts w:ascii="Arial" w:cs="Arial" w:eastAsia="Arial" w:hAnsi="Arial"/>
          <w:sz w:val="21"/>
          <w:szCs w:val="21"/>
          <w:i w:val="1"/>
          <w:iCs w:val="1"/>
          <w:color w:val="auto"/>
        </w:rPr>
        <w:t>Forfeiture of New Director Restricted Stock Unit Accounts</w:t>
      </w:r>
      <w:r>
        <w:rPr>
          <w:rFonts w:ascii="Arial" w:cs="Arial" w:eastAsia="Arial" w:hAnsi="Arial"/>
          <w:sz w:val="21"/>
          <w:szCs w:val="21"/>
          <w:color w:val="auto"/>
        </w:rPr>
        <w:t>. A Participant’s New Director Restricted</w:t>
      </w:r>
    </w:p>
    <w:p>
      <w:pPr>
        <w:spacing w:after="0" w:line="55" w:lineRule="exact"/>
        <w:rPr>
          <w:rFonts w:ascii="Arial" w:cs="Arial" w:eastAsia="Arial" w:hAnsi="Arial"/>
          <w:sz w:val="21"/>
          <w:szCs w:val="21"/>
          <w:color w:val="010000"/>
        </w:rPr>
      </w:pPr>
    </w:p>
    <w:p>
      <w:pPr>
        <w:ind w:right="120"/>
        <w:spacing w:after="0" w:line="316" w:lineRule="auto"/>
        <w:rPr>
          <w:rFonts w:ascii="Arial" w:cs="Arial" w:eastAsia="Arial" w:hAnsi="Arial"/>
          <w:sz w:val="21"/>
          <w:szCs w:val="21"/>
          <w:color w:val="010000"/>
        </w:rPr>
      </w:pPr>
      <w:r>
        <w:rPr>
          <w:rFonts w:ascii="Arial" w:cs="Arial" w:eastAsia="Arial" w:hAnsi="Arial"/>
          <w:sz w:val="19"/>
          <w:szCs w:val="19"/>
          <w:color w:val="auto"/>
        </w:rPr>
        <w:t>Stock Unit Account is subject to 100% forfeiture if the Participant’s Separation from Service occurs before the first Annual Meeting following the date of the Participant’s first election to the Board. Thereafter, the percentage of the New Director Restricted Stock Unit Award subject to forfeiture is reduced by 20 percentage points as of the date of each succeeding Annual</w:t>
      </w:r>
    </w:p>
    <w:p>
      <w:pPr>
        <w:ind w:right="40"/>
        <w:spacing w:after="0" w:line="318" w:lineRule="auto"/>
        <w:rPr>
          <w:rFonts w:ascii="Arial" w:cs="Arial" w:eastAsia="Arial" w:hAnsi="Arial"/>
          <w:sz w:val="21"/>
          <w:szCs w:val="21"/>
          <w:color w:val="010000"/>
        </w:rPr>
      </w:pPr>
      <w:r>
        <w:rPr>
          <w:rFonts w:ascii="Arial" w:cs="Arial" w:eastAsia="Arial" w:hAnsi="Arial"/>
          <w:sz w:val="19"/>
          <w:szCs w:val="19"/>
          <w:color w:val="auto"/>
        </w:rPr>
        <w:t>Meeting until the fifth annual meeting when 100% of the value of the New Director Restricted Stock Unit Award will be vested. There will be no forfeiture of interest in the New Director Restricted Stock Unit Account in the event the Separation of</w:t>
      </w:r>
    </w:p>
    <w:p>
      <w:pPr>
        <w:spacing w:after="0" w:line="1" w:lineRule="exact"/>
        <w:rPr>
          <w:rFonts w:ascii="Arial" w:cs="Arial" w:eastAsia="Arial" w:hAnsi="Arial"/>
          <w:sz w:val="21"/>
          <w:szCs w:val="21"/>
          <w:color w:val="010000"/>
        </w:rPr>
      </w:pPr>
    </w:p>
    <w:p>
      <w:pPr>
        <w:spacing w:after="0" w:line="349" w:lineRule="auto"/>
        <w:rPr>
          <w:rFonts w:ascii="Arial" w:cs="Arial" w:eastAsia="Arial" w:hAnsi="Arial"/>
          <w:sz w:val="21"/>
          <w:szCs w:val="21"/>
          <w:color w:val="010000"/>
        </w:rPr>
      </w:pPr>
      <w:r>
        <w:rPr>
          <w:rFonts w:ascii="Arial" w:cs="Arial" w:eastAsia="Arial" w:hAnsi="Arial"/>
          <w:sz w:val="19"/>
          <w:szCs w:val="19"/>
          <w:color w:val="auto"/>
        </w:rPr>
        <w:t>Service occurs by reason of the Participant’s death, Disability, or for any reason following a “Change in Control” as such terms are defined in the LTIP while the Participant is a member of the Board, or in the event of the Participant’s resignation or retirement from the Board for the purpose of accepting full-time employment in public or charitable service.</w:t>
      </w:r>
    </w:p>
    <w:p>
      <w:pPr>
        <w:spacing w:after="0" w:line="12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4.04</w:t>
      </w:r>
      <w:r>
        <w:rPr>
          <w:sz w:val="20"/>
          <w:szCs w:val="20"/>
          <w:color w:val="auto"/>
        </w:rPr>
        <w:tab/>
      </w:r>
      <w:r>
        <w:rPr>
          <w:rFonts w:ascii="Arial" w:cs="Arial" w:eastAsia="Arial" w:hAnsi="Arial"/>
          <w:sz w:val="18"/>
          <w:szCs w:val="18"/>
          <w:b w:val="1"/>
          <w:bCs w:val="1"/>
          <w:color w:val="auto"/>
        </w:rPr>
        <w:t>Accounts</w:t>
      </w:r>
    </w:p>
    <w:p>
      <w:pPr>
        <w:spacing w:after="0" w:line="37" w:lineRule="exact"/>
        <w:rPr>
          <w:sz w:val="20"/>
          <w:szCs w:val="20"/>
          <w:color w:val="auto"/>
        </w:rPr>
      </w:pPr>
    </w:p>
    <w:p>
      <w:pPr>
        <w:ind w:left="1820" w:hanging="528"/>
        <w:spacing w:after="0"/>
        <w:tabs>
          <w:tab w:leader="none" w:pos="1820" w:val="left"/>
        </w:tabs>
        <w:numPr>
          <w:ilvl w:val="0"/>
          <w:numId w:val="92"/>
        </w:numPr>
        <w:rPr>
          <w:rFonts w:ascii="Arial" w:cs="Arial" w:eastAsia="Arial" w:hAnsi="Arial"/>
          <w:sz w:val="19"/>
          <w:szCs w:val="19"/>
          <w:color w:val="010000"/>
        </w:rPr>
      </w:pPr>
      <w:r>
        <w:rPr>
          <w:rFonts w:ascii="Arial" w:cs="Arial" w:eastAsia="Arial" w:hAnsi="Arial"/>
          <w:sz w:val="19"/>
          <w:szCs w:val="19"/>
          <w:i w:val="1"/>
          <w:iCs w:val="1"/>
          <w:color w:val="auto"/>
        </w:rPr>
        <w:t xml:space="preserve">Plan Accounts. </w:t>
      </w:r>
      <w:r>
        <w:rPr>
          <w:rFonts w:ascii="Arial" w:cs="Arial" w:eastAsia="Arial" w:hAnsi="Arial"/>
          <w:sz w:val="19"/>
          <w:szCs w:val="19"/>
          <w:color w:val="auto"/>
        </w:rPr>
        <w:t>All (i) Deferred Annual Retainers and (ii) Annual Deferred Stock Unit Awards and (iii)</w:t>
      </w:r>
    </w:p>
    <w:p>
      <w:pPr>
        <w:spacing w:after="0" w:line="78" w:lineRule="exact"/>
        <w:rPr>
          <w:rFonts w:ascii="Arial" w:cs="Arial" w:eastAsia="Arial" w:hAnsi="Arial"/>
          <w:sz w:val="19"/>
          <w:szCs w:val="19"/>
          <w:color w:val="010000"/>
        </w:rPr>
      </w:pPr>
    </w:p>
    <w:p>
      <w:pPr>
        <w:ind w:right="220"/>
        <w:spacing w:after="0" w:line="318" w:lineRule="auto"/>
        <w:rPr>
          <w:rFonts w:ascii="Arial" w:cs="Arial" w:eastAsia="Arial" w:hAnsi="Arial"/>
          <w:sz w:val="19"/>
          <w:szCs w:val="19"/>
          <w:color w:val="010000"/>
        </w:rPr>
      </w:pPr>
      <w:r>
        <w:rPr>
          <w:rFonts w:ascii="Arial" w:cs="Arial" w:eastAsia="Arial" w:hAnsi="Arial"/>
          <w:sz w:val="19"/>
          <w:szCs w:val="19"/>
          <w:color w:val="auto"/>
        </w:rPr>
        <w:t>New Director Restricted Stock Unit Awards (if applicable), shall be maintained in a Participant’s Account established under, and subject to the terms and conditions of the Plan, as amended from time to time. Subaccounts may be maintained within</w:t>
      </w:r>
    </w:p>
    <w:p>
      <w:pPr>
        <w:spacing w:after="0" w:line="1" w:lineRule="exact"/>
        <w:rPr>
          <w:rFonts w:ascii="Arial" w:cs="Arial" w:eastAsia="Arial" w:hAnsi="Arial"/>
          <w:sz w:val="19"/>
          <w:szCs w:val="19"/>
          <w:color w:val="010000"/>
        </w:rPr>
      </w:pPr>
    </w:p>
    <w:p>
      <w:pPr>
        <w:ind w:right="500"/>
        <w:spacing w:after="0" w:line="289" w:lineRule="auto"/>
        <w:rPr>
          <w:rFonts w:ascii="Arial" w:cs="Arial" w:eastAsia="Arial" w:hAnsi="Arial"/>
          <w:sz w:val="19"/>
          <w:szCs w:val="19"/>
          <w:color w:val="010000"/>
        </w:rPr>
      </w:pPr>
      <w:r>
        <w:rPr>
          <w:rFonts w:ascii="Arial" w:cs="Arial" w:eastAsia="Arial" w:hAnsi="Arial"/>
          <w:sz w:val="22"/>
          <w:szCs w:val="22"/>
          <w:color w:val="auto"/>
        </w:rPr>
        <w:t>Participants’ Accounts, to the extent that the Committee determines such an arrangement to be necessary or useful, in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80"/>
          </w:cols>
          <w:pgMar w:left="440" w:top="1440" w:right="479" w:bottom="1440" w:gutter="0" w:footer="0" w:header="0"/>
        </w:sectPr>
      </w:pPr>
    </w:p>
    <w:bookmarkStart w:id="110" w:name="page111"/>
    <w:bookmarkEnd w:id="110"/>
    <w:p>
      <w:pPr>
        <w:spacing w:after="0" w:line="326" w:lineRule="exact"/>
        <w:rPr>
          <w:sz w:val="20"/>
          <w:szCs w:val="20"/>
          <w:color w:val="auto"/>
        </w:rPr>
      </w:pPr>
    </w:p>
    <w:p>
      <w:pPr>
        <w:ind w:left="1820" w:hanging="528"/>
        <w:spacing w:after="0"/>
        <w:tabs>
          <w:tab w:leader="none" w:pos="1820" w:val="left"/>
        </w:tabs>
        <w:numPr>
          <w:ilvl w:val="0"/>
          <w:numId w:val="93"/>
        </w:numPr>
        <w:rPr>
          <w:rFonts w:ascii="Arial" w:cs="Arial" w:eastAsia="Arial" w:hAnsi="Arial"/>
          <w:sz w:val="19"/>
          <w:szCs w:val="19"/>
          <w:color w:val="010000"/>
        </w:rPr>
      </w:pPr>
      <w:r>
        <w:rPr>
          <w:rFonts w:ascii="Arial" w:cs="Arial" w:eastAsia="Arial" w:hAnsi="Arial"/>
          <w:sz w:val="19"/>
          <w:szCs w:val="19"/>
          <w:i w:val="1"/>
          <w:iCs w:val="1"/>
          <w:color w:val="auto"/>
        </w:rPr>
        <w:t xml:space="preserve">Prior Plan Accounts. </w:t>
      </w:r>
      <w:r>
        <w:rPr>
          <w:rFonts w:ascii="Arial" w:cs="Arial" w:eastAsia="Arial" w:hAnsi="Arial"/>
          <w:sz w:val="19"/>
          <w:szCs w:val="19"/>
          <w:color w:val="auto"/>
        </w:rPr>
        <w:t>All Deferred Stock Unit and New Director Restricted Stock Unit Awards, earned</w:t>
      </w:r>
    </w:p>
    <w:p>
      <w:pPr>
        <w:spacing w:after="0" w:line="78" w:lineRule="exact"/>
        <w:rPr>
          <w:rFonts w:ascii="Arial" w:cs="Arial" w:eastAsia="Arial" w:hAnsi="Arial"/>
          <w:sz w:val="19"/>
          <w:szCs w:val="19"/>
          <w:color w:val="010000"/>
        </w:rPr>
      </w:pPr>
    </w:p>
    <w:p>
      <w:pPr>
        <w:ind w:right="500"/>
        <w:spacing w:after="0" w:line="318" w:lineRule="auto"/>
        <w:rPr>
          <w:rFonts w:ascii="Arial" w:cs="Arial" w:eastAsia="Arial" w:hAnsi="Arial"/>
          <w:sz w:val="19"/>
          <w:szCs w:val="19"/>
          <w:color w:val="010000"/>
        </w:rPr>
      </w:pPr>
      <w:r>
        <w:rPr>
          <w:rFonts w:ascii="Arial" w:cs="Arial" w:eastAsia="Arial" w:hAnsi="Arial"/>
          <w:sz w:val="19"/>
          <w:szCs w:val="19"/>
          <w:color w:val="auto"/>
        </w:rPr>
        <w:t>and vested prior to January 1, 2005, and any subsequent increases in these amounts that are permitted to be treated as grandfathered benefits under Section 409A (e.g., increases in unit value and dividend equivalents), shall be maintained in</w:t>
      </w:r>
    </w:p>
    <w:p>
      <w:pPr>
        <w:spacing w:after="0" w:line="1" w:lineRule="exact"/>
        <w:rPr>
          <w:rFonts w:ascii="Arial" w:cs="Arial" w:eastAsia="Arial" w:hAnsi="Arial"/>
          <w:sz w:val="19"/>
          <w:szCs w:val="19"/>
          <w:color w:val="010000"/>
        </w:rPr>
      </w:pPr>
    </w:p>
    <w:p>
      <w:pPr>
        <w:ind w:right="200"/>
        <w:spacing w:after="0" w:line="316" w:lineRule="auto"/>
        <w:rPr>
          <w:rFonts w:ascii="Arial" w:cs="Arial" w:eastAsia="Arial" w:hAnsi="Arial"/>
          <w:sz w:val="19"/>
          <w:szCs w:val="19"/>
          <w:color w:val="010000"/>
        </w:rPr>
      </w:pPr>
      <w:r>
        <w:rPr>
          <w:rFonts w:ascii="Arial" w:cs="Arial" w:eastAsia="Arial" w:hAnsi="Arial"/>
          <w:sz w:val="19"/>
          <w:szCs w:val="19"/>
          <w:color w:val="auto"/>
        </w:rPr>
        <w:t>separate account(s) under the Prior Plan and shall remain subject to the terms and conditions of the Prior Plan as in effect on October 3, 2004. Prior Plan accounts shall be equal to the value earned and vested on December 31, 2004, as subsequently adjusted in accordance with the terms of the Prior Plan. The Prior Plan and Prior Plan accounts are not intended to be subject</w:t>
      </w:r>
    </w:p>
    <w:p>
      <w:pPr>
        <w:ind w:right="80"/>
        <w:spacing w:after="0" w:line="285" w:lineRule="auto"/>
        <w:rPr>
          <w:rFonts w:ascii="Arial" w:cs="Arial" w:eastAsia="Arial" w:hAnsi="Arial"/>
          <w:sz w:val="19"/>
          <w:szCs w:val="19"/>
          <w:color w:val="010000"/>
        </w:rPr>
      </w:pPr>
      <w:r>
        <w:rPr>
          <w:rFonts w:ascii="Arial" w:cs="Arial" w:eastAsia="Arial" w:hAnsi="Arial"/>
          <w:sz w:val="22"/>
          <w:szCs w:val="22"/>
          <w:color w:val="auto"/>
        </w:rPr>
        <w:t xml:space="preserve">to Section 409A. No amendment to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that would constitute a “material modification” for purposes of Section 409A shall be effective unless the amending instrument states that it is intended to materially modify </w:t>
      </w:r>
      <w:r>
        <w:rPr>
          <w:rFonts w:ascii="Arial" w:cs="Arial" w:eastAsia="Arial" w:hAnsi="Arial"/>
          <w:sz w:val="22"/>
          <w:szCs w:val="22"/>
          <w:u w:val="single" w:color="auto"/>
          <w:color w:val="auto"/>
        </w:rPr>
        <w:t>Appendix A</w:t>
      </w:r>
      <w:r>
        <w:rPr>
          <w:rFonts w:ascii="Arial" w:cs="Arial" w:eastAsia="Arial" w:hAnsi="Arial"/>
          <w:sz w:val="22"/>
          <w:szCs w:val="22"/>
          <w:color w:val="auto"/>
        </w:rPr>
        <w:t>, and to cause the Prior Plan to become subject to Section 409A.</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4.05</w:t>
      </w:r>
      <w:r>
        <w:rPr>
          <w:sz w:val="20"/>
          <w:szCs w:val="20"/>
          <w:color w:val="auto"/>
        </w:rPr>
        <w:tab/>
      </w:r>
      <w:r>
        <w:rPr>
          <w:rFonts w:ascii="Arial" w:cs="Arial" w:eastAsia="Arial" w:hAnsi="Arial"/>
          <w:sz w:val="19"/>
          <w:szCs w:val="19"/>
          <w:b w:val="1"/>
          <w:bCs w:val="1"/>
          <w:color w:val="auto"/>
        </w:rPr>
        <w:t>Deferred Stock Unit Accounts</w:t>
      </w:r>
    </w:p>
    <w:p>
      <w:pPr>
        <w:spacing w:after="0" w:line="50" w:lineRule="exact"/>
        <w:rPr>
          <w:sz w:val="20"/>
          <w:szCs w:val="20"/>
          <w:color w:val="auto"/>
        </w:rPr>
      </w:pPr>
    </w:p>
    <w:p>
      <w:pPr>
        <w:ind w:right="60" w:firstLine="1292"/>
        <w:spacing w:after="0" w:line="288" w:lineRule="auto"/>
        <w:tabs>
          <w:tab w:leader="none" w:pos="1833" w:val="left"/>
        </w:tabs>
        <w:numPr>
          <w:ilvl w:val="0"/>
          <w:numId w:val="94"/>
        </w:numPr>
        <w:rPr>
          <w:rFonts w:ascii="Arial" w:cs="Arial" w:eastAsia="Arial" w:hAnsi="Arial"/>
          <w:sz w:val="21"/>
          <w:szCs w:val="21"/>
          <w:color w:val="010000"/>
        </w:rPr>
      </w:pPr>
      <w:r>
        <w:rPr>
          <w:rFonts w:ascii="Arial" w:cs="Arial" w:eastAsia="Arial" w:hAnsi="Arial"/>
          <w:sz w:val="21"/>
          <w:szCs w:val="21"/>
          <w:i w:val="1"/>
          <w:iCs w:val="1"/>
          <w:color w:val="auto"/>
        </w:rPr>
        <w:t>Calculation of Deferred Stock Units</w:t>
      </w:r>
      <w:r>
        <w:rPr>
          <w:rFonts w:ascii="Arial" w:cs="Arial" w:eastAsia="Arial" w:hAnsi="Arial"/>
          <w:sz w:val="21"/>
          <w:szCs w:val="21"/>
          <w:color w:val="auto"/>
        </w:rPr>
        <w:t>. A Participant’s Account (including a New Director Restricted Stock</w:t>
      </w:r>
      <w:r>
        <w:rPr>
          <w:rFonts w:ascii="Arial" w:cs="Arial" w:eastAsia="Arial" w:hAnsi="Arial"/>
          <w:sz w:val="21"/>
          <w:szCs w:val="21"/>
          <w:i w:val="1"/>
          <w:iCs w:val="1"/>
          <w:color w:val="auto"/>
        </w:rPr>
        <w:t xml:space="preserve"> </w:t>
      </w:r>
      <w:r>
        <w:rPr>
          <w:rFonts w:ascii="Arial" w:cs="Arial" w:eastAsia="Arial" w:hAnsi="Arial"/>
          <w:sz w:val="21"/>
          <w:szCs w:val="21"/>
          <w:color w:val="auto"/>
        </w:rPr>
        <w:t>Unit Account) shall be credited with the number of Deferred Stock Units in accordance with the following rules:</w:t>
      </w:r>
    </w:p>
    <w:p>
      <w:pPr>
        <w:ind w:left="640" w:right="60" w:firstLine="1300"/>
        <w:spacing w:after="0" w:line="316" w:lineRule="auto"/>
        <w:tabs>
          <w:tab w:leader="none" w:pos="2464" w:val="left"/>
        </w:tabs>
        <w:numPr>
          <w:ilvl w:val="1"/>
          <w:numId w:val="94"/>
        </w:numPr>
        <w:rPr>
          <w:rFonts w:ascii="Arial" w:cs="Arial" w:eastAsia="Arial" w:hAnsi="Arial"/>
          <w:sz w:val="19"/>
          <w:szCs w:val="19"/>
          <w:color w:val="010000"/>
        </w:rPr>
      </w:pPr>
      <w:r>
        <w:rPr>
          <w:rFonts w:ascii="Arial" w:cs="Arial" w:eastAsia="Arial" w:hAnsi="Arial"/>
          <w:sz w:val="19"/>
          <w:szCs w:val="19"/>
          <w:i w:val="1"/>
          <w:iCs w:val="1"/>
          <w:color w:val="auto"/>
        </w:rPr>
        <w:t xml:space="preserve">Initial Crediting of Deferred Stock Units. </w:t>
      </w:r>
      <w:r>
        <w:rPr>
          <w:rFonts w:ascii="Arial" w:cs="Arial" w:eastAsia="Arial" w:hAnsi="Arial"/>
          <w:sz w:val="19"/>
          <w:szCs w:val="19"/>
          <w:color w:val="auto"/>
        </w:rPr>
        <w:t>The Annual Deferred Stock Unit Award, Deferred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Annual Retainer (if any), and the New Director Restricted Stock Unit Award (if applicable) credited to a Participant’s Account for a Plan Year under </w:t>
      </w:r>
      <w:r>
        <w:rPr>
          <w:rFonts w:ascii="Arial" w:cs="Arial" w:eastAsia="Arial" w:hAnsi="Arial"/>
          <w:sz w:val="19"/>
          <w:szCs w:val="19"/>
          <w:u w:val="single" w:color="auto"/>
          <w:color w:val="auto"/>
        </w:rPr>
        <w:t>Sections 4.01, 4.02 and 4.03</w:t>
      </w:r>
      <w:r>
        <w:rPr>
          <w:rFonts w:ascii="Arial" w:cs="Arial" w:eastAsia="Arial" w:hAnsi="Arial"/>
          <w:sz w:val="19"/>
          <w:szCs w:val="19"/>
          <w:color w:val="auto"/>
        </w:rPr>
        <w:t xml:space="preserve"> shall result in a number of Deferred Stock Units (including</w:t>
      </w:r>
    </w:p>
    <w:p>
      <w:pPr>
        <w:ind w:left="640" w:right="80"/>
        <w:spacing w:after="0" w:line="318" w:lineRule="auto"/>
        <w:rPr>
          <w:rFonts w:ascii="Arial" w:cs="Arial" w:eastAsia="Arial" w:hAnsi="Arial"/>
          <w:sz w:val="19"/>
          <w:szCs w:val="19"/>
          <w:color w:val="010000"/>
        </w:rPr>
      </w:pPr>
      <w:r>
        <w:rPr>
          <w:rFonts w:ascii="Arial" w:cs="Arial" w:eastAsia="Arial" w:hAnsi="Arial"/>
          <w:sz w:val="19"/>
          <w:szCs w:val="19"/>
          <w:color w:val="auto"/>
        </w:rPr>
        <w:t>fractional Deferred Stock Units) credited to the Participant’s Account equal to the sum of the dollar amounts of the Annual Deferred Stock Unit Award, the Deferred Annual Retainer (if any) and the New Director Restricted Stock Unit</w:t>
      </w:r>
    </w:p>
    <w:p>
      <w:pPr>
        <w:spacing w:after="0" w:line="1" w:lineRule="exact"/>
        <w:rPr>
          <w:rFonts w:ascii="Arial" w:cs="Arial" w:eastAsia="Arial" w:hAnsi="Arial"/>
          <w:sz w:val="19"/>
          <w:szCs w:val="19"/>
          <w:color w:val="010000"/>
        </w:rPr>
      </w:pPr>
    </w:p>
    <w:p>
      <w:pPr>
        <w:ind w:left="640" w:right="600"/>
        <w:spacing w:after="0" w:line="289" w:lineRule="auto"/>
        <w:rPr>
          <w:rFonts w:ascii="Arial" w:cs="Arial" w:eastAsia="Arial" w:hAnsi="Arial"/>
          <w:sz w:val="19"/>
          <w:szCs w:val="19"/>
          <w:color w:val="010000"/>
        </w:rPr>
      </w:pPr>
      <w:r>
        <w:rPr>
          <w:rFonts w:ascii="Arial" w:cs="Arial" w:eastAsia="Arial" w:hAnsi="Arial"/>
          <w:sz w:val="22"/>
          <w:szCs w:val="22"/>
          <w:color w:val="auto"/>
        </w:rPr>
        <w:t>Award (if applicable), divided by the Closing Price on the date of the Annual Meeting or the date a Participant is elected to the Board, if applicable.</w:t>
      </w:r>
    </w:p>
    <w:p>
      <w:pPr>
        <w:spacing w:after="0" w:line="214" w:lineRule="exact"/>
        <w:rPr>
          <w:rFonts w:ascii="Arial" w:cs="Arial" w:eastAsia="Arial" w:hAnsi="Arial"/>
          <w:sz w:val="19"/>
          <w:szCs w:val="19"/>
          <w:color w:val="010000"/>
        </w:rPr>
      </w:pPr>
    </w:p>
    <w:p>
      <w:pPr>
        <w:ind w:left="2480" w:hanging="541"/>
        <w:spacing w:after="0"/>
        <w:tabs>
          <w:tab w:leader="none" w:pos="2480" w:val="left"/>
        </w:tabs>
        <w:numPr>
          <w:ilvl w:val="1"/>
          <w:numId w:val="94"/>
        </w:numPr>
        <w:rPr>
          <w:rFonts w:ascii="Arial" w:cs="Arial" w:eastAsia="Arial" w:hAnsi="Arial"/>
          <w:sz w:val="22"/>
          <w:szCs w:val="22"/>
          <w:color w:val="010000"/>
        </w:rPr>
      </w:pPr>
      <w:r>
        <w:rPr>
          <w:rFonts w:ascii="Arial" w:cs="Arial" w:eastAsia="Arial" w:hAnsi="Arial"/>
          <w:sz w:val="22"/>
          <w:szCs w:val="22"/>
          <w:i w:val="1"/>
          <w:iCs w:val="1"/>
          <w:color w:val="auto"/>
        </w:rPr>
        <w:t xml:space="preserve">Deemed Reinvestment of Dividends. </w:t>
      </w:r>
      <w:r>
        <w:rPr>
          <w:rFonts w:ascii="Arial" w:cs="Arial" w:eastAsia="Arial" w:hAnsi="Arial"/>
          <w:sz w:val="22"/>
          <w:szCs w:val="22"/>
          <w:color w:val="auto"/>
        </w:rPr>
        <w:t>The number of Deferred Stock Units credited to a</w:t>
      </w:r>
    </w:p>
    <w:p>
      <w:pPr>
        <w:spacing w:after="0" w:line="44" w:lineRule="exact"/>
        <w:rPr>
          <w:rFonts w:ascii="Arial" w:cs="Arial" w:eastAsia="Arial" w:hAnsi="Arial"/>
          <w:sz w:val="22"/>
          <w:szCs w:val="22"/>
          <w:color w:val="010000"/>
        </w:rPr>
      </w:pPr>
    </w:p>
    <w:p>
      <w:pPr>
        <w:ind w:left="640"/>
        <w:spacing w:after="0" w:line="316" w:lineRule="auto"/>
        <w:rPr>
          <w:rFonts w:ascii="Arial" w:cs="Arial" w:eastAsia="Arial" w:hAnsi="Arial"/>
          <w:sz w:val="22"/>
          <w:szCs w:val="22"/>
          <w:color w:val="010000"/>
        </w:rPr>
      </w:pPr>
      <w:r>
        <w:rPr>
          <w:rFonts w:ascii="Arial" w:cs="Arial" w:eastAsia="Arial" w:hAnsi="Arial"/>
          <w:sz w:val="19"/>
          <w:szCs w:val="19"/>
          <w:color w:val="auto"/>
        </w:rPr>
        <w:t>Participant’s Account shall be increased on each date on which a dividend is paid on the underlying referenced common stock that relates to a Deferred Stock Unit. The number of additional RTX, Carrier or Otis Deferred Stock Units credited to a Participant’s Account as a result of such dividend payment on a RTX, Carrier or Otis Deferred Stock</w:t>
      </w:r>
    </w:p>
    <w:p>
      <w:pPr>
        <w:jc w:val="both"/>
        <w:ind w:left="640" w:right="140"/>
        <w:spacing w:after="0" w:line="318" w:lineRule="auto"/>
        <w:rPr>
          <w:rFonts w:ascii="Arial" w:cs="Arial" w:eastAsia="Arial" w:hAnsi="Arial"/>
          <w:sz w:val="22"/>
          <w:szCs w:val="22"/>
          <w:color w:val="010000"/>
        </w:rPr>
      </w:pPr>
      <w:r>
        <w:rPr>
          <w:rFonts w:ascii="Arial" w:cs="Arial" w:eastAsia="Arial" w:hAnsi="Arial"/>
          <w:sz w:val="19"/>
          <w:szCs w:val="19"/>
          <w:color w:val="auto"/>
        </w:rPr>
        <w:t>Unit respectively shall be determined by (A) multiplying the total number of relevant Deferred Stock Units (including fractional Deferred Stock Units) credited to the Participant’s Account on the dividend payment date by the amount of</w:t>
      </w:r>
    </w:p>
    <w:p>
      <w:pPr>
        <w:spacing w:after="0" w:line="1" w:lineRule="exact"/>
        <w:rPr>
          <w:rFonts w:ascii="Arial" w:cs="Arial" w:eastAsia="Arial" w:hAnsi="Arial"/>
          <w:sz w:val="22"/>
          <w:szCs w:val="22"/>
          <w:color w:val="010000"/>
        </w:rPr>
      </w:pPr>
    </w:p>
    <w:p>
      <w:pPr>
        <w:ind w:left="640" w:right="20"/>
        <w:spacing w:after="0" w:line="349" w:lineRule="auto"/>
        <w:rPr>
          <w:rFonts w:ascii="Arial" w:cs="Arial" w:eastAsia="Arial" w:hAnsi="Arial"/>
          <w:sz w:val="22"/>
          <w:szCs w:val="22"/>
          <w:color w:val="010000"/>
        </w:rPr>
      </w:pPr>
      <w:r>
        <w:rPr>
          <w:rFonts w:ascii="Arial" w:cs="Arial" w:eastAsia="Arial" w:hAnsi="Arial"/>
          <w:sz w:val="19"/>
          <w:szCs w:val="19"/>
          <w:color w:val="auto"/>
        </w:rPr>
        <w:t>the dividend paid per share of RTX, Carrier or Otis common stock that is the underlying referenced common stock for purposes of the relevant Deferred Stock Unit on the dividend payment date, and (B) dividing the product so determined by the Closing Price of the underlying referenced common stock on the dividend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80"/>
          </w:cols>
          <w:pgMar w:left="440" w:top="1440" w:right="479" w:bottom="1440" w:gutter="0" w:footer="0" w:header="0"/>
        </w:sectPr>
      </w:pPr>
    </w:p>
    <w:bookmarkStart w:id="111" w:name="page112"/>
    <w:bookmarkEnd w:id="111"/>
    <w:p>
      <w:pPr>
        <w:spacing w:after="0" w:line="200" w:lineRule="exact"/>
        <w:rPr>
          <w:sz w:val="20"/>
          <w:szCs w:val="20"/>
          <w:color w:val="auto"/>
        </w:rPr>
      </w:pPr>
    </w:p>
    <w:p>
      <w:pPr>
        <w:spacing w:after="0" w:line="369" w:lineRule="exact"/>
        <w:rPr>
          <w:sz w:val="20"/>
          <w:szCs w:val="20"/>
          <w:color w:val="auto"/>
        </w:rPr>
      </w:pPr>
    </w:p>
    <w:p>
      <w:pPr>
        <w:ind w:left="2480" w:hanging="540"/>
        <w:spacing w:after="0"/>
        <w:tabs>
          <w:tab w:leader="none" w:pos="2480" w:val="left"/>
        </w:tabs>
        <w:numPr>
          <w:ilvl w:val="1"/>
          <w:numId w:val="95"/>
        </w:numPr>
        <w:rPr>
          <w:rFonts w:ascii="Arial" w:cs="Arial" w:eastAsia="Arial" w:hAnsi="Arial"/>
          <w:sz w:val="19"/>
          <w:szCs w:val="19"/>
          <w:color w:val="010000"/>
        </w:rPr>
      </w:pPr>
      <w:r>
        <w:rPr>
          <w:rFonts w:ascii="Arial" w:cs="Arial" w:eastAsia="Arial" w:hAnsi="Arial"/>
          <w:sz w:val="19"/>
          <w:szCs w:val="19"/>
          <w:i w:val="1"/>
          <w:iCs w:val="1"/>
          <w:color w:val="auto"/>
        </w:rPr>
        <w:t xml:space="preserve">Effect of Recapitalization. </w:t>
      </w:r>
      <w:r>
        <w:rPr>
          <w:rFonts w:ascii="Arial" w:cs="Arial" w:eastAsia="Arial" w:hAnsi="Arial"/>
          <w:sz w:val="19"/>
          <w:szCs w:val="19"/>
          <w:color w:val="auto"/>
        </w:rPr>
        <w:t>In the event of a transaction or event described in this subparagraph</w:t>
      </w:r>
    </w:p>
    <w:p>
      <w:pPr>
        <w:spacing w:after="0" w:line="78" w:lineRule="exact"/>
        <w:rPr>
          <w:rFonts w:ascii="Arial" w:cs="Arial" w:eastAsia="Arial" w:hAnsi="Arial"/>
          <w:sz w:val="19"/>
          <w:szCs w:val="19"/>
          <w:color w:val="010000"/>
        </w:rPr>
      </w:pPr>
    </w:p>
    <w:p>
      <w:pPr>
        <w:ind w:left="640" w:firstLine="4"/>
        <w:spacing w:after="0" w:line="318" w:lineRule="auto"/>
        <w:tabs>
          <w:tab w:leader="none" w:pos="1018" w:val="left"/>
        </w:tabs>
        <w:numPr>
          <w:ilvl w:val="0"/>
          <w:numId w:val="96"/>
        </w:numPr>
        <w:rPr>
          <w:rFonts w:ascii="Arial" w:cs="Arial" w:eastAsia="Arial" w:hAnsi="Arial"/>
          <w:sz w:val="19"/>
          <w:szCs w:val="19"/>
          <w:color w:val="auto"/>
        </w:rPr>
      </w:pPr>
      <w:r>
        <w:rPr>
          <w:rFonts w:ascii="Arial" w:cs="Arial" w:eastAsia="Arial" w:hAnsi="Arial"/>
          <w:sz w:val="19"/>
          <w:szCs w:val="19"/>
          <w:color w:val="auto"/>
        </w:rPr>
        <w:t>(a “Recapitalization Event”), the number of the applicable Deferred Stock Units credited to a Participant’s Account shall be adjusted in the same manner as an outstanding share of common stock underlying the applicable Deferred</w:t>
      </w:r>
    </w:p>
    <w:p>
      <w:pPr>
        <w:spacing w:after="0" w:line="1" w:lineRule="exact"/>
        <w:rPr>
          <w:rFonts w:ascii="Arial" w:cs="Arial" w:eastAsia="Arial" w:hAnsi="Arial"/>
          <w:sz w:val="19"/>
          <w:szCs w:val="19"/>
          <w:color w:val="auto"/>
        </w:rPr>
      </w:pPr>
    </w:p>
    <w:p>
      <w:pPr>
        <w:ind w:left="640" w:right="80"/>
        <w:spacing w:after="0" w:line="316" w:lineRule="auto"/>
        <w:rPr>
          <w:rFonts w:ascii="Arial" w:cs="Arial" w:eastAsia="Arial" w:hAnsi="Arial"/>
          <w:sz w:val="19"/>
          <w:szCs w:val="19"/>
          <w:color w:val="auto"/>
        </w:rPr>
      </w:pPr>
      <w:r>
        <w:rPr>
          <w:rFonts w:ascii="Arial" w:cs="Arial" w:eastAsia="Arial" w:hAnsi="Arial"/>
          <w:sz w:val="19"/>
          <w:szCs w:val="19"/>
          <w:color w:val="auto"/>
        </w:rPr>
        <w:t>Stock Unit. A Recapitalization Event includes a dividend (other than regular quarterly dividends) or other extraordinary distribution to a holder of a share of common stock underlying such Deferred Stock Unit (whether in the form of cash, shares, other securities, or other property), extraordinary cash dividend, recapitalization, stock split,</w:t>
      </w:r>
    </w:p>
    <w:p>
      <w:pPr>
        <w:ind w:left="640" w:right="120"/>
        <w:spacing w:after="0" w:line="318" w:lineRule="auto"/>
        <w:rPr>
          <w:rFonts w:ascii="Arial" w:cs="Arial" w:eastAsia="Arial" w:hAnsi="Arial"/>
          <w:sz w:val="19"/>
          <w:szCs w:val="19"/>
          <w:color w:val="auto"/>
        </w:rPr>
      </w:pPr>
      <w:r>
        <w:rPr>
          <w:rFonts w:ascii="Arial" w:cs="Arial" w:eastAsia="Arial" w:hAnsi="Arial"/>
          <w:sz w:val="19"/>
          <w:szCs w:val="19"/>
          <w:color w:val="auto"/>
        </w:rPr>
        <w:t>reverse stock split, reorganization, merger, consolidation, split-up, spin-off, repurchase, or exchange of shares or other securities, the issuance or exercisability of stock purchase rights, the issuance of warrants or other rights to purchase</w:t>
      </w:r>
    </w:p>
    <w:p>
      <w:pPr>
        <w:spacing w:after="0" w:line="1" w:lineRule="exact"/>
        <w:rPr>
          <w:rFonts w:ascii="Arial" w:cs="Arial" w:eastAsia="Arial" w:hAnsi="Arial"/>
          <w:sz w:val="19"/>
          <w:szCs w:val="19"/>
          <w:color w:val="auto"/>
        </w:rPr>
      </w:pPr>
    </w:p>
    <w:p>
      <w:pPr>
        <w:ind w:left="640" w:right="20"/>
        <w:spacing w:after="0" w:line="349" w:lineRule="auto"/>
        <w:rPr>
          <w:rFonts w:ascii="Arial" w:cs="Arial" w:eastAsia="Arial" w:hAnsi="Arial"/>
          <w:sz w:val="19"/>
          <w:szCs w:val="19"/>
          <w:color w:val="auto"/>
        </w:rPr>
      </w:pPr>
      <w:r>
        <w:rPr>
          <w:rFonts w:ascii="Arial" w:cs="Arial" w:eastAsia="Arial" w:hAnsi="Arial"/>
          <w:sz w:val="19"/>
          <w:szCs w:val="19"/>
          <w:color w:val="auto"/>
        </w:rPr>
        <w:t>shares or other securities, or other similar corporate transaction or event that has a material effect on a share of common stock underlying such Deferred Stock Unit and requires conforming adjustment to the value and/or number of applicable Deferred Stock Units to prevent dilution or enlargement of the value of Participants’ Accounts.</w:t>
      </w:r>
    </w:p>
    <w:p>
      <w:pPr>
        <w:spacing w:after="0" w:line="12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4.06</w:t>
      </w:r>
      <w:r>
        <w:rPr>
          <w:sz w:val="20"/>
          <w:szCs w:val="20"/>
          <w:color w:val="auto"/>
        </w:rPr>
        <w:tab/>
      </w:r>
      <w:r>
        <w:rPr>
          <w:rFonts w:ascii="Arial" w:cs="Arial" w:eastAsia="Arial" w:hAnsi="Arial"/>
          <w:sz w:val="19"/>
          <w:szCs w:val="19"/>
          <w:b w:val="1"/>
          <w:bCs w:val="1"/>
          <w:color w:val="auto"/>
        </w:rPr>
        <w:t>Hypothetical Nature of Accounts and Investments</w:t>
      </w:r>
    </w:p>
    <w:p>
      <w:pPr>
        <w:spacing w:after="0" w:line="50" w:lineRule="exact"/>
        <w:rPr>
          <w:sz w:val="20"/>
          <w:szCs w:val="20"/>
          <w:color w:val="auto"/>
        </w:rPr>
      </w:pPr>
    </w:p>
    <w:p>
      <w:pPr>
        <w:ind w:right="60" w:firstLine="648"/>
        <w:spacing w:after="0" w:line="278" w:lineRule="auto"/>
        <w:rPr>
          <w:sz w:val="20"/>
          <w:szCs w:val="20"/>
          <w:color w:val="auto"/>
        </w:rPr>
      </w:pPr>
      <w:r>
        <w:rPr>
          <w:rFonts w:ascii="Arial" w:cs="Arial" w:eastAsia="Arial" w:hAnsi="Arial"/>
          <w:sz w:val="22"/>
          <w:szCs w:val="22"/>
          <w:color w:val="auto"/>
        </w:rPr>
        <w:t xml:space="preserve">Each Account established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maintained for bookkeeping purposes only. Neither the Plan nor any of the Accounts established under the Plan shall hold any actual funds, shares or other assets. The RTX, Carrier and Otis Deferred Stock Units established hereunder shall be used solely to determine the amounts to be distributed hereunder, shall not be or represent an equity security of the Corporation, shall not be convertible into or otherwise entitle a Participant to acquire an equity security of the Corporation prior to a Conversion Date as provided for under the terms of this Plan and shall not carry any voting or dividend rights.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ELECTION PROCEDURES AND DISTRIBUTIONS</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5.01</w:t>
      </w:r>
      <w:r>
        <w:rPr>
          <w:sz w:val="20"/>
          <w:szCs w:val="20"/>
          <w:color w:val="auto"/>
        </w:rPr>
        <w:tab/>
      </w:r>
      <w:r>
        <w:rPr>
          <w:rFonts w:ascii="Arial" w:cs="Arial" w:eastAsia="Arial" w:hAnsi="Arial"/>
          <w:sz w:val="19"/>
          <w:szCs w:val="19"/>
          <w:b w:val="1"/>
          <w:bCs w:val="1"/>
          <w:color w:val="auto"/>
        </w:rPr>
        <w:t>Annual Retainer Deferral Election</w:t>
      </w:r>
    </w:p>
    <w:p>
      <w:pPr>
        <w:spacing w:after="0" w:line="50" w:lineRule="exact"/>
        <w:rPr>
          <w:sz w:val="20"/>
          <w:szCs w:val="20"/>
          <w:color w:val="auto"/>
        </w:rPr>
      </w:pPr>
    </w:p>
    <w:p>
      <w:pPr>
        <w:ind w:right="100" w:firstLine="648"/>
        <w:spacing w:after="0" w:line="289" w:lineRule="auto"/>
        <w:rPr>
          <w:sz w:val="20"/>
          <w:szCs w:val="20"/>
          <w:color w:val="auto"/>
        </w:rPr>
      </w:pPr>
      <w:r>
        <w:rPr>
          <w:rFonts w:ascii="Arial" w:cs="Arial" w:eastAsia="Arial" w:hAnsi="Arial"/>
          <w:sz w:val="22"/>
          <w:szCs w:val="22"/>
          <w:color w:val="auto"/>
        </w:rPr>
        <w:t>Participants who elect to defer the receipt of the Annual Retainer as RTX Deferred Stock Units for any Plan Year must make a written deferral election for that year on an Election form provided by the Committee.</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5.02</w:t>
      </w:r>
      <w:r>
        <w:rPr>
          <w:sz w:val="20"/>
          <w:szCs w:val="20"/>
          <w:color w:val="auto"/>
        </w:rPr>
        <w:tab/>
      </w:r>
      <w:r>
        <w:rPr>
          <w:rFonts w:ascii="Arial" w:cs="Arial" w:eastAsia="Arial" w:hAnsi="Arial"/>
          <w:sz w:val="19"/>
          <w:szCs w:val="19"/>
          <w:b w:val="1"/>
          <w:bCs w:val="1"/>
          <w:color w:val="auto"/>
        </w:rPr>
        <w:t>Annual Retainer Deferral Election Deadline</w:t>
      </w:r>
    </w:p>
    <w:p>
      <w:pPr>
        <w:spacing w:after="0" w:line="37" w:lineRule="exact"/>
        <w:rPr>
          <w:sz w:val="20"/>
          <w:szCs w:val="20"/>
          <w:color w:val="auto"/>
        </w:rPr>
      </w:pPr>
    </w:p>
    <w:p>
      <w:pPr>
        <w:ind w:firstLine="648"/>
        <w:spacing w:after="0" w:line="284" w:lineRule="auto"/>
        <w:rPr>
          <w:sz w:val="20"/>
          <w:szCs w:val="20"/>
          <w:color w:val="auto"/>
        </w:rPr>
      </w:pPr>
      <w:r>
        <w:rPr>
          <w:rFonts w:ascii="Arial" w:cs="Arial" w:eastAsia="Arial" w:hAnsi="Arial"/>
          <w:sz w:val="22"/>
          <w:szCs w:val="22"/>
          <w:color w:val="auto"/>
        </w:rPr>
        <w:t>A written Election form must be completed and submitted to the Office of the Corporate Secretary, no later than December 31st, prior to the Plan Year for which the Annual Retainer will be earned or, for new Participants, no later than 30 days after their election to the Board (in the case of new Participants, the deferral shall only apply to compensation for services performed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980"/>
          </w:cols>
          <w:pgMar w:left="440" w:top="1440" w:right="479" w:bottom="1440" w:gutter="0" w:footer="0" w:header="0"/>
        </w:sectPr>
      </w:pPr>
    </w:p>
    <w:bookmarkStart w:id="112" w:name="page113"/>
    <w:bookmarkEnd w:id="112"/>
    <w:p>
      <w:pPr>
        <w:spacing w:after="0" w:line="42"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 xml:space="preserve">after the date of the election). If a Participant fails to timely submit a properly completed Election form, the Participant’s Annual Retainer earned in the next succeeding year shall be paid in cash as provided in </w:t>
      </w:r>
      <w:r>
        <w:rPr>
          <w:rFonts w:ascii="Arial" w:cs="Arial" w:eastAsia="Arial" w:hAnsi="Arial"/>
          <w:sz w:val="22"/>
          <w:szCs w:val="22"/>
          <w:u w:val="single" w:color="auto"/>
          <w:color w:val="auto"/>
        </w:rPr>
        <w:t>Section 4.02</w:t>
      </w:r>
      <w:r>
        <w:rPr>
          <w:rFonts w:ascii="Arial" w:cs="Arial" w:eastAsia="Arial" w:hAnsi="Arial"/>
          <w:sz w:val="22"/>
          <w:szCs w:val="22"/>
          <w:color w:val="auto"/>
        </w:rPr>
        <w:t>. The Participant’s deferral election shall be irrevocable following the Election deadline.</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5.03</w:t>
      </w:r>
      <w:r>
        <w:rPr>
          <w:sz w:val="20"/>
          <w:szCs w:val="20"/>
          <w:color w:val="auto"/>
        </w:rPr>
        <w:tab/>
      </w:r>
      <w:r>
        <w:rPr>
          <w:rFonts w:ascii="Arial" w:cs="Arial" w:eastAsia="Arial" w:hAnsi="Arial"/>
          <w:sz w:val="19"/>
          <w:szCs w:val="19"/>
          <w:b w:val="1"/>
          <w:bCs w:val="1"/>
          <w:color w:val="auto"/>
        </w:rPr>
        <w:t>Distribution Commencement Date</w:t>
      </w:r>
    </w:p>
    <w:p>
      <w:pPr>
        <w:spacing w:after="0" w:line="50" w:lineRule="exact"/>
        <w:rPr>
          <w:sz w:val="20"/>
          <w:szCs w:val="20"/>
          <w:color w:val="auto"/>
        </w:rPr>
      </w:pPr>
    </w:p>
    <w:p>
      <w:pPr>
        <w:ind w:right="120" w:firstLine="1292"/>
        <w:spacing w:after="0" w:line="318" w:lineRule="auto"/>
        <w:tabs>
          <w:tab w:leader="none" w:pos="1833" w:val="left"/>
        </w:tabs>
        <w:numPr>
          <w:ilvl w:val="0"/>
          <w:numId w:val="97"/>
        </w:numPr>
        <w:rPr>
          <w:rFonts w:ascii="Arial" w:cs="Arial" w:eastAsia="Arial" w:hAnsi="Arial"/>
          <w:sz w:val="19"/>
          <w:szCs w:val="19"/>
          <w:color w:val="010000"/>
        </w:rPr>
      </w:pPr>
      <w:r>
        <w:rPr>
          <w:rFonts w:ascii="Arial" w:cs="Arial" w:eastAsia="Arial" w:hAnsi="Arial"/>
          <w:sz w:val="19"/>
          <w:szCs w:val="19"/>
          <w:i w:val="1"/>
          <w:iCs w:val="1"/>
          <w:color w:val="auto"/>
        </w:rPr>
        <w:t>RTX Deferred Stock Units</w:t>
      </w:r>
      <w:r>
        <w:rPr>
          <w:rFonts w:ascii="Arial" w:cs="Arial" w:eastAsia="Arial" w:hAnsi="Arial"/>
          <w:sz w:val="19"/>
          <w:szCs w:val="19"/>
          <w:color w:val="auto"/>
        </w:rPr>
        <w:t>. The value of RTX Deferred Stock Units shall be based on the Closing Price</w:t>
      </w:r>
      <w:r>
        <w:rPr>
          <w:rFonts w:ascii="Arial" w:cs="Arial" w:eastAsia="Arial" w:hAnsi="Arial"/>
          <w:sz w:val="19"/>
          <w:szCs w:val="19"/>
          <w:i w:val="1"/>
          <w:iCs w:val="1"/>
          <w:color w:val="auto"/>
        </w:rPr>
        <w:t xml:space="preserve"> </w:t>
      </w:r>
      <w:r>
        <w:rPr>
          <w:rFonts w:ascii="Arial" w:cs="Arial" w:eastAsia="Arial" w:hAnsi="Arial"/>
          <w:sz w:val="19"/>
          <w:szCs w:val="19"/>
          <w:color w:val="auto"/>
        </w:rPr>
        <w:t>of RTX Common Stock as of the date of Separation from Service (or in the case of installment payments, the Separation from</w:t>
      </w:r>
    </w:p>
    <w:p>
      <w:pPr>
        <w:spacing w:after="0" w:line="1" w:lineRule="exact"/>
        <w:rPr>
          <w:rFonts w:ascii="Arial" w:cs="Arial" w:eastAsia="Arial" w:hAnsi="Arial"/>
          <w:sz w:val="19"/>
          <w:szCs w:val="19"/>
          <w:color w:val="010000"/>
        </w:rPr>
      </w:pPr>
    </w:p>
    <w:p>
      <w:pPr>
        <w:ind w:right="500"/>
        <w:spacing w:after="0" w:line="318" w:lineRule="auto"/>
        <w:rPr>
          <w:rFonts w:ascii="Arial" w:cs="Arial" w:eastAsia="Arial" w:hAnsi="Arial"/>
          <w:sz w:val="19"/>
          <w:szCs w:val="19"/>
          <w:color w:val="010000"/>
        </w:rPr>
      </w:pPr>
      <w:r>
        <w:rPr>
          <w:rFonts w:ascii="Arial" w:cs="Arial" w:eastAsia="Arial" w:hAnsi="Arial"/>
          <w:sz w:val="19"/>
          <w:szCs w:val="19"/>
          <w:color w:val="auto"/>
        </w:rPr>
        <w:t>Service Anniversary Date) and will be converted into shares of RTX Common Stock and be distributed in shares of stock from a Participant’s Account as of the Participant’s Distribution Commencement Date (and in the case of installment</w:t>
      </w:r>
    </w:p>
    <w:p>
      <w:pPr>
        <w:spacing w:after="0" w:line="1" w:lineRule="exact"/>
        <w:rPr>
          <w:rFonts w:ascii="Arial" w:cs="Arial" w:eastAsia="Arial" w:hAnsi="Arial"/>
          <w:sz w:val="19"/>
          <w:szCs w:val="19"/>
          <w:color w:val="010000"/>
        </w:rPr>
      </w:pPr>
    </w:p>
    <w:p>
      <w:pPr>
        <w:jc w:val="both"/>
        <w:ind w:right="700"/>
        <w:spacing w:after="0" w:line="349" w:lineRule="auto"/>
        <w:rPr>
          <w:rFonts w:ascii="Arial" w:cs="Arial" w:eastAsia="Arial" w:hAnsi="Arial"/>
          <w:sz w:val="19"/>
          <w:szCs w:val="19"/>
          <w:color w:val="010000"/>
        </w:rPr>
      </w:pPr>
      <w:r>
        <w:rPr>
          <w:rFonts w:ascii="Arial" w:cs="Arial" w:eastAsia="Arial" w:hAnsi="Arial"/>
          <w:sz w:val="19"/>
          <w:szCs w:val="19"/>
          <w:color w:val="auto"/>
        </w:rPr>
        <w:t xml:space="preserve">payments, on the applicable Distribution Anniversary Dates). Where the Participant has changed his or her distribution election as provided in </w:t>
      </w:r>
      <w:r>
        <w:rPr>
          <w:rFonts w:ascii="Arial" w:cs="Arial" w:eastAsia="Arial" w:hAnsi="Arial"/>
          <w:sz w:val="19"/>
          <w:szCs w:val="19"/>
          <w:u w:val="single" w:color="auto"/>
          <w:color w:val="auto"/>
        </w:rPr>
        <w:t>Section 5.05</w:t>
      </w:r>
      <w:r>
        <w:rPr>
          <w:rFonts w:ascii="Arial" w:cs="Arial" w:eastAsia="Arial" w:hAnsi="Arial"/>
          <w:sz w:val="19"/>
          <w:szCs w:val="19"/>
          <w:color w:val="auto"/>
        </w:rPr>
        <w:t>, valuation shall occur, and distribution shall commence, no earlier than on the fifth anniversary of the Participant’s Separation from Service and elected Distribution Date respectively.</w:t>
      </w:r>
    </w:p>
    <w:p>
      <w:pPr>
        <w:spacing w:after="0" w:line="167" w:lineRule="exact"/>
        <w:rPr>
          <w:rFonts w:ascii="Arial" w:cs="Arial" w:eastAsia="Arial" w:hAnsi="Arial"/>
          <w:sz w:val="19"/>
          <w:szCs w:val="19"/>
          <w:color w:val="010000"/>
        </w:rPr>
      </w:pPr>
    </w:p>
    <w:p>
      <w:pPr>
        <w:ind w:right="40" w:firstLine="1292"/>
        <w:spacing w:after="0" w:line="316" w:lineRule="auto"/>
        <w:tabs>
          <w:tab w:leader="none" w:pos="1831" w:val="left"/>
        </w:tabs>
        <w:numPr>
          <w:ilvl w:val="0"/>
          <w:numId w:val="97"/>
        </w:numPr>
        <w:rPr>
          <w:rFonts w:ascii="Arial" w:cs="Arial" w:eastAsia="Arial" w:hAnsi="Arial"/>
          <w:sz w:val="19"/>
          <w:szCs w:val="19"/>
          <w:color w:val="010000"/>
        </w:rPr>
      </w:pPr>
      <w:r>
        <w:rPr>
          <w:rFonts w:ascii="Arial" w:cs="Arial" w:eastAsia="Arial" w:hAnsi="Arial"/>
          <w:sz w:val="19"/>
          <w:szCs w:val="19"/>
          <w:i w:val="1"/>
          <w:iCs w:val="1"/>
          <w:color w:val="auto"/>
        </w:rPr>
        <w:t>Carrier and Otis Deferred Stock Units</w:t>
      </w:r>
      <w:r>
        <w:rPr>
          <w:rFonts w:ascii="Arial" w:cs="Arial" w:eastAsia="Arial" w:hAnsi="Arial"/>
          <w:sz w:val="19"/>
          <w:szCs w:val="19"/>
          <w:color w:val="auto"/>
        </w:rPr>
        <w:t>. The value of Carrier and Otis Deferred Stock Units shall be based</w:t>
      </w:r>
      <w:r>
        <w:rPr>
          <w:rFonts w:ascii="Arial" w:cs="Arial" w:eastAsia="Arial" w:hAnsi="Arial"/>
          <w:sz w:val="19"/>
          <w:szCs w:val="19"/>
          <w:i w:val="1"/>
          <w:iCs w:val="1"/>
          <w:color w:val="auto"/>
        </w:rPr>
        <w:t xml:space="preserve"> </w:t>
      </w:r>
      <w:r>
        <w:rPr>
          <w:rFonts w:ascii="Arial" w:cs="Arial" w:eastAsia="Arial" w:hAnsi="Arial"/>
          <w:sz w:val="19"/>
          <w:szCs w:val="19"/>
          <w:color w:val="auto"/>
        </w:rPr>
        <w:t>on the Closing Price or Carrier and Otis common stock as of the date of Separation from Service (or in the case of installment payments, on the Separation from Service Anniversary Date) and will be distributed in cash from a Participant’s Account as of</w:t>
      </w:r>
    </w:p>
    <w:p>
      <w:pPr>
        <w:ind w:right="220"/>
        <w:spacing w:after="0" w:line="318" w:lineRule="auto"/>
        <w:rPr>
          <w:rFonts w:ascii="Arial" w:cs="Arial" w:eastAsia="Arial" w:hAnsi="Arial"/>
          <w:sz w:val="19"/>
          <w:szCs w:val="19"/>
          <w:color w:val="010000"/>
        </w:rPr>
      </w:pPr>
      <w:r>
        <w:rPr>
          <w:rFonts w:ascii="Arial" w:cs="Arial" w:eastAsia="Arial" w:hAnsi="Arial"/>
          <w:sz w:val="19"/>
          <w:szCs w:val="19"/>
          <w:color w:val="auto"/>
        </w:rPr>
        <w:t xml:space="preserve">the Participant’s Distribution Commencement Date (and in the case of installment payments, on the applicable Distribution Anniversary Dates). Where the Participant has changed his or her distribution election as provided in </w:t>
      </w:r>
      <w:r>
        <w:rPr>
          <w:rFonts w:ascii="Arial" w:cs="Arial" w:eastAsia="Arial" w:hAnsi="Arial"/>
          <w:sz w:val="19"/>
          <w:szCs w:val="19"/>
          <w:u w:val="single" w:color="auto"/>
          <w:color w:val="auto"/>
        </w:rPr>
        <w:t>Section 5.05</w:t>
      </w:r>
      <w:r>
        <w:rPr>
          <w:rFonts w:ascii="Arial" w:cs="Arial" w:eastAsia="Arial" w:hAnsi="Arial"/>
          <w:sz w:val="19"/>
          <w:szCs w:val="19"/>
          <w:color w:val="auto"/>
        </w:rPr>
        <w:t>, valuation</w:t>
      </w:r>
    </w:p>
    <w:p>
      <w:pPr>
        <w:spacing w:after="0" w:line="1" w:lineRule="exact"/>
        <w:rPr>
          <w:rFonts w:ascii="Arial" w:cs="Arial" w:eastAsia="Arial" w:hAnsi="Arial"/>
          <w:sz w:val="19"/>
          <w:szCs w:val="19"/>
          <w:color w:val="010000"/>
        </w:rPr>
      </w:pPr>
    </w:p>
    <w:p>
      <w:pPr>
        <w:ind w:right="660"/>
        <w:spacing w:after="0" w:line="289" w:lineRule="auto"/>
        <w:rPr>
          <w:rFonts w:ascii="Arial" w:cs="Arial" w:eastAsia="Arial" w:hAnsi="Arial"/>
          <w:sz w:val="19"/>
          <w:szCs w:val="19"/>
          <w:color w:val="010000"/>
        </w:rPr>
      </w:pPr>
      <w:r>
        <w:rPr>
          <w:rFonts w:ascii="Arial" w:cs="Arial" w:eastAsia="Arial" w:hAnsi="Arial"/>
          <w:sz w:val="22"/>
          <w:szCs w:val="22"/>
          <w:color w:val="auto"/>
        </w:rPr>
        <w:t>shall occur and distribution shall commence no earlier than on the fifth anniversary of the Participant’s Separation from Service and elected Distribution Date respectively.</w:t>
      </w:r>
    </w:p>
    <w:p>
      <w:pPr>
        <w:spacing w:after="0" w:line="214" w:lineRule="exact"/>
        <w:rPr>
          <w:rFonts w:ascii="Arial" w:cs="Arial" w:eastAsia="Arial" w:hAnsi="Arial"/>
          <w:sz w:val="19"/>
          <w:szCs w:val="19"/>
          <w:color w:val="010000"/>
        </w:rPr>
      </w:pPr>
    </w:p>
    <w:p>
      <w:pPr>
        <w:ind w:left="1820" w:hanging="528"/>
        <w:spacing w:after="0"/>
        <w:tabs>
          <w:tab w:leader="none" w:pos="1820" w:val="left"/>
        </w:tabs>
        <w:numPr>
          <w:ilvl w:val="0"/>
          <w:numId w:val="97"/>
        </w:numPr>
        <w:rPr>
          <w:rFonts w:ascii="Arial" w:cs="Arial" w:eastAsia="Arial" w:hAnsi="Arial"/>
          <w:sz w:val="19"/>
          <w:szCs w:val="19"/>
          <w:color w:val="010000"/>
        </w:rPr>
      </w:pPr>
      <w:r>
        <w:rPr>
          <w:rFonts w:ascii="Arial" w:cs="Arial" w:eastAsia="Arial" w:hAnsi="Arial"/>
          <w:sz w:val="19"/>
          <w:szCs w:val="19"/>
          <w:i w:val="1"/>
          <w:iCs w:val="1"/>
          <w:color w:val="auto"/>
        </w:rPr>
        <w:t xml:space="preserve">Death. </w:t>
      </w:r>
      <w:r>
        <w:rPr>
          <w:rFonts w:ascii="Arial" w:cs="Arial" w:eastAsia="Arial" w:hAnsi="Arial"/>
          <w:sz w:val="19"/>
          <w:szCs w:val="19"/>
          <w:color w:val="auto"/>
        </w:rPr>
        <w:t>If a Participant dies at any time before the Participant’s Plan Account has been fully distributed,</w:t>
      </w:r>
    </w:p>
    <w:p>
      <w:pPr>
        <w:spacing w:after="0" w:line="78" w:lineRule="exact"/>
        <w:rPr>
          <w:rFonts w:ascii="Arial" w:cs="Arial" w:eastAsia="Arial" w:hAnsi="Arial"/>
          <w:sz w:val="19"/>
          <w:szCs w:val="19"/>
          <w:color w:val="010000"/>
        </w:rPr>
      </w:pPr>
    </w:p>
    <w:p>
      <w:pPr>
        <w:ind w:right="40"/>
        <w:spacing w:after="0" w:line="372" w:lineRule="auto"/>
        <w:rPr>
          <w:rFonts w:ascii="Arial" w:cs="Arial" w:eastAsia="Arial" w:hAnsi="Arial"/>
          <w:sz w:val="19"/>
          <w:szCs w:val="19"/>
          <w:color w:val="010000"/>
        </w:rPr>
      </w:pPr>
      <w:r>
        <w:rPr>
          <w:rFonts w:ascii="Arial" w:cs="Arial" w:eastAsia="Arial" w:hAnsi="Arial"/>
          <w:sz w:val="19"/>
          <w:szCs w:val="19"/>
          <w:color w:val="auto"/>
        </w:rPr>
        <w:t>the full remaining value of the Participant’s Plan Accounts will be distributed to the designated Beneficiary or the Participant’s estate in a lump sum no later than December 31st of the year immediately following the year in which the death occurred.</w:t>
      </w:r>
    </w:p>
    <w:p>
      <w:pPr>
        <w:spacing w:after="0" w:line="146" w:lineRule="exact"/>
        <w:rPr>
          <w:rFonts w:ascii="Arial" w:cs="Arial" w:eastAsia="Arial" w:hAnsi="Arial"/>
          <w:sz w:val="19"/>
          <w:szCs w:val="19"/>
          <w:color w:val="010000"/>
        </w:rPr>
      </w:pPr>
    </w:p>
    <w:p>
      <w:pPr>
        <w:jc w:val="both"/>
        <w:ind w:right="120" w:firstLine="1292"/>
        <w:spacing w:after="0" w:line="318" w:lineRule="auto"/>
        <w:tabs>
          <w:tab w:leader="none" w:pos="1831" w:val="left"/>
        </w:tabs>
        <w:numPr>
          <w:ilvl w:val="0"/>
          <w:numId w:val="97"/>
        </w:numPr>
        <w:rPr>
          <w:rFonts w:ascii="Arial" w:cs="Arial" w:eastAsia="Arial" w:hAnsi="Arial"/>
          <w:sz w:val="19"/>
          <w:szCs w:val="19"/>
          <w:color w:val="010000"/>
        </w:rPr>
      </w:pPr>
      <w:r>
        <w:rPr>
          <w:rFonts w:ascii="Arial" w:cs="Arial" w:eastAsia="Arial" w:hAnsi="Arial"/>
          <w:sz w:val="19"/>
          <w:szCs w:val="19"/>
          <w:i w:val="1"/>
          <w:iCs w:val="1"/>
          <w:color w:val="auto"/>
        </w:rPr>
        <w:t xml:space="preserve">Administrative Adjustments in Payment Date. </w:t>
      </w:r>
      <w:r>
        <w:rPr>
          <w:rFonts w:ascii="Arial" w:cs="Arial" w:eastAsia="Arial" w:hAnsi="Arial"/>
          <w:sz w:val="19"/>
          <w:szCs w:val="19"/>
          <w:color w:val="auto"/>
        </w:rPr>
        <w:t>A distribution is treated as being made on the date when it</w:t>
      </w:r>
      <w:r>
        <w:rPr>
          <w:rFonts w:ascii="Arial" w:cs="Arial" w:eastAsia="Arial" w:hAnsi="Arial"/>
          <w:sz w:val="19"/>
          <w:szCs w:val="19"/>
          <w:i w:val="1"/>
          <w:iCs w:val="1"/>
          <w:color w:val="auto"/>
        </w:rPr>
        <w:t xml:space="preserve"> </w:t>
      </w:r>
      <w:r>
        <w:rPr>
          <w:rFonts w:ascii="Arial" w:cs="Arial" w:eastAsia="Arial" w:hAnsi="Arial"/>
          <w:sz w:val="19"/>
          <w:szCs w:val="19"/>
          <w:color w:val="auto"/>
        </w:rPr>
        <w:t>is due under the Plan if the distribution occurs on the date specified by the Plan, or on a later date that is either (a) in the same</w:t>
      </w:r>
    </w:p>
    <w:p>
      <w:pPr>
        <w:spacing w:after="0" w:line="1" w:lineRule="exact"/>
        <w:rPr>
          <w:rFonts w:ascii="Arial" w:cs="Arial" w:eastAsia="Arial" w:hAnsi="Arial"/>
          <w:sz w:val="19"/>
          <w:szCs w:val="19"/>
          <w:color w:val="010000"/>
        </w:rPr>
      </w:pPr>
    </w:p>
    <w:p>
      <w:pPr>
        <w:ind w:right="100"/>
        <w:spacing w:after="0" w:line="318" w:lineRule="auto"/>
        <w:rPr>
          <w:rFonts w:ascii="Arial" w:cs="Arial" w:eastAsia="Arial" w:hAnsi="Arial"/>
          <w:sz w:val="19"/>
          <w:szCs w:val="19"/>
          <w:color w:val="010000"/>
        </w:rPr>
      </w:pPr>
      <w:r>
        <w:rPr>
          <w:rFonts w:ascii="Arial" w:cs="Arial" w:eastAsia="Arial" w:hAnsi="Arial"/>
          <w:sz w:val="19"/>
          <w:szCs w:val="19"/>
          <w:color w:val="auto"/>
        </w:rPr>
        <w:t>calendar year (for a distribution whose specified due date is on or before September 30) or (b) by the 15th day of the third calendar month following the date specified by the Plan (for a distribution with a specified due date that is on or after October</w:t>
      </w:r>
    </w:p>
    <w:p>
      <w:pPr>
        <w:spacing w:after="0" w:line="1" w:lineRule="exact"/>
        <w:rPr>
          <w:rFonts w:ascii="Arial" w:cs="Arial" w:eastAsia="Arial" w:hAnsi="Arial"/>
          <w:sz w:val="19"/>
          <w:szCs w:val="19"/>
          <w:color w:val="010000"/>
        </w:rPr>
      </w:pPr>
    </w:p>
    <w:p>
      <w:pPr>
        <w:ind w:right="220"/>
        <w:spacing w:after="0" w:line="304" w:lineRule="auto"/>
        <w:rPr>
          <w:rFonts w:ascii="Arial" w:cs="Arial" w:eastAsia="Arial" w:hAnsi="Arial"/>
          <w:sz w:val="19"/>
          <w:szCs w:val="19"/>
          <w:color w:val="010000"/>
        </w:rPr>
      </w:pPr>
      <w:r>
        <w:rPr>
          <w:rFonts w:ascii="Arial" w:cs="Arial" w:eastAsia="Arial" w:hAnsi="Arial"/>
          <w:sz w:val="21"/>
          <w:szCs w:val="21"/>
          <w:color w:val="auto"/>
        </w:rPr>
        <w:t xml:space="preserve">1). A distribution is also treated as having been made on the date when it is due under the Plan if the distribution is made not more than 30 days before the due date specified by the Plan. A Participant may not, directly or indirectly, designate the taxable year of a distribution made in reliance on the administrative rules in this </w:t>
      </w:r>
      <w:r>
        <w:rPr>
          <w:rFonts w:ascii="Arial" w:cs="Arial" w:eastAsia="Arial" w:hAnsi="Arial"/>
          <w:sz w:val="21"/>
          <w:szCs w:val="21"/>
          <w:u w:val="single" w:color="auto"/>
          <w:color w:val="auto"/>
        </w:rPr>
        <w:t>Section 5.03</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980"/>
          </w:cols>
          <w:pgMar w:left="440" w:top="1440" w:right="479" w:bottom="1440" w:gutter="0" w:footer="0" w:header="0"/>
        </w:sectPr>
      </w:pPr>
    </w:p>
    <w:bookmarkStart w:id="113" w:name="page114"/>
    <w:bookmarkEnd w:id="113"/>
    <w:p>
      <w:pPr>
        <w:spacing w:after="0" w:line="2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5.04</w:t>
      </w:r>
      <w:r>
        <w:rPr>
          <w:sz w:val="20"/>
          <w:szCs w:val="20"/>
          <w:color w:val="auto"/>
        </w:rPr>
        <w:tab/>
      </w:r>
      <w:r>
        <w:rPr>
          <w:rFonts w:ascii="Arial" w:cs="Arial" w:eastAsia="Arial" w:hAnsi="Arial"/>
          <w:sz w:val="19"/>
          <w:szCs w:val="19"/>
          <w:b w:val="1"/>
          <w:bCs w:val="1"/>
          <w:color w:val="auto"/>
        </w:rPr>
        <w:t>Election of Form and Amount of Distribution</w:t>
      </w:r>
    </w:p>
    <w:p>
      <w:pPr>
        <w:spacing w:after="0" w:line="50" w:lineRule="exact"/>
        <w:rPr>
          <w:sz w:val="20"/>
          <w:szCs w:val="20"/>
          <w:color w:val="auto"/>
        </w:rPr>
      </w:pPr>
    </w:p>
    <w:p>
      <w:pPr>
        <w:ind w:left="1820" w:hanging="528"/>
        <w:spacing w:after="0"/>
        <w:tabs>
          <w:tab w:leader="none" w:pos="1820" w:val="left"/>
        </w:tabs>
        <w:numPr>
          <w:ilvl w:val="0"/>
          <w:numId w:val="98"/>
        </w:numPr>
        <w:rPr>
          <w:rFonts w:ascii="Arial" w:cs="Arial" w:eastAsia="Arial" w:hAnsi="Arial"/>
          <w:sz w:val="19"/>
          <w:szCs w:val="19"/>
          <w:color w:val="010000"/>
        </w:rPr>
      </w:pPr>
      <w:r>
        <w:rPr>
          <w:rFonts w:ascii="Arial" w:cs="Arial" w:eastAsia="Arial" w:hAnsi="Arial"/>
          <w:sz w:val="19"/>
          <w:szCs w:val="19"/>
          <w:i w:val="1"/>
          <w:iCs w:val="1"/>
          <w:color w:val="auto"/>
        </w:rPr>
        <w:t xml:space="preserve">Full Distribution. </w:t>
      </w:r>
      <w:r>
        <w:rPr>
          <w:rFonts w:ascii="Arial" w:cs="Arial" w:eastAsia="Arial" w:hAnsi="Arial"/>
          <w:sz w:val="19"/>
          <w:szCs w:val="19"/>
          <w:color w:val="auto"/>
        </w:rPr>
        <w:t>Following a Separation from Service, a Participant shall receive (i) a number of shares</w:t>
      </w:r>
    </w:p>
    <w:p>
      <w:pPr>
        <w:spacing w:after="0" w:line="78" w:lineRule="exact"/>
        <w:rPr>
          <w:rFonts w:ascii="Arial" w:cs="Arial" w:eastAsia="Arial" w:hAnsi="Arial"/>
          <w:sz w:val="19"/>
          <w:szCs w:val="19"/>
          <w:color w:val="010000"/>
        </w:rPr>
      </w:pPr>
    </w:p>
    <w:p>
      <w:pPr>
        <w:jc w:val="both"/>
        <w:spacing w:after="0" w:line="318" w:lineRule="auto"/>
        <w:rPr>
          <w:rFonts w:ascii="Arial" w:cs="Arial" w:eastAsia="Arial" w:hAnsi="Arial"/>
          <w:sz w:val="19"/>
          <w:szCs w:val="19"/>
          <w:color w:val="010000"/>
        </w:rPr>
      </w:pPr>
      <w:r>
        <w:rPr>
          <w:rFonts w:ascii="Arial" w:cs="Arial" w:eastAsia="Arial" w:hAnsi="Arial"/>
          <w:sz w:val="19"/>
          <w:szCs w:val="19"/>
          <w:color w:val="auto"/>
        </w:rPr>
        <w:t>of RTX Common Stock equal to the of the number of whole RTX Deferred Stock Units credited to his or her Account, and (ii) the cash value of the Carrier and Otis Deferred Stock Units credited to his or her Account (if applicable), unless the Participant</w:t>
      </w:r>
    </w:p>
    <w:p>
      <w:pPr>
        <w:spacing w:after="0" w:line="1" w:lineRule="exact"/>
        <w:rPr>
          <w:rFonts w:ascii="Arial" w:cs="Arial" w:eastAsia="Arial" w:hAnsi="Arial"/>
          <w:sz w:val="19"/>
          <w:szCs w:val="19"/>
          <w:color w:val="010000"/>
        </w:rPr>
      </w:pPr>
    </w:p>
    <w:p>
      <w:pPr>
        <w:ind w:right="100"/>
        <w:spacing w:after="0" w:line="279" w:lineRule="auto"/>
        <w:rPr>
          <w:rFonts w:ascii="Arial" w:cs="Arial" w:eastAsia="Arial" w:hAnsi="Arial"/>
          <w:sz w:val="19"/>
          <w:szCs w:val="19"/>
          <w:color w:val="010000"/>
        </w:rPr>
      </w:pPr>
      <w:r>
        <w:rPr>
          <w:rFonts w:ascii="Arial" w:cs="Arial" w:eastAsia="Arial" w:hAnsi="Arial"/>
          <w:sz w:val="22"/>
          <w:szCs w:val="22"/>
          <w:color w:val="auto"/>
        </w:rPr>
        <w:t xml:space="preserve">timely elected to receive distributions from his or her Account in 10 or 15 annual installments in accordance with subsection (b), below. A distribution of shares of RTX Common Stock shall occur as provided in </w:t>
      </w:r>
      <w:r>
        <w:rPr>
          <w:rFonts w:ascii="Arial" w:cs="Arial" w:eastAsia="Arial" w:hAnsi="Arial"/>
          <w:sz w:val="22"/>
          <w:szCs w:val="22"/>
          <w:u w:val="single" w:color="auto"/>
          <w:color w:val="auto"/>
        </w:rPr>
        <w:t>Section 5.03</w:t>
      </w:r>
      <w:r>
        <w:rPr>
          <w:rFonts w:ascii="Arial" w:cs="Arial" w:eastAsia="Arial" w:hAnsi="Arial"/>
          <w:sz w:val="22"/>
          <w:szCs w:val="22"/>
          <w:color w:val="auto"/>
        </w:rPr>
        <w:t>. Carrier and Otis Deferred Stock Units and RTX fractional Deferred Stock Units will be paid in cash.</w:t>
      </w:r>
    </w:p>
    <w:p>
      <w:pPr>
        <w:spacing w:after="0" w:line="224" w:lineRule="exact"/>
        <w:rPr>
          <w:rFonts w:ascii="Arial" w:cs="Arial" w:eastAsia="Arial" w:hAnsi="Arial"/>
          <w:sz w:val="19"/>
          <w:szCs w:val="19"/>
          <w:color w:val="010000"/>
        </w:rPr>
      </w:pPr>
    </w:p>
    <w:p>
      <w:pPr>
        <w:ind w:left="1820" w:hanging="529"/>
        <w:spacing w:after="0"/>
        <w:tabs>
          <w:tab w:leader="none" w:pos="1820" w:val="left"/>
        </w:tabs>
        <w:numPr>
          <w:ilvl w:val="0"/>
          <w:numId w:val="98"/>
        </w:numPr>
        <w:rPr>
          <w:rFonts w:ascii="Arial" w:cs="Arial" w:eastAsia="Arial" w:hAnsi="Arial"/>
          <w:sz w:val="19"/>
          <w:szCs w:val="19"/>
          <w:color w:val="010000"/>
        </w:rPr>
      </w:pPr>
      <w:r>
        <w:rPr>
          <w:rFonts w:ascii="Arial" w:cs="Arial" w:eastAsia="Arial" w:hAnsi="Arial"/>
          <w:sz w:val="19"/>
          <w:szCs w:val="19"/>
          <w:i w:val="1"/>
          <w:iCs w:val="1"/>
          <w:color w:val="auto"/>
        </w:rPr>
        <w:t xml:space="preserve">10 or 15 Annual Installments. </w:t>
      </w:r>
      <w:r>
        <w:rPr>
          <w:rFonts w:ascii="Arial" w:cs="Arial" w:eastAsia="Arial" w:hAnsi="Arial"/>
          <w:sz w:val="19"/>
          <w:szCs w:val="19"/>
          <w:color w:val="auto"/>
        </w:rPr>
        <w:t>A Participant may elect to receive distributions from his or her Account in</w:t>
      </w:r>
    </w:p>
    <w:p>
      <w:pPr>
        <w:spacing w:after="0" w:line="78" w:lineRule="exact"/>
        <w:rPr>
          <w:rFonts w:ascii="Arial" w:cs="Arial" w:eastAsia="Arial" w:hAnsi="Arial"/>
          <w:sz w:val="19"/>
          <w:szCs w:val="19"/>
          <w:color w:val="010000"/>
        </w:rPr>
      </w:pPr>
    </w:p>
    <w:p>
      <w:pPr>
        <w:ind w:right="140"/>
        <w:spacing w:after="0" w:line="318" w:lineRule="auto"/>
        <w:rPr>
          <w:rFonts w:ascii="Arial" w:cs="Arial" w:eastAsia="Arial" w:hAnsi="Arial"/>
          <w:sz w:val="19"/>
          <w:szCs w:val="19"/>
          <w:color w:val="010000"/>
        </w:rPr>
      </w:pPr>
      <w:r>
        <w:rPr>
          <w:rFonts w:ascii="Arial" w:cs="Arial" w:eastAsia="Arial" w:hAnsi="Arial"/>
          <w:sz w:val="19"/>
          <w:szCs w:val="19"/>
          <w:color w:val="auto"/>
        </w:rPr>
        <w:t>10 or 15 installments, in lieu of a full distribution under subsection (a) above. Annual installment distributions of whole RTX Deferred Stock Units shall be in shares of RTX Common Stock, and annual installment distributions of Carrier and Otis</w:t>
      </w:r>
    </w:p>
    <w:p>
      <w:pPr>
        <w:spacing w:after="0" w:line="1" w:lineRule="exact"/>
        <w:rPr>
          <w:rFonts w:ascii="Arial" w:cs="Arial" w:eastAsia="Arial" w:hAnsi="Arial"/>
          <w:sz w:val="19"/>
          <w:szCs w:val="19"/>
          <w:color w:val="010000"/>
        </w:rPr>
      </w:pPr>
    </w:p>
    <w:p>
      <w:pPr>
        <w:spacing w:after="0" w:line="318" w:lineRule="auto"/>
        <w:rPr>
          <w:rFonts w:ascii="Arial" w:cs="Arial" w:eastAsia="Arial" w:hAnsi="Arial"/>
          <w:sz w:val="19"/>
          <w:szCs w:val="19"/>
          <w:color w:val="010000"/>
        </w:rPr>
      </w:pPr>
      <w:r>
        <w:rPr>
          <w:rFonts w:ascii="Arial" w:cs="Arial" w:eastAsia="Arial" w:hAnsi="Arial"/>
          <w:sz w:val="19"/>
          <w:szCs w:val="19"/>
          <w:color w:val="auto"/>
        </w:rPr>
        <w:t>Deferred Stock Units and fractional RTX Deferred Stock Units shall be in cash. Installment distributions shall commence as of the Distribution Commencement Date and continue as of each Distribution Anniversary Date thereafter until all installments</w:t>
      </w:r>
    </w:p>
    <w:p>
      <w:pPr>
        <w:spacing w:after="0" w:line="1" w:lineRule="exact"/>
        <w:rPr>
          <w:rFonts w:ascii="Arial" w:cs="Arial" w:eastAsia="Arial" w:hAnsi="Arial"/>
          <w:sz w:val="19"/>
          <w:szCs w:val="19"/>
          <w:color w:val="010000"/>
        </w:rPr>
      </w:pPr>
    </w:p>
    <w:p>
      <w:pPr>
        <w:ind w:right="280"/>
        <w:spacing w:after="0" w:line="318" w:lineRule="auto"/>
        <w:rPr>
          <w:rFonts w:ascii="Arial" w:cs="Arial" w:eastAsia="Arial" w:hAnsi="Arial"/>
          <w:sz w:val="19"/>
          <w:szCs w:val="19"/>
          <w:color w:val="010000"/>
        </w:rPr>
      </w:pPr>
      <w:r>
        <w:rPr>
          <w:rFonts w:ascii="Arial" w:cs="Arial" w:eastAsia="Arial" w:hAnsi="Arial"/>
          <w:sz w:val="19"/>
          <w:szCs w:val="19"/>
          <w:color w:val="auto"/>
        </w:rPr>
        <w:t>have been paid. The first annual installment shall equal 1/10th or 1/15th (if Participant elects 10 or 15 installment payments respectively) of the value of the Participant’s Accounts, determined as of the Distribution Commencement Date. Each</w:t>
      </w:r>
    </w:p>
    <w:p>
      <w:pPr>
        <w:spacing w:after="0" w:line="1" w:lineRule="exact"/>
        <w:rPr>
          <w:rFonts w:ascii="Arial" w:cs="Arial" w:eastAsia="Arial" w:hAnsi="Arial"/>
          <w:sz w:val="19"/>
          <w:szCs w:val="19"/>
          <w:color w:val="010000"/>
        </w:rPr>
      </w:pPr>
    </w:p>
    <w:p>
      <w:pPr>
        <w:ind w:right="20"/>
        <w:spacing w:after="0" w:line="316" w:lineRule="auto"/>
        <w:rPr>
          <w:rFonts w:ascii="Arial" w:cs="Arial" w:eastAsia="Arial" w:hAnsi="Arial"/>
          <w:sz w:val="19"/>
          <w:szCs w:val="19"/>
          <w:color w:val="010000"/>
        </w:rPr>
      </w:pPr>
      <w:r>
        <w:rPr>
          <w:rFonts w:ascii="Arial" w:cs="Arial" w:eastAsia="Arial" w:hAnsi="Arial"/>
          <w:sz w:val="19"/>
          <w:szCs w:val="19"/>
          <w:color w:val="auto"/>
        </w:rPr>
        <w:t>successive annual installment shall equal the value of the Participant’s Accounts, determined as of the Distribution Anniversary Date, multiplied by a fraction, the numerator of which is one, and the denominator of which shall be the number of remaining annual installments. Payment of each installment in shares of RTX Common Stock with respect to RTX Deferred</w:t>
      </w:r>
    </w:p>
    <w:p>
      <w:pPr>
        <w:ind w:right="1000"/>
        <w:spacing w:after="0" w:line="289" w:lineRule="auto"/>
        <w:rPr>
          <w:rFonts w:ascii="Arial" w:cs="Arial" w:eastAsia="Arial" w:hAnsi="Arial"/>
          <w:sz w:val="19"/>
          <w:szCs w:val="19"/>
          <w:color w:val="010000"/>
        </w:rPr>
      </w:pPr>
      <w:r>
        <w:rPr>
          <w:rFonts w:ascii="Arial" w:cs="Arial" w:eastAsia="Arial" w:hAnsi="Arial"/>
          <w:sz w:val="22"/>
          <w:szCs w:val="22"/>
          <w:color w:val="auto"/>
        </w:rPr>
        <w:t>Stock Units and cash with respect to Carrier and Otis Deferred Stock Units shall be on a pro rata basis based on the outstanding balance of RTX, Carrier and Otis Deferred Stock Units.</w:t>
      </w:r>
    </w:p>
    <w:p>
      <w:pPr>
        <w:spacing w:after="0" w:line="214" w:lineRule="exact"/>
        <w:rPr>
          <w:rFonts w:ascii="Arial" w:cs="Arial" w:eastAsia="Arial" w:hAnsi="Arial"/>
          <w:sz w:val="19"/>
          <w:szCs w:val="19"/>
          <w:color w:val="010000"/>
        </w:rPr>
      </w:pPr>
    </w:p>
    <w:p>
      <w:pPr>
        <w:ind w:left="1820" w:hanging="529"/>
        <w:spacing w:after="0"/>
        <w:tabs>
          <w:tab w:leader="none" w:pos="1820" w:val="left"/>
        </w:tabs>
        <w:numPr>
          <w:ilvl w:val="0"/>
          <w:numId w:val="98"/>
        </w:numPr>
        <w:rPr>
          <w:rFonts w:ascii="Arial" w:cs="Arial" w:eastAsia="Arial" w:hAnsi="Arial"/>
          <w:sz w:val="19"/>
          <w:szCs w:val="19"/>
          <w:color w:val="010000"/>
        </w:rPr>
      </w:pPr>
      <w:r>
        <w:rPr>
          <w:rFonts w:ascii="Arial" w:cs="Arial" w:eastAsia="Arial" w:hAnsi="Arial"/>
          <w:sz w:val="19"/>
          <w:szCs w:val="19"/>
          <w:i w:val="1"/>
          <w:iCs w:val="1"/>
          <w:color w:val="auto"/>
        </w:rPr>
        <w:t xml:space="preserve">Form of Distribution Election. </w:t>
      </w:r>
      <w:r>
        <w:rPr>
          <w:rFonts w:ascii="Arial" w:cs="Arial" w:eastAsia="Arial" w:hAnsi="Arial"/>
          <w:sz w:val="19"/>
          <w:szCs w:val="19"/>
          <w:color w:val="auto"/>
        </w:rPr>
        <w:t>A valid election to receive annual distributions under subsection (b) shall</w:t>
      </w:r>
    </w:p>
    <w:p>
      <w:pPr>
        <w:spacing w:after="0" w:line="78" w:lineRule="exact"/>
        <w:rPr>
          <w:rFonts w:ascii="Arial" w:cs="Arial" w:eastAsia="Arial" w:hAnsi="Arial"/>
          <w:sz w:val="19"/>
          <w:szCs w:val="19"/>
          <w:color w:val="010000"/>
        </w:rPr>
      </w:pPr>
    </w:p>
    <w:p>
      <w:pPr>
        <w:ind w:right="60"/>
        <w:spacing w:after="0" w:line="316" w:lineRule="auto"/>
        <w:rPr>
          <w:rFonts w:ascii="Arial" w:cs="Arial" w:eastAsia="Arial" w:hAnsi="Arial"/>
          <w:sz w:val="19"/>
          <w:szCs w:val="19"/>
          <w:color w:val="010000"/>
        </w:rPr>
      </w:pPr>
      <w:r>
        <w:rPr>
          <w:rFonts w:ascii="Arial" w:cs="Arial" w:eastAsia="Arial" w:hAnsi="Arial"/>
          <w:sz w:val="19"/>
          <w:szCs w:val="19"/>
          <w:color w:val="auto"/>
        </w:rPr>
        <w:t>be made in writing on an Election form, completed and submitted to the Office of the Corporate Secretary, no later than December 31st, prior to the Plan Year for which the Annual Retainer or RTX Deferred Stock Unit Award is earned, or for new Participants, prior to the date the Participant is elected to the Board, and in no event later than 30 days after such election (in</w:t>
      </w:r>
    </w:p>
    <w:p>
      <w:pPr>
        <w:spacing w:after="0" w:line="318" w:lineRule="auto"/>
        <w:rPr>
          <w:rFonts w:ascii="Arial" w:cs="Arial" w:eastAsia="Arial" w:hAnsi="Arial"/>
          <w:sz w:val="19"/>
          <w:szCs w:val="19"/>
          <w:color w:val="010000"/>
        </w:rPr>
      </w:pPr>
      <w:r>
        <w:rPr>
          <w:rFonts w:ascii="Arial" w:cs="Arial" w:eastAsia="Arial" w:hAnsi="Arial"/>
          <w:sz w:val="19"/>
          <w:szCs w:val="19"/>
          <w:color w:val="auto"/>
        </w:rPr>
        <w:t>the case of new Participants, the deferral shall only apply to compensation for services performed after the date of the election). If a Participant does not make a valid distribution Election, the Participant shall be deemed to have elected to receive</w:t>
      </w:r>
    </w:p>
    <w:p>
      <w:pPr>
        <w:spacing w:after="0" w:line="1" w:lineRule="exact"/>
        <w:rPr>
          <w:rFonts w:ascii="Arial" w:cs="Arial" w:eastAsia="Arial" w:hAnsi="Arial"/>
          <w:sz w:val="19"/>
          <w:szCs w:val="19"/>
          <w:color w:val="010000"/>
        </w:rPr>
      </w:pPr>
    </w:p>
    <w:p>
      <w:pPr>
        <w:jc w:val="both"/>
        <w:ind w:right="20"/>
        <w:spacing w:after="0" w:line="372" w:lineRule="auto"/>
        <w:rPr>
          <w:rFonts w:ascii="Arial" w:cs="Arial" w:eastAsia="Arial" w:hAnsi="Arial"/>
          <w:sz w:val="19"/>
          <w:szCs w:val="19"/>
          <w:color w:val="010000"/>
        </w:rPr>
      </w:pPr>
      <w:r>
        <w:rPr>
          <w:rFonts w:ascii="Arial" w:cs="Arial" w:eastAsia="Arial" w:hAnsi="Arial"/>
          <w:sz w:val="19"/>
          <w:szCs w:val="19"/>
          <w:color w:val="auto"/>
        </w:rPr>
        <w:t xml:space="preserve">his or her Account in a full and immediate distribution as provided in subsection (a). Except as provided below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(Change in Distribution Election), a Participant’s distribution Election shall become irrevocable on the Election deadline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960"/>
          </w:cols>
          <w:pgMar w:left="440" w:top="1440" w:right="499" w:bottom="1440" w:gutter="0" w:footer="0" w:header="0"/>
        </w:sectPr>
      </w:pPr>
    </w:p>
    <w:bookmarkStart w:id="114" w:name="page115"/>
    <w:bookmarkEnd w:id="114"/>
    <w:p>
      <w:pPr>
        <w:ind w:left="640"/>
        <w:spacing w:after="0"/>
        <w:tabs>
          <w:tab w:leader="none" w:pos="1280" w:val="left"/>
        </w:tabs>
        <w:rPr>
          <w:sz w:val="20"/>
          <w:szCs w:val="20"/>
          <w:color w:val="auto"/>
        </w:rPr>
      </w:pPr>
      <w:r>
        <w:rPr>
          <w:rFonts w:ascii="Arial" w:cs="Arial" w:eastAsia="Arial" w:hAnsi="Arial"/>
          <w:sz w:val="22"/>
          <w:szCs w:val="22"/>
          <w:b w:val="1"/>
          <w:bCs w:val="1"/>
          <w:color w:val="010000"/>
        </w:rPr>
        <w:t>5.05</w:t>
      </w:r>
      <w:r>
        <w:rPr>
          <w:sz w:val="20"/>
          <w:szCs w:val="20"/>
          <w:color w:val="auto"/>
        </w:rPr>
        <w:tab/>
      </w:r>
      <w:r>
        <w:rPr>
          <w:rFonts w:ascii="Arial" w:cs="Arial" w:eastAsia="Arial" w:hAnsi="Arial"/>
          <w:sz w:val="19"/>
          <w:szCs w:val="19"/>
          <w:b w:val="1"/>
          <w:bCs w:val="1"/>
          <w:color w:val="auto"/>
        </w:rPr>
        <w:t>Change in Distribution Election</w:t>
      </w:r>
    </w:p>
    <w:p>
      <w:pPr>
        <w:spacing w:after="0" w:line="50" w:lineRule="exact"/>
        <w:rPr>
          <w:sz w:val="20"/>
          <w:szCs w:val="20"/>
          <w:color w:val="auto"/>
        </w:rPr>
      </w:pPr>
    </w:p>
    <w:p>
      <w:pPr>
        <w:ind w:right="800" w:firstLine="648"/>
        <w:spacing w:after="0" w:line="273" w:lineRule="auto"/>
        <w:rPr>
          <w:sz w:val="20"/>
          <w:szCs w:val="20"/>
          <w:color w:val="auto"/>
        </w:rPr>
      </w:pPr>
      <w:r>
        <w:rPr>
          <w:rFonts w:ascii="Arial" w:cs="Arial" w:eastAsia="Arial" w:hAnsi="Arial"/>
          <w:sz w:val="22"/>
          <w:szCs w:val="22"/>
          <w:color w:val="auto"/>
        </w:rPr>
        <w:t xml:space="preserve">A Participant may make a one-time irrevocable Election to extend the deferral period or change the form of distribution that the Participant elected under </w:t>
      </w:r>
      <w:r>
        <w:rPr>
          <w:rFonts w:ascii="Arial" w:cs="Arial" w:eastAsia="Arial" w:hAnsi="Arial"/>
          <w:sz w:val="22"/>
          <w:szCs w:val="22"/>
          <w:u w:val="single" w:color="auto"/>
          <w:color w:val="auto"/>
        </w:rPr>
        <w:t>Section 5.04</w:t>
      </w:r>
      <w:r>
        <w:rPr>
          <w:rFonts w:ascii="Arial" w:cs="Arial" w:eastAsia="Arial" w:hAnsi="Arial"/>
          <w:sz w:val="22"/>
          <w:szCs w:val="22"/>
          <w:color w:val="auto"/>
        </w:rPr>
        <w:t>. A deferral extension election and/or change to the form of distribution must meet the following requirements:</w:t>
      </w:r>
    </w:p>
    <w:p>
      <w:pPr>
        <w:spacing w:after="0" w:line="1" w:lineRule="exact"/>
        <w:rPr>
          <w:sz w:val="20"/>
          <w:szCs w:val="20"/>
          <w:color w:val="auto"/>
        </w:rPr>
      </w:pPr>
    </w:p>
    <w:p>
      <w:pPr>
        <w:ind w:left="1820" w:hanging="528"/>
        <w:spacing w:after="0"/>
        <w:tabs>
          <w:tab w:leader="none" w:pos="1820"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The new Election must be made at least 12 months prior to the Distribution Commencement Date (and</w:t>
      </w:r>
    </w:p>
    <w:p>
      <w:pPr>
        <w:spacing w:after="0" w:line="78" w:lineRule="exact"/>
        <w:rPr>
          <w:rFonts w:ascii="Arial" w:cs="Arial" w:eastAsia="Arial" w:hAnsi="Arial"/>
          <w:sz w:val="19"/>
          <w:szCs w:val="19"/>
          <w:color w:val="010000"/>
        </w:rPr>
      </w:pPr>
    </w:p>
    <w:p>
      <w:pPr>
        <w:ind w:right="400"/>
        <w:spacing w:after="0" w:line="289" w:lineRule="auto"/>
        <w:rPr>
          <w:rFonts w:ascii="Arial" w:cs="Arial" w:eastAsia="Arial" w:hAnsi="Arial"/>
          <w:sz w:val="19"/>
          <w:szCs w:val="19"/>
          <w:color w:val="010000"/>
        </w:rPr>
      </w:pPr>
      <w:r>
        <w:rPr>
          <w:rFonts w:ascii="Arial" w:cs="Arial" w:eastAsia="Arial" w:hAnsi="Arial"/>
          <w:sz w:val="22"/>
          <w:szCs w:val="22"/>
          <w:color w:val="auto"/>
        </w:rPr>
        <w:t>the new election shall be ineffective if the Distribution Commencement Date occurs within 12 months after the date of the new Election);</w:t>
      </w:r>
    </w:p>
    <w:p>
      <w:pPr>
        <w:spacing w:after="0" w:line="214" w:lineRule="exact"/>
        <w:rPr>
          <w:rFonts w:ascii="Arial" w:cs="Arial" w:eastAsia="Arial" w:hAnsi="Arial"/>
          <w:sz w:val="19"/>
          <w:szCs w:val="19"/>
          <w:color w:val="010000"/>
        </w:rPr>
      </w:pPr>
    </w:p>
    <w:p>
      <w:pPr>
        <w:ind w:right="220" w:firstLine="1292"/>
        <w:spacing w:after="0" w:line="302" w:lineRule="auto"/>
        <w:tabs>
          <w:tab w:leader="none" w:pos="1831"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The new Election will not take effect until 12 months after the date when the Participant submits a new Election form to the Office of the Corporate Secretary;</w:t>
      </w:r>
    </w:p>
    <w:p>
      <w:pPr>
        <w:spacing w:after="0" w:line="200" w:lineRule="exact"/>
        <w:rPr>
          <w:rFonts w:ascii="Arial" w:cs="Arial" w:eastAsia="Arial" w:hAnsi="Arial"/>
          <w:sz w:val="22"/>
          <w:szCs w:val="22"/>
          <w:color w:val="010000"/>
        </w:rPr>
      </w:pPr>
    </w:p>
    <w:p>
      <w:pPr>
        <w:ind w:right="580" w:firstLine="1292"/>
        <w:spacing w:after="0" w:line="289" w:lineRule="auto"/>
        <w:tabs>
          <w:tab w:leader="none" w:pos="1833"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The new Distribution Commencement Date must be a minimum of five years later than the date on which the distribution would otherwise have commenced; and</w:t>
      </w:r>
    </w:p>
    <w:p>
      <w:pPr>
        <w:spacing w:after="0" w:line="214" w:lineRule="exact"/>
        <w:rPr>
          <w:rFonts w:ascii="Arial" w:cs="Arial" w:eastAsia="Arial" w:hAnsi="Arial"/>
          <w:sz w:val="22"/>
          <w:szCs w:val="22"/>
          <w:color w:val="010000"/>
        </w:rPr>
      </w:pPr>
    </w:p>
    <w:p>
      <w:pPr>
        <w:ind w:left="1820" w:hanging="528"/>
        <w:spacing w:after="0"/>
        <w:tabs>
          <w:tab w:leader="none" w:pos="1820"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 xml:space="preserve">The new form of distribution must be one of the forms of payment provided under </w:t>
      </w:r>
      <w:r>
        <w:rPr>
          <w:rFonts w:ascii="Arial" w:cs="Arial" w:eastAsia="Arial" w:hAnsi="Arial"/>
          <w:sz w:val="22"/>
          <w:szCs w:val="22"/>
          <w:u w:val="single" w:color="auto"/>
          <w:color w:val="auto"/>
        </w:rPr>
        <w:t>Section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5.04(a)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VI</w:t>
      </w:r>
    </w:p>
    <w:p>
      <w:pPr>
        <w:jc w:val="center"/>
        <w:ind w:right="-39"/>
        <w:spacing w:after="0" w:line="231" w:lineRule="auto"/>
        <w:rPr>
          <w:sz w:val="20"/>
          <w:szCs w:val="20"/>
          <w:color w:val="auto"/>
        </w:rPr>
      </w:pPr>
      <w:r>
        <w:rPr>
          <w:rFonts w:ascii="Arial" w:cs="Arial" w:eastAsia="Arial" w:hAnsi="Arial"/>
          <w:sz w:val="22"/>
          <w:szCs w:val="22"/>
          <w:b w:val="1"/>
          <w:bCs w:val="1"/>
          <w:color w:val="auto"/>
        </w:rPr>
        <w:t>ADMINISTRATION</w:t>
      </w: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6.01</w:t>
      </w:r>
      <w:r>
        <w:rPr>
          <w:sz w:val="20"/>
          <w:szCs w:val="20"/>
          <w:color w:val="auto"/>
        </w:rPr>
        <w:tab/>
      </w:r>
      <w:r>
        <w:rPr>
          <w:rFonts w:ascii="Arial" w:cs="Arial" w:eastAsia="Arial" w:hAnsi="Arial"/>
          <w:sz w:val="19"/>
          <w:szCs w:val="19"/>
          <w:b w:val="1"/>
          <w:bCs w:val="1"/>
          <w:color w:val="auto"/>
        </w:rPr>
        <w:t>In General</w:t>
      </w:r>
    </w:p>
    <w:p>
      <w:pPr>
        <w:spacing w:after="0" w:line="13" w:lineRule="exact"/>
        <w:rPr>
          <w:sz w:val="20"/>
          <w:szCs w:val="20"/>
          <w:color w:val="auto"/>
        </w:rPr>
      </w:pPr>
    </w:p>
    <w:p>
      <w:pPr>
        <w:ind w:right="60" w:firstLine="648"/>
        <w:spacing w:after="0" w:line="294" w:lineRule="auto"/>
        <w:rPr>
          <w:sz w:val="20"/>
          <w:szCs w:val="20"/>
          <w:color w:val="auto"/>
        </w:rPr>
      </w:pPr>
      <w:r>
        <w:rPr>
          <w:rFonts w:ascii="Arial" w:cs="Arial" w:eastAsia="Arial" w:hAnsi="Arial"/>
          <w:sz w:val="21"/>
          <w:szCs w:val="21"/>
          <w:color w:val="auto"/>
        </w:rPr>
        <w:t xml:space="preserve">The Committee (or its delegate)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to otherwise interpret the Plan in accordance with its terms. Except as otherwise provided in </w:t>
      </w:r>
      <w:r>
        <w:rPr>
          <w:rFonts w:ascii="Arial" w:cs="Arial" w:eastAsia="Arial" w:hAnsi="Arial"/>
          <w:sz w:val="21"/>
          <w:szCs w:val="21"/>
          <w:u w:val="single" w:color="auto"/>
          <w:color w:val="auto"/>
        </w:rPr>
        <w:t>Section 6.04</w:t>
      </w:r>
      <w:r>
        <w:rPr>
          <w:rFonts w:ascii="Arial" w:cs="Arial" w:eastAsia="Arial" w:hAnsi="Arial"/>
          <w:sz w:val="21"/>
          <w:szCs w:val="21"/>
          <w:color w:val="auto"/>
        </w:rPr>
        <w:t>, the Committee’s determination on any and all questions arising out of the interpretation or administration of the Plan shall be final, conclusive, and binding on all parties.</w:t>
      </w:r>
    </w:p>
    <w:p>
      <w:pPr>
        <w:spacing w:after="0" w:line="16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6.02</w:t>
      </w:r>
      <w:r>
        <w:rPr>
          <w:sz w:val="20"/>
          <w:szCs w:val="20"/>
          <w:color w:val="auto"/>
        </w:rPr>
        <w:tab/>
      </w:r>
      <w:r>
        <w:rPr>
          <w:rFonts w:ascii="Arial" w:cs="Arial" w:eastAsia="Arial" w:hAnsi="Arial"/>
          <w:sz w:val="19"/>
          <w:szCs w:val="19"/>
          <w:b w:val="1"/>
          <w:bCs w:val="1"/>
          <w:color w:val="auto"/>
        </w:rPr>
        <w:t>Plan Amendment and Termination</w:t>
      </w:r>
    </w:p>
    <w:p>
      <w:pPr>
        <w:spacing w:after="0" w:line="37" w:lineRule="exact"/>
        <w:rPr>
          <w:sz w:val="20"/>
          <w:szCs w:val="20"/>
          <w:color w:val="auto"/>
        </w:rPr>
      </w:pPr>
    </w:p>
    <w:p>
      <w:pPr>
        <w:ind w:left="1820" w:hanging="528"/>
        <w:spacing w:after="0"/>
        <w:tabs>
          <w:tab w:leader="none" w:pos="1820"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The Committee may amend, suspend, or terminate the Plan at any time; provided that no amendment,</w:t>
      </w:r>
    </w:p>
    <w:p>
      <w:pPr>
        <w:spacing w:after="0" w:line="78" w:lineRule="exact"/>
        <w:rPr>
          <w:rFonts w:ascii="Arial" w:cs="Arial" w:eastAsia="Arial" w:hAnsi="Arial"/>
          <w:sz w:val="19"/>
          <w:szCs w:val="19"/>
          <w:color w:val="010000"/>
        </w:rPr>
      </w:pPr>
    </w:p>
    <w:p>
      <w:pPr>
        <w:spacing w:after="0" w:line="318" w:lineRule="auto"/>
        <w:rPr>
          <w:rFonts w:ascii="Arial" w:cs="Arial" w:eastAsia="Arial" w:hAnsi="Arial"/>
          <w:sz w:val="19"/>
          <w:szCs w:val="19"/>
          <w:color w:val="010000"/>
        </w:rPr>
      </w:pPr>
      <w:r>
        <w:rPr>
          <w:rFonts w:ascii="Arial" w:cs="Arial" w:eastAsia="Arial" w:hAnsi="Arial"/>
          <w:sz w:val="19"/>
          <w:szCs w:val="19"/>
          <w:color w:val="auto"/>
        </w:rPr>
        <w:t>suspension, or termination of the Plan shall, without a Participant’s consent, reduce the Participant’s benefits accrued under the Plan before the date of such amendment, suspension, or termination. To the extent that any rule or procedure adopted by the</w:t>
      </w:r>
    </w:p>
    <w:p>
      <w:pPr>
        <w:spacing w:after="0" w:line="1" w:lineRule="exact"/>
        <w:rPr>
          <w:rFonts w:ascii="Arial" w:cs="Arial" w:eastAsia="Arial" w:hAnsi="Arial"/>
          <w:sz w:val="19"/>
          <w:szCs w:val="19"/>
          <w:color w:val="010000"/>
        </w:rPr>
      </w:pPr>
    </w:p>
    <w:p>
      <w:pPr>
        <w:ind w:right="220"/>
        <w:spacing w:after="0" w:line="289" w:lineRule="auto"/>
        <w:rPr>
          <w:rFonts w:ascii="Arial" w:cs="Arial" w:eastAsia="Arial" w:hAnsi="Arial"/>
          <w:sz w:val="19"/>
          <w:szCs w:val="19"/>
          <w:color w:val="010000"/>
        </w:rPr>
      </w:pPr>
      <w:r>
        <w:rPr>
          <w:rFonts w:ascii="Arial" w:cs="Arial" w:eastAsia="Arial" w:hAnsi="Arial"/>
          <w:sz w:val="22"/>
          <w:szCs w:val="22"/>
          <w:color w:val="auto"/>
        </w:rPr>
        <w:t>Committee is inconsistent with a provision of the Plan that is administrative, technical or ministerial in nature, the Plan shall be deemed amended to the extent of the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960"/>
          </w:cols>
          <w:pgMar w:left="440" w:top="1435" w:right="499" w:bottom="1440" w:gutter="0" w:footer="0" w:header="0"/>
        </w:sectPr>
      </w:pPr>
    </w:p>
    <w:bookmarkStart w:id="115" w:name="page116"/>
    <w:bookmarkEnd w:id="115"/>
    <w:p>
      <w:pPr>
        <w:spacing w:after="0" w:line="285" w:lineRule="exact"/>
        <w:rPr>
          <w:sz w:val="20"/>
          <w:szCs w:val="20"/>
          <w:color w:val="auto"/>
        </w:rPr>
      </w:pPr>
    </w:p>
    <w:p>
      <w:pPr>
        <w:ind w:left="1820" w:hanging="528"/>
        <w:spacing w:after="0"/>
        <w:tabs>
          <w:tab w:leader="none" w:pos="1820"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In the event of suspension of the Plan, no additional deferrals shall be made under the Plan, but all</w:t>
      </w:r>
    </w:p>
    <w:p>
      <w:pPr>
        <w:spacing w:after="0" w:line="78" w:lineRule="exact"/>
        <w:rPr>
          <w:rFonts w:ascii="Arial" w:cs="Arial" w:eastAsia="Arial" w:hAnsi="Arial"/>
          <w:sz w:val="19"/>
          <w:szCs w:val="19"/>
          <w:color w:val="010000"/>
        </w:rPr>
      </w:pPr>
    </w:p>
    <w:p>
      <w:pPr>
        <w:ind w:right="60"/>
        <w:spacing w:after="0" w:line="289" w:lineRule="auto"/>
        <w:rPr>
          <w:rFonts w:ascii="Arial" w:cs="Arial" w:eastAsia="Arial" w:hAnsi="Arial"/>
          <w:sz w:val="19"/>
          <w:szCs w:val="19"/>
          <w:color w:val="010000"/>
        </w:rPr>
      </w:pPr>
      <w:r>
        <w:rPr>
          <w:rFonts w:ascii="Arial" w:cs="Arial" w:eastAsia="Arial" w:hAnsi="Arial"/>
          <w:sz w:val="22"/>
          <w:szCs w:val="22"/>
          <w:color w:val="auto"/>
        </w:rPr>
        <w:t>previous deferrals shall accumulate and be distributed in accordance with the otherwise applicable provisions of this Plan, the Prior Plan and the applicable Elections on file.</w:t>
      </w:r>
    </w:p>
    <w:p>
      <w:pPr>
        <w:spacing w:after="0" w:line="214" w:lineRule="exact"/>
        <w:rPr>
          <w:rFonts w:ascii="Arial" w:cs="Arial" w:eastAsia="Arial" w:hAnsi="Arial"/>
          <w:sz w:val="19"/>
          <w:szCs w:val="19"/>
          <w:color w:val="010000"/>
        </w:rPr>
      </w:pPr>
    </w:p>
    <w:p>
      <w:pPr>
        <w:ind w:left="1820" w:hanging="528"/>
        <w:spacing w:after="0"/>
        <w:tabs>
          <w:tab w:leader="none" w:pos="1820"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Upon the termination of the Plan with respect to all Participants, and termination of all arrangements</w:t>
      </w:r>
    </w:p>
    <w:p>
      <w:pPr>
        <w:spacing w:after="0" w:line="78" w:lineRule="exact"/>
        <w:rPr>
          <w:rFonts w:ascii="Arial" w:cs="Arial" w:eastAsia="Arial" w:hAnsi="Arial"/>
          <w:sz w:val="19"/>
          <w:szCs w:val="19"/>
          <w:color w:val="010000"/>
        </w:rPr>
      </w:pPr>
    </w:p>
    <w:p>
      <w:pPr>
        <w:ind w:right="140"/>
        <w:spacing w:after="0" w:line="316" w:lineRule="auto"/>
        <w:rPr>
          <w:rFonts w:ascii="Arial" w:cs="Arial" w:eastAsia="Arial" w:hAnsi="Arial"/>
          <w:sz w:val="19"/>
          <w:szCs w:val="19"/>
          <w:color w:val="010000"/>
        </w:rPr>
      </w:pPr>
      <w:r>
        <w:rPr>
          <w:rFonts w:ascii="Arial" w:cs="Arial" w:eastAsia="Arial" w:hAnsi="Arial"/>
          <w:sz w:val="19"/>
          <w:szCs w:val="19"/>
          <w:color w:val="auto"/>
        </w:rPr>
        <w:t>sponsored by the Corporation or its affiliates that would be aggregated with the Plan under Section 409A, the Corporation shall have the right, in its sole discretion, and notwithstanding any Elections made by the Participant, to distribute the Participant’s vested Account in full, to the extent permitted under Section 409A. All distributions that may be made pursuant</w:t>
      </w:r>
    </w:p>
    <w:p>
      <w:pPr>
        <w:ind w:right="280"/>
        <w:spacing w:after="0" w:line="318" w:lineRule="auto"/>
        <w:rPr>
          <w:rFonts w:ascii="Arial" w:cs="Arial" w:eastAsia="Arial" w:hAnsi="Arial"/>
          <w:sz w:val="19"/>
          <w:szCs w:val="19"/>
          <w:color w:val="010000"/>
        </w:rPr>
      </w:pPr>
      <w:r>
        <w:rPr>
          <w:rFonts w:ascii="Arial" w:cs="Arial" w:eastAsia="Arial" w:hAnsi="Arial"/>
          <w:sz w:val="19"/>
          <w:szCs w:val="19"/>
          <w:color w:val="auto"/>
        </w:rPr>
        <w:t xml:space="preserve">to this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shall be made no earlier than the 13th month and no later than the 24 months after the termination of the Plan. The Corporation may not accelerate distributions pursuant to this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if the termination of the Plan is</w:t>
      </w:r>
    </w:p>
    <w:p>
      <w:pPr>
        <w:spacing w:after="0" w:line="1" w:lineRule="exact"/>
        <w:rPr>
          <w:rFonts w:ascii="Arial" w:cs="Arial" w:eastAsia="Arial" w:hAnsi="Arial"/>
          <w:sz w:val="19"/>
          <w:szCs w:val="19"/>
          <w:color w:val="010000"/>
        </w:rPr>
      </w:pPr>
    </w:p>
    <w:p>
      <w:pPr>
        <w:jc w:val="both"/>
        <w:ind w:right="220"/>
        <w:spacing w:after="0" w:line="318" w:lineRule="auto"/>
        <w:rPr>
          <w:rFonts w:ascii="Arial" w:cs="Arial" w:eastAsia="Arial" w:hAnsi="Arial"/>
          <w:sz w:val="19"/>
          <w:szCs w:val="19"/>
          <w:color w:val="010000"/>
        </w:rPr>
      </w:pPr>
      <w:r>
        <w:rPr>
          <w:rFonts w:ascii="Arial" w:cs="Arial" w:eastAsia="Arial" w:hAnsi="Arial"/>
          <w:sz w:val="19"/>
          <w:szCs w:val="19"/>
          <w:color w:val="auto"/>
        </w:rPr>
        <w:t xml:space="preserve">proximate to a downturn in the Corporation’s financial health within the meaning of Treas. Reg. Section 1.409A-3(j)(4)(ix) (C)(1). If the Corporation exercises its discretion to accelerate distributions under this </w:t>
      </w:r>
      <w:r>
        <w:rPr>
          <w:rFonts w:ascii="Arial" w:cs="Arial" w:eastAsia="Arial" w:hAnsi="Arial"/>
          <w:sz w:val="19"/>
          <w:szCs w:val="19"/>
          <w:u w:val="single" w:color="auto"/>
          <w:color w:val="auto"/>
        </w:rPr>
        <w:t>Section 6.02(c)</w:t>
      </w:r>
      <w:r>
        <w:rPr>
          <w:rFonts w:ascii="Arial" w:cs="Arial" w:eastAsia="Arial" w:hAnsi="Arial"/>
          <w:sz w:val="19"/>
          <w:szCs w:val="19"/>
          <w:color w:val="auto"/>
        </w:rPr>
        <w:t>, it shall not adopt any</w:t>
      </w:r>
    </w:p>
    <w:p>
      <w:pPr>
        <w:spacing w:after="0" w:line="1" w:lineRule="exact"/>
        <w:rPr>
          <w:rFonts w:ascii="Arial" w:cs="Arial" w:eastAsia="Arial" w:hAnsi="Arial"/>
          <w:sz w:val="19"/>
          <w:szCs w:val="19"/>
          <w:color w:val="010000"/>
        </w:rPr>
      </w:pPr>
    </w:p>
    <w:p>
      <w:pPr>
        <w:jc w:val="both"/>
        <w:ind w:right="40"/>
        <w:spacing w:after="0" w:line="285" w:lineRule="auto"/>
        <w:rPr>
          <w:rFonts w:ascii="Arial" w:cs="Arial" w:eastAsia="Arial" w:hAnsi="Arial"/>
          <w:sz w:val="19"/>
          <w:szCs w:val="19"/>
          <w:color w:val="010000"/>
        </w:rPr>
      </w:pPr>
      <w:r>
        <w:rPr>
          <w:rFonts w:ascii="Arial" w:cs="Arial" w:eastAsia="Arial" w:hAnsi="Arial"/>
          <w:sz w:val="22"/>
          <w:szCs w:val="22"/>
          <w:color w:val="auto"/>
        </w:rPr>
        <w:t>new arrangement that would have been aggregated with the Plan under Section 409A within three years following the date of the Plan’s termination. The Committee may also provide for distribution of Plan Accounts following a termination of the Plan under any other circumstances permitted by Section 409A.</w:t>
      </w:r>
    </w:p>
    <w:p>
      <w:pPr>
        <w:spacing w:after="0" w:line="15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6.03</w:t>
      </w:r>
      <w:r>
        <w:rPr>
          <w:sz w:val="20"/>
          <w:szCs w:val="20"/>
          <w:color w:val="auto"/>
        </w:rPr>
        <w:tab/>
      </w:r>
      <w:r>
        <w:rPr>
          <w:rFonts w:ascii="Arial" w:cs="Arial" w:eastAsia="Arial" w:hAnsi="Arial"/>
          <w:sz w:val="19"/>
          <w:szCs w:val="19"/>
          <w:b w:val="1"/>
          <w:bCs w:val="1"/>
          <w:color w:val="auto"/>
        </w:rPr>
        <w:t>Reports to Participants</w:t>
      </w:r>
    </w:p>
    <w:p>
      <w:pPr>
        <w:spacing w:after="0" w:line="50" w:lineRule="exact"/>
        <w:rPr>
          <w:sz w:val="20"/>
          <w:szCs w:val="20"/>
          <w:color w:val="auto"/>
        </w:rPr>
      </w:pPr>
    </w:p>
    <w:p>
      <w:pPr>
        <w:ind w:right="300" w:firstLine="648"/>
        <w:spacing w:after="0" w:line="327" w:lineRule="auto"/>
        <w:rPr>
          <w:sz w:val="20"/>
          <w:szCs w:val="20"/>
          <w:color w:val="auto"/>
        </w:rPr>
      </w:pPr>
      <w:r>
        <w:rPr>
          <w:rFonts w:ascii="Arial" w:cs="Arial" w:eastAsia="Arial" w:hAnsi="Arial"/>
          <w:sz w:val="21"/>
          <w:szCs w:val="21"/>
          <w:color w:val="auto"/>
        </w:rPr>
        <w:t>The Committee shall make available an annual statement to each Participant reporting the value of the Participant’s Account and his or her account(s) under the Prior Plan as of the end of the most recent Plan Year.</w:t>
      </w:r>
    </w:p>
    <w:p>
      <w:pPr>
        <w:spacing w:after="0" w:line="13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6.04</w:t>
      </w:r>
      <w:r>
        <w:rPr>
          <w:sz w:val="20"/>
          <w:szCs w:val="20"/>
          <w:color w:val="auto"/>
        </w:rPr>
        <w:tab/>
      </w:r>
      <w:r>
        <w:rPr>
          <w:rFonts w:ascii="Arial" w:cs="Arial" w:eastAsia="Arial" w:hAnsi="Arial"/>
          <w:sz w:val="19"/>
          <w:szCs w:val="19"/>
          <w:b w:val="1"/>
          <w:bCs w:val="1"/>
          <w:color w:val="auto"/>
        </w:rPr>
        <w:t>Delegation of Authority</w:t>
      </w:r>
    </w:p>
    <w:p>
      <w:pPr>
        <w:spacing w:after="0" w:line="50" w:lineRule="exact"/>
        <w:rPr>
          <w:sz w:val="20"/>
          <w:szCs w:val="20"/>
          <w:color w:val="auto"/>
        </w:rPr>
      </w:pPr>
    </w:p>
    <w:p>
      <w:pPr>
        <w:ind w:right="440" w:firstLine="648"/>
        <w:spacing w:after="0" w:line="314" w:lineRule="auto"/>
        <w:rPr>
          <w:sz w:val="20"/>
          <w:szCs w:val="20"/>
          <w:color w:val="auto"/>
        </w:rPr>
      </w:pPr>
      <w:r>
        <w:rPr>
          <w:rFonts w:ascii="Arial" w:cs="Arial" w:eastAsia="Arial" w:hAnsi="Arial"/>
          <w:sz w:val="21"/>
          <w:szCs w:val="21"/>
          <w:color w:val="auto"/>
        </w:rPr>
        <w:t>The Committee may delegate to officers of the Corporation any and all authority with which it is vested under the Plan, and the Committee may allocate its responsibilities under the Plan among its members.</w:t>
      </w:r>
    </w:p>
    <w:p>
      <w:pPr>
        <w:spacing w:after="0" w:line="14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6.05</w:t>
      </w:r>
      <w:r>
        <w:rPr>
          <w:sz w:val="20"/>
          <w:szCs w:val="20"/>
          <w:color w:val="auto"/>
        </w:rPr>
        <w:tab/>
      </w:r>
      <w:r>
        <w:rPr>
          <w:rFonts w:ascii="Arial" w:cs="Arial" w:eastAsia="Arial" w:hAnsi="Arial"/>
          <w:sz w:val="19"/>
          <w:szCs w:val="19"/>
          <w:b w:val="1"/>
          <w:bCs w:val="1"/>
          <w:color w:val="auto"/>
        </w:rPr>
        <w:t>Distribution of Shares</w:t>
      </w:r>
    </w:p>
    <w:p>
      <w:pPr>
        <w:spacing w:after="0" w:line="50"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The RTX Deferred Stock Units granted under the Plan shall be issued under the LTIP, but subject to administration and distribution in accordance with the terms of this Plan. All shares of RTX Common Stock so distributed in accordance with the terms of the Plan shall be transferred to a brokerage account designated by the Participant entitled to receive the shares. This Plan shall be under no obligation to hold or issue shares of Carrier or Otis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920"/>
          </w:cols>
          <w:pgMar w:left="440" w:top="1440" w:right="539" w:bottom="1440" w:gutter="0" w:footer="0" w:header="0"/>
        </w:sectPr>
      </w:pPr>
    </w:p>
    <w:bookmarkStart w:id="116" w:name="page117"/>
    <w:bookmarkEnd w:id="116"/>
    <w:p>
      <w:pPr>
        <w:spacing w:after="0" w:line="23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7.01</w:t>
      </w:r>
      <w:r>
        <w:rPr>
          <w:sz w:val="20"/>
          <w:szCs w:val="20"/>
          <w:color w:val="auto"/>
        </w:rPr>
        <w:tab/>
      </w:r>
      <w:r>
        <w:rPr>
          <w:rFonts w:ascii="Arial" w:cs="Arial" w:eastAsia="Arial" w:hAnsi="Arial"/>
          <w:sz w:val="19"/>
          <w:szCs w:val="19"/>
          <w:b w:val="1"/>
          <w:bCs w:val="1"/>
          <w:color w:val="auto"/>
        </w:rPr>
        <w:t>Rights Not Assignable</w:t>
      </w:r>
    </w:p>
    <w:p>
      <w:pPr>
        <w:spacing w:after="0" w:line="50" w:lineRule="exact"/>
        <w:rPr>
          <w:sz w:val="20"/>
          <w:szCs w:val="20"/>
          <w:color w:val="auto"/>
        </w:rPr>
      </w:pPr>
    </w:p>
    <w:p>
      <w:pPr>
        <w:ind w:right="80" w:firstLine="648"/>
        <w:spacing w:after="0" w:line="326" w:lineRule="auto"/>
        <w:rPr>
          <w:sz w:val="20"/>
          <w:szCs w:val="20"/>
          <w:color w:val="auto"/>
        </w:rPr>
      </w:pPr>
      <w:r>
        <w:rPr>
          <w:rFonts w:ascii="Arial" w:cs="Arial" w:eastAsia="Arial" w:hAnsi="Arial"/>
          <w:sz w:val="19"/>
          <w:szCs w:val="19"/>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14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7.02</w:t>
      </w:r>
      <w:r>
        <w:rPr>
          <w:sz w:val="20"/>
          <w:szCs w:val="20"/>
          <w:color w:val="auto"/>
        </w:rPr>
        <w:tab/>
      </w:r>
      <w:r>
        <w:rPr>
          <w:rFonts w:ascii="Arial" w:cs="Arial" w:eastAsia="Arial" w:hAnsi="Arial"/>
          <w:sz w:val="19"/>
          <w:szCs w:val="19"/>
          <w:b w:val="1"/>
          <w:bCs w:val="1"/>
          <w:color w:val="auto"/>
        </w:rPr>
        <w:t>Certain Rights Reserved</w:t>
      </w:r>
    </w:p>
    <w:p>
      <w:pPr>
        <w:spacing w:after="0" w:line="50" w:lineRule="exact"/>
        <w:rPr>
          <w:sz w:val="20"/>
          <w:szCs w:val="20"/>
          <w:color w:val="auto"/>
        </w:rPr>
      </w:pPr>
    </w:p>
    <w:p>
      <w:pPr>
        <w:ind w:right="840" w:firstLine="648"/>
        <w:spacing w:after="0" w:line="302" w:lineRule="auto"/>
        <w:rPr>
          <w:sz w:val="20"/>
          <w:szCs w:val="20"/>
          <w:color w:val="auto"/>
        </w:rPr>
      </w:pPr>
      <w:r>
        <w:rPr>
          <w:rFonts w:ascii="Arial" w:cs="Arial" w:eastAsia="Arial" w:hAnsi="Arial"/>
          <w:sz w:val="22"/>
          <w:szCs w:val="22"/>
          <w:color w:val="auto"/>
        </w:rPr>
        <w:t>Nothing in the Plan shall confer upon any person the right to continue to serve as a member of the Board or to participate in the Plan other than in accordance with its terms.</w:t>
      </w:r>
    </w:p>
    <w:p>
      <w:pPr>
        <w:spacing w:after="0" w:line="15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7.03</w:t>
      </w:r>
      <w:r>
        <w:rPr>
          <w:sz w:val="20"/>
          <w:szCs w:val="20"/>
          <w:color w:val="auto"/>
        </w:rPr>
        <w:tab/>
      </w:r>
      <w:r>
        <w:rPr>
          <w:rFonts w:ascii="Arial" w:cs="Arial" w:eastAsia="Arial" w:hAnsi="Arial"/>
          <w:sz w:val="19"/>
          <w:szCs w:val="19"/>
          <w:b w:val="1"/>
          <w:bCs w:val="1"/>
          <w:color w:val="auto"/>
        </w:rPr>
        <w:t>Withholding Taxes</w:t>
      </w:r>
    </w:p>
    <w:p>
      <w:pPr>
        <w:spacing w:after="0" w:line="37" w:lineRule="exact"/>
        <w:rPr>
          <w:sz w:val="20"/>
          <w:szCs w:val="20"/>
          <w:color w:val="auto"/>
        </w:rPr>
      </w:pPr>
    </w:p>
    <w:p>
      <w:pPr>
        <w:ind w:right="280" w:firstLine="648"/>
        <w:spacing w:after="0" w:line="387" w:lineRule="auto"/>
        <w:rPr>
          <w:sz w:val="20"/>
          <w:szCs w:val="20"/>
          <w:color w:val="auto"/>
        </w:rPr>
      </w:pPr>
      <w:r>
        <w:rPr>
          <w:rFonts w:ascii="Arial" w:cs="Arial" w:eastAsia="Arial" w:hAnsi="Arial"/>
          <w:sz w:val="19"/>
          <w:szCs w:val="19"/>
          <w:color w:val="auto"/>
        </w:rPr>
        <w:t>The Committee may make any appropriate arrangements to deduct from all credits and payments under the Plan any taxes that the Committee determines to be required by law to be withheld from such credits and payments.</w:t>
      </w:r>
    </w:p>
    <w:p>
      <w:pPr>
        <w:spacing w:after="0" w:line="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7.04</w:t>
      </w:r>
      <w:r>
        <w:rPr>
          <w:sz w:val="20"/>
          <w:szCs w:val="20"/>
          <w:color w:val="auto"/>
        </w:rPr>
        <w:tab/>
      </w:r>
      <w:r>
        <w:rPr>
          <w:rFonts w:ascii="Arial" w:cs="Arial" w:eastAsia="Arial" w:hAnsi="Arial"/>
          <w:sz w:val="19"/>
          <w:szCs w:val="19"/>
          <w:b w:val="1"/>
          <w:bCs w:val="1"/>
          <w:color w:val="auto"/>
        </w:rPr>
        <w:t>Compliance with Section 409A</w:t>
      </w:r>
    </w:p>
    <w:p>
      <w:pPr>
        <w:spacing w:after="0" w:line="50" w:lineRule="exact"/>
        <w:rPr>
          <w:sz w:val="20"/>
          <w:szCs w:val="20"/>
          <w:color w:val="auto"/>
        </w:rPr>
      </w:pPr>
    </w:p>
    <w:p>
      <w:pPr>
        <w:ind w:firstLine="648"/>
        <w:spacing w:after="0" w:line="322"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shall apply notwithstanding any other provision of this Plan. To the extent that rights or payments under this Plan are subject to Section 409A,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however. In no event shall the Corporation; any director, officer, or employee of the Corporation (other than the Participant); or any member of the Committee be liable for any additional tax, interest, or penalty incurred by a Participant or Beneficiary as a result of the Plan’s failure to satisfy the requirements of Section 409A, or as a result of the Plan’s failure to satisfy any other requirements of applicable tax laws. In the event that a Participant is a “specified employee” within the meaning of Section 409A (as determined in accordance with the methodology established by the Corporation), amounts that constitute “non-qualified deferred compensation” within the meaning of Section 409A that would otherwise be payable during the six-month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980"/>
          </w:cols>
          <w:pgMar w:left="440" w:top="1440" w:right="479" w:bottom="1440" w:gutter="0" w:footer="0" w:header="0"/>
        </w:sectPr>
      </w:pPr>
    </w:p>
    <w:bookmarkStart w:id="117" w:name="page118"/>
    <w:bookmarkEnd w:id="117"/>
    <w:p>
      <w:pPr>
        <w:spacing w:after="0" w:line="285" w:lineRule="exact"/>
        <w:rPr>
          <w:sz w:val="20"/>
          <w:szCs w:val="20"/>
          <w:color w:val="auto"/>
        </w:rPr>
      </w:pPr>
    </w:p>
    <w:p>
      <w:pPr>
        <w:jc w:val="both"/>
        <w:ind w:right="100"/>
        <w:spacing w:after="0" w:line="285" w:lineRule="auto"/>
        <w:rPr>
          <w:sz w:val="20"/>
          <w:szCs w:val="20"/>
          <w:color w:val="auto"/>
        </w:rPr>
      </w:pPr>
      <w:r>
        <w:rPr>
          <w:rFonts w:ascii="Arial" w:cs="Arial" w:eastAsia="Arial" w:hAnsi="Arial"/>
          <w:sz w:val="22"/>
          <w:szCs w:val="22"/>
          <w:color w:val="auto"/>
        </w:rPr>
        <w:t>period immediately following a Participant’s Separation from Service by reason of such Separation from Service shall instead be paid or provided on the first business day of the seventh month following the month in which Participant’s Separation from Service occurs.</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7.05</w:t>
      </w:r>
      <w:r>
        <w:rPr>
          <w:sz w:val="20"/>
          <w:szCs w:val="20"/>
          <w:color w:val="auto"/>
        </w:rPr>
        <w:tab/>
      </w:r>
      <w:r>
        <w:rPr>
          <w:rFonts w:ascii="Arial" w:cs="Arial" w:eastAsia="Arial" w:hAnsi="Arial"/>
          <w:sz w:val="19"/>
          <w:szCs w:val="19"/>
          <w:b w:val="1"/>
          <w:bCs w:val="1"/>
          <w:color w:val="auto"/>
        </w:rPr>
        <w:t>Incompetence</w:t>
      </w:r>
    </w:p>
    <w:p>
      <w:pPr>
        <w:spacing w:after="0" w:line="50"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distribution is due under the Plan is unable to care for his or her affairs because of illness or accident or otherwise, any distribution that is due under the Plan (unless prior claim therefore shall have been made by a duly authorized guardian or other legal representative) may be distributed, upon appropriate indemnification of the Committee and the Company, to the spouse of the Participant, or Beneficiary, or other person deemed by the Committee to have incurred expenses for the benefit of and on behalf of such Participant or Beneficiary. Any such distribution of shares or cash payment (as the case may be) shall be a complete discharge of any liability under the Plan with respect to the amount so distributed or paid.</w:t>
      </w:r>
    </w:p>
    <w:p>
      <w:pPr>
        <w:spacing w:after="0" w:line="13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7.06</w:t>
      </w:r>
      <w:r>
        <w:rPr>
          <w:sz w:val="20"/>
          <w:szCs w:val="20"/>
          <w:color w:val="auto"/>
        </w:rPr>
        <w:tab/>
      </w:r>
      <w:r>
        <w:rPr>
          <w:rFonts w:ascii="Arial" w:cs="Arial" w:eastAsia="Arial" w:hAnsi="Arial"/>
          <w:sz w:val="19"/>
          <w:szCs w:val="19"/>
          <w:b w:val="1"/>
          <w:bCs w:val="1"/>
          <w:color w:val="auto"/>
        </w:rPr>
        <w:t>Inability to Locate Participants and Beneficiaries</w:t>
      </w:r>
    </w:p>
    <w:p>
      <w:pPr>
        <w:spacing w:after="0" w:line="50" w:lineRule="exact"/>
        <w:rPr>
          <w:sz w:val="20"/>
          <w:szCs w:val="20"/>
          <w:color w:val="auto"/>
        </w:rPr>
      </w:pPr>
    </w:p>
    <w:p>
      <w:pPr>
        <w:ind w:right="60" w:firstLine="648"/>
        <w:spacing w:after="0" w:line="280" w:lineRule="auto"/>
        <w:rPr>
          <w:sz w:val="20"/>
          <w:szCs w:val="20"/>
          <w:color w:val="auto"/>
        </w:rPr>
      </w:pPr>
      <w:r>
        <w:rPr>
          <w:rFonts w:ascii="Arial" w:cs="Arial" w:eastAsia="Arial" w:hAnsi="Arial"/>
          <w:sz w:val="22"/>
          <w:szCs w:val="22"/>
          <w:color w:val="auto"/>
        </w:rPr>
        <w:t>Each Participant and Beneficiary entitled to receive a distribution under the Plan shall keep the Committee advised of his or her current address. If the Committee is unable to locate a Participant or Beneficiary to whom a distribution is due under the Plan, the total amount payable to such Participant or Beneficiary shall be forfeited as of the last day of the calendar year in which the distribution first becomes due.</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7.07</w:t>
      </w:r>
      <w:r>
        <w:rPr>
          <w:sz w:val="20"/>
          <w:szCs w:val="20"/>
          <w:color w:val="auto"/>
        </w:rPr>
        <w:tab/>
      </w:r>
      <w:r>
        <w:rPr>
          <w:rFonts w:ascii="Arial" w:cs="Arial" w:eastAsia="Arial" w:hAnsi="Arial"/>
          <w:sz w:val="17"/>
          <w:szCs w:val="17"/>
          <w:b w:val="1"/>
          <w:bCs w:val="1"/>
          <w:color w:val="auto"/>
        </w:rPr>
        <w:t>Successors</w:t>
      </w:r>
    </w:p>
    <w:p>
      <w:pPr>
        <w:spacing w:after="0" w:line="50" w:lineRule="exact"/>
        <w:rPr>
          <w:sz w:val="20"/>
          <w:szCs w:val="20"/>
          <w:color w:val="auto"/>
        </w:rPr>
      </w:pPr>
    </w:p>
    <w:p>
      <w:pPr>
        <w:ind w:right="400" w:firstLine="648"/>
        <w:spacing w:after="0" w:line="297" w:lineRule="auto"/>
        <w:rPr>
          <w:sz w:val="20"/>
          <w:szCs w:val="20"/>
          <w:color w:val="auto"/>
        </w:rPr>
      </w:pPr>
      <w:r>
        <w:rPr>
          <w:rFonts w:ascii="Arial" w:cs="Arial" w:eastAsia="Arial" w:hAnsi="Arial"/>
          <w:sz w:val="21"/>
          <w:szCs w:val="21"/>
          <w:color w:val="auto"/>
        </w:rPr>
        <w:t>The provisions of the Plan shall bind and inure to the benefit of the Corporation and its successors and assigns. The term “successors” as used in the preceding sentence shall include any corporation or other business entity that by merger, consolidation, purchase, or otherwise acquires all or substantially all of the business and assets of the Corporation, and any successors and assigns of any such corporation or other business entity.</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7.08</w:t>
      </w:r>
      <w:r>
        <w:rPr>
          <w:sz w:val="20"/>
          <w:szCs w:val="20"/>
          <w:color w:val="auto"/>
        </w:rPr>
        <w:tab/>
      </w:r>
      <w:r>
        <w:rPr>
          <w:rFonts w:ascii="Arial" w:cs="Arial" w:eastAsia="Arial" w:hAnsi="Arial"/>
          <w:sz w:val="17"/>
          <w:szCs w:val="17"/>
          <w:b w:val="1"/>
          <w:bCs w:val="1"/>
          <w:color w:val="auto"/>
        </w:rPr>
        <w:t>Usage</w:t>
      </w:r>
    </w:p>
    <w:p>
      <w:pPr>
        <w:spacing w:after="0" w:line="50" w:lineRule="exact"/>
        <w:rPr>
          <w:sz w:val="20"/>
          <w:szCs w:val="20"/>
          <w:color w:val="auto"/>
        </w:rPr>
      </w:pPr>
    </w:p>
    <w:p>
      <w:pPr>
        <w:jc w:val="both"/>
        <w:ind w:right="160" w:firstLine="1291"/>
        <w:spacing w:after="0" w:line="285" w:lineRule="auto"/>
        <w:tabs>
          <w:tab w:leader="none" w:pos="1833" w:val="left"/>
        </w:tabs>
        <w:numPr>
          <w:ilvl w:val="0"/>
          <w:numId w:val="102"/>
        </w:numPr>
        <w:rPr>
          <w:rFonts w:ascii="Arial" w:cs="Arial" w:eastAsia="Arial" w:hAnsi="Arial"/>
          <w:sz w:val="22"/>
          <w:szCs w:val="22"/>
          <w:color w:val="010000"/>
        </w:rPr>
      </w:pPr>
      <w:r>
        <w:rPr>
          <w:rFonts w:ascii="Arial" w:cs="Arial" w:eastAsia="Arial" w:hAnsi="Arial"/>
          <w:sz w:val="22"/>
          <w:szCs w:val="22"/>
          <w:i w:val="1"/>
          <w:iCs w:val="1"/>
          <w:color w:val="auto"/>
        </w:rPr>
        <w:t xml:space="preserve">Titles and Headings. </w:t>
      </w:r>
      <w:r>
        <w:rPr>
          <w:rFonts w:ascii="Arial" w:cs="Arial" w:eastAsia="Arial" w:hAnsi="Arial"/>
          <w:sz w:val="22"/>
          <w:szCs w:val="22"/>
          <w:color w:val="auto"/>
        </w:rPr>
        <w:t>The titles to Articles and the headings of Sections, subsections, and paragraphs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are placed herein for convenience of reference only and shall be of no force or effect in the interpretation of the Plan.</w:t>
      </w:r>
    </w:p>
    <w:p>
      <w:pPr>
        <w:spacing w:after="0" w:line="178" w:lineRule="exact"/>
        <w:rPr>
          <w:rFonts w:ascii="Arial" w:cs="Arial" w:eastAsia="Arial" w:hAnsi="Arial"/>
          <w:sz w:val="22"/>
          <w:szCs w:val="22"/>
          <w:color w:val="010000"/>
        </w:rPr>
      </w:pPr>
    </w:p>
    <w:p>
      <w:pPr>
        <w:ind w:left="1940" w:hanging="649"/>
        <w:spacing w:after="0"/>
        <w:tabs>
          <w:tab w:leader="none" w:pos="1940" w:val="left"/>
        </w:tabs>
        <w:numPr>
          <w:ilvl w:val="0"/>
          <w:numId w:val="102"/>
        </w:numPr>
        <w:rPr>
          <w:rFonts w:ascii="Arial" w:cs="Arial" w:eastAsia="Arial" w:hAnsi="Arial"/>
          <w:sz w:val="22"/>
          <w:szCs w:val="22"/>
          <w:color w:val="010000"/>
        </w:rPr>
      </w:pPr>
      <w:r>
        <w:rPr>
          <w:rFonts w:ascii="Arial" w:cs="Arial" w:eastAsia="Arial" w:hAnsi="Arial"/>
          <w:sz w:val="22"/>
          <w:szCs w:val="22"/>
          <w:i w:val="1"/>
          <w:iCs w:val="1"/>
          <w:color w:val="auto"/>
        </w:rPr>
        <w:t xml:space="preserve">Number. </w:t>
      </w:r>
      <w:r>
        <w:rPr>
          <w:rFonts w:ascii="Arial" w:cs="Arial" w:eastAsia="Arial" w:hAnsi="Arial"/>
          <w:sz w:val="22"/>
          <w:szCs w:val="22"/>
          <w:color w:val="auto"/>
        </w:rPr>
        <w:t>The singular form shall include the plural, where appropriate.</w:t>
      </w:r>
    </w:p>
    <w:p>
      <w:pPr>
        <w:spacing w:after="0" w:line="20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7.09</w:t>
      </w:r>
      <w:r>
        <w:rPr>
          <w:sz w:val="20"/>
          <w:szCs w:val="20"/>
          <w:color w:val="auto"/>
        </w:rPr>
        <w:tab/>
      </w:r>
      <w:r>
        <w:rPr>
          <w:rFonts w:ascii="Arial" w:cs="Arial" w:eastAsia="Arial" w:hAnsi="Arial"/>
          <w:sz w:val="19"/>
          <w:szCs w:val="19"/>
          <w:b w:val="1"/>
          <w:bCs w:val="1"/>
          <w:color w:val="auto"/>
        </w:rPr>
        <w:t>Severability</w:t>
      </w:r>
    </w:p>
    <w:p>
      <w:pPr>
        <w:spacing w:after="0" w:line="50" w:lineRule="exact"/>
        <w:rPr>
          <w:sz w:val="20"/>
          <w:szCs w:val="20"/>
          <w:color w:val="auto"/>
        </w:rPr>
      </w:pPr>
    </w:p>
    <w:p>
      <w:pPr>
        <w:ind w:right="1100" w:firstLine="648"/>
        <w:spacing w:after="0" w:line="302" w:lineRule="auto"/>
        <w:rPr>
          <w:sz w:val="20"/>
          <w:szCs w:val="20"/>
          <w:color w:val="auto"/>
        </w:rPr>
      </w:pPr>
      <w:r>
        <w:rPr>
          <w:rFonts w:ascii="Arial" w:cs="Arial" w:eastAsia="Arial" w:hAnsi="Arial"/>
          <w:sz w:val="22"/>
          <w:szCs w:val="22"/>
          <w:color w:val="auto"/>
        </w:rPr>
        <w:t>If any provision of the Plan is held unlawful or otherwise invalid or unenforceable in whole or in part, such unlawfulness, invalidity, or unenforceability shall not affect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00"/>
          </w:cols>
          <w:pgMar w:left="440" w:top="1440" w:right="459" w:bottom="1440" w:gutter="0" w:footer="0" w:header="0"/>
        </w:sectPr>
      </w:pPr>
    </w:p>
    <w:bookmarkStart w:id="118" w:name="page119"/>
    <w:bookmarkEnd w:id="118"/>
    <w:p>
      <w:pPr>
        <w:spacing w:after="0" w:line="285" w:lineRule="exact"/>
        <w:rPr>
          <w:sz w:val="20"/>
          <w:szCs w:val="20"/>
          <w:color w:val="auto"/>
        </w:rPr>
      </w:pPr>
    </w:p>
    <w:p>
      <w:pPr>
        <w:ind w:right="60"/>
        <w:spacing w:after="0" w:line="277" w:lineRule="auto"/>
        <w:rPr>
          <w:sz w:val="20"/>
          <w:szCs w:val="20"/>
          <w:color w:val="auto"/>
        </w:rPr>
      </w:pPr>
      <w:r>
        <w:rPr>
          <w:rFonts w:ascii="Arial" w:cs="Arial" w:eastAsia="Arial" w:hAnsi="Arial"/>
          <w:sz w:val="22"/>
          <w:szCs w:val="22"/>
          <w:color w:val="auto"/>
        </w:rPr>
        <w:t>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18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7.10</w:t>
      </w:r>
      <w:r>
        <w:rPr>
          <w:sz w:val="20"/>
          <w:szCs w:val="20"/>
          <w:color w:val="auto"/>
        </w:rPr>
        <w:tab/>
      </w:r>
      <w:r>
        <w:rPr>
          <w:rFonts w:ascii="Arial" w:cs="Arial" w:eastAsia="Arial" w:hAnsi="Arial"/>
          <w:sz w:val="19"/>
          <w:szCs w:val="19"/>
          <w:b w:val="1"/>
          <w:bCs w:val="1"/>
          <w:color w:val="auto"/>
        </w:rPr>
        <w:t>Share Ownership Requirements</w:t>
      </w:r>
    </w:p>
    <w:p>
      <w:pPr>
        <w:spacing w:after="0" w:line="50"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 xml:space="preserve">Participants are expected to own shares of RTX Common Stock and have Deferred Stock Units equal in aggregate value to at least five times the then applicable base Annual Retainer amount set forth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no later than the fifth Annual Meeting following a Participant’s first election to the Board.</w:t>
      </w:r>
    </w:p>
    <w:p>
      <w:pPr>
        <w:spacing w:after="0" w:line="17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b w:val="1"/>
          <w:bCs w:val="1"/>
          <w:color w:val="010000"/>
        </w:rPr>
        <w:t>7.11</w:t>
      </w:r>
      <w:r>
        <w:rPr>
          <w:sz w:val="20"/>
          <w:szCs w:val="20"/>
          <w:color w:val="auto"/>
        </w:rPr>
        <w:tab/>
      </w:r>
      <w:r>
        <w:rPr>
          <w:rFonts w:ascii="Arial" w:cs="Arial" w:eastAsia="Arial" w:hAnsi="Arial"/>
          <w:sz w:val="19"/>
          <w:szCs w:val="19"/>
          <w:b w:val="1"/>
          <w:bCs w:val="1"/>
          <w:color w:val="auto"/>
        </w:rPr>
        <w:t>Governing Law</w:t>
      </w:r>
    </w:p>
    <w:p>
      <w:pPr>
        <w:spacing w:after="0" w:line="50" w:lineRule="exact"/>
        <w:rPr>
          <w:sz w:val="20"/>
          <w:szCs w:val="20"/>
          <w:color w:val="auto"/>
        </w:rPr>
      </w:pPr>
    </w:p>
    <w:p>
      <w:pPr>
        <w:ind w:right="940" w:firstLine="648"/>
        <w:spacing w:after="0" w:line="289" w:lineRule="auto"/>
        <w:rPr>
          <w:sz w:val="20"/>
          <w:szCs w:val="20"/>
          <w:color w:val="auto"/>
        </w:rPr>
      </w:pPr>
      <w:r>
        <w:rPr>
          <w:rFonts w:ascii="Arial" w:cs="Arial" w:eastAsia="Arial" w:hAnsi="Arial"/>
          <w:sz w:val="22"/>
          <w:szCs w:val="22"/>
          <w:color w:val="auto"/>
        </w:rPr>
        <w:t>The Plan and all determinations made and actions taken under the Plan shall be governed by and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RTX CORPORATION</w:t>
      </w:r>
    </w:p>
    <w:p>
      <w:pPr>
        <w:spacing w:after="0" w:line="26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Dantaya M. Williams</w:t>
      </w:r>
    </w:p>
    <w:p>
      <w:pPr>
        <w:ind w:left="4920"/>
        <w:spacing w:after="0" w:line="225" w:lineRule="auto"/>
        <w:rPr>
          <w:sz w:val="20"/>
          <w:szCs w:val="20"/>
          <w:color w:val="auto"/>
        </w:rPr>
      </w:pPr>
      <w:r>
        <w:rPr>
          <w:rFonts w:ascii="Arial" w:cs="Arial" w:eastAsia="Arial" w:hAnsi="Arial"/>
          <w:sz w:val="22"/>
          <w:szCs w:val="22"/>
          <w:color w:val="auto"/>
        </w:rPr>
        <w:t>Dantaya M. Williams</w:t>
      </w:r>
    </w:p>
    <w:p>
      <w:pPr>
        <w:ind w:left="4940"/>
        <w:spacing w:after="0"/>
        <w:rPr>
          <w:sz w:val="20"/>
          <w:szCs w:val="20"/>
          <w:color w:val="auto"/>
        </w:rPr>
      </w:pPr>
      <w:r>
        <w:rPr>
          <w:rFonts w:ascii="Arial" w:cs="Arial" w:eastAsia="Arial" w:hAnsi="Arial"/>
          <w:sz w:val="22"/>
          <w:szCs w:val="22"/>
          <w:color w:val="auto"/>
        </w:rPr>
        <w:t>Executive Vice President and CHRO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Christine L. Hill</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Christine L. Hill</w:t>
      </w:r>
    </w:p>
    <w:p>
      <w:pPr>
        <w:spacing w:after="0" w:line="3" w:lineRule="exact"/>
        <w:rPr>
          <w:sz w:val="20"/>
          <w:szCs w:val="20"/>
          <w:color w:val="auto"/>
        </w:rPr>
      </w:pPr>
    </w:p>
    <w:p>
      <w:pPr>
        <w:ind w:left="700" w:right="3160"/>
        <w:spacing w:after="0" w:line="285" w:lineRule="auto"/>
        <w:rPr>
          <w:sz w:val="20"/>
          <w:szCs w:val="20"/>
          <w:color w:val="auto"/>
        </w:rPr>
      </w:pPr>
      <w:r>
        <w:rPr>
          <w:rFonts w:ascii="Arial" w:cs="Arial" w:eastAsia="Arial" w:hAnsi="Arial"/>
          <w:sz w:val="22"/>
          <w:szCs w:val="22"/>
          <w:color w:val="auto"/>
        </w:rPr>
        <w:t>Vice President &amp; Associate General Counsel Executive &amp; Global Compensation &amp; Benefits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40"/>
          </w:cols>
          <w:pgMar w:left="440" w:top="1440" w:right="41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2"/>
          <w:szCs w:val="22"/>
          <w:b w:val="1"/>
          <w:bCs w:val="1"/>
          <w:color w:val="auto"/>
        </w:rPr>
        <w:t>APPENDIX A</w:t>
      </w:r>
    </w:p>
    <w:p>
      <w:pPr>
        <w:spacing w:after="0" w:line="266" w:lineRule="exact"/>
        <w:rPr>
          <w:sz w:val="20"/>
          <w:szCs w:val="20"/>
          <w:color w:val="auto"/>
        </w:rPr>
      </w:pPr>
    </w:p>
    <w:p>
      <w:pPr>
        <w:ind w:right="200" w:firstLine="648"/>
        <w:spacing w:after="0" w:line="278"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sets forth the United Technologies Corporation Board of Directors Deferred Stock Unit Plan as in effect on October 3, 2004 (“Prior Plan”), and as modified thereafter, from time to time, in a manner that does not constitute a “material modification” for purposes of Section 409A.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spacing w:after="0" w:line="226" w:lineRule="exact"/>
        <w:rPr>
          <w:sz w:val="20"/>
          <w:szCs w:val="20"/>
          <w:color w:val="auto"/>
        </w:rPr>
      </w:pPr>
    </w:p>
    <w:p>
      <w:pPr>
        <w:ind w:right="260" w:firstLine="648"/>
        <w:spacing w:after="0" w:line="273" w:lineRule="auto"/>
        <w:rPr>
          <w:sz w:val="20"/>
          <w:szCs w:val="20"/>
          <w:color w:val="auto"/>
        </w:rPr>
      </w:pPr>
      <w:r>
        <w:rPr>
          <w:rFonts w:ascii="Arial" w:cs="Arial" w:eastAsia="Arial" w:hAnsi="Arial"/>
          <w:sz w:val="22"/>
          <w:szCs w:val="22"/>
          <w:color w:val="auto"/>
        </w:rPr>
        <w:t>Effective October 13, 2010, but prior to the Spin-off (as defined below), Stock Units credited to Participants under this Prior Plan were convertible into shares of UTC Common Stock that were issued under the LTIP of United Technologies Corporation (“UTC”).</w:t>
      </w:r>
    </w:p>
    <w:p>
      <w:pPr>
        <w:spacing w:after="0" w:line="1" w:lineRule="exact"/>
        <w:rPr>
          <w:sz w:val="20"/>
          <w:szCs w:val="20"/>
          <w:color w:val="auto"/>
        </w:rPr>
      </w:pPr>
    </w:p>
    <w:p>
      <w:pPr>
        <w:ind w:right="200"/>
        <w:spacing w:after="0" w:line="280" w:lineRule="auto"/>
        <w:rPr>
          <w:sz w:val="20"/>
          <w:szCs w:val="20"/>
          <w:color w:val="auto"/>
        </w:rPr>
      </w:pPr>
      <w:r>
        <w:rPr>
          <w:rFonts w:ascii="Arial" w:cs="Arial" w:eastAsia="Arial" w:hAnsi="Arial"/>
          <w:sz w:val="22"/>
          <w:szCs w:val="22"/>
          <w:color w:val="auto"/>
        </w:rPr>
        <w:t>Notwithstanding any provision of this Prior Plan to the contrary, all distributions with respect to Stock Units under this Prior Plan shall be distributed in shares of Common Stock. The settlement of Stock Units in shares of Common Stock in lieu of cash shall in no event: (a) increase the value of any Participant’s Account; (b) modify any Participant’s distribution election; or (c) alter the procedures in effect under this Prior Plan with respect to elections and distributions other than the substitution of shares for cash.</w:t>
      </w:r>
    </w:p>
    <w:p>
      <w:pPr>
        <w:spacing w:after="0" w:line="225" w:lineRule="exact"/>
        <w:rPr>
          <w:sz w:val="20"/>
          <w:szCs w:val="20"/>
          <w:color w:val="auto"/>
        </w:rPr>
      </w:pPr>
    </w:p>
    <w:p>
      <w:pPr>
        <w:ind w:firstLine="648"/>
        <w:spacing w:after="0" w:line="322" w:lineRule="auto"/>
        <w:rPr>
          <w:sz w:val="20"/>
          <w:szCs w:val="20"/>
          <w:color w:val="auto"/>
        </w:rPr>
      </w:pPr>
      <w:r>
        <w:rPr>
          <w:rFonts w:ascii="Arial" w:cs="Arial" w:eastAsia="Arial" w:hAnsi="Arial"/>
          <w:sz w:val="19"/>
          <w:szCs w:val="19"/>
          <w:color w:val="auto"/>
        </w:rPr>
        <w:t>Effective as of the Spin-off from United Technologies Corporation of Otis Worldwide Corporation (“Otis”) and Carrier Global Corporation (“Carrier”) into separate, independent public companies on April 3, 2020 (the “Spin-off”), Stock Units credited to Participants under this Prior Plan were converted, at Spin-off, into UTC, Carrier and Otis Stock Units. Following the merger of United Technologies Corporation (“UTC”) with Raytheon Company on April 3, 2020 (the “Merger”) and change of UTC’s name to Raytheon Technologies Corporation, the UTC Deferred Stock Units automatically became RTX Deferred Stock Units and UTC Common Stock became RTX Common Stock. Deferred Stock Units credited to Participants under this Prior Plan shall be convertible into shares of RTX Common Stock; however, Carrier and Otis Deferred Stock Units shall be distributed in cash. Payment of any installment in shares of RTX Common Stock with respect to RTX Deferred Stock Units and cash with respect to Carrier and Otis Deferred Stock Units shall be on a pro rata basis based on the outstanding balance of RTX, Carrier and Otis Deferred Stock Units. For these purposes, the definition of “Closing Price” shall include the price of the underlying referenced security for an Otis Stock Unit or Carrier Stock Unit, as applicable; the definition of “Stock Unit” shall include a hypothetical share of Otis and Carrier, as applicable; and Otis Stock Units and Carrier Stock Units shall be increased or otherwise adjusted under Sections 402(a)(2) and (4) by reference to the underlying referenced security for an Otis Stock Unit or Carrier Stock Unit,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 - i</w:t>
      </w:r>
    </w:p>
    <w:p>
      <w:pPr>
        <w:sectPr>
          <w:pgSz w:w="11900" w:h="16838" w:orient="portrait"/>
          <w:cols w:equalWidth="0" w:num="1">
            <w:col w:w="10980"/>
          </w:cols>
          <w:pgMar w:left="440" w:top="1435" w:right="479" w:bottom="1440" w:gutter="0" w:footer="0" w:header="0"/>
        </w:sectPr>
      </w:pPr>
    </w:p>
    <w:bookmarkStart w:id="120" w:name="page121"/>
    <w:bookmarkEnd w:id="120"/>
    <w:p>
      <w:pPr>
        <w:spacing w:after="0" w:line="285" w:lineRule="exact"/>
        <w:rPr>
          <w:sz w:val="20"/>
          <w:szCs w:val="20"/>
          <w:color w:val="auto"/>
        </w:rPr>
      </w:pPr>
    </w:p>
    <w:p>
      <w:pPr>
        <w:ind w:left="4" w:firstLine="648"/>
        <w:spacing w:after="0" w:line="318" w:lineRule="auto"/>
        <w:rPr>
          <w:sz w:val="20"/>
          <w:szCs w:val="20"/>
          <w:color w:val="auto"/>
        </w:rPr>
      </w:pPr>
      <w:r>
        <w:rPr>
          <w:rFonts w:ascii="Arial" w:cs="Arial" w:eastAsia="Arial" w:hAnsi="Arial"/>
          <w:sz w:val="19"/>
          <w:szCs w:val="19"/>
          <w:color w:val="auto"/>
        </w:rPr>
        <w:t>The settlement of Deferred Stock Units in Common Stock and cash, as applicable, and other adjustments described herein shall in no event: (a) increase the value of any Participant’s Account; (b) modify any Participant’s distribution election; or</w:t>
      </w:r>
    </w:p>
    <w:p>
      <w:pPr>
        <w:spacing w:after="0" w:line="2" w:lineRule="exact"/>
        <w:rPr>
          <w:sz w:val="20"/>
          <w:szCs w:val="20"/>
          <w:color w:val="auto"/>
        </w:rPr>
      </w:pPr>
    </w:p>
    <w:p>
      <w:pPr>
        <w:ind w:left="4" w:right="340" w:hanging="4"/>
        <w:spacing w:after="0" w:line="289" w:lineRule="auto"/>
        <w:tabs>
          <w:tab w:leader="none" w:pos="2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alter the procedures in effect under this Prior Plan with respect to elections and distributions other than the substitution of cash for certain shares.</w:t>
      </w:r>
    </w:p>
    <w:p>
      <w:pPr>
        <w:spacing w:after="0" w:line="228" w:lineRule="exact"/>
        <w:rPr>
          <w:sz w:val="20"/>
          <w:szCs w:val="20"/>
          <w:color w:val="auto"/>
        </w:rPr>
      </w:pPr>
    </w:p>
    <w:p>
      <w:pPr>
        <w:ind w:left="4" w:right="260" w:firstLine="648"/>
        <w:spacing w:after="0" w:line="336" w:lineRule="auto"/>
        <w:rPr>
          <w:sz w:val="20"/>
          <w:szCs w:val="20"/>
          <w:color w:val="auto"/>
        </w:rPr>
      </w:pPr>
      <w:r>
        <w:rPr>
          <w:rFonts w:ascii="Arial" w:cs="Arial" w:eastAsia="Arial" w:hAnsi="Arial"/>
          <w:sz w:val="19"/>
          <w:szCs w:val="19"/>
          <w:color w:val="auto"/>
        </w:rPr>
        <w:t>Following the name change of United Technologies Corporation to Raytheon Technologies Corporation on April 3, 2020, and the subsequent name change to RTX Corporation on July 17, 2023, all references in the Prior Plan to United Technologies Corporation shall now be read as RTX Corporation, all references to UTC Deferred Stock Units shall be read as RTX Deferred Stock Units, and all references to UTC Common Stock shall be read as RTX Common Stock.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36"/>
        <w:spacing w:after="0"/>
        <w:rPr>
          <w:sz w:val="20"/>
          <w:szCs w:val="20"/>
          <w:color w:val="auto"/>
        </w:rPr>
      </w:pPr>
      <w:r>
        <w:rPr>
          <w:rFonts w:ascii="Arial" w:cs="Arial" w:eastAsia="Arial" w:hAnsi="Arial"/>
          <w:sz w:val="22"/>
          <w:szCs w:val="22"/>
          <w:color w:val="auto"/>
        </w:rPr>
        <w:t>A - ii</w:t>
      </w:r>
    </w:p>
    <w:p>
      <w:pPr>
        <w:sectPr>
          <w:pgSz w:w="11900" w:h="16838" w:orient="portrait"/>
          <w:cols w:equalWidth="0" w:num="1">
            <w:col w:w="11124"/>
          </w:cols>
          <w:pgMar w:left="436" w:top="1440"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1"/>
          <w:szCs w:val="21"/>
          <w:b w:val="1"/>
          <w:bCs w:val="1"/>
          <w:color w:val="auto"/>
        </w:rPr>
        <w:t>UNITED TECHNOLOGIES CORPORATION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OF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A - iii</w:t>
      </w:r>
    </w:p>
    <w:p>
      <w:pPr>
        <w:sectPr>
          <w:pgSz w:w="11900" w:h="16838" w:orient="portrait"/>
          <w:cols w:equalWidth="0" w:num="1">
            <w:col w:w="9019"/>
          </w:cols>
          <w:pgMar w:left="1440" w:top="1435" w:right="1440" w:bottom="1440" w:gutter="0" w:footer="0" w:header="0"/>
        </w:sectPr>
      </w:pPr>
    </w:p>
    <w:bookmarkStart w:id="122" w:name="page123"/>
    <w:bookmarkEnd w:id="122"/>
    <w:p>
      <w:pPr>
        <w:spacing w:after="0" w:line="266" w:lineRule="exact"/>
        <w:rPr>
          <w:sz w:val="20"/>
          <w:szCs w:val="20"/>
          <w:color w:val="auto"/>
        </w:rPr>
      </w:pPr>
    </w:p>
    <w:p>
      <w:pPr>
        <w:jc w:val="center"/>
        <w:ind w:right="-1040"/>
        <w:spacing w:after="0"/>
        <w:rPr>
          <w:sz w:val="20"/>
          <w:szCs w:val="20"/>
          <w:color w:val="auto"/>
        </w:rPr>
      </w:pPr>
      <w:r>
        <w:rPr>
          <w:rFonts w:ascii="Arial" w:cs="Arial" w:eastAsia="Arial" w:hAnsi="Arial"/>
          <w:sz w:val="21"/>
          <w:szCs w:val="21"/>
          <w:b w:val="1"/>
          <w:bCs w:val="1"/>
          <w:color w:val="auto"/>
        </w:rPr>
        <w:t>UNITED TECHNOLOGIES CORPORATION</w:t>
      </w:r>
    </w:p>
    <w:p>
      <w:pPr>
        <w:spacing w:after="0" w:line="39"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BOARD OF DIRECTORS</w:t>
      </w:r>
    </w:p>
    <w:p>
      <w:pPr>
        <w:spacing w:after="0" w:line="4"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DEFERRED STOCK UNIT PLAN</w:t>
      </w:r>
    </w:p>
    <w:p>
      <w:pPr>
        <w:spacing w:after="0" w:line="34"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22"/>
          <w:szCs w:val="22"/>
          <w:color w:val="auto"/>
        </w:rPr>
        <w:t>ARTICLE I</w:t>
      </w:r>
      <w:r>
        <w:rPr>
          <w:sz w:val="20"/>
          <w:szCs w:val="20"/>
          <w:color w:val="auto"/>
        </w:rPr>
        <w:tab/>
      </w:r>
      <w:r>
        <w:rPr>
          <w:rFonts w:ascii="Arial" w:cs="Arial" w:eastAsia="Arial" w:hAnsi="Arial"/>
          <w:sz w:val="21"/>
          <w:szCs w:val="21"/>
          <w:color w:val="auto"/>
        </w:rPr>
        <w:t>INTRODUCTION</w:t>
      </w:r>
    </w:p>
    <w:p>
      <w:pPr>
        <w:ind w:left="1580"/>
        <w:spacing w:after="0"/>
        <w:tabs>
          <w:tab w:leader="none" w:pos="2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Purpose of Plan</w:t>
      </w:r>
    </w:p>
    <w:p>
      <w:pPr>
        <w:ind w:left="1580"/>
        <w:spacing w:after="0"/>
        <w:tabs>
          <w:tab w:leader="none" w:pos="22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Effective Date of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80" w:type="dxa"/>
            <w:vAlign w:val="bottom"/>
          </w:tcPr>
          <w:p>
            <w:pPr>
              <w:spacing w:after="0"/>
              <w:rPr>
                <w:sz w:val="20"/>
                <w:szCs w:val="20"/>
                <w:color w:val="auto"/>
              </w:rPr>
            </w:pPr>
            <w:r>
              <w:rPr>
                <w:rFonts w:ascii="Arial" w:cs="Arial" w:eastAsia="Arial" w:hAnsi="Arial"/>
                <w:sz w:val="22"/>
                <w:szCs w:val="22"/>
                <w:color w:val="auto"/>
              </w:rPr>
              <w:t>ARTICLE II</w:t>
            </w:r>
          </w:p>
        </w:tc>
        <w:tc>
          <w:tcPr>
            <w:tcW w:w="5260" w:type="dxa"/>
            <w:vAlign w:val="bottom"/>
            <w:gridSpan w:val="2"/>
          </w:tcPr>
          <w:p>
            <w:pPr>
              <w:ind w:left="100"/>
              <w:spacing w:after="0"/>
              <w:rPr>
                <w:sz w:val="20"/>
                <w:szCs w:val="20"/>
                <w:color w:val="auto"/>
              </w:rPr>
            </w:pPr>
            <w:r>
              <w:rPr>
                <w:rFonts w:ascii="Arial" w:cs="Arial" w:eastAsia="Arial" w:hAnsi="Arial"/>
                <w:sz w:val="22"/>
                <w:szCs w:val="22"/>
                <w:color w:val="auto"/>
              </w:rPr>
              <w:t>DEFINITIONS</w:t>
            </w:r>
          </w:p>
        </w:tc>
      </w:tr>
      <w:tr>
        <w:trPr>
          <w:trHeight w:val="441"/>
        </w:trPr>
        <w:tc>
          <w:tcPr>
            <w:tcW w:w="1280" w:type="dxa"/>
            <w:vAlign w:val="bottom"/>
          </w:tcPr>
          <w:p>
            <w:pPr>
              <w:ind w:left="40"/>
              <w:spacing w:after="0"/>
              <w:rPr>
                <w:sz w:val="20"/>
                <w:szCs w:val="20"/>
                <w:color w:val="auto"/>
              </w:rPr>
            </w:pPr>
            <w:r>
              <w:rPr>
                <w:rFonts w:ascii="Arial" w:cs="Arial" w:eastAsia="Arial" w:hAnsi="Arial"/>
                <w:sz w:val="22"/>
                <w:szCs w:val="22"/>
                <w:color w:val="auto"/>
              </w:rPr>
              <w:t>ARTICLE III</w:t>
            </w:r>
          </w:p>
        </w:tc>
        <w:tc>
          <w:tcPr>
            <w:tcW w:w="5260" w:type="dxa"/>
            <w:vAlign w:val="bottom"/>
            <w:gridSpan w:val="2"/>
          </w:tcPr>
          <w:p>
            <w:pPr>
              <w:ind w:left="140"/>
              <w:spacing w:after="0"/>
              <w:rPr>
                <w:sz w:val="20"/>
                <w:szCs w:val="20"/>
                <w:color w:val="auto"/>
              </w:rPr>
            </w:pPr>
            <w:r>
              <w:rPr>
                <w:rFonts w:ascii="Arial" w:cs="Arial" w:eastAsia="Arial" w:hAnsi="Arial"/>
                <w:sz w:val="22"/>
                <w:szCs w:val="22"/>
                <w:color w:val="auto"/>
              </w:rPr>
              <w:t>CREDITS</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3.01</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Transition Credits</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3.02</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Automatic Credits</w:t>
            </w:r>
          </w:p>
        </w:tc>
      </w:tr>
      <w:tr>
        <w:trPr>
          <w:trHeight w:val="274"/>
        </w:trPr>
        <w:tc>
          <w:tcPr>
            <w:tcW w:w="128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22"/>
                <w:szCs w:val="22"/>
                <w:color w:val="auto"/>
              </w:rPr>
              <w:t>3.03</w:t>
            </w:r>
          </w:p>
        </w:tc>
        <w:tc>
          <w:tcPr>
            <w:tcW w:w="4460" w:type="dxa"/>
            <w:vAlign w:val="bottom"/>
          </w:tcPr>
          <w:p>
            <w:pPr>
              <w:ind w:left="140"/>
              <w:spacing w:after="0"/>
              <w:rPr>
                <w:sz w:val="20"/>
                <w:szCs w:val="20"/>
                <w:color w:val="auto"/>
              </w:rPr>
            </w:pPr>
            <w:r>
              <w:rPr>
                <w:rFonts w:ascii="Arial" w:cs="Arial" w:eastAsia="Arial" w:hAnsi="Arial"/>
                <w:sz w:val="22"/>
                <w:szCs w:val="22"/>
                <w:color w:val="auto"/>
              </w:rPr>
              <w:t>Elective Credits</w:t>
            </w:r>
          </w:p>
        </w:tc>
      </w:tr>
      <w:tr>
        <w:trPr>
          <w:trHeight w:val="414"/>
        </w:trPr>
        <w:tc>
          <w:tcPr>
            <w:tcW w:w="1280" w:type="dxa"/>
            <w:vAlign w:val="bottom"/>
          </w:tcPr>
          <w:p>
            <w:pPr>
              <w:ind w:left="40"/>
              <w:spacing w:after="0"/>
              <w:rPr>
                <w:sz w:val="20"/>
                <w:szCs w:val="20"/>
                <w:color w:val="auto"/>
              </w:rPr>
            </w:pPr>
            <w:r>
              <w:rPr>
                <w:rFonts w:ascii="Arial" w:cs="Arial" w:eastAsia="Arial" w:hAnsi="Arial"/>
                <w:sz w:val="22"/>
                <w:szCs w:val="22"/>
                <w:color w:val="auto"/>
              </w:rPr>
              <w:t>ARTICLE IV</w:t>
            </w:r>
          </w:p>
        </w:tc>
        <w:tc>
          <w:tcPr>
            <w:tcW w:w="5260" w:type="dxa"/>
            <w:vAlign w:val="bottom"/>
            <w:gridSpan w:val="2"/>
          </w:tcPr>
          <w:p>
            <w:pPr>
              <w:ind w:left="160"/>
              <w:spacing w:after="0"/>
              <w:rPr>
                <w:sz w:val="20"/>
                <w:szCs w:val="20"/>
                <w:color w:val="auto"/>
              </w:rPr>
            </w:pPr>
            <w:r>
              <w:rPr>
                <w:rFonts w:ascii="Arial" w:cs="Arial" w:eastAsia="Arial" w:hAnsi="Arial"/>
                <w:sz w:val="22"/>
                <w:szCs w:val="22"/>
                <w:color w:val="auto"/>
              </w:rPr>
              <w:t>ACCOUNTS AND INVESTMENTS</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4.01</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Accounts</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4.02</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Stock Units</w:t>
            </w:r>
          </w:p>
        </w:tc>
      </w:tr>
      <w:tr>
        <w:trPr>
          <w:trHeight w:val="274"/>
        </w:trPr>
        <w:tc>
          <w:tcPr>
            <w:tcW w:w="128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22"/>
                <w:szCs w:val="22"/>
                <w:color w:val="auto"/>
              </w:rPr>
              <w:t>4.03</w:t>
            </w:r>
          </w:p>
        </w:tc>
        <w:tc>
          <w:tcPr>
            <w:tcW w:w="4460" w:type="dxa"/>
            <w:vAlign w:val="bottom"/>
          </w:tcPr>
          <w:p>
            <w:pPr>
              <w:ind w:left="140"/>
              <w:spacing w:after="0"/>
              <w:rPr>
                <w:sz w:val="20"/>
                <w:szCs w:val="20"/>
                <w:color w:val="auto"/>
              </w:rPr>
            </w:pPr>
            <w:r>
              <w:rPr>
                <w:rFonts w:ascii="Arial" w:cs="Arial" w:eastAsia="Arial" w:hAnsi="Arial"/>
                <w:sz w:val="22"/>
                <w:szCs w:val="22"/>
                <w:color w:val="auto"/>
                <w:w w:val="89"/>
              </w:rPr>
              <w:t>Hypothetical Nature of Accounts and Investments</w:t>
            </w:r>
          </w:p>
        </w:tc>
      </w:tr>
      <w:tr>
        <w:trPr>
          <w:trHeight w:val="414"/>
        </w:trPr>
        <w:tc>
          <w:tcPr>
            <w:tcW w:w="1280" w:type="dxa"/>
            <w:vAlign w:val="bottom"/>
          </w:tcPr>
          <w:p>
            <w:pPr>
              <w:ind w:left="40"/>
              <w:spacing w:after="0"/>
              <w:rPr>
                <w:sz w:val="20"/>
                <w:szCs w:val="20"/>
                <w:color w:val="auto"/>
              </w:rPr>
            </w:pPr>
            <w:r>
              <w:rPr>
                <w:rFonts w:ascii="Arial" w:cs="Arial" w:eastAsia="Arial" w:hAnsi="Arial"/>
                <w:sz w:val="22"/>
                <w:szCs w:val="22"/>
                <w:color w:val="auto"/>
              </w:rPr>
              <w:t>ARTICLE V</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PAYMENTS</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5.01</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Entitlement to Payment</w:t>
            </w:r>
          </w:p>
        </w:tc>
      </w:tr>
      <w:tr>
        <w:trPr>
          <w:trHeight w:val="230"/>
        </w:trPr>
        <w:tc>
          <w:tcPr>
            <w:tcW w:w="1280" w:type="dxa"/>
            <w:vAlign w:val="bottom"/>
          </w:tcPr>
          <w:p>
            <w:pPr>
              <w:spacing w:after="0"/>
              <w:rPr>
                <w:sz w:val="19"/>
                <w:szCs w:val="19"/>
                <w:color w:val="auto"/>
              </w:rPr>
            </w:pPr>
          </w:p>
        </w:tc>
        <w:tc>
          <w:tcPr>
            <w:tcW w:w="800" w:type="dxa"/>
            <w:vAlign w:val="bottom"/>
          </w:tcPr>
          <w:p>
            <w:pPr>
              <w:jc w:val="right"/>
              <w:ind w:right="12"/>
              <w:spacing w:after="0" w:line="229" w:lineRule="exact"/>
              <w:rPr>
                <w:sz w:val="20"/>
                <w:szCs w:val="20"/>
                <w:color w:val="auto"/>
              </w:rPr>
            </w:pPr>
            <w:r>
              <w:rPr>
                <w:rFonts w:ascii="Arial" w:cs="Arial" w:eastAsia="Arial" w:hAnsi="Arial"/>
                <w:sz w:val="22"/>
                <w:szCs w:val="22"/>
                <w:color w:val="auto"/>
              </w:rPr>
              <w:t>5.02</w:t>
            </w:r>
          </w:p>
        </w:tc>
        <w:tc>
          <w:tcPr>
            <w:tcW w:w="4460" w:type="dxa"/>
            <w:vAlign w:val="bottom"/>
          </w:tcPr>
          <w:p>
            <w:pPr>
              <w:ind w:left="140"/>
              <w:spacing w:after="0" w:line="229" w:lineRule="exact"/>
              <w:rPr>
                <w:sz w:val="20"/>
                <w:szCs w:val="20"/>
                <w:color w:val="auto"/>
              </w:rPr>
            </w:pPr>
            <w:r>
              <w:rPr>
                <w:rFonts w:ascii="Arial" w:cs="Arial" w:eastAsia="Arial" w:hAnsi="Arial"/>
                <w:sz w:val="22"/>
                <w:szCs w:val="22"/>
                <w:color w:val="auto"/>
              </w:rPr>
              <w:t>Payment Commencement Date</w:t>
            </w:r>
          </w:p>
        </w:tc>
      </w:tr>
      <w:tr>
        <w:trPr>
          <w:trHeight w:val="274"/>
        </w:trPr>
        <w:tc>
          <w:tcPr>
            <w:tcW w:w="128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22"/>
                <w:szCs w:val="22"/>
                <w:color w:val="auto"/>
              </w:rPr>
              <w:t>5.03</w:t>
            </w:r>
          </w:p>
        </w:tc>
        <w:tc>
          <w:tcPr>
            <w:tcW w:w="4460" w:type="dxa"/>
            <w:vAlign w:val="bottom"/>
          </w:tcPr>
          <w:p>
            <w:pPr>
              <w:ind w:left="140"/>
              <w:spacing w:after="0"/>
              <w:rPr>
                <w:sz w:val="20"/>
                <w:szCs w:val="20"/>
                <w:color w:val="auto"/>
              </w:rPr>
            </w:pPr>
            <w:r>
              <w:rPr>
                <w:rFonts w:ascii="Arial" w:cs="Arial" w:eastAsia="Arial" w:hAnsi="Arial"/>
                <w:sz w:val="22"/>
                <w:szCs w:val="22"/>
                <w:color w:val="auto"/>
              </w:rPr>
              <w:t>Form and Amount of Payment</w:t>
            </w:r>
          </w:p>
        </w:tc>
      </w:tr>
      <w:tr>
        <w:trPr>
          <w:trHeight w:val="401"/>
        </w:trPr>
        <w:tc>
          <w:tcPr>
            <w:tcW w:w="1280" w:type="dxa"/>
            <w:vAlign w:val="bottom"/>
          </w:tcPr>
          <w:p>
            <w:pPr>
              <w:ind w:left="40"/>
              <w:spacing w:after="0"/>
              <w:rPr>
                <w:sz w:val="20"/>
                <w:szCs w:val="20"/>
                <w:color w:val="auto"/>
              </w:rPr>
            </w:pPr>
            <w:r>
              <w:rPr>
                <w:rFonts w:ascii="Arial" w:cs="Arial" w:eastAsia="Arial" w:hAnsi="Arial"/>
                <w:sz w:val="22"/>
                <w:szCs w:val="22"/>
                <w:color w:val="auto"/>
              </w:rPr>
              <w:t>ARTICLE VI</w:t>
            </w:r>
          </w:p>
        </w:tc>
        <w:tc>
          <w:tcPr>
            <w:tcW w:w="5260" w:type="dxa"/>
            <w:vAlign w:val="bottom"/>
            <w:gridSpan w:val="2"/>
          </w:tcPr>
          <w:p>
            <w:pPr>
              <w:ind w:left="160"/>
              <w:spacing w:after="0"/>
              <w:rPr>
                <w:sz w:val="20"/>
                <w:szCs w:val="20"/>
                <w:color w:val="auto"/>
              </w:rPr>
            </w:pPr>
            <w:r>
              <w:rPr>
                <w:rFonts w:ascii="Arial" w:cs="Arial" w:eastAsia="Arial" w:hAnsi="Arial"/>
                <w:sz w:val="22"/>
                <w:szCs w:val="22"/>
                <w:color w:val="auto"/>
              </w:rPr>
              <w:t>ADMINISTRATION</w:t>
            </w:r>
          </w:p>
        </w:tc>
      </w:tr>
      <w:tr>
        <w:trPr>
          <w:trHeight w:val="229"/>
        </w:trPr>
        <w:tc>
          <w:tcPr>
            <w:tcW w:w="1280" w:type="dxa"/>
            <w:vAlign w:val="bottom"/>
          </w:tcPr>
          <w:p>
            <w:pPr>
              <w:spacing w:after="0"/>
              <w:rPr>
                <w:sz w:val="19"/>
                <w:szCs w:val="19"/>
                <w:color w:val="auto"/>
              </w:rPr>
            </w:pPr>
          </w:p>
        </w:tc>
        <w:tc>
          <w:tcPr>
            <w:tcW w:w="800" w:type="dxa"/>
            <w:vAlign w:val="bottom"/>
          </w:tcPr>
          <w:p>
            <w:pPr>
              <w:jc w:val="right"/>
              <w:ind w:right="12"/>
              <w:spacing w:after="0" w:line="229" w:lineRule="exact"/>
              <w:rPr>
                <w:sz w:val="20"/>
                <w:szCs w:val="20"/>
                <w:color w:val="auto"/>
              </w:rPr>
            </w:pPr>
            <w:r>
              <w:rPr>
                <w:rFonts w:ascii="Arial" w:cs="Arial" w:eastAsia="Arial" w:hAnsi="Arial"/>
                <w:sz w:val="22"/>
                <w:szCs w:val="22"/>
                <w:color w:val="auto"/>
              </w:rPr>
              <w:t>6.01</w:t>
            </w:r>
          </w:p>
        </w:tc>
        <w:tc>
          <w:tcPr>
            <w:tcW w:w="4460" w:type="dxa"/>
            <w:vAlign w:val="bottom"/>
          </w:tcPr>
          <w:p>
            <w:pPr>
              <w:ind w:left="140"/>
              <w:spacing w:after="0" w:line="229" w:lineRule="exact"/>
              <w:rPr>
                <w:sz w:val="20"/>
                <w:szCs w:val="20"/>
                <w:color w:val="auto"/>
              </w:rPr>
            </w:pPr>
            <w:r>
              <w:rPr>
                <w:rFonts w:ascii="Arial" w:cs="Arial" w:eastAsia="Arial" w:hAnsi="Arial"/>
                <w:sz w:val="22"/>
                <w:szCs w:val="22"/>
                <w:color w:val="auto"/>
              </w:rPr>
              <w:t>In General</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6.02</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Plan Amendment and Termination</w:t>
            </w:r>
          </w:p>
        </w:tc>
      </w:tr>
      <w:tr>
        <w:trPr>
          <w:trHeight w:val="216"/>
        </w:trPr>
        <w:tc>
          <w:tcPr>
            <w:tcW w:w="1280" w:type="dxa"/>
            <w:vAlign w:val="bottom"/>
          </w:tcPr>
          <w:p>
            <w:pPr>
              <w:spacing w:after="0"/>
              <w:rPr>
                <w:sz w:val="18"/>
                <w:szCs w:val="18"/>
                <w:color w:val="auto"/>
              </w:rPr>
            </w:pPr>
          </w:p>
        </w:tc>
        <w:tc>
          <w:tcPr>
            <w:tcW w:w="800" w:type="dxa"/>
            <w:vAlign w:val="bottom"/>
          </w:tcPr>
          <w:p>
            <w:pPr>
              <w:jc w:val="right"/>
              <w:ind w:right="12"/>
              <w:spacing w:after="0" w:line="216" w:lineRule="exact"/>
              <w:rPr>
                <w:sz w:val="20"/>
                <w:szCs w:val="20"/>
                <w:color w:val="auto"/>
              </w:rPr>
            </w:pPr>
            <w:r>
              <w:rPr>
                <w:rFonts w:ascii="Arial" w:cs="Arial" w:eastAsia="Arial" w:hAnsi="Arial"/>
                <w:sz w:val="22"/>
                <w:szCs w:val="22"/>
                <w:color w:val="auto"/>
              </w:rPr>
              <w:t>6.03</w:t>
            </w:r>
          </w:p>
        </w:tc>
        <w:tc>
          <w:tcPr>
            <w:tcW w:w="4460" w:type="dxa"/>
            <w:vAlign w:val="bottom"/>
          </w:tcPr>
          <w:p>
            <w:pPr>
              <w:ind w:left="140"/>
              <w:spacing w:after="0" w:line="216" w:lineRule="exact"/>
              <w:rPr>
                <w:sz w:val="20"/>
                <w:szCs w:val="20"/>
                <w:color w:val="auto"/>
              </w:rPr>
            </w:pPr>
            <w:r>
              <w:rPr>
                <w:rFonts w:ascii="Arial" w:cs="Arial" w:eastAsia="Arial" w:hAnsi="Arial"/>
                <w:sz w:val="22"/>
                <w:szCs w:val="22"/>
                <w:color w:val="auto"/>
              </w:rPr>
              <w:t>Reports to Participants</w:t>
            </w:r>
          </w:p>
        </w:tc>
      </w:tr>
      <w:tr>
        <w:trPr>
          <w:trHeight w:val="274"/>
        </w:trPr>
        <w:tc>
          <w:tcPr>
            <w:tcW w:w="128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22"/>
                <w:szCs w:val="22"/>
                <w:color w:val="auto"/>
              </w:rPr>
              <w:t>6.04</w:t>
            </w:r>
          </w:p>
        </w:tc>
        <w:tc>
          <w:tcPr>
            <w:tcW w:w="4460" w:type="dxa"/>
            <w:vAlign w:val="bottom"/>
          </w:tcPr>
          <w:p>
            <w:pPr>
              <w:ind w:left="140"/>
              <w:spacing w:after="0"/>
              <w:rPr>
                <w:sz w:val="20"/>
                <w:szCs w:val="20"/>
                <w:color w:val="auto"/>
              </w:rPr>
            </w:pPr>
            <w:r>
              <w:rPr>
                <w:rFonts w:ascii="Arial" w:cs="Arial" w:eastAsia="Arial" w:hAnsi="Arial"/>
                <w:sz w:val="22"/>
                <w:szCs w:val="22"/>
                <w:color w:val="auto"/>
              </w:rPr>
              <w:t>Delegation of Authority</w:t>
            </w:r>
          </w:p>
        </w:tc>
      </w:tr>
    </w:tbl>
    <w:p>
      <w:pPr>
        <w:spacing w:after="0" w:line="179"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22"/>
          <w:szCs w:val="22"/>
          <w:color w:val="auto"/>
        </w:rPr>
        <w:t>ARTICLE VII</w:t>
      </w:r>
      <w:r>
        <w:rPr>
          <w:sz w:val="20"/>
          <w:szCs w:val="20"/>
          <w:color w:val="auto"/>
        </w:rPr>
        <w:tab/>
      </w:r>
      <w:r>
        <w:rPr>
          <w:rFonts w:ascii="Arial" w:cs="Arial" w:eastAsia="Arial" w:hAnsi="Arial"/>
          <w:sz w:val="21"/>
          <w:szCs w:val="21"/>
          <w:color w:val="auto"/>
        </w:rPr>
        <w:t>MISCELLANEOUS</w:t>
      </w:r>
    </w:p>
    <w:p>
      <w:pPr>
        <w:ind w:left="1580"/>
        <w:spacing w:after="0" w:line="237" w:lineRule="auto"/>
        <w:tabs>
          <w:tab w:leader="none" w:pos="220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Rights Not Assignable</w:t>
      </w:r>
    </w:p>
    <w:p>
      <w:pPr>
        <w:ind w:left="1580"/>
        <w:spacing w:after="0" w:line="237" w:lineRule="auto"/>
        <w:tabs>
          <w:tab w:leader="none" w:pos="220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color w:val="auto"/>
        </w:rPr>
        <w:t>Certain Rights Reserved</w:t>
      </w:r>
    </w:p>
    <w:p>
      <w:pPr>
        <w:ind w:left="1580"/>
        <w:spacing w:after="0"/>
        <w:tabs>
          <w:tab w:leader="none" w:pos="220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19"/>
          <w:szCs w:val="19"/>
          <w:color w:val="auto"/>
        </w:rPr>
        <w:t>Withholding Taxes</w:t>
      </w:r>
    </w:p>
    <w:p>
      <w:pPr>
        <w:ind w:left="1580"/>
        <w:spacing w:after="0" w:line="238" w:lineRule="auto"/>
        <w:tabs>
          <w:tab w:leader="none" w:pos="220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19"/>
          <w:szCs w:val="19"/>
          <w:color w:val="auto"/>
        </w:rPr>
        <w:t>Incompetence</w:t>
      </w:r>
    </w:p>
    <w:p>
      <w:pPr>
        <w:ind w:left="1580"/>
        <w:spacing w:after="0" w:line="237" w:lineRule="auto"/>
        <w:tabs>
          <w:tab w:leader="none" w:pos="220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19"/>
          <w:szCs w:val="19"/>
          <w:color w:val="auto"/>
        </w:rPr>
        <w:t>Inability to Locate Participants and Beneficiaries</w:t>
      </w:r>
    </w:p>
    <w:p>
      <w:pPr>
        <w:ind w:left="1580"/>
        <w:spacing w:after="0"/>
        <w:tabs>
          <w:tab w:leader="none" w:pos="220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8"/>
          <w:szCs w:val="18"/>
          <w:color w:val="auto"/>
        </w:rPr>
        <w:t>Successors</w:t>
      </w:r>
    </w:p>
    <w:p>
      <w:pPr>
        <w:ind w:left="1580"/>
        <w:spacing w:after="0"/>
        <w:tabs>
          <w:tab w:leader="none" w:pos="2200" w:val="left"/>
        </w:tabs>
        <w:rPr>
          <w:sz w:val="20"/>
          <w:szCs w:val="20"/>
          <w:color w:val="auto"/>
        </w:rPr>
      </w:pPr>
      <w:r>
        <w:rPr>
          <w:rFonts w:ascii="Arial" w:cs="Arial" w:eastAsia="Arial" w:hAnsi="Arial"/>
          <w:sz w:val="22"/>
          <w:szCs w:val="22"/>
          <w:color w:val="auto"/>
        </w:rPr>
        <w:t>7.07</w:t>
      </w:r>
      <w:r>
        <w:rPr>
          <w:sz w:val="20"/>
          <w:szCs w:val="20"/>
          <w:color w:val="auto"/>
        </w:rPr>
        <w:tab/>
      </w:r>
      <w:r>
        <w:rPr>
          <w:rFonts w:ascii="Arial" w:cs="Arial" w:eastAsia="Arial" w:hAnsi="Arial"/>
          <w:sz w:val="18"/>
          <w:szCs w:val="18"/>
          <w:color w:val="auto"/>
        </w:rPr>
        <w:t>Usage</w:t>
      </w:r>
    </w:p>
    <w:p>
      <w:pPr>
        <w:ind w:left="1580"/>
        <w:spacing w:after="0" w:line="238" w:lineRule="auto"/>
        <w:tabs>
          <w:tab w:leader="none" w:pos="2200" w:val="left"/>
        </w:tabs>
        <w:rPr>
          <w:sz w:val="20"/>
          <w:szCs w:val="20"/>
          <w:color w:val="auto"/>
        </w:rPr>
      </w:pPr>
      <w:r>
        <w:rPr>
          <w:rFonts w:ascii="Arial" w:cs="Arial" w:eastAsia="Arial" w:hAnsi="Arial"/>
          <w:sz w:val="22"/>
          <w:szCs w:val="22"/>
          <w:color w:val="auto"/>
        </w:rPr>
        <w:t>7.08</w:t>
      </w:r>
      <w:r>
        <w:rPr>
          <w:sz w:val="20"/>
          <w:szCs w:val="20"/>
          <w:color w:val="auto"/>
        </w:rPr>
        <w:tab/>
      </w:r>
      <w:r>
        <w:rPr>
          <w:rFonts w:ascii="Arial" w:cs="Arial" w:eastAsia="Arial" w:hAnsi="Arial"/>
          <w:sz w:val="19"/>
          <w:szCs w:val="19"/>
          <w:color w:val="auto"/>
        </w:rPr>
        <w:t>Severability</w:t>
      </w:r>
    </w:p>
    <w:p>
      <w:pPr>
        <w:ind w:left="1580"/>
        <w:spacing w:after="0"/>
        <w:tabs>
          <w:tab w:leader="none" w:pos="2200" w:val="left"/>
        </w:tabs>
        <w:rPr>
          <w:sz w:val="20"/>
          <w:szCs w:val="20"/>
          <w:color w:val="auto"/>
        </w:rPr>
      </w:pPr>
      <w:r>
        <w:rPr>
          <w:rFonts w:ascii="Arial" w:cs="Arial" w:eastAsia="Arial" w:hAnsi="Arial"/>
          <w:sz w:val="22"/>
          <w:szCs w:val="22"/>
          <w:color w:val="auto"/>
        </w:rPr>
        <w:t>7.09</w:t>
      </w:r>
      <w:r>
        <w:rPr>
          <w:sz w:val="20"/>
          <w:szCs w:val="20"/>
          <w:color w:val="auto"/>
        </w:rPr>
        <w:tab/>
      </w:r>
      <w:r>
        <w:rPr>
          <w:rFonts w:ascii="Arial" w:cs="Arial" w:eastAsia="Arial" w:hAnsi="Arial"/>
          <w:sz w:val="19"/>
          <w:szCs w:val="19"/>
          <w:color w:val="auto"/>
        </w:rPr>
        <w:t>Governing Law</w:t>
      </w: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A - iv</w:t>
      </w:r>
    </w:p>
    <w:p>
      <w:pPr>
        <w:sectPr>
          <w:pgSz w:w="11900" w:h="16838" w:orient="portrait"/>
          <w:cols w:equalWidth="0" w:num="1">
            <w:col w:w="10059"/>
          </w:cols>
          <w:pgMar w:left="400" w:top="1440" w:right="1440" w:bottom="1440" w:gutter="0" w:footer="0" w:header="0"/>
          <w:type w:val="continuous"/>
        </w:sectPr>
      </w:pPr>
    </w:p>
    <w:bookmarkStart w:id="123" w:name="page124"/>
    <w:bookmarkEnd w:id="123"/>
    <w:p>
      <w:pPr>
        <w:jc w:val="center"/>
        <w:ind w:right="40"/>
        <w:spacing w:after="0"/>
        <w:rPr>
          <w:sz w:val="20"/>
          <w:szCs w:val="20"/>
          <w:color w:val="auto"/>
        </w:rPr>
      </w:pPr>
      <w:r>
        <w:rPr>
          <w:rFonts w:ascii="Arial" w:cs="Arial" w:eastAsia="Arial" w:hAnsi="Arial"/>
          <w:sz w:val="22"/>
          <w:szCs w:val="22"/>
          <w:b w:val="1"/>
          <w:bCs w:val="1"/>
          <w:color w:val="010000"/>
        </w:rPr>
        <w:t>ARTICLE I</w:t>
      </w:r>
    </w:p>
    <w:p>
      <w:pPr>
        <w:jc w:val="center"/>
        <w:ind w:right="40"/>
        <w:spacing w:after="0"/>
        <w:rPr>
          <w:sz w:val="20"/>
          <w:szCs w:val="20"/>
          <w:color w:val="auto"/>
        </w:rPr>
      </w:pPr>
      <w:r>
        <w:rPr>
          <w:rFonts w:ascii="Arial" w:cs="Arial" w:eastAsia="Arial" w:hAnsi="Arial"/>
          <w:sz w:val="22"/>
          <w:szCs w:val="22"/>
          <w:b w:val="1"/>
          <w:bCs w:val="1"/>
          <w:color w:val="auto"/>
        </w:rPr>
        <w:t>INTRODUCTION</w:t>
      </w:r>
    </w:p>
    <w:p>
      <w:pPr>
        <w:spacing w:after="0" w:line="19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1.01</w:t>
      </w:r>
      <w:r>
        <w:rPr>
          <w:sz w:val="20"/>
          <w:szCs w:val="20"/>
          <w:color w:val="auto"/>
        </w:rPr>
        <w:tab/>
      </w:r>
      <w:r>
        <w:rPr>
          <w:rFonts w:ascii="Arial" w:cs="Arial" w:eastAsia="Arial" w:hAnsi="Arial"/>
          <w:sz w:val="19"/>
          <w:szCs w:val="19"/>
          <w:b w:val="1"/>
          <w:bCs w:val="1"/>
          <w:color w:val="auto"/>
        </w:rPr>
        <w:t>Purpose of Plan</w:t>
      </w:r>
    </w:p>
    <w:p>
      <w:pPr>
        <w:spacing w:after="0" w:line="50" w:lineRule="exact"/>
        <w:rPr>
          <w:sz w:val="20"/>
          <w:szCs w:val="20"/>
          <w:color w:val="auto"/>
        </w:rPr>
      </w:pPr>
    </w:p>
    <w:p>
      <w:pPr>
        <w:ind w:right="60" w:firstLine="648"/>
        <w:spacing w:after="0" w:line="330" w:lineRule="auto"/>
        <w:rPr>
          <w:sz w:val="20"/>
          <w:szCs w:val="20"/>
          <w:color w:val="auto"/>
        </w:rPr>
      </w:pPr>
      <w:r>
        <w:rPr>
          <w:rFonts w:ascii="Arial" w:cs="Arial" w:eastAsia="Arial" w:hAnsi="Arial"/>
          <w:sz w:val="19"/>
          <w:szCs w:val="19"/>
          <w:color w:val="auto"/>
        </w:rPr>
        <w:t>The purpose of the Plan is to enhance the Company’s ability to attract and retain non- employee members of the Board whose training, experience and ability will promote the interests of the Company and to directly align the interests of such non-employee Directors with the interests of the Company’s shareowners by providing compensation based on the value of UTC Common Stock. The Plan is designed to permit such non-employee directors to defer the receipt of all or a portion of the cash compensation otherwise payable to them for services to the Company as members of the Board.</w:t>
      </w:r>
    </w:p>
    <w:p>
      <w:pPr>
        <w:spacing w:after="0" w:line="13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1.02</w:t>
      </w:r>
      <w:r>
        <w:rPr>
          <w:sz w:val="20"/>
          <w:szCs w:val="20"/>
          <w:color w:val="auto"/>
        </w:rPr>
        <w:tab/>
      </w:r>
      <w:r>
        <w:rPr>
          <w:rFonts w:ascii="Arial" w:cs="Arial" w:eastAsia="Arial" w:hAnsi="Arial"/>
          <w:sz w:val="19"/>
          <w:szCs w:val="19"/>
          <w:b w:val="1"/>
          <w:bCs w:val="1"/>
          <w:color w:val="auto"/>
        </w:rPr>
        <w:t>Effective Date of Plan</w:t>
      </w:r>
    </w:p>
    <w:p>
      <w:pPr>
        <w:spacing w:after="0" w:line="5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 xml:space="preserve">Except as otherwise provided by </w:t>
      </w:r>
      <w:r>
        <w:rPr>
          <w:rFonts w:ascii="Arial" w:cs="Arial" w:eastAsia="Arial" w:hAnsi="Arial"/>
          <w:sz w:val="22"/>
          <w:szCs w:val="22"/>
          <w:u w:val="single" w:color="auto"/>
          <w:color w:val="auto"/>
        </w:rPr>
        <w:t>Section 3.01</w:t>
      </w:r>
      <w:r>
        <w:rPr>
          <w:rFonts w:ascii="Arial" w:cs="Arial" w:eastAsia="Arial" w:hAnsi="Arial"/>
          <w:sz w:val="22"/>
          <w:szCs w:val="22"/>
          <w:color w:val="auto"/>
        </w:rPr>
        <w:t>, the Plan shall apply only to a Participant’s annual Director’s retainer Fees with respect to service on and after January 1, 1996.</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DEFINITIONS</w:t>
      </w:r>
    </w:p>
    <w:p>
      <w:pPr>
        <w:spacing w:after="0" w:line="229" w:lineRule="exact"/>
        <w:rPr>
          <w:sz w:val="20"/>
          <w:szCs w:val="20"/>
          <w:color w:val="auto"/>
        </w:rPr>
      </w:pPr>
    </w:p>
    <w:p>
      <w:pPr>
        <w:ind w:right="460" w:firstLine="648"/>
        <w:spacing w:after="0" w:line="302" w:lineRule="auto"/>
        <w:rPr>
          <w:sz w:val="20"/>
          <w:szCs w:val="20"/>
          <w:color w:val="auto"/>
        </w:rPr>
      </w:pPr>
      <w:r>
        <w:rPr>
          <w:rFonts w:ascii="Arial" w:cs="Arial" w:eastAsia="Arial" w:hAnsi="Arial"/>
          <w:sz w:val="22"/>
          <w:szCs w:val="22"/>
          <w:color w:val="auto"/>
        </w:rPr>
        <w:t>Unless the context clearly indicates otherwise, the following terms, when used in capitalized form in the Plan, shall have the meanings set forth below:</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Account </w:t>
      </w:r>
      <w:r>
        <w:rPr>
          <w:rFonts w:ascii="Arial" w:cs="Arial" w:eastAsia="Arial" w:hAnsi="Arial"/>
          <w:sz w:val="22"/>
          <w:szCs w:val="22"/>
          <w:color w:val="auto"/>
        </w:rPr>
        <w:t>shall mean a bookkeeping account established for a Participant under</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4.01</w:t>
      </w:r>
      <w:r>
        <w:rPr>
          <w:rFonts w:ascii="Arial" w:cs="Arial" w:eastAsia="Arial" w:hAnsi="Arial"/>
          <w:sz w:val="22"/>
          <w:szCs w:val="22"/>
          <w:color w:val="auto"/>
        </w:rPr>
        <w:t>.</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Article </w:t>
      </w:r>
      <w:r>
        <w:rPr>
          <w:rFonts w:ascii="Arial" w:cs="Arial" w:eastAsia="Arial" w:hAnsi="Arial"/>
          <w:sz w:val="22"/>
          <w:szCs w:val="22"/>
          <w:color w:val="auto"/>
        </w:rPr>
        <w:t>shall mean an article of the Plan.</w:t>
      </w:r>
    </w:p>
    <w:p>
      <w:pPr>
        <w:spacing w:after="0" w:line="323" w:lineRule="exact"/>
        <w:rPr>
          <w:sz w:val="20"/>
          <w:szCs w:val="20"/>
          <w:color w:val="auto"/>
        </w:rPr>
      </w:pPr>
    </w:p>
    <w:p>
      <w:pPr>
        <w:ind w:right="300" w:firstLine="648"/>
        <w:spacing w:after="0" w:line="285" w:lineRule="auto"/>
        <w:rPr>
          <w:sz w:val="20"/>
          <w:szCs w:val="20"/>
          <w:color w:val="auto"/>
        </w:rPr>
      </w:pPr>
      <w:r>
        <w:rPr>
          <w:rFonts w:ascii="Arial" w:cs="Arial" w:eastAsia="Arial" w:hAnsi="Arial"/>
          <w:sz w:val="22"/>
          <w:szCs w:val="22"/>
          <w:b w:val="1"/>
          <w:bCs w:val="1"/>
          <w:i w:val="1"/>
          <w:iCs w:val="1"/>
          <w:color w:val="auto"/>
        </w:rPr>
        <w:t xml:space="preserve">Beneficiary </w:t>
      </w:r>
      <w:r>
        <w:rPr>
          <w:rFonts w:ascii="Arial" w:cs="Arial" w:eastAsia="Arial" w:hAnsi="Arial"/>
          <w:sz w:val="22"/>
          <w:szCs w:val="22"/>
          <w:color w:val="auto"/>
        </w:rPr>
        <w:t>shall mean a Participant’s beneficiary, designated in writing and in a form and manner satisfactory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or if a Participant fails to designate a beneficiary, or if the Participant’s designated Beneficiary predeceases the Participant, the Participant’s estate.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shall mean the Board of Directors of the Company.</w:t>
      </w:r>
    </w:p>
    <w:p>
      <w:pPr>
        <w:spacing w:after="0" w:line="247" w:lineRule="exact"/>
        <w:rPr>
          <w:sz w:val="20"/>
          <w:szCs w:val="20"/>
          <w:color w:val="auto"/>
        </w:rPr>
      </w:pPr>
    </w:p>
    <w:p>
      <w:pPr>
        <w:ind w:right="140" w:firstLine="648"/>
        <w:spacing w:after="0" w:line="285" w:lineRule="auto"/>
        <w:rPr>
          <w:sz w:val="20"/>
          <w:szCs w:val="20"/>
          <w:color w:val="auto"/>
        </w:rPr>
      </w:pPr>
      <w:r>
        <w:rPr>
          <w:rFonts w:ascii="Arial" w:cs="Arial" w:eastAsia="Arial" w:hAnsi="Arial"/>
          <w:sz w:val="22"/>
          <w:szCs w:val="22"/>
          <w:b w:val="1"/>
          <w:bCs w:val="1"/>
          <w:i w:val="1"/>
          <w:iCs w:val="1"/>
          <w:color w:val="auto"/>
        </w:rPr>
        <w:t xml:space="preserve">Closing Price </w:t>
      </w:r>
      <w:r>
        <w:rPr>
          <w:rFonts w:ascii="Arial" w:cs="Arial" w:eastAsia="Arial" w:hAnsi="Arial"/>
          <w:sz w:val="22"/>
          <w:szCs w:val="22"/>
          <w:color w:val="auto"/>
        </w:rPr>
        <w:t>shall mean, with respect to any date specified by the Plan, the closing price of UTC Common Stock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composite tape of New York Stock Exchange issues (or if there was no reported sale of UTC Common Stock on such date, on the next preceding day on which there was such a reported sale).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shall mean the Nominating Committee of the Board.</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shall mean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 - 1</w:t>
      </w:r>
    </w:p>
    <w:p>
      <w:pPr>
        <w:sectPr>
          <w:pgSz w:w="11900" w:h="16838" w:orient="portrait"/>
          <w:cols w:equalWidth="0" w:num="1">
            <w:col w:w="11060"/>
          </w:cols>
          <w:pgMar w:left="440" w:top="1368" w:right="399" w:bottom="1440" w:gutter="0" w:footer="0" w:header="0"/>
        </w:sectPr>
      </w:pPr>
    </w:p>
    <w:bookmarkStart w:id="124" w:name="page125"/>
    <w:bookmarkEnd w:id="124"/>
    <w:p>
      <w:pPr>
        <w:spacing w:after="0" w:line="42" w:lineRule="exact"/>
        <w:rPr>
          <w:sz w:val="20"/>
          <w:szCs w:val="20"/>
          <w:color w:val="auto"/>
        </w:rPr>
      </w:pPr>
    </w:p>
    <w:p>
      <w:pPr>
        <w:ind w:left="120" w:right="100" w:firstLine="648"/>
        <w:spacing w:after="0" w:line="302" w:lineRule="auto"/>
        <w:rPr>
          <w:sz w:val="20"/>
          <w:szCs w:val="20"/>
          <w:color w:val="auto"/>
        </w:rPr>
      </w:pPr>
      <w:r>
        <w:rPr>
          <w:rFonts w:ascii="Arial" w:cs="Arial" w:eastAsia="Arial" w:hAnsi="Arial"/>
          <w:sz w:val="22"/>
          <w:szCs w:val="22"/>
          <w:b w:val="1"/>
          <w:bCs w:val="1"/>
          <w:i w:val="1"/>
          <w:iCs w:val="1"/>
          <w:color w:val="auto"/>
        </w:rPr>
        <w:t xml:space="preserve">Director’s </w:t>
      </w:r>
      <w:r>
        <w:rPr>
          <w:rFonts w:ascii="Arial" w:cs="Arial" w:eastAsia="Arial" w:hAnsi="Arial"/>
          <w:sz w:val="22"/>
          <w:szCs w:val="22"/>
          <w:color w:val="auto"/>
        </w:rPr>
        <w:t>Fees shall mean the annual retainer fee payable to a Participant for services to the Company as a member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Board. Director’s Fees do not include special meeting fees.</w:t>
      </w:r>
    </w:p>
    <w:p>
      <w:pPr>
        <w:spacing w:after="0" w:line="200" w:lineRule="exact"/>
        <w:rPr>
          <w:sz w:val="20"/>
          <w:szCs w:val="20"/>
          <w:color w:val="auto"/>
        </w:rPr>
      </w:pPr>
    </w:p>
    <w:p>
      <w:pPr>
        <w:ind w:left="120" w:right="260" w:firstLine="648"/>
        <w:spacing w:after="0" w:line="372" w:lineRule="auto"/>
        <w:rPr>
          <w:sz w:val="20"/>
          <w:szCs w:val="20"/>
          <w:color w:val="auto"/>
        </w:rPr>
      </w:pPr>
      <w:r>
        <w:rPr>
          <w:rFonts w:ascii="Arial" w:cs="Arial" w:eastAsia="Arial" w:hAnsi="Arial"/>
          <w:sz w:val="19"/>
          <w:szCs w:val="19"/>
          <w:b w:val="1"/>
          <w:bCs w:val="1"/>
          <w:i w:val="1"/>
          <w:iCs w:val="1"/>
          <w:color w:val="auto"/>
        </w:rPr>
        <w:t xml:space="preserve">Participant </w:t>
      </w:r>
      <w:r>
        <w:rPr>
          <w:rFonts w:ascii="Arial" w:cs="Arial" w:eastAsia="Arial" w:hAnsi="Arial"/>
          <w:sz w:val="19"/>
          <w:szCs w:val="19"/>
          <w:color w:val="auto"/>
        </w:rPr>
        <w:t>shall mean each member of the Board (other than a member of the Board who is also an employee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or a subsidiary thereof) who is or becomes a member of the Board on or after January 1, 1996.</w:t>
      </w:r>
    </w:p>
    <w:p>
      <w:pPr>
        <w:spacing w:after="0" w:line="119" w:lineRule="exact"/>
        <w:rPr>
          <w:sz w:val="20"/>
          <w:szCs w:val="20"/>
          <w:color w:val="auto"/>
        </w:rPr>
      </w:pPr>
    </w:p>
    <w:p>
      <w:pPr>
        <w:ind w:left="740"/>
        <w:spacing w:after="0"/>
        <w:rPr>
          <w:sz w:val="20"/>
          <w:szCs w:val="20"/>
          <w:color w:val="auto"/>
        </w:rPr>
      </w:pPr>
      <w:r>
        <w:rPr>
          <w:rFonts w:ascii="Arial" w:cs="Arial" w:eastAsia="Arial" w:hAnsi="Arial"/>
          <w:sz w:val="22"/>
          <w:szCs w:val="22"/>
          <w:b w:val="1"/>
          <w:bCs w:val="1"/>
          <w:i w:val="1"/>
          <w:iCs w:val="1"/>
          <w:color w:val="auto"/>
        </w:rPr>
        <w:t xml:space="preserve">Payment Anniversary Date </w:t>
      </w:r>
      <w:r>
        <w:rPr>
          <w:rFonts w:ascii="Arial" w:cs="Arial" w:eastAsia="Arial" w:hAnsi="Arial"/>
          <w:sz w:val="22"/>
          <w:szCs w:val="22"/>
          <w:color w:val="auto"/>
        </w:rPr>
        <w:t>shall mean an anniversary of the Payment Commencement Date.</w:t>
      </w:r>
    </w:p>
    <w:p>
      <w:pPr>
        <w:spacing w:after="0" w:line="220" w:lineRule="exact"/>
        <w:rPr>
          <w:sz w:val="20"/>
          <w:szCs w:val="20"/>
          <w:color w:val="auto"/>
        </w:rPr>
      </w:pPr>
    </w:p>
    <w:p>
      <w:pPr>
        <w:ind w:right="280" w:firstLine="729"/>
        <w:spacing w:after="0" w:line="250" w:lineRule="auto"/>
        <w:rPr>
          <w:sz w:val="20"/>
          <w:szCs w:val="20"/>
          <w:color w:val="auto"/>
        </w:rPr>
      </w:pPr>
      <w:r>
        <w:rPr>
          <w:rFonts w:ascii="Arial" w:cs="Arial" w:eastAsia="Arial" w:hAnsi="Arial"/>
          <w:sz w:val="22"/>
          <w:szCs w:val="22"/>
          <w:b w:val="1"/>
          <w:bCs w:val="1"/>
          <w:i w:val="1"/>
          <w:iCs w:val="1"/>
          <w:color w:val="auto"/>
        </w:rPr>
        <w:t xml:space="preserve">Payment Commencement Date </w:t>
      </w:r>
      <w:r>
        <w:rPr>
          <w:rFonts w:ascii="Arial" w:cs="Arial" w:eastAsia="Arial" w:hAnsi="Arial"/>
          <w:sz w:val="22"/>
          <w:szCs w:val="22"/>
          <w:color w:val="auto"/>
        </w:rPr>
        <w:t>shall mean the first business day of the first month following the month in which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terminates service as a member of the Board.</w:t>
      </w:r>
    </w:p>
    <w:p>
      <w:pPr>
        <w:spacing w:after="0" w:line="229" w:lineRule="exact"/>
        <w:rPr>
          <w:sz w:val="20"/>
          <w:szCs w:val="20"/>
          <w:color w:val="auto"/>
        </w:rPr>
      </w:pPr>
    </w:p>
    <w:p>
      <w:pPr>
        <w:ind w:left="120" w:right="80" w:firstLine="648"/>
        <w:spacing w:after="0" w:line="302" w:lineRule="auto"/>
        <w:rPr>
          <w:sz w:val="20"/>
          <w:szCs w:val="20"/>
          <w:color w:val="auto"/>
        </w:rPr>
      </w:pPr>
      <w:r>
        <w:rPr>
          <w:rFonts w:ascii="Arial" w:cs="Arial" w:eastAsia="Arial" w:hAnsi="Arial"/>
          <w:sz w:val="22"/>
          <w:szCs w:val="22"/>
          <w:b w:val="1"/>
          <w:bCs w:val="1"/>
          <w:i w:val="1"/>
          <w:iCs w:val="1"/>
          <w:color w:val="auto"/>
        </w:rPr>
        <w:t xml:space="preserve">Plan </w:t>
      </w:r>
      <w:r>
        <w:rPr>
          <w:rFonts w:ascii="Arial" w:cs="Arial" w:eastAsia="Arial" w:hAnsi="Arial"/>
          <w:sz w:val="22"/>
          <w:szCs w:val="22"/>
          <w:color w:val="auto"/>
        </w:rPr>
        <w:t>shall mean this United Technologies Corporation Board of Directors Deferred Stock Unit Plan, as set forth herein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as amended from time to time.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Plan Year </w:t>
      </w:r>
      <w:r>
        <w:rPr>
          <w:rFonts w:ascii="Arial" w:cs="Arial" w:eastAsia="Arial" w:hAnsi="Arial"/>
          <w:sz w:val="22"/>
          <w:szCs w:val="22"/>
          <w:color w:val="auto"/>
        </w:rPr>
        <w:t>shall mean the calendar year.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Section </w:t>
      </w:r>
      <w:r>
        <w:rPr>
          <w:rFonts w:ascii="Arial" w:cs="Arial" w:eastAsia="Arial" w:hAnsi="Arial"/>
          <w:sz w:val="22"/>
          <w:szCs w:val="22"/>
          <w:color w:val="auto"/>
        </w:rPr>
        <w:t>shall mean a Section of the Plan.</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Stock Unit </w:t>
      </w:r>
      <w:r>
        <w:rPr>
          <w:rFonts w:ascii="Arial" w:cs="Arial" w:eastAsia="Arial" w:hAnsi="Arial"/>
          <w:sz w:val="22"/>
          <w:szCs w:val="22"/>
          <w:color w:val="auto"/>
        </w:rPr>
        <w:t>shall mean a hypothetical share of UTC Common Stock as described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328"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UTC Common Stock </w:t>
      </w:r>
      <w:r>
        <w:rPr>
          <w:rFonts w:ascii="Arial" w:cs="Arial" w:eastAsia="Arial" w:hAnsi="Arial"/>
          <w:sz w:val="22"/>
          <w:szCs w:val="22"/>
          <w:color w:val="auto"/>
        </w:rPr>
        <w:t>shall mean the common stock of the Company.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10000"/>
        </w:rPr>
        <w:t>ARTICLE III</w:t>
      </w:r>
    </w:p>
    <w:p>
      <w:pPr>
        <w:jc w:val="center"/>
        <w:ind w:right="-119"/>
        <w:spacing w:after="0" w:line="218" w:lineRule="auto"/>
        <w:rPr>
          <w:sz w:val="20"/>
          <w:szCs w:val="20"/>
          <w:color w:val="auto"/>
        </w:rPr>
      </w:pPr>
      <w:r>
        <w:rPr>
          <w:rFonts w:ascii="Arial" w:cs="Arial" w:eastAsia="Arial" w:hAnsi="Arial"/>
          <w:sz w:val="22"/>
          <w:szCs w:val="22"/>
          <w:b w:val="1"/>
          <w:bCs w:val="1"/>
          <w:color w:val="auto"/>
        </w:rPr>
        <w:t>CREDITS</w:t>
      </w:r>
    </w:p>
    <w:p>
      <w:pPr>
        <w:ind w:left="760"/>
        <w:spacing w:after="0"/>
        <w:tabs>
          <w:tab w:leader="none" w:pos="1400" w:val="left"/>
        </w:tabs>
        <w:rPr>
          <w:sz w:val="20"/>
          <w:szCs w:val="20"/>
          <w:color w:val="auto"/>
        </w:rPr>
      </w:pPr>
      <w:r>
        <w:rPr>
          <w:rFonts w:ascii="Arial" w:cs="Arial" w:eastAsia="Arial" w:hAnsi="Arial"/>
          <w:sz w:val="22"/>
          <w:szCs w:val="22"/>
          <w:b w:val="1"/>
          <w:bCs w:val="1"/>
          <w:color w:val="010000"/>
        </w:rPr>
        <w:t>3.01</w:t>
      </w:r>
      <w:r>
        <w:rPr>
          <w:sz w:val="20"/>
          <w:szCs w:val="20"/>
          <w:color w:val="auto"/>
        </w:rPr>
        <w:tab/>
      </w:r>
      <w:r>
        <w:rPr>
          <w:rFonts w:ascii="Arial" w:cs="Arial" w:eastAsia="Arial" w:hAnsi="Arial"/>
          <w:sz w:val="19"/>
          <w:szCs w:val="19"/>
          <w:b w:val="1"/>
          <w:bCs w:val="1"/>
          <w:color w:val="auto"/>
        </w:rPr>
        <w:t>Transition Credits</w:t>
      </w:r>
    </w:p>
    <w:p>
      <w:pPr>
        <w:spacing w:after="0" w:line="26" w:lineRule="exact"/>
        <w:rPr>
          <w:sz w:val="20"/>
          <w:szCs w:val="20"/>
          <w:color w:val="auto"/>
        </w:rPr>
      </w:pPr>
    </w:p>
    <w:p>
      <w:pPr>
        <w:ind w:left="120" w:firstLine="648"/>
        <w:spacing w:after="0" w:line="326" w:lineRule="auto"/>
        <w:rPr>
          <w:sz w:val="20"/>
          <w:szCs w:val="20"/>
          <w:color w:val="auto"/>
        </w:rPr>
      </w:pPr>
      <w:r>
        <w:rPr>
          <w:rFonts w:ascii="Arial" w:cs="Arial" w:eastAsia="Arial" w:hAnsi="Arial"/>
          <w:sz w:val="19"/>
          <w:szCs w:val="19"/>
          <w:color w:val="auto"/>
        </w:rPr>
        <w:t>As soon as practicable on or after January 1, 1996, the Company shall credit to the Account of each Participant a number of Stock Units determined in accordance with the schedules set forth in Appendix I and Appendix II to the Plan. The credits set forth in Appendix I shall be provided in lieu of any benefits to which the Participant otherwise would have been entitled under the United Technologies Corporation Directors Retirement Plan as of its termination on December 31, 1995. The credits set forth in Appendix II shall be provided in lieu of any benefits to which the Participant otherwise would be entitled under certain deferred compensation arrangements entered into prior to January 1, 1996. The number of units set forth in Appendix II shall equal the number of tax deferred stock units (if any) credited to the Participant under any such prior deferred compensation arrangement, determined as of December 31, 1995.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120"/>
          </w:cols>
          <w:pgMar w:left="320" w:top="1440" w:right="459" w:bottom="1440" w:gutter="0" w:footer="0" w:header="0"/>
        </w:sectPr>
      </w:pPr>
    </w:p>
    <w:bookmarkStart w:id="125" w:name="page126"/>
    <w:bookmarkEnd w:id="125"/>
    <w:p>
      <w:pPr>
        <w:ind w:left="620"/>
        <w:spacing w:after="0"/>
        <w:tabs>
          <w:tab w:leader="none" w:pos="124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Automatic Credits</w:t>
      </w:r>
    </w:p>
    <w:p>
      <w:pPr>
        <w:spacing w:after="0" w:line="50" w:lineRule="exact"/>
        <w:rPr>
          <w:sz w:val="20"/>
          <w:szCs w:val="20"/>
          <w:color w:val="auto"/>
        </w:rPr>
      </w:pPr>
    </w:p>
    <w:p>
      <w:pPr>
        <w:jc w:val="both"/>
        <w:ind w:right="420" w:firstLine="648"/>
        <w:spacing w:after="0" w:line="318" w:lineRule="auto"/>
        <w:rPr>
          <w:sz w:val="20"/>
          <w:szCs w:val="20"/>
          <w:color w:val="auto"/>
        </w:rPr>
      </w:pPr>
      <w:r>
        <w:rPr>
          <w:rFonts w:ascii="Arial" w:cs="Arial" w:eastAsia="Arial" w:hAnsi="Arial"/>
          <w:sz w:val="19"/>
          <w:szCs w:val="19"/>
          <w:color w:val="auto"/>
        </w:rPr>
        <w:t xml:space="preserve">As of the beginning of each Plan Year, the Company shall credit Stock Units to each Participant’s Account equal in value to 60% of the Participant’s Director’s Fees for the Plan Year, as determined in accordance with </w:t>
      </w:r>
      <w:r>
        <w:rPr>
          <w:rFonts w:ascii="Arial" w:cs="Arial" w:eastAsia="Arial" w:hAnsi="Arial"/>
          <w:sz w:val="19"/>
          <w:szCs w:val="19"/>
          <w:u w:val="single" w:color="auto"/>
          <w:color w:val="auto"/>
        </w:rPr>
        <w:t>Section 4.02(a)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308"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Elective Credits</w:t>
      </w:r>
    </w:p>
    <w:p>
      <w:pPr>
        <w:spacing w:after="0" w:line="50" w:lineRule="exact"/>
        <w:rPr>
          <w:sz w:val="20"/>
          <w:szCs w:val="20"/>
          <w:color w:val="auto"/>
        </w:rPr>
      </w:pPr>
    </w:p>
    <w:p>
      <w:pPr>
        <w:ind w:right="40" w:firstLine="648"/>
        <w:spacing w:after="0" w:line="326" w:lineRule="auto"/>
        <w:rPr>
          <w:sz w:val="20"/>
          <w:szCs w:val="20"/>
          <w:color w:val="auto"/>
        </w:rPr>
      </w:pPr>
      <w:r>
        <w:rPr>
          <w:rFonts w:ascii="Arial" w:cs="Arial" w:eastAsia="Arial" w:hAnsi="Arial"/>
          <w:sz w:val="19"/>
          <w:szCs w:val="19"/>
          <w:color w:val="auto"/>
        </w:rPr>
        <w:t xml:space="preserve">A Participant may elect, with respect to each Plan Year, to defer the entire portion (but not a partial portion) of the 40% of the Participant’s Director’s Fees that are not automatically deferred in accordance with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and that otherwise would be paid to the Participant in cash. If the Participant makes such an election, the Company shall credit Stock Units to the Participant’s Account equal in value to 40% of the Participant’s Director’s Fees for the Plan Year, as determined in accordance with </w:t>
      </w:r>
      <w:r>
        <w:rPr>
          <w:rFonts w:ascii="Arial" w:cs="Arial" w:eastAsia="Arial" w:hAnsi="Arial"/>
          <w:sz w:val="19"/>
          <w:szCs w:val="19"/>
          <w:u w:val="single" w:color="auto"/>
          <w:color w:val="auto"/>
        </w:rPr>
        <w:t>Section 4.02(a)(1)</w:t>
      </w:r>
      <w:r>
        <w:rPr>
          <w:rFonts w:ascii="Arial" w:cs="Arial" w:eastAsia="Arial" w:hAnsi="Arial"/>
          <w:sz w:val="19"/>
          <w:szCs w:val="19"/>
          <w:color w:val="auto"/>
        </w:rPr>
        <w:t xml:space="preserve">, as of the beginning of the Plan Year with respect to which the election is made (or, if later, as of the first day in the Plan Year on which the individual becomes a Participant). An election under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shall be made in a form and manner satisfactory to the Committee and shall be effective for a Plan Year only if made before the beginning of the Plan Year; provided that an individual who becomes a Participant after the first day of a Plan Year may make the election for that Plan Year within 30 days of becoming a Participant.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IV</w:t>
      </w:r>
    </w:p>
    <w:p>
      <w:pPr>
        <w:jc w:val="center"/>
        <w:ind w:right="-39"/>
        <w:spacing w:after="0" w:line="231" w:lineRule="auto"/>
        <w:rPr>
          <w:sz w:val="20"/>
          <w:szCs w:val="20"/>
          <w:color w:val="auto"/>
        </w:rPr>
      </w:pPr>
      <w:r>
        <w:rPr>
          <w:rFonts w:ascii="Arial" w:cs="Arial" w:eastAsia="Arial" w:hAnsi="Arial"/>
          <w:sz w:val="22"/>
          <w:szCs w:val="22"/>
          <w:b w:val="1"/>
          <w:bCs w:val="1"/>
          <w:color w:val="auto"/>
        </w:rPr>
        <w:t>ACCOUNTS AND INVESTMENTS</w:t>
      </w: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4.01</w:t>
      </w:r>
      <w:r>
        <w:rPr>
          <w:sz w:val="20"/>
          <w:szCs w:val="20"/>
          <w:color w:val="auto"/>
        </w:rPr>
        <w:tab/>
      </w:r>
      <w:r>
        <w:rPr>
          <w:rFonts w:ascii="Arial" w:cs="Arial" w:eastAsia="Arial" w:hAnsi="Arial"/>
          <w:sz w:val="18"/>
          <w:szCs w:val="18"/>
          <w:b w:val="1"/>
          <w:bCs w:val="1"/>
          <w:color w:val="auto"/>
        </w:rPr>
        <w:t>Accounts</w:t>
      </w:r>
    </w:p>
    <w:p>
      <w:pPr>
        <w:spacing w:after="0" w:line="13"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A separate Account under the Plan shall be established for each Participant. Such Account shall be (a) credited with the amounts credited in accordance with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(b) credited (or charged, as the case may be) with the investment results determined in accordance with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(c) charged with the amounts paid by the Plan to or on behalf of the Participant in accordance with </w:t>
      </w:r>
      <w:r>
        <w:rPr>
          <w:rFonts w:ascii="Arial" w:cs="Arial" w:eastAsia="Arial" w:hAnsi="Arial"/>
          <w:sz w:val="19"/>
          <w:szCs w:val="19"/>
          <w:u w:val="single" w:color="auto"/>
          <w:color w:val="auto"/>
        </w:rPr>
        <w:t>Article V</w:t>
      </w:r>
      <w:r>
        <w:rPr>
          <w:rFonts w:ascii="Arial" w:cs="Arial" w:eastAsia="Arial" w:hAnsi="Arial"/>
          <w:sz w:val="19"/>
          <w:szCs w:val="19"/>
          <w:color w:val="auto"/>
        </w:rPr>
        <w:t>. Within each Participant’s Account, separate subaccounts shall be maintained to the extent the Committee determines them to be necessary or useful in the administration of the Plan.</w:t>
      </w:r>
    </w:p>
    <w:p>
      <w:pPr>
        <w:spacing w:after="0" w:line="13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4.02</w:t>
      </w:r>
      <w:r>
        <w:rPr>
          <w:sz w:val="20"/>
          <w:szCs w:val="20"/>
          <w:color w:val="auto"/>
        </w:rPr>
        <w:tab/>
      </w:r>
      <w:r>
        <w:rPr>
          <w:rFonts w:ascii="Arial" w:cs="Arial" w:eastAsia="Arial" w:hAnsi="Arial"/>
          <w:sz w:val="19"/>
          <w:szCs w:val="19"/>
          <w:b w:val="1"/>
          <w:bCs w:val="1"/>
          <w:color w:val="auto"/>
        </w:rPr>
        <w:t>Stock Units</w:t>
      </w:r>
    </w:p>
    <w:p>
      <w:pPr>
        <w:spacing w:after="0" w:line="44" w:lineRule="exact"/>
        <w:rPr>
          <w:sz w:val="20"/>
          <w:szCs w:val="20"/>
          <w:color w:val="auto"/>
        </w:rPr>
      </w:pPr>
    </w:p>
    <w:p>
      <w:pPr>
        <w:ind w:left="1820" w:hanging="528"/>
        <w:spacing w:after="0"/>
        <w:tabs>
          <w:tab w:leader="none" w:pos="1820" w:val="left"/>
        </w:tabs>
        <w:numPr>
          <w:ilvl w:val="0"/>
          <w:numId w:val="104"/>
        </w:numPr>
        <w:rPr>
          <w:rFonts w:ascii="Arial" w:cs="Arial" w:eastAsia="Arial" w:hAnsi="Arial"/>
          <w:sz w:val="22"/>
          <w:szCs w:val="22"/>
          <w:color w:val="010000"/>
        </w:rPr>
      </w:pPr>
      <w:r>
        <w:rPr>
          <w:rFonts w:ascii="Arial" w:cs="Arial" w:eastAsia="Arial" w:hAnsi="Arial"/>
          <w:sz w:val="22"/>
          <w:szCs w:val="22"/>
          <w:b w:val="1"/>
          <w:bCs w:val="1"/>
          <w:color w:val="auto"/>
        </w:rPr>
        <w:t xml:space="preserve">Deemed Investment in UTC Common Stock. </w:t>
      </w:r>
      <w:r>
        <w:rPr>
          <w:rFonts w:ascii="Arial" w:cs="Arial" w:eastAsia="Arial" w:hAnsi="Arial"/>
          <w:sz w:val="22"/>
          <w:szCs w:val="22"/>
          <w:color w:val="auto"/>
        </w:rPr>
        <w:t>Except as provided in subsection (b), below, a</w:t>
      </w:r>
    </w:p>
    <w:p>
      <w:pPr>
        <w:spacing w:after="0" w:line="50" w:lineRule="exact"/>
        <w:rPr>
          <w:rFonts w:ascii="Arial" w:cs="Arial" w:eastAsia="Arial" w:hAnsi="Arial"/>
          <w:sz w:val="22"/>
          <w:szCs w:val="22"/>
          <w:color w:val="010000"/>
        </w:rPr>
      </w:pPr>
    </w:p>
    <w:p>
      <w:pPr>
        <w:ind w:right="680"/>
        <w:spacing w:after="0" w:line="289" w:lineRule="auto"/>
        <w:rPr>
          <w:rFonts w:ascii="Arial" w:cs="Arial" w:eastAsia="Arial" w:hAnsi="Arial"/>
          <w:sz w:val="22"/>
          <w:szCs w:val="22"/>
          <w:color w:val="010000"/>
        </w:rPr>
      </w:pPr>
      <w:r>
        <w:rPr>
          <w:rFonts w:ascii="Arial" w:cs="Arial" w:eastAsia="Arial" w:hAnsi="Arial"/>
          <w:sz w:val="22"/>
          <w:szCs w:val="22"/>
          <w:color w:val="auto"/>
        </w:rPr>
        <w:t>Participant’s Account shall be treated as if it were invested in Stock Units that are equivalent in value to the fair market value of shares of UTC Common Stock in accordance with the following rules:</w:t>
      </w:r>
    </w:p>
    <w:p>
      <w:pPr>
        <w:spacing w:after="0" w:line="214" w:lineRule="exact"/>
        <w:rPr>
          <w:rFonts w:ascii="Arial" w:cs="Arial" w:eastAsia="Arial" w:hAnsi="Arial"/>
          <w:sz w:val="22"/>
          <w:szCs w:val="22"/>
          <w:color w:val="010000"/>
        </w:rPr>
      </w:pPr>
    </w:p>
    <w:p>
      <w:pPr>
        <w:ind w:left="2480" w:hanging="540"/>
        <w:spacing w:after="0"/>
        <w:tabs>
          <w:tab w:leader="none" w:pos="2480" w:val="left"/>
        </w:tabs>
        <w:numPr>
          <w:ilvl w:val="1"/>
          <w:numId w:val="104"/>
        </w:numPr>
        <w:rPr>
          <w:rFonts w:ascii="Arial" w:cs="Arial" w:eastAsia="Arial" w:hAnsi="Arial"/>
          <w:sz w:val="19"/>
          <w:szCs w:val="19"/>
          <w:color w:val="010000"/>
        </w:rPr>
      </w:pPr>
      <w:r>
        <w:rPr>
          <w:rFonts w:ascii="Arial" w:cs="Arial" w:eastAsia="Arial" w:hAnsi="Arial"/>
          <w:sz w:val="19"/>
          <w:szCs w:val="19"/>
          <w:i w:val="1"/>
          <w:iCs w:val="1"/>
          <w:color w:val="auto"/>
        </w:rPr>
        <w:t xml:space="preserve">Conversion into Stock Units. </w:t>
      </w:r>
      <w:r>
        <w:rPr>
          <w:rFonts w:ascii="Arial" w:cs="Arial" w:eastAsia="Arial" w:hAnsi="Arial"/>
          <w:sz w:val="19"/>
          <w:szCs w:val="19"/>
          <w:color w:val="auto"/>
        </w:rPr>
        <w:t>Any Director’s Fees credited to a Participant’s Account for a Plan</w:t>
      </w:r>
    </w:p>
    <w:p>
      <w:pPr>
        <w:spacing w:after="0" w:line="78" w:lineRule="exact"/>
        <w:rPr>
          <w:rFonts w:ascii="Arial" w:cs="Arial" w:eastAsia="Arial" w:hAnsi="Arial"/>
          <w:sz w:val="19"/>
          <w:szCs w:val="19"/>
          <w:color w:val="010000"/>
        </w:rPr>
      </w:pPr>
    </w:p>
    <w:p>
      <w:pPr>
        <w:ind w:right="120"/>
        <w:spacing w:after="0" w:line="280" w:lineRule="auto"/>
        <w:rPr>
          <w:rFonts w:ascii="Arial" w:cs="Arial" w:eastAsia="Arial" w:hAnsi="Arial"/>
          <w:sz w:val="19"/>
          <w:szCs w:val="19"/>
          <w:color w:val="010000"/>
        </w:rPr>
      </w:pPr>
      <w:r>
        <w:rPr>
          <w:rFonts w:ascii="Arial" w:cs="Arial" w:eastAsia="Arial" w:hAnsi="Arial"/>
          <w:sz w:val="22"/>
          <w:szCs w:val="22"/>
          <w:color w:val="auto"/>
        </w:rPr>
        <w:t xml:space="preserve">Year under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shall be converted into Stock Units (including fractional Stock Units) by dividing the amount credited by the Closing Price on the first business day of the Plan Year; provided that in the case of an individual who becomes a Participant after the first day of a Plan Year, the Closing Price shall be determined as of the day on which the individual becomes a Participant.</w:t>
      </w:r>
    </w:p>
    <w:p>
      <w:pPr>
        <w:spacing w:after="0" w:line="304"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980"/>
          </w:cols>
          <w:pgMar w:left="440" w:top="1435" w:right="479" w:bottom="1440" w:gutter="0" w:footer="0" w:header="0"/>
        </w:sectPr>
      </w:pPr>
    </w:p>
    <w:bookmarkStart w:id="126" w:name="page127"/>
    <w:bookmarkEnd w:id="126"/>
    <w:p>
      <w:pPr>
        <w:spacing w:after="0" w:line="285" w:lineRule="exact"/>
        <w:rPr>
          <w:sz w:val="20"/>
          <w:szCs w:val="20"/>
          <w:color w:val="auto"/>
        </w:rPr>
      </w:pPr>
    </w:p>
    <w:p>
      <w:pPr>
        <w:ind w:left="2520" w:hanging="541"/>
        <w:spacing w:after="0"/>
        <w:tabs>
          <w:tab w:leader="none" w:pos="2520" w:val="left"/>
        </w:tabs>
        <w:numPr>
          <w:ilvl w:val="2"/>
          <w:numId w:val="105"/>
        </w:numPr>
        <w:rPr>
          <w:rFonts w:ascii="Arial" w:cs="Arial" w:eastAsia="Arial" w:hAnsi="Arial"/>
          <w:sz w:val="21"/>
          <w:szCs w:val="21"/>
          <w:color w:val="010000"/>
        </w:rPr>
      </w:pPr>
      <w:r>
        <w:rPr>
          <w:rFonts w:ascii="Arial" w:cs="Arial" w:eastAsia="Arial" w:hAnsi="Arial"/>
          <w:sz w:val="21"/>
          <w:szCs w:val="21"/>
          <w:i w:val="1"/>
          <w:iCs w:val="1"/>
          <w:color w:val="auto"/>
        </w:rPr>
        <w:t xml:space="preserve">Deemed Reinvestment of Dividends. </w:t>
      </w:r>
      <w:r>
        <w:rPr>
          <w:rFonts w:ascii="Arial" w:cs="Arial" w:eastAsia="Arial" w:hAnsi="Arial"/>
          <w:sz w:val="21"/>
          <w:szCs w:val="21"/>
          <w:color w:val="auto"/>
        </w:rPr>
        <w:t>The number of Stock Units credited to a Participant’s</w:t>
      </w:r>
    </w:p>
    <w:p>
      <w:pPr>
        <w:spacing w:after="0" w:line="55" w:lineRule="exact"/>
        <w:rPr>
          <w:rFonts w:ascii="Arial" w:cs="Arial" w:eastAsia="Arial" w:hAnsi="Arial"/>
          <w:sz w:val="21"/>
          <w:szCs w:val="21"/>
          <w:color w:val="010000"/>
        </w:rPr>
      </w:pPr>
    </w:p>
    <w:p>
      <w:pPr>
        <w:jc w:val="both"/>
        <w:ind w:left="40"/>
        <w:spacing w:after="0" w:line="316" w:lineRule="auto"/>
        <w:rPr>
          <w:rFonts w:ascii="Arial" w:cs="Arial" w:eastAsia="Arial" w:hAnsi="Arial"/>
          <w:sz w:val="21"/>
          <w:szCs w:val="21"/>
          <w:color w:val="010000"/>
        </w:rPr>
      </w:pPr>
      <w:r>
        <w:rPr>
          <w:rFonts w:ascii="Arial" w:cs="Arial" w:eastAsia="Arial" w:hAnsi="Arial"/>
          <w:sz w:val="19"/>
          <w:szCs w:val="19"/>
          <w:color w:val="auto"/>
        </w:rPr>
        <w:t>Account shall be increased on each date on which a dividend is paid on UTC Common Stock. The number of additional Stock Units credited to a Participant’s Account as a result of such increase shall be determined by (i) multiplying the total number of Stock Units (excluding fractional Stock Units) credited to the Participant’s Account immediately before such increase by the</w:t>
      </w:r>
    </w:p>
    <w:p>
      <w:pPr>
        <w:ind w:left="40" w:right="100"/>
        <w:spacing w:after="0" w:line="289" w:lineRule="auto"/>
        <w:rPr>
          <w:rFonts w:ascii="Arial" w:cs="Arial" w:eastAsia="Arial" w:hAnsi="Arial"/>
          <w:sz w:val="21"/>
          <w:szCs w:val="21"/>
          <w:color w:val="010000"/>
        </w:rPr>
      </w:pPr>
      <w:r>
        <w:rPr>
          <w:rFonts w:ascii="Arial" w:cs="Arial" w:eastAsia="Arial" w:hAnsi="Arial"/>
          <w:sz w:val="22"/>
          <w:szCs w:val="22"/>
          <w:color w:val="auto"/>
        </w:rPr>
        <w:t>amount of the dividend paid per share of UTC Common Stock on the dividend payment date, and (ii) dividing the product so determined by the Closing Price on the dividend payment date.</w:t>
      </w:r>
    </w:p>
    <w:p>
      <w:pPr>
        <w:spacing w:after="0" w:line="214" w:lineRule="exact"/>
        <w:rPr>
          <w:rFonts w:ascii="Arial" w:cs="Arial" w:eastAsia="Arial" w:hAnsi="Arial"/>
          <w:sz w:val="21"/>
          <w:szCs w:val="21"/>
          <w:color w:val="010000"/>
        </w:rPr>
      </w:pPr>
    </w:p>
    <w:p>
      <w:pPr>
        <w:ind w:left="2520" w:hanging="541"/>
        <w:spacing w:after="0"/>
        <w:tabs>
          <w:tab w:leader="none" w:pos="2520" w:val="left"/>
        </w:tabs>
        <w:numPr>
          <w:ilvl w:val="2"/>
          <w:numId w:val="105"/>
        </w:numPr>
        <w:rPr>
          <w:rFonts w:ascii="Arial" w:cs="Arial" w:eastAsia="Arial" w:hAnsi="Arial"/>
          <w:sz w:val="19"/>
          <w:szCs w:val="19"/>
          <w:color w:val="010000"/>
        </w:rPr>
      </w:pPr>
      <w:r>
        <w:rPr>
          <w:rFonts w:ascii="Arial" w:cs="Arial" w:eastAsia="Arial" w:hAnsi="Arial"/>
          <w:sz w:val="19"/>
          <w:szCs w:val="19"/>
          <w:i w:val="1"/>
          <w:iCs w:val="1"/>
          <w:color w:val="auto"/>
        </w:rPr>
        <w:t xml:space="preserve">Conversion Out of Stock Units. </w:t>
      </w:r>
      <w:r>
        <w:rPr>
          <w:rFonts w:ascii="Arial" w:cs="Arial" w:eastAsia="Arial" w:hAnsi="Arial"/>
          <w:sz w:val="19"/>
          <w:szCs w:val="19"/>
          <w:color w:val="auto"/>
        </w:rPr>
        <w:t>The dollar value of the Stock Units credited to a Participant’s</w:t>
      </w:r>
    </w:p>
    <w:p>
      <w:pPr>
        <w:spacing w:after="0" w:line="78" w:lineRule="exact"/>
        <w:rPr>
          <w:rFonts w:ascii="Arial" w:cs="Arial" w:eastAsia="Arial" w:hAnsi="Arial"/>
          <w:sz w:val="19"/>
          <w:szCs w:val="19"/>
          <w:color w:val="010000"/>
        </w:rPr>
      </w:pPr>
    </w:p>
    <w:p>
      <w:pPr>
        <w:ind w:left="40"/>
        <w:spacing w:after="0" w:line="289" w:lineRule="auto"/>
        <w:rPr>
          <w:rFonts w:ascii="Arial" w:cs="Arial" w:eastAsia="Arial" w:hAnsi="Arial"/>
          <w:sz w:val="19"/>
          <w:szCs w:val="19"/>
          <w:color w:val="010000"/>
        </w:rPr>
      </w:pPr>
      <w:r>
        <w:rPr>
          <w:rFonts w:ascii="Arial" w:cs="Arial" w:eastAsia="Arial" w:hAnsi="Arial"/>
          <w:sz w:val="22"/>
          <w:szCs w:val="22"/>
          <w:color w:val="auto"/>
        </w:rPr>
        <w:t>Account on any date shall be determined by multiplying the number of Stock Units (including fractional Stock Units) credited to the Participant’s Account by the Closing Price on that date.</w:t>
      </w:r>
    </w:p>
    <w:p>
      <w:pPr>
        <w:spacing w:after="0" w:line="214" w:lineRule="exact"/>
        <w:rPr>
          <w:rFonts w:ascii="Arial" w:cs="Arial" w:eastAsia="Arial" w:hAnsi="Arial"/>
          <w:sz w:val="19"/>
          <w:szCs w:val="19"/>
          <w:color w:val="010000"/>
        </w:rPr>
      </w:pPr>
    </w:p>
    <w:p>
      <w:pPr>
        <w:ind w:left="2520" w:hanging="541"/>
        <w:spacing w:after="0"/>
        <w:tabs>
          <w:tab w:leader="none" w:pos="2520" w:val="left"/>
        </w:tabs>
        <w:numPr>
          <w:ilvl w:val="2"/>
          <w:numId w:val="105"/>
        </w:numPr>
        <w:rPr>
          <w:rFonts w:ascii="Arial" w:cs="Arial" w:eastAsia="Arial" w:hAnsi="Arial"/>
          <w:sz w:val="19"/>
          <w:szCs w:val="19"/>
          <w:color w:val="010000"/>
        </w:rPr>
      </w:pPr>
      <w:r>
        <w:rPr>
          <w:rFonts w:ascii="Arial" w:cs="Arial" w:eastAsia="Arial" w:hAnsi="Arial"/>
          <w:sz w:val="19"/>
          <w:szCs w:val="19"/>
          <w:i w:val="1"/>
          <w:iCs w:val="1"/>
          <w:color w:val="auto"/>
        </w:rPr>
        <w:t xml:space="preserve">Effect of Recapitalization. </w:t>
      </w:r>
      <w:r>
        <w:rPr>
          <w:rFonts w:ascii="Arial" w:cs="Arial" w:eastAsia="Arial" w:hAnsi="Arial"/>
          <w:sz w:val="19"/>
          <w:szCs w:val="19"/>
          <w:color w:val="auto"/>
        </w:rPr>
        <w:t>In the event of a transaction or event described in this paragraph (4),</w:t>
      </w:r>
    </w:p>
    <w:p>
      <w:pPr>
        <w:spacing w:after="0" w:line="78" w:lineRule="exact"/>
        <w:rPr>
          <w:rFonts w:ascii="Arial" w:cs="Arial" w:eastAsia="Arial" w:hAnsi="Arial"/>
          <w:sz w:val="19"/>
          <w:szCs w:val="19"/>
          <w:color w:val="010000"/>
        </w:rPr>
      </w:pPr>
    </w:p>
    <w:p>
      <w:pPr>
        <w:jc w:val="both"/>
        <w:ind w:left="40" w:right="200"/>
        <w:spacing w:after="0" w:line="318" w:lineRule="auto"/>
        <w:rPr>
          <w:rFonts w:ascii="Arial" w:cs="Arial" w:eastAsia="Arial" w:hAnsi="Arial"/>
          <w:sz w:val="19"/>
          <w:szCs w:val="19"/>
          <w:color w:val="010000"/>
        </w:rPr>
      </w:pPr>
      <w:r>
        <w:rPr>
          <w:rFonts w:ascii="Arial" w:cs="Arial" w:eastAsia="Arial" w:hAnsi="Arial"/>
          <w:sz w:val="19"/>
          <w:szCs w:val="19"/>
          <w:color w:val="auto"/>
        </w:rPr>
        <w:t>the number of Stock Units credited to a Participant’s Account shall be adjusted in such manner as the Committee, in its sole discretion, deems equitable. A transaction or event is described in this paragraph (4) if (i) it is a dividend (other than regular</w:t>
      </w:r>
    </w:p>
    <w:p>
      <w:pPr>
        <w:spacing w:after="0" w:line="1" w:lineRule="exact"/>
        <w:rPr>
          <w:rFonts w:ascii="Arial" w:cs="Arial" w:eastAsia="Arial" w:hAnsi="Arial"/>
          <w:sz w:val="19"/>
          <w:szCs w:val="19"/>
          <w:color w:val="010000"/>
        </w:rPr>
      </w:pPr>
    </w:p>
    <w:p>
      <w:pPr>
        <w:ind w:left="40" w:right="300"/>
        <w:spacing w:after="0" w:line="318" w:lineRule="auto"/>
        <w:rPr>
          <w:rFonts w:ascii="Arial" w:cs="Arial" w:eastAsia="Arial" w:hAnsi="Arial"/>
          <w:sz w:val="19"/>
          <w:szCs w:val="19"/>
          <w:color w:val="010000"/>
        </w:rPr>
      </w:pPr>
      <w:r>
        <w:rPr>
          <w:rFonts w:ascii="Arial" w:cs="Arial" w:eastAsia="Arial" w:hAnsi="Arial"/>
          <w:sz w:val="19"/>
          <w:szCs w:val="19"/>
          <w:color w:val="auto"/>
        </w:rPr>
        <w:t>quarterly dividends) or other distribution (whether in the form of cash, shares, other securities, or other property), extraordinary cash dividend, recapitalization, stock split, reverse stock split reorganization, merger, consolidation, split-up,</w:t>
      </w:r>
    </w:p>
    <w:p>
      <w:pPr>
        <w:spacing w:after="0" w:line="1" w:lineRule="exact"/>
        <w:rPr>
          <w:rFonts w:ascii="Arial" w:cs="Arial" w:eastAsia="Arial" w:hAnsi="Arial"/>
          <w:sz w:val="19"/>
          <w:szCs w:val="19"/>
          <w:color w:val="010000"/>
        </w:rPr>
      </w:pPr>
    </w:p>
    <w:p>
      <w:pPr>
        <w:ind w:left="40" w:right="200"/>
        <w:spacing w:after="0" w:line="311" w:lineRule="auto"/>
        <w:rPr>
          <w:rFonts w:ascii="Arial" w:cs="Arial" w:eastAsia="Arial" w:hAnsi="Arial"/>
          <w:sz w:val="19"/>
          <w:szCs w:val="19"/>
          <w:color w:val="010000"/>
        </w:rPr>
      </w:pPr>
      <w:r>
        <w:rPr>
          <w:rFonts w:ascii="Arial" w:cs="Arial" w:eastAsia="Arial" w:hAnsi="Arial"/>
          <w:sz w:val="19"/>
          <w:szCs w:val="19"/>
          <w:color w:val="auto"/>
        </w:rPr>
        <w:t>spin-off, repurchase, or exchange of shares or other securities, the issuance or exercisability of stock purchase rights, the issuance of warrants or other rights to purchase shares or other securities, or other similar corporate transaction or event and</w:t>
      </w:r>
    </w:p>
    <w:p>
      <w:pPr>
        <w:ind w:left="360" w:hanging="325"/>
        <w:spacing w:after="0"/>
        <w:tabs>
          <w:tab w:leader="none" w:pos="3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Committee determines that such transaction or event affects the shares of UTC Common Stock, such that an</w:t>
      </w:r>
    </w:p>
    <w:p>
      <w:pPr>
        <w:spacing w:after="0" w:line="55" w:lineRule="exact"/>
        <w:rPr>
          <w:rFonts w:ascii="Arial" w:cs="Arial" w:eastAsia="Arial" w:hAnsi="Arial"/>
          <w:sz w:val="21"/>
          <w:szCs w:val="21"/>
          <w:color w:val="auto"/>
        </w:rPr>
      </w:pPr>
    </w:p>
    <w:p>
      <w:pPr>
        <w:ind w:left="40" w:right="40"/>
        <w:spacing w:after="0" w:line="289" w:lineRule="auto"/>
        <w:rPr>
          <w:rFonts w:ascii="Arial" w:cs="Arial" w:eastAsia="Arial" w:hAnsi="Arial"/>
          <w:sz w:val="21"/>
          <w:szCs w:val="21"/>
          <w:color w:val="auto"/>
        </w:rPr>
      </w:pPr>
      <w:r>
        <w:rPr>
          <w:rFonts w:ascii="Arial" w:cs="Arial" w:eastAsia="Arial" w:hAnsi="Arial"/>
          <w:sz w:val="22"/>
          <w:szCs w:val="22"/>
          <w:color w:val="auto"/>
        </w:rPr>
        <w:t>adjustment pursuant to this paragraph (4) is appropriate to prevent dilution or enlargement of the benefits or potential benefits intended to be made available under the Plan.</w:t>
      </w:r>
    </w:p>
    <w:p>
      <w:pPr>
        <w:spacing w:after="0" w:line="208" w:lineRule="exact"/>
        <w:rPr>
          <w:rFonts w:ascii="Arial" w:cs="Arial" w:eastAsia="Arial" w:hAnsi="Arial"/>
          <w:sz w:val="21"/>
          <w:szCs w:val="21"/>
          <w:color w:val="auto"/>
        </w:rPr>
      </w:pPr>
    </w:p>
    <w:p>
      <w:pPr>
        <w:jc w:val="both"/>
        <w:ind w:right="240" w:firstLine="1305"/>
        <w:spacing w:after="0" w:line="322" w:lineRule="auto"/>
        <w:tabs>
          <w:tab w:leader="none" w:pos="1764" w:val="left"/>
        </w:tabs>
        <w:numPr>
          <w:ilvl w:val="1"/>
          <w:numId w:val="106"/>
        </w:numPr>
        <w:rPr>
          <w:rFonts w:ascii="Arial" w:cs="Arial" w:eastAsia="Arial" w:hAnsi="Arial"/>
          <w:sz w:val="19"/>
          <w:szCs w:val="19"/>
          <w:color w:val="auto"/>
        </w:rPr>
      </w:pPr>
      <w:r>
        <w:rPr>
          <w:rFonts w:ascii="Arial" w:cs="Arial" w:eastAsia="Arial" w:hAnsi="Arial"/>
          <w:sz w:val="19"/>
          <w:szCs w:val="19"/>
          <w:b w:val="1"/>
          <w:bCs w:val="1"/>
          <w:color w:val="auto"/>
        </w:rPr>
        <w:t xml:space="preserve">Change in Deemed Investment Election. </w:t>
      </w:r>
      <w:r>
        <w:rPr>
          <w:rFonts w:ascii="Arial" w:cs="Arial" w:eastAsia="Arial" w:hAnsi="Arial"/>
          <w:sz w:val="19"/>
          <w:szCs w:val="19"/>
          <w:color w:val="auto"/>
        </w:rPr>
        <w:t>A Participant who elects to receive distribution of his or her</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 annual installments will continue to have such Account credited with Stock Units during the installment period</w:t>
      </w:r>
    </w:p>
    <w:p>
      <w:pPr>
        <w:jc w:val="both"/>
        <w:ind w:right="140"/>
        <w:spacing w:after="0" w:line="318" w:lineRule="auto"/>
        <w:rPr>
          <w:rFonts w:ascii="Arial" w:cs="Arial" w:eastAsia="Arial" w:hAnsi="Arial"/>
          <w:sz w:val="19"/>
          <w:szCs w:val="19"/>
          <w:color w:val="auto"/>
        </w:rPr>
      </w:pPr>
      <w:r>
        <w:rPr>
          <w:rFonts w:ascii="Arial" w:cs="Arial" w:eastAsia="Arial" w:hAnsi="Arial"/>
          <w:sz w:val="19"/>
          <w:szCs w:val="19"/>
          <w:color w:val="auto"/>
        </w:rPr>
        <w:t>unless the Participant irrevocably elects to have his or her Account treated, as of the Payment Commencement Date, as if the Account were invested in cash. If a Participant makes such election, the Account will be credited with a rate of interest equal</w:t>
      </w:r>
    </w:p>
    <w:p>
      <w:pPr>
        <w:spacing w:after="0" w:line="1" w:lineRule="exact"/>
        <w:rPr>
          <w:rFonts w:ascii="Arial" w:cs="Arial" w:eastAsia="Arial" w:hAnsi="Arial"/>
          <w:sz w:val="19"/>
          <w:szCs w:val="19"/>
          <w:color w:val="auto"/>
        </w:rPr>
      </w:pPr>
    </w:p>
    <w:p>
      <w:pPr>
        <w:ind w:right="160"/>
        <w:spacing w:after="0" w:line="372" w:lineRule="auto"/>
        <w:rPr>
          <w:rFonts w:ascii="Arial" w:cs="Arial" w:eastAsia="Arial" w:hAnsi="Arial"/>
          <w:sz w:val="19"/>
          <w:szCs w:val="19"/>
          <w:color w:val="auto"/>
        </w:rPr>
      </w:pPr>
      <w:r>
        <w:rPr>
          <w:rFonts w:ascii="Arial" w:cs="Arial" w:eastAsia="Arial" w:hAnsi="Arial"/>
          <w:sz w:val="19"/>
          <w:szCs w:val="19"/>
          <w:color w:val="auto"/>
        </w:rPr>
        <w:t>to the average interest rate on 10-Year Treasury Bonds as of the January through October Period in the calendar year prior to the Plan Year in which the interest is credited, plus I %. An election under this subsection (b) shall be made in a form and</w:t>
      </w: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940"/>
          </w:cols>
          <w:pgMar w:left="400" w:top="1440" w:right="559" w:bottom="1440" w:gutter="0" w:footer="0" w:header="0"/>
        </w:sectPr>
      </w:pPr>
    </w:p>
    <w:bookmarkStart w:id="127" w:name="page128"/>
    <w:bookmarkEnd w:id="127"/>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manner satisfactory to the Committee and shall be effective only if made before the Payment Commencement Date.</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4.03</w:t>
      </w:r>
      <w:r>
        <w:rPr>
          <w:rFonts w:ascii="Arial" w:cs="Arial" w:eastAsia="Arial" w:hAnsi="Arial"/>
          <w:sz w:val="22"/>
          <w:szCs w:val="22"/>
          <w:b w:val="1"/>
          <w:bCs w:val="1"/>
          <w:color w:val="FFFFFF"/>
        </w:rPr>
        <w:t>----</w:t>
      </w:r>
      <w:r>
        <w:rPr>
          <w:rFonts w:ascii="Arial" w:cs="Arial" w:eastAsia="Arial" w:hAnsi="Arial"/>
          <w:sz w:val="22"/>
          <w:szCs w:val="22"/>
          <w:b w:val="1"/>
          <w:bCs w:val="1"/>
          <w:color w:val="auto"/>
        </w:rPr>
        <w:t>Hypothetical Nature of Accounts and Investments</w:t>
      </w:r>
    </w:p>
    <w:p>
      <w:pPr>
        <w:spacing w:after="0" w:line="50" w:lineRule="exact"/>
        <w:rPr>
          <w:sz w:val="20"/>
          <w:szCs w:val="20"/>
          <w:color w:val="auto"/>
        </w:rPr>
      </w:pPr>
    </w:p>
    <w:p>
      <w:pPr>
        <w:ind w:right="220" w:firstLine="648"/>
        <w:spacing w:after="0" w:line="280" w:lineRule="auto"/>
        <w:rPr>
          <w:sz w:val="20"/>
          <w:szCs w:val="20"/>
          <w:color w:val="auto"/>
        </w:rPr>
      </w:pPr>
      <w:r>
        <w:rPr>
          <w:rFonts w:ascii="Arial" w:cs="Arial" w:eastAsia="Arial" w:hAnsi="Arial"/>
          <w:sz w:val="22"/>
          <w:szCs w:val="22"/>
          <w:color w:val="auto"/>
        </w:rPr>
        <w:t xml:space="preserve">Each Account established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maintained for bookkeeping purposes only. Neither the Plan nor any of the Accounts established under the Plan shall hold any actual funds or assets. The Stock Units established hereunder shall be used solely to determine the amounts to be paid hereunder, shall not be or represent an equity security of the Company, shall not be convertible into or otherwise entitle a Participant to acquire an equity security of the Company and shall not carry any voting or dividend rights.</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10000"/>
        </w:rPr>
        <w:t>ARTICLE V</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PAYMENTS</w:t>
      </w: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5.01</w:t>
      </w:r>
      <w:r>
        <w:rPr>
          <w:sz w:val="20"/>
          <w:szCs w:val="20"/>
          <w:color w:val="auto"/>
        </w:rPr>
        <w:tab/>
      </w:r>
      <w:r>
        <w:rPr>
          <w:rFonts w:ascii="Arial" w:cs="Arial" w:eastAsia="Arial" w:hAnsi="Arial"/>
          <w:sz w:val="19"/>
          <w:szCs w:val="19"/>
          <w:b w:val="1"/>
          <w:bCs w:val="1"/>
          <w:color w:val="auto"/>
        </w:rPr>
        <w:t>Entitlement to Payment</w:t>
      </w:r>
    </w:p>
    <w:p>
      <w:pPr>
        <w:spacing w:after="0" w:line="40" w:lineRule="exact"/>
        <w:rPr>
          <w:sz w:val="20"/>
          <w:szCs w:val="20"/>
          <w:color w:val="auto"/>
        </w:rPr>
      </w:pPr>
    </w:p>
    <w:p>
      <w:pPr>
        <w:ind w:right="280" w:firstLine="648"/>
        <w:spacing w:after="0" w:line="280" w:lineRule="auto"/>
        <w:rPr>
          <w:sz w:val="20"/>
          <w:szCs w:val="20"/>
          <w:color w:val="auto"/>
        </w:rPr>
      </w:pPr>
      <w:r>
        <w:rPr>
          <w:rFonts w:ascii="Arial" w:cs="Arial" w:eastAsia="Arial" w:hAnsi="Arial"/>
          <w:sz w:val="22"/>
          <w:szCs w:val="22"/>
          <w:color w:val="auto"/>
        </w:rPr>
        <w:t xml:space="preserve">Credits to a Participant’s Account under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shall be in lieu of payment to the Participant of the related Director’s Fees. Any payment under the Plan with respect to an Account shall be made solely in cash and as further provided in this </w:t>
      </w:r>
      <w:r>
        <w:rPr>
          <w:rFonts w:ascii="Arial" w:cs="Arial" w:eastAsia="Arial" w:hAnsi="Arial"/>
          <w:sz w:val="22"/>
          <w:szCs w:val="22"/>
          <w:u w:val="single" w:color="auto"/>
          <w:color w:val="auto"/>
        </w:rPr>
        <w:t>Article V</w:t>
      </w:r>
      <w:r>
        <w:rPr>
          <w:rFonts w:ascii="Arial" w:cs="Arial" w:eastAsia="Arial" w:hAnsi="Arial"/>
          <w:sz w:val="22"/>
          <w:szCs w:val="22"/>
          <w:color w:val="auto"/>
        </w:rPr>
        <w:t>. The right of any person to receive one or more payments under the Plan shall be an unsecured claim against the general assets of the Company.</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5.02</w:t>
      </w:r>
      <w:r>
        <w:rPr>
          <w:sz w:val="20"/>
          <w:szCs w:val="20"/>
          <w:color w:val="auto"/>
        </w:rPr>
        <w:tab/>
      </w:r>
      <w:r>
        <w:rPr>
          <w:rFonts w:ascii="Arial" w:cs="Arial" w:eastAsia="Arial" w:hAnsi="Arial"/>
          <w:sz w:val="19"/>
          <w:szCs w:val="19"/>
          <w:b w:val="1"/>
          <w:bCs w:val="1"/>
          <w:color w:val="auto"/>
        </w:rPr>
        <w:t>Payment Commencement Date</w:t>
      </w:r>
    </w:p>
    <w:p>
      <w:pPr>
        <w:spacing w:after="0" w:line="50"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color w:val="auto"/>
        </w:rPr>
        <w:t>Payments to a Participant with respect to the Participant’s Account shall begin as of the Participant’s Payment Commencement Date; provided that if a Participant dies before the Participant’s Payment Commencement Date, payment of the entire value of the Participant’s Account shall be made in a lump sum to the Participant’s Beneficiary as soon as practicable after the Committee receives all documents and other information that it requests in connection with the payment.</w:t>
      </w:r>
    </w:p>
    <w:p>
      <w:pPr>
        <w:spacing w:after="0" w:line="12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5.03</w:t>
      </w:r>
      <w:r>
        <w:rPr>
          <w:sz w:val="20"/>
          <w:szCs w:val="20"/>
          <w:color w:val="auto"/>
        </w:rPr>
        <w:tab/>
      </w:r>
      <w:r>
        <w:rPr>
          <w:rFonts w:ascii="Arial" w:cs="Arial" w:eastAsia="Arial" w:hAnsi="Arial"/>
          <w:sz w:val="19"/>
          <w:szCs w:val="19"/>
          <w:b w:val="1"/>
          <w:bCs w:val="1"/>
          <w:color w:val="auto"/>
        </w:rPr>
        <w:t>Form and Amount of Payment</w:t>
      </w:r>
    </w:p>
    <w:p>
      <w:pPr>
        <w:spacing w:after="0" w:line="50" w:lineRule="exact"/>
        <w:rPr>
          <w:sz w:val="20"/>
          <w:szCs w:val="20"/>
          <w:color w:val="auto"/>
        </w:rPr>
      </w:pPr>
    </w:p>
    <w:p>
      <w:pPr>
        <w:ind w:right="40" w:firstLine="1292"/>
        <w:spacing w:after="0" w:line="316" w:lineRule="auto"/>
        <w:tabs>
          <w:tab w:leader="none" w:pos="1833" w:val="left"/>
        </w:tabs>
        <w:numPr>
          <w:ilvl w:val="0"/>
          <w:numId w:val="107"/>
        </w:numPr>
        <w:rPr>
          <w:rFonts w:ascii="Arial" w:cs="Arial" w:eastAsia="Arial" w:hAnsi="Arial"/>
          <w:sz w:val="19"/>
          <w:szCs w:val="19"/>
          <w:color w:val="010000"/>
        </w:rPr>
      </w:pPr>
      <w:r>
        <w:rPr>
          <w:rFonts w:ascii="Arial" w:cs="Arial" w:eastAsia="Arial" w:hAnsi="Arial"/>
          <w:sz w:val="19"/>
          <w:szCs w:val="19"/>
          <w:i w:val="1"/>
          <w:iCs w:val="1"/>
          <w:color w:val="auto"/>
        </w:rPr>
        <w:t xml:space="preserve">Fifteen Annual Installments. </w:t>
      </w:r>
      <w:r>
        <w:rPr>
          <w:rFonts w:ascii="Arial" w:cs="Arial" w:eastAsia="Arial" w:hAnsi="Arial"/>
          <w:sz w:val="19"/>
          <w:szCs w:val="19"/>
          <w:color w:val="auto"/>
        </w:rPr>
        <w:t>A Participant shall receive his or her benefits in 15 annual installments</w:t>
      </w:r>
      <w:r>
        <w:rPr>
          <w:rFonts w:ascii="Arial" w:cs="Arial" w:eastAsia="Arial" w:hAnsi="Arial"/>
          <w:sz w:val="19"/>
          <w:szCs w:val="19"/>
          <w:i w:val="1"/>
          <w:iCs w:val="1"/>
          <w:color w:val="auto"/>
        </w:rPr>
        <w:t xml:space="preserve"> </w:t>
      </w:r>
      <w:r>
        <w:rPr>
          <w:rFonts w:ascii="Arial" w:cs="Arial" w:eastAsia="Arial" w:hAnsi="Arial"/>
          <w:sz w:val="19"/>
          <w:szCs w:val="19"/>
          <w:color w:val="auto"/>
        </w:rPr>
        <w:t>unless the Participant elects to receive his or her benefits under the Plan in the form of a lump-sum payment or in less than 15 annual installments in accordance with subsection (b), below. Annual installments shall be payable to the Participant in cash</w:t>
      </w:r>
    </w:p>
    <w:p>
      <w:pPr>
        <w:ind w:right="260"/>
        <w:spacing w:after="0" w:line="318" w:lineRule="auto"/>
        <w:rPr>
          <w:rFonts w:ascii="Arial" w:cs="Arial" w:eastAsia="Arial" w:hAnsi="Arial"/>
          <w:sz w:val="19"/>
          <w:szCs w:val="19"/>
          <w:color w:val="010000"/>
        </w:rPr>
      </w:pPr>
      <w:r>
        <w:rPr>
          <w:rFonts w:ascii="Arial" w:cs="Arial" w:eastAsia="Arial" w:hAnsi="Arial"/>
          <w:sz w:val="19"/>
          <w:szCs w:val="19"/>
          <w:color w:val="auto"/>
        </w:rPr>
        <w:t>beginning as of the Payment Commencement Date and continuing as of each Payment Anniversary Date thereafter until all installments have been paid. The first annual installment shall equal one- fifteenth (1/15th) of the value of the Stock Units</w:t>
      </w:r>
    </w:p>
    <w:p>
      <w:pPr>
        <w:spacing w:after="0" w:line="1" w:lineRule="exact"/>
        <w:rPr>
          <w:rFonts w:ascii="Arial" w:cs="Arial" w:eastAsia="Arial" w:hAnsi="Arial"/>
          <w:sz w:val="19"/>
          <w:szCs w:val="19"/>
          <w:color w:val="010000"/>
        </w:rPr>
      </w:pPr>
    </w:p>
    <w:p>
      <w:pPr>
        <w:jc w:val="both"/>
        <w:spacing w:after="0" w:line="318" w:lineRule="auto"/>
        <w:rPr>
          <w:rFonts w:ascii="Arial" w:cs="Arial" w:eastAsia="Arial" w:hAnsi="Arial"/>
          <w:sz w:val="19"/>
          <w:szCs w:val="19"/>
          <w:color w:val="010000"/>
        </w:rPr>
      </w:pPr>
      <w:r>
        <w:rPr>
          <w:rFonts w:ascii="Arial" w:cs="Arial" w:eastAsia="Arial" w:hAnsi="Arial"/>
          <w:sz w:val="19"/>
          <w:szCs w:val="19"/>
          <w:color w:val="auto"/>
        </w:rPr>
        <w:t>credited to the Participant’s Account, determined as of the Payment Commencement Date. Each successive annual installment shall equal the value of the Stock Units credited to the Participant’s Account, determined as of the Payment Anniversary Date,</w:t>
      </w:r>
    </w:p>
    <w:p>
      <w:pPr>
        <w:spacing w:after="0" w:line="1" w:lineRule="exact"/>
        <w:rPr>
          <w:rFonts w:ascii="Arial" w:cs="Arial" w:eastAsia="Arial" w:hAnsi="Arial"/>
          <w:sz w:val="19"/>
          <w:szCs w:val="19"/>
          <w:color w:val="010000"/>
        </w:rPr>
      </w:pPr>
    </w:p>
    <w:p>
      <w:pPr>
        <w:ind w:right="140"/>
        <w:spacing w:after="0" w:line="289" w:lineRule="auto"/>
        <w:rPr>
          <w:rFonts w:ascii="Arial" w:cs="Arial" w:eastAsia="Arial" w:hAnsi="Arial"/>
          <w:sz w:val="19"/>
          <w:szCs w:val="19"/>
          <w:color w:val="010000"/>
        </w:rPr>
      </w:pPr>
      <w:r>
        <w:rPr>
          <w:rFonts w:ascii="Arial" w:cs="Arial" w:eastAsia="Arial" w:hAnsi="Arial"/>
          <w:sz w:val="22"/>
          <w:szCs w:val="22"/>
          <w:color w:val="auto"/>
        </w:rPr>
        <w:t>multiplied by a fraction, the numerator of which is one, and the denominator of which is the excess of 15 over the number of installment payments previously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900"/>
          </w:cols>
          <w:pgMar w:left="440" w:top="1440" w:right="559" w:bottom="1440" w:gutter="0" w:footer="0" w:header="0"/>
        </w:sectPr>
      </w:pPr>
    </w:p>
    <w:bookmarkStart w:id="128" w:name="page129"/>
    <w:bookmarkEnd w:id="128"/>
    <w:p>
      <w:pPr>
        <w:spacing w:after="0" w:line="285" w:lineRule="exact"/>
        <w:rPr>
          <w:sz w:val="20"/>
          <w:szCs w:val="20"/>
          <w:color w:val="auto"/>
        </w:rPr>
      </w:pPr>
    </w:p>
    <w:p>
      <w:pPr>
        <w:jc w:val="both"/>
        <w:ind w:right="120"/>
        <w:spacing w:after="0" w:line="285" w:lineRule="auto"/>
        <w:rPr>
          <w:sz w:val="20"/>
          <w:szCs w:val="20"/>
          <w:color w:val="auto"/>
        </w:rPr>
      </w:pPr>
      <w:r>
        <w:rPr>
          <w:rFonts w:ascii="Arial" w:cs="Arial" w:eastAsia="Arial" w:hAnsi="Arial"/>
          <w:sz w:val="22"/>
          <w:szCs w:val="22"/>
          <w:color w:val="auto"/>
        </w:rPr>
        <w:t>made (i.e., 1/14th, 1/13th, etc.). If the Participant dies after the Participant’s Payment Commencement Date but before all 15 installments have been paid, the remaining installments shall be paid to the Participant’s Beneficiary in accordance with the schedule in this subsection (a).</w:t>
      </w:r>
    </w:p>
    <w:p>
      <w:pPr>
        <w:spacing w:after="0" w:line="219" w:lineRule="exact"/>
        <w:rPr>
          <w:sz w:val="20"/>
          <w:szCs w:val="20"/>
          <w:color w:val="auto"/>
        </w:rPr>
      </w:pPr>
    </w:p>
    <w:p>
      <w:pPr>
        <w:ind w:left="1820" w:hanging="528"/>
        <w:spacing w:after="0"/>
        <w:tabs>
          <w:tab w:leader="none" w:pos="1820" w:val="left"/>
        </w:tabs>
        <w:numPr>
          <w:ilvl w:val="0"/>
          <w:numId w:val="108"/>
        </w:numPr>
        <w:rPr>
          <w:rFonts w:ascii="Arial" w:cs="Arial" w:eastAsia="Arial" w:hAnsi="Arial"/>
          <w:sz w:val="19"/>
          <w:szCs w:val="19"/>
          <w:color w:val="010000"/>
        </w:rPr>
      </w:pPr>
      <w:r>
        <w:rPr>
          <w:rFonts w:ascii="Arial" w:cs="Arial" w:eastAsia="Arial" w:hAnsi="Arial"/>
          <w:sz w:val="19"/>
          <w:szCs w:val="19"/>
          <w:i w:val="1"/>
          <w:iCs w:val="1"/>
          <w:color w:val="auto"/>
        </w:rPr>
        <w:t xml:space="preserve">Lump Sum, or Less Than 15 Annual Installments. </w:t>
      </w:r>
      <w:r>
        <w:rPr>
          <w:rFonts w:ascii="Arial" w:cs="Arial" w:eastAsia="Arial" w:hAnsi="Arial"/>
          <w:sz w:val="19"/>
          <w:szCs w:val="19"/>
          <w:color w:val="auto"/>
        </w:rPr>
        <w:t>A Participant may elect to receive his or her benefits</w:t>
      </w:r>
    </w:p>
    <w:p>
      <w:pPr>
        <w:spacing w:after="0" w:line="78" w:lineRule="exact"/>
        <w:rPr>
          <w:rFonts w:ascii="Arial" w:cs="Arial" w:eastAsia="Arial" w:hAnsi="Arial"/>
          <w:sz w:val="19"/>
          <w:szCs w:val="19"/>
          <w:color w:val="010000"/>
        </w:rPr>
      </w:pPr>
    </w:p>
    <w:p>
      <w:pPr>
        <w:spacing w:after="0" w:line="316" w:lineRule="auto"/>
        <w:rPr>
          <w:rFonts w:ascii="Arial" w:cs="Arial" w:eastAsia="Arial" w:hAnsi="Arial"/>
          <w:sz w:val="19"/>
          <w:szCs w:val="19"/>
          <w:color w:val="010000"/>
        </w:rPr>
      </w:pPr>
      <w:r>
        <w:rPr>
          <w:rFonts w:ascii="Arial" w:cs="Arial" w:eastAsia="Arial" w:hAnsi="Arial"/>
          <w:sz w:val="19"/>
          <w:szCs w:val="19"/>
          <w:color w:val="auto"/>
        </w:rPr>
        <w:t>under the Plan in the form of a lump-sum payment or in two to fourteen installments in lieu of the fifteen installment payments determined under subsection (a), above. The lump sum shall be payable to the Participant in cash as of the Payment Commencement Date and shall equal the value of the Stock Units credited to the Participant’s Account, determined as of the</w:t>
      </w:r>
    </w:p>
    <w:p>
      <w:pPr>
        <w:ind w:right="100"/>
        <w:spacing w:after="0" w:line="318" w:lineRule="auto"/>
        <w:rPr>
          <w:rFonts w:ascii="Arial" w:cs="Arial" w:eastAsia="Arial" w:hAnsi="Arial"/>
          <w:sz w:val="19"/>
          <w:szCs w:val="19"/>
          <w:color w:val="010000"/>
        </w:rPr>
      </w:pPr>
      <w:r>
        <w:rPr>
          <w:rFonts w:ascii="Arial" w:cs="Arial" w:eastAsia="Arial" w:hAnsi="Arial"/>
          <w:sz w:val="19"/>
          <w:szCs w:val="19"/>
          <w:color w:val="auto"/>
        </w:rPr>
        <w:t>Payment Commencement Date. Installments shall be paid in the manner set forth in subsection (a) above, except that for purposes of determining the amount of the first annual installment, the denominator of the fraction shall equal the number of</w:t>
      </w:r>
    </w:p>
    <w:p>
      <w:pPr>
        <w:spacing w:after="0" w:line="1" w:lineRule="exact"/>
        <w:rPr>
          <w:rFonts w:ascii="Arial" w:cs="Arial" w:eastAsia="Arial" w:hAnsi="Arial"/>
          <w:sz w:val="19"/>
          <w:szCs w:val="19"/>
          <w:color w:val="010000"/>
        </w:rPr>
      </w:pPr>
    </w:p>
    <w:p>
      <w:pPr>
        <w:ind w:right="240"/>
        <w:spacing w:after="0" w:line="372" w:lineRule="auto"/>
        <w:rPr>
          <w:rFonts w:ascii="Arial" w:cs="Arial" w:eastAsia="Arial" w:hAnsi="Arial"/>
          <w:sz w:val="19"/>
          <w:szCs w:val="19"/>
          <w:color w:val="010000"/>
        </w:rPr>
      </w:pPr>
      <w:r>
        <w:rPr>
          <w:rFonts w:ascii="Arial" w:cs="Arial" w:eastAsia="Arial" w:hAnsi="Arial"/>
          <w:sz w:val="19"/>
          <w:szCs w:val="19"/>
          <w:color w:val="auto"/>
        </w:rPr>
        <w:t>scheduled annual installments. An election under this subsection (b) shall be made in a form and manner satisfactory to the Committee and shall be effective only if made at least two years before the Participant’s Payment Commencement Date.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010000"/>
        </w:rPr>
        <w:t>ARTICLE VI</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ADMINISTRATION</w:t>
      </w: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6.01</w:t>
      </w:r>
      <w:r>
        <w:rPr>
          <w:sz w:val="20"/>
          <w:szCs w:val="20"/>
          <w:color w:val="auto"/>
        </w:rPr>
        <w:tab/>
      </w:r>
      <w:r>
        <w:rPr>
          <w:rFonts w:ascii="Arial" w:cs="Arial" w:eastAsia="Arial" w:hAnsi="Arial"/>
          <w:sz w:val="19"/>
          <w:szCs w:val="19"/>
          <w:b w:val="1"/>
          <w:bCs w:val="1"/>
          <w:color w:val="auto"/>
        </w:rPr>
        <w:t>In General</w:t>
      </w:r>
    </w:p>
    <w:p>
      <w:pPr>
        <w:spacing w:after="0" w:line="40" w:lineRule="exact"/>
        <w:rPr>
          <w:sz w:val="20"/>
          <w:szCs w:val="20"/>
          <w:color w:val="auto"/>
        </w:rPr>
      </w:pPr>
    </w:p>
    <w:p>
      <w:pPr>
        <w:ind w:right="20" w:firstLine="648"/>
        <w:spacing w:after="0" w:line="292" w:lineRule="auto"/>
        <w:rPr>
          <w:sz w:val="20"/>
          <w:szCs w:val="20"/>
          <w:color w:val="auto"/>
        </w:rPr>
      </w:pPr>
      <w:r>
        <w:rPr>
          <w:rFonts w:ascii="Arial" w:cs="Arial" w:eastAsia="Arial" w:hAnsi="Arial"/>
          <w:sz w:val="21"/>
          <w:szCs w:val="21"/>
          <w:color w:val="auto"/>
        </w:rPr>
        <w:t xml:space="preserve">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w:t>
      </w:r>
      <w:r>
        <w:rPr>
          <w:rFonts w:ascii="Arial" w:cs="Arial" w:eastAsia="Arial" w:hAnsi="Arial"/>
          <w:sz w:val="21"/>
          <w:szCs w:val="21"/>
          <w:u w:val="single" w:color="auto"/>
          <w:color w:val="auto"/>
        </w:rPr>
        <w:t>Section 6.03</w:t>
      </w:r>
      <w:r>
        <w:rPr>
          <w:rFonts w:ascii="Arial" w:cs="Arial" w:eastAsia="Arial" w:hAnsi="Arial"/>
          <w:sz w:val="21"/>
          <w:szCs w:val="21"/>
          <w:color w:val="auto"/>
        </w:rPr>
        <w:t>, the Committee’s determination on any and all questions arising out of the interpretation or administration of the Plan shall be final, conclusive, and binding on all parties.</w:t>
      </w:r>
    </w:p>
    <w:p>
      <w:pPr>
        <w:spacing w:after="0" w:line="16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6.02</w:t>
      </w:r>
      <w:r>
        <w:rPr>
          <w:sz w:val="20"/>
          <w:szCs w:val="20"/>
          <w:color w:val="auto"/>
        </w:rPr>
        <w:tab/>
      </w:r>
      <w:r>
        <w:rPr>
          <w:rFonts w:ascii="Arial" w:cs="Arial" w:eastAsia="Arial" w:hAnsi="Arial"/>
          <w:sz w:val="19"/>
          <w:szCs w:val="19"/>
          <w:b w:val="1"/>
          <w:bCs w:val="1"/>
          <w:color w:val="auto"/>
        </w:rPr>
        <w:t>Plan Amendment and Termination</w:t>
      </w:r>
    </w:p>
    <w:p>
      <w:pPr>
        <w:spacing w:after="0" w:line="50" w:lineRule="exact"/>
        <w:rPr>
          <w:sz w:val="20"/>
          <w:szCs w:val="20"/>
          <w:color w:val="auto"/>
        </w:rPr>
      </w:pPr>
    </w:p>
    <w:p>
      <w:pPr>
        <w:ind w:right="140" w:firstLine="648"/>
        <w:spacing w:after="0" w:line="334" w:lineRule="auto"/>
        <w:rPr>
          <w:sz w:val="20"/>
          <w:szCs w:val="20"/>
          <w:color w:val="auto"/>
        </w:rPr>
      </w:pPr>
      <w:r>
        <w:rPr>
          <w:rFonts w:ascii="Arial" w:cs="Arial" w:eastAsia="Arial" w:hAnsi="Arial"/>
          <w:sz w:val="19"/>
          <w:szCs w:val="19"/>
          <w:color w:val="auto"/>
        </w:rPr>
        <w:t xml:space="preserve">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 If the Plan is terminated in accordance with this </w:t>
      </w:r>
      <w:r>
        <w:rPr>
          <w:rFonts w:ascii="Arial" w:cs="Arial" w:eastAsia="Arial" w:hAnsi="Arial"/>
          <w:sz w:val="19"/>
          <w:szCs w:val="19"/>
          <w:u w:val="single" w:color="auto"/>
          <w:color w:val="auto"/>
        </w:rPr>
        <w:t>Section 6.02</w:t>
      </w:r>
      <w:r>
        <w:rPr>
          <w:rFonts w:ascii="Arial" w:cs="Arial" w:eastAsia="Arial" w:hAnsi="Arial"/>
          <w:sz w:val="19"/>
          <w:szCs w:val="19"/>
          <w:color w:val="auto"/>
        </w:rPr>
        <w:t>, the terms of the Plan as in effect immediately before termination shall determine the right to payment in respect of any amounts that remain credited to a Participant’s or Beneficiary’s Account upon termination.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0860"/>
          </w:cols>
          <w:pgMar w:left="440" w:top="1440" w:right="599" w:bottom="1440" w:gutter="0" w:footer="0" w:header="0"/>
        </w:sectPr>
      </w:pPr>
    </w:p>
    <w:bookmarkStart w:id="129" w:name="page130"/>
    <w:bookmarkEnd w:id="129"/>
    <w:p>
      <w:pPr>
        <w:spacing w:after="0" w:line="23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6.03</w:t>
      </w:r>
      <w:r>
        <w:rPr>
          <w:sz w:val="20"/>
          <w:szCs w:val="20"/>
          <w:color w:val="auto"/>
        </w:rPr>
        <w:tab/>
      </w:r>
      <w:r>
        <w:rPr>
          <w:rFonts w:ascii="Arial" w:cs="Arial" w:eastAsia="Arial" w:hAnsi="Arial"/>
          <w:sz w:val="19"/>
          <w:szCs w:val="19"/>
          <w:b w:val="1"/>
          <w:bCs w:val="1"/>
          <w:color w:val="auto"/>
        </w:rPr>
        <w:t>Reports to Participants</w:t>
      </w:r>
    </w:p>
    <w:p>
      <w:pPr>
        <w:spacing w:after="0" w:line="50" w:lineRule="exact"/>
        <w:rPr>
          <w:sz w:val="20"/>
          <w:szCs w:val="20"/>
          <w:color w:val="auto"/>
        </w:rPr>
      </w:pPr>
    </w:p>
    <w:p>
      <w:pPr>
        <w:ind w:right="760" w:firstLine="648"/>
        <w:spacing w:after="0" w:line="289" w:lineRule="auto"/>
        <w:rPr>
          <w:sz w:val="20"/>
          <w:szCs w:val="20"/>
          <w:color w:val="auto"/>
        </w:rPr>
      </w:pPr>
      <w:r>
        <w:rPr>
          <w:rFonts w:ascii="Arial" w:cs="Arial" w:eastAsia="Arial" w:hAnsi="Arial"/>
          <w:sz w:val="22"/>
          <w:szCs w:val="22"/>
          <w:color w:val="auto"/>
        </w:rPr>
        <w:t>The Committee shall furnish an annual statement to each Participant (or Beneficiary) reporting the value of the Participant’s (or Beneficiary’s) Account as of the end of the most recent Plan Year.</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6.04</w:t>
      </w:r>
      <w:r>
        <w:rPr>
          <w:sz w:val="20"/>
          <w:szCs w:val="20"/>
          <w:color w:val="auto"/>
        </w:rPr>
        <w:tab/>
      </w:r>
      <w:r>
        <w:rPr>
          <w:rFonts w:ascii="Arial" w:cs="Arial" w:eastAsia="Arial" w:hAnsi="Arial"/>
          <w:sz w:val="19"/>
          <w:szCs w:val="19"/>
          <w:b w:val="1"/>
          <w:bCs w:val="1"/>
          <w:color w:val="auto"/>
        </w:rPr>
        <w:t>Delegation of Authority</w:t>
      </w:r>
    </w:p>
    <w:p>
      <w:pPr>
        <w:spacing w:after="0" w:line="37"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The Committee may delegate to officers of the Company any and all authority with which it is vested under the Plan, and the Committee may allocate its responsibilities under the Plan among its member.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7.01</w:t>
      </w:r>
      <w:r>
        <w:rPr>
          <w:sz w:val="20"/>
          <w:szCs w:val="20"/>
          <w:color w:val="auto"/>
        </w:rPr>
        <w:tab/>
      </w:r>
      <w:r>
        <w:rPr>
          <w:rFonts w:ascii="Arial" w:cs="Arial" w:eastAsia="Arial" w:hAnsi="Arial"/>
          <w:sz w:val="19"/>
          <w:szCs w:val="19"/>
          <w:b w:val="1"/>
          <w:bCs w:val="1"/>
          <w:color w:val="auto"/>
        </w:rPr>
        <w:t>Rights Not Assignable</w:t>
      </w:r>
    </w:p>
    <w:p>
      <w:pPr>
        <w:spacing w:after="0" w:line="50" w:lineRule="exact"/>
        <w:rPr>
          <w:sz w:val="20"/>
          <w:szCs w:val="20"/>
          <w:color w:val="auto"/>
        </w:rPr>
      </w:pPr>
    </w:p>
    <w:p>
      <w:pPr>
        <w:ind w:right="80" w:firstLine="648"/>
        <w:spacing w:after="0" w:line="326" w:lineRule="auto"/>
        <w:rPr>
          <w:sz w:val="20"/>
          <w:szCs w:val="20"/>
          <w:color w:val="auto"/>
        </w:rPr>
      </w:pPr>
      <w:r>
        <w:rPr>
          <w:rFonts w:ascii="Arial" w:cs="Arial" w:eastAsia="Arial" w:hAnsi="Arial"/>
          <w:sz w:val="19"/>
          <w:szCs w:val="19"/>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pacing w:after="0" w:line="14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7.02</w:t>
      </w:r>
      <w:r>
        <w:rPr>
          <w:sz w:val="20"/>
          <w:szCs w:val="20"/>
          <w:color w:val="auto"/>
        </w:rPr>
        <w:tab/>
      </w:r>
      <w:r>
        <w:rPr>
          <w:rFonts w:ascii="Arial" w:cs="Arial" w:eastAsia="Arial" w:hAnsi="Arial"/>
          <w:sz w:val="19"/>
          <w:szCs w:val="19"/>
          <w:b w:val="1"/>
          <w:bCs w:val="1"/>
          <w:color w:val="auto"/>
        </w:rPr>
        <w:t>Certain Rights Reserved</w:t>
      </w:r>
    </w:p>
    <w:p>
      <w:pPr>
        <w:spacing w:after="0" w:line="50" w:lineRule="exact"/>
        <w:rPr>
          <w:sz w:val="20"/>
          <w:szCs w:val="20"/>
          <w:color w:val="auto"/>
        </w:rPr>
      </w:pPr>
    </w:p>
    <w:p>
      <w:pPr>
        <w:ind w:right="840" w:firstLine="648"/>
        <w:spacing w:after="0" w:line="289" w:lineRule="auto"/>
        <w:rPr>
          <w:sz w:val="20"/>
          <w:szCs w:val="20"/>
          <w:color w:val="auto"/>
        </w:rPr>
      </w:pPr>
      <w:r>
        <w:rPr>
          <w:rFonts w:ascii="Arial" w:cs="Arial" w:eastAsia="Arial" w:hAnsi="Arial"/>
          <w:sz w:val="22"/>
          <w:szCs w:val="22"/>
          <w:color w:val="auto"/>
        </w:rPr>
        <w:t>Nothing in the Plan shall confer upon any person the right to continue to serve as a member of the Board or to participate in the Plan other than in accordance with its terms.</w:t>
      </w:r>
    </w:p>
    <w:p>
      <w:pPr>
        <w:spacing w:after="0" w:line="16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7.03</w:t>
      </w:r>
      <w:r>
        <w:rPr>
          <w:sz w:val="20"/>
          <w:szCs w:val="20"/>
          <w:color w:val="auto"/>
        </w:rPr>
        <w:tab/>
      </w:r>
      <w:r>
        <w:rPr>
          <w:rFonts w:ascii="Arial" w:cs="Arial" w:eastAsia="Arial" w:hAnsi="Arial"/>
          <w:sz w:val="19"/>
          <w:szCs w:val="19"/>
          <w:b w:val="1"/>
          <w:bCs w:val="1"/>
          <w:color w:val="auto"/>
        </w:rPr>
        <w:t>Withholding Taxes</w:t>
      </w:r>
    </w:p>
    <w:p>
      <w:pPr>
        <w:spacing w:after="0" w:line="50" w:lineRule="exact"/>
        <w:rPr>
          <w:sz w:val="20"/>
          <w:szCs w:val="20"/>
          <w:color w:val="auto"/>
        </w:rPr>
      </w:pPr>
    </w:p>
    <w:p>
      <w:pPr>
        <w:ind w:right="180" w:firstLine="648"/>
        <w:spacing w:after="0" w:line="372" w:lineRule="auto"/>
        <w:rPr>
          <w:sz w:val="20"/>
          <w:szCs w:val="20"/>
          <w:color w:val="auto"/>
        </w:rPr>
      </w:pPr>
      <w:r>
        <w:rPr>
          <w:rFonts w:ascii="Arial" w:cs="Arial" w:eastAsia="Arial" w:hAnsi="Arial"/>
          <w:sz w:val="19"/>
          <w:szCs w:val="19"/>
          <w:color w:val="auto"/>
        </w:rPr>
        <w:t>The Committee may make any appropriate arrangements to deduct from all credits and payments under the Plan any taxes that the Committee reasonably determines to be required by law to be withheld from such credits and payments.</w:t>
      </w:r>
    </w:p>
    <w:p>
      <w:pPr>
        <w:spacing w:after="0" w:line="10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7.04</w:t>
      </w:r>
      <w:r>
        <w:rPr>
          <w:sz w:val="20"/>
          <w:szCs w:val="20"/>
          <w:color w:val="auto"/>
        </w:rPr>
        <w:tab/>
      </w:r>
      <w:r>
        <w:rPr>
          <w:rFonts w:ascii="Arial" w:cs="Arial" w:eastAsia="Arial" w:hAnsi="Arial"/>
          <w:sz w:val="19"/>
          <w:szCs w:val="19"/>
          <w:b w:val="1"/>
          <w:bCs w:val="1"/>
          <w:color w:val="auto"/>
        </w:rPr>
        <w:t>Incompetence</w:t>
      </w:r>
    </w:p>
    <w:p>
      <w:pPr>
        <w:spacing w:after="0" w:line="50" w:lineRule="exact"/>
        <w:rPr>
          <w:sz w:val="20"/>
          <w:szCs w:val="20"/>
          <w:color w:val="auto"/>
        </w:rPr>
      </w:pPr>
    </w:p>
    <w:p>
      <w:pPr>
        <w:ind w:firstLine="648"/>
        <w:spacing w:after="0" w:line="280" w:lineRule="auto"/>
        <w:rPr>
          <w:sz w:val="20"/>
          <w:szCs w:val="20"/>
          <w:color w:val="auto"/>
        </w:rPr>
      </w:pPr>
      <w:r>
        <w:rPr>
          <w:rFonts w:ascii="Arial" w:cs="Arial" w:eastAsia="Arial" w:hAnsi="Arial"/>
          <w:sz w:val="22"/>
          <w:szCs w:val="22"/>
          <w:color w:val="auto"/>
        </w:rPr>
        <w:t>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0980"/>
          </w:cols>
          <w:pgMar w:left="440" w:top="1440" w:right="479" w:bottom="1440" w:gutter="0" w:footer="0" w:header="0"/>
        </w:sectPr>
      </w:pPr>
    </w:p>
    <w:bookmarkStart w:id="130" w:name="page131"/>
    <w:bookmarkEnd w:id="130"/>
    <w:p>
      <w:pPr>
        <w:spacing w:after="0" w:line="285" w:lineRule="exact"/>
        <w:rPr>
          <w:sz w:val="20"/>
          <w:szCs w:val="20"/>
          <w:color w:val="auto"/>
        </w:rPr>
      </w:pPr>
    </w:p>
    <w:p>
      <w:pPr>
        <w:ind w:right="280"/>
        <w:spacing w:after="0" w:line="327" w:lineRule="auto"/>
        <w:rPr>
          <w:sz w:val="20"/>
          <w:szCs w:val="20"/>
          <w:color w:val="auto"/>
        </w:rPr>
      </w:pPr>
      <w:r>
        <w:rPr>
          <w:rFonts w:ascii="Arial" w:cs="Arial" w:eastAsia="Arial" w:hAnsi="Arial"/>
          <w:sz w:val="21"/>
          <w:szCs w:val="21"/>
          <w:color w:val="auto"/>
        </w:rPr>
        <w:t>Committee to have incurred expenses for the benefit of and on behalf of such Participant or Beneficiary. Any such payment shall be a complete discharge of any liability under the Plan with respect to the amount so paid.</w:t>
      </w:r>
    </w:p>
    <w:p>
      <w:pPr>
        <w:spacing w:after="0" w:line="13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7.05</w:t>
      </w:r>
      <w:r>
        <w:rPr>
          <w:sz w:val="20"/>
          <w:szCs w:val="20"/>
          <w:color w:val="auto"/>
        </w:rPr>
        <w:tab/>
      </w:r>
      <w:r>
        <w:rPr>
          <w:rFonts w:ascii="Arial" w:cs="Arial" w:eastAsia="Arial" w:hAnsi="Arial"/>
          <w:sz w:val="19"/>
          <w:szCs w:val="19"/>
          <w:b w:val="1"/>
          <w:bCs w:val="1"/>
          <w:color w:val="auto"/>
        </w:rPr>
        <w:t>Inability to Locate Participants and Beneficiaries</w:t>
      </w:r>
    </w:p>
    <w:p>
      <w:pPr>
        <w:spacing w:after="0" w:line="50" w:lineRule="exact"/>
        <w:rPr>
          <w:sz w:val="20"/>
          <w:szCs w:val="20"/>
          <w:color w:val="auto"/>
        </w:rPr>
      </w:pPr>
    </w:p>
    <w:p>
      <w:pPr>
        <w:ind w:right="80" w:firstLine="648"/>
        <w:spacing w:after="0" w:line="277" w:lineRule="auto"/>
        <w:rPr>
          <w:sz w:val="20"/>
          <w:szCs w:val="20"/>
          <w:color w:val="auto"/>
        </w:rPr>
      </w:pPr>
      <w:r>
        <w:rPr>
          <w:rFonts w:ascii="Arial" w:cs="Arial" w:eastAsia="Arial" w:hAnsi="Arial"/>
          <w:sz w:val="22"/>
          <w:szCs w:val="22"/>
          <w:color w:val="auto"/>
        </w:rPr>
        <w:t>Each Participant and Beneficiary entitled to receive a payment under the Plan shall keep the Committee advised of his or her current address. If the Committee is unable for a period of 36 months to locate a Participant or Beneficiary to whom a payment is due under the Plan, commencing with the first day of the month as of which such payment first comes due, the total amount payable to such Participant or Beneficiary shall be forfeited. Should such a Participant or Beneficiary subsequently contact the Committee requesting payment, the Committee shall, upon receipt of all documents and other information that it might request in connection with the payment, restore and pay the forfeited payment in a lump sum, the value of which shall not be adjusted to reflect any interest or other type of investment earnings or gains for the period of forfeiture.</w:t>
      </w:r>
    </w:p>
    <w:p>
      <w:pPr>
        <w:spacing w:after="0" w:line="18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7.06</w:t>
      </w:r>
      <w:r>
        <w:rPr>
          <w:sz w:val="20"/>
          <w:szCs w:val="20"/>
          <w:color w:val="auto"/>
        </w:rPr>
        <w:tab/>
      </w:r>
      <w:r>
        <w:rPr>
          <w:rFonts w:ascii="Arial" w:cs="Arial" w:eastAsia="Arial" w:hAnsi="Arial"/>
          <w:sz w:val="17"/>
          <w:szCs w:val="17"/>
          <w:b w:val="1"/>
          <w:bCs w:val="1"/>
          <w:color w:val="auto"/>
        </w:rPr>
        <w:t>Successors</w:t>
      </w:r>
    </w:p>
    <w:p>
      <w:pPr>
        <w:spacing w:after="0" w:line="50" w:lineRule="exact"/>
        <w:rPr>
          <w:sz w:val="20"/>
          <w:szCs w:val="20"/>
          <w:color w:val="auto"/>
        </w:rPr>
      </w:pPr>
    </w:p>
    <w:p>
      <w:pPr>
        <w:jc w:val="both"/>
        <w:ind w:right="480" w:firstLine="648"/>
        <w:spacing w:after="0" w:line="336" w:lineRule="auto"/>
        <w:rPr>
          <w:sz w:val="20"/>
          <w:szCs w:val="20"/>
          <w:color w:val="auto"/>
        </w:rPr>
      </w:pPr>
      <w:r>
        <w:rPr>
          <w:rFonts w:ascii="Arial" w:cs="Arial" w:eastAsia="Arial" w:hAnsi="Arial"/>
          <w:sz w:val="19"/>
          <w:szCs w:val="19"/>
          <w:color w:val="auto"/>
        </w:rPr>
        <w:t>The provisions of the Plan shall bind and inure to the benefit of the Company and its successors and assigns. The term “successors” as used in the preceding sentence shall include any corporation or other business entity that by merger, consolidation, purchase, or otherwise acquires all or substantially all of the business and assets of the Company, and any successors and assigns of any such corporation or other business entity.</w:t>
      </w:r>
    </w:p>
    <w:p>
      <w:pPr>
        <w:spacing w:after="0" w:line="13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7.07</w:t>
      </w:r>
      <w:r>
        <w:rPr>
          <w:sz w:val="20"/>
          <w:szCs w:val="20"/>
          <w:color w:val="auto"/>
        </w:rPr>
        <w:tab/>
      </w:r>
      <w:r>
        <w:rPr>
          <w:rFonts w:ascii="Arial" w:cs="Arial" w:eastAsia="Arial" w:hAnsi="Arial"/>
          <w:sz w:val="17"/>
          <w:szCs w:val="17"/>
          <w:b w:val="1"/>
          <w:bCs w:val="1"/>
          <w:color w:val="auto"/>
        </w:rPr>
        <w:t>Usage</w:t>
      </w:r>
    </w:p>
    <w:p>
      <w:pPr>
        <w:spacing w:after="0" w:line="50" w:lineRule="exact"/>
        <w:rPr>
          <w:sz w:val="20"/>
          <w:szCs w:val="20"/>
          <w:color w:val="auto"/>
        </w:rPr>
      </w:pPr>
    </w:p>
    <w:p>
      <w:pPr>
        <w:jc w:val="both"/>
        <w:ind w:right="100" w:firstLine="1292"/>
        <w:spacing w:after="0" w:line="372" w:lineRule="auto"/>
        <w:tabs>
          <w:tab w:leader="none" w:pos="1833" w:val="left"/>
        </w:tabs>
        <w:numPr>
          <w:ilvl w:val="0"/>
          <w:numId w:val="109"/>
        </w:numPr>
        <w:rPr>
          <w:rFonts w:ascii="Arial" w:cs="Arial" w:eastAsia="Arial" w:hAnsi="Arial"/>
          <w:sz w:val="19"/>
          <w:szCs w:val="19"/>
          <w:color w:val="010000"/>
        </w:rPr>
      </w:pPr>
      <w:r>
        <w:rPr>
          <w:rFonts w:ascii="Arial" w:cs="Arial" w:eastAsia="Arial" w:hAnsi="Arial"/>
          <w:sz w:val="19"/>
          <w:szCs w:val="19"/>
          <w:i w:val="1"/>
          <w:iCs w:val="1"/>
          <w:color w:val="auto"/>
        </w:rPr>
        <w:t xml:space="preserve">Titles and Headings. </w:t>
      </w:r>
      <w:r>
        <w:rPr>
          <w:rFonts w:ascii="Arial" w:cs="Arial" w:eastAsia="Arial" w:hAnsi="Arial"/>
          <w:sz w:val="19"/>
          <w:szCs w:val="19"/>
          <w:color w:val="auto"/>
        </w:rPr>
        <w:t>The titles to Articles and the headings of Sections, subsections, and paragraphs in</w:t>
      </w:r>
      <w:r>
        <w:rPr>
          <w:rFonts w:ascii="Arial" w:cs="Arial" w:eastAsia="Arial" w:hAnsi="Arial"/>
          <w:sz w:val="19"/>
          <w:szCs w:val="19"/>
          <w:i w:val="1"/>
          <w:iCs w:val="1"/>
          <w:color w:val="auto"/>
        </w:rPr>
        <w:t xml:space="preserve"> </w:t>
      </w:r>
      <w:r>
        <w:rPr>
          <w:rFonts w:ascii="Arial" w:cs="Arial" w:eastAsia="Arial" w:hAnsi="Arial"/>
          <w:sz w:val="19"/>
          <w:szCs w:val="19"/>
          <w:color w:val="auto"/>
        </w:rPr>
        <w:t>the Plan are placed herein for convenience of reference only and shall be of no force or effect in the interpretation of the Plan</w:t>
      </w:r>
    </w:p>
    <w:p>
      <w:pPr>
        <w:spacing w:after="0" w:line="105" w:lineRule="exact"/>
        <w:rPr>
          <w:rFonts w:ascii="Arial" w:cs="Arial" w:eastAsia="Arial" w:hAnsi="Arial"/>
          <w:sz w:val="19"/>
          <w:szCs w:val="19"/>
          <w:color w:val="010000"/>
        </w:rPr>
      </w:pPr>
    </w:p>
    <w:p>
      <w:pPr>
        <w:ind w:left="1940" w:hanging="648"/>
        <w:spacing w:after="0"/>
        <w:tabs>
          <w:tab w:leader="none" w:pos="1940" w:val="left"/>
        </w:tabs>
        <w:numPr>
          <w:ilvl w:val="0"/>
          <w:numId w:val="109"/>
        </w:numPr>
        <w:rPr>
          <w:rFonts w:ascii="Arial" w:cs="Arial" w:eastAsia="Arial" w:hAnsi="Arial"/>
          <w:sz w:val="22"/>
          <w:szCs w:val="22"/>
          <w:color w:val="010000"/>
        </w:rPr>
      </w:pPr>
      <w:r>
        <w:rPr>
          <w:rFonts w:ascii="Arial" w:cs="Arial" w:eastAsia="Arial" w:hAnsi="Arial"/>
          <w:sz w:val="22"/>
          <w:szCs w:val="22"/>
          <w:i w:val="1"/>
          <w:iCs w:val="1"/>
          <w:color w:val="auto"/>
        </w:rPr>
        <w:t xml:space="preserve">Number. </w:t>
      </w:r>
      <w:r>
        <w:rPr>
          <w:rFonts w:ascii="Arial" w:cs="Arial" w:eastAsia="Arial" w:hAnsi="Arial"/>
          <w:sz w:val="22"/>
          <w:szCs w:val="22"/>
          <w:color w:val="auto"/>
        </w:rPr>
        <w:t>The singular form shall include the plural, where appropriate.</w:t>
      </w:r>
    </w:p>
    <w:p>
      <w:pPr>
        <w:spacing w:after="0" w:line="21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7.08</w:t>
      </w:r>
      <w:r>
        <w:rPr>
          <w:sz w:val="20"/>
          <w:szCs w:val="20"/>
          <w:color w:val="auto"/>
        </w:rPr>
        <w:tab/>
      </w:r>
      <w:r>
        <w:rPr>
          <w:rFonts w:ascii="Arial" w:cs="Arial" w:eastAsia="Arial" w:hAnsi="Arial"/>
          <w:sz w:val="19"/>
          <w:szCs w:val="19"/>
          <w:b w:val="1"/>
          <w:bCs w:val="1"/>
          <w:color w:val="auto"/>
        </w:rPr>
        <w:t>Severability</w:t>
      </w:r>
    </w:p>
    <w:p>
      <w:pPr>
        <w:spacing w:after="0" w:line="50"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0940"/>
          </w:cols>
          <w:pgMar w:left="440" w:top="1440" w:right="519" w:bottom="1440" w:gutter="0" w:footer="0" w:header="0"/>
        </w:sectPr>
      </w:pPr>
    </w:p>
    <w:bookmarkStart w:id="131" w:name="page132"/>
    <w:bookmarkEnd w:id="131"/>
    <w:p>
      <w:pPr>
        <w:spacing w:after="0" w:line="285" w:lineRule="exact"/>
        <w:rPr>
          <w:sz w:val="20"/>
          <w:szCs w:val="20"/>
          <w:color w:val="auto"/>
        </w:rPr>
      </w:pPr>
    </w:p>
    <w:p>
      <w:pPr>
        <w:spacing w:after="0" w:line="327" w:lineRule="auto"/>
        <w:rPr>
          <w:sz w:val="20"/>
          <w:szCs w:val="20"/>
          <w:color w:val="auto"/>
        </w:rPr>
      </w:pPr>
      <w:r>
        <w:rPr>
          <w:rFonts w:ascii="Arial" w:cs="Arial" w:eastAsia="Arial" w:hAnsi="Arial"/>
          <w:sz w:val="21"/>
          <w:szCs w:val="21"/>
          <w:color w:val="auto"/>
        </w:rPr>
        <w:t>provided in part, to the extent that it would not be unlawful, invalid, or unenforceable, and the maximum payment or benefit that would not be unlawful, invalid, or unenforceable shall be made or provided under the Plan.</w:t>
      </w:r>
    </w:p>
    <w:p>
      <w:pPr>
        <w:spacing w:after="0" w:line="13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010000"/>
        </w:rPr>
        <w:t>7.09</w:t>
      </w:r>
      <w:r>
        <w:rPr>
          <w:sz w:val="20"/>
          <w:szCs w:val="20"/>
          <w:color w:val="auto"/>
        </w:rPr>
        <w:tab/>
      </w:r>
      <w:r>
        <w:rPr>
          <w:rFonts w:ascii="Arial" w:cs="Arial" w:eastAsia="Arial" w:hAnsi="Arial"/>
          <w:sz w:val="19"/>
          <w:szCs w:val="19"/>
          <w:b w:val="1"/>
          <w:bCs w:val="1"/>
          <w:color w:val="auto"/>
        </w:rPr>
        <w:t>Governing Law</w:t>
      </w:r>
    </w:p>
    <w:p>
      <w:pPr>
        <w:spacing w:after="0" w:line="50" w:lineRule="exact"/>
        <w:rPr>
          <w:sz w:val="20"/>
          <w:szCs w:val="20"/>
          <w:color w:val="auto"/>
        </w:rPr>
      </w:pPr>
    </w:p>
    <w:p>
      <w:pPr>
        <w:ind w:right="640" w:firstLine="648"/>
        <w:spacing w:after="0" w:line="289" w:lineRule="auto"/>
        <w:rPr>
          <w:sz w:val="20"/>
          <w:szCs w:val="20"/>
          <w:color w:val="auto"/>
        </w:rPr>
      </w:pPr>
      <w:r>
        <w:rPr>
          <w:rFonts w:ascii="Arial" w:cs="Arial" w:eastAsia="Arial" w:hAnsi="Arial"/>
          <w:sz w:val="22"/>
          <w:szCs w:val="22"/>
          <w:color w:val="auto"/>
        </w:rPr>
        <w:t>The Plan and all determinations made and actions taken under the Plan shall be governed by and construed in accordance with the laws of the State of Connecticut.</w:t>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UNITED TECHNOLOGIES CORPORATION</w:t>
      </w:r>
    </w:p>
    <w:p>
      <w:pPr>
        <w:spacing w:after="0" w:line="374"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Attest: ______________________</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0740"/>
          </w:cols>
          <w:pgMar w:left="440" w:top="1440" w:right="71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RTX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ANNUAL INCENTIVE PLAN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as of October 1, 2023)</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Preamble</w:t>
      </w:r>
    </w:p>
    <w:p>
      <w:pPr>
        <w:spacing w:after="0" w:line="249" w:lineRule="exact"/>
        <w:rPr>
          <w:sz w:val="20"/>
          <w:szCs w:val="20"/>
          <w:color w:val="auto"/>
        </w:rPr>
      </w:pPr>
    </w:p>
    <w:p>
      <w:pPr>
        <w:ind w:left="980" w:right="80" w:hanging="647"/>
        <w:spacing w:after="0" w:line="257" w:lineRule="auto"/>
        <w:tabs>
          <w:tab w:leader="none" w:pos="9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i w:val="1"/>
          <w:iCs w:val="1"/>
          <w:color w:val="auto"/>
        </w:rPr>
        <w:t xml:space="preserve">Purpose. </w:t>
      </w:r>
      <w:r>
        <w:rPr>
          <w:rFonts w:ascii="Arial" w:cs="Arial" w:eastAsia="Arial" w:hAnsi="Arial"/>
          <w:sz w:val="20"/>
          <w:szCs w:val="20"/>
          <w:color w:val="auto"/>
        </w:rPr>
        <w:t>The purpose of the RTX Corporation Executive Annual Incentive Plan (the “Plan”) is to reinforce corporate,</w:t>
      </w:r>
      <w:r>
        <w:rPr>
          <w:rFonts w:ascii="Arial" w:cs="Arial" w:eastAsia="Arial" w:hAnsi="Arial"/>
          <w:sz w:val="20"/>
          <w:szCs w:val="20"/>
          <w:i w:val="1"/>
          <w:iCs w:val="1"/>
          <w:color w:val="auto"/>
        </w:rPr>
        <w:t xml:space="preserve"> </w:t>
      </w:r>
      <w:r>
        <w:rPr>
          <w:rFonts w:ascii="Arial" w:cs="Arial" w:eastAsia="Arial" w:hAnsi="Arial"/>
          <w:sz w:val="20"/>
          <w:szCs w:val="20"/>
          <w:color w:val="auto"/>
        </w:rPr>
        <w:t>organizational and other goals; to promote the achievement of those goals; to ensure a strong linkage of pay to performance; and to attract, retain and motivate eligible employees.</w:t>
      </w:r>
    </w:p>
    <w:p>
      <w:pPr>
        <w:spacing w:after="0" w:line="206"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0"/>
          <w:szCs w:val="20"/>
          <w:i w:val="1"/>
          <w:iCs w:val="1"/>
          <w:color w:val="auto"/>
        </w:rPr>
        <w:t>1.2.</w:t>
      </w:r>
      <w:r>
        <w:rPr>
          <w:sz w:val="20"/>
          <w:szCs w:val="20"/>
          <w:color w:val="auto"/>
        </w:rPr>
        <w:tab/>
      </w:r>
      <w:r>
        <w:rPr>
          <w:rFonts w:ascii="Arial" w:cs="Arial" w:eastAsia="Arial" w:hAnsi="Arial"/>
          <w:sz w:val="16"/>
          <w:szCs w:val="16"/>
          <w:i w:val="1"/>
          <w:iCs w:val="1"/>
          <w:color w:val="auto"/>
        </w:rPr>
        <w:t>Effective Date of Plan and Amendments.</w:t>
      </w:r>
    </w:p>
    <w:p>
      <w:pPr>
        <w:spacing w:after="0" w:line="256" w:lineRule="exact"/>
        <w:rPr>
          <w:sz w:val="20"/>
          <w:szCs w:val="20"/>
          <w:color w:val="auto"/>
        </w:rPr>
      </w:pPr>
    </w:p>
    <w:p>
      <w:pPr>
        <w:ind w:left="1620" w:right="20" w:hanging="647"/>
        <w:spacing w:after="0" w:line="260" w:lineRule="auto"/>
        <w:tabs>
          <w:tab w:leader="none" w:pos="1600" w:val="left"/>
        </w:tabs>
        <w:rPr>
          <w:sz w:val="20"/>
          <w:szCs w:val="20"/>
          <w:color w:val="auto"/>
        </w:rPr>
      </w:pPr>
      <w:r>
        <w:rPr>
          <w:rFonts w:ascii="Arial" w:cs="Arial" w:eastAsia="Arial" w:hAnsi="Arial"/>
          <w:sz w:val="20"/>
          <w:szCs w:val="20"/>
          <w:color w:val="auto"/>
        </w:rPr>
        <w:t>1.2.1.</w:t>
        <w:tab/>
        <w:t>The Raytheon Technologies Corporation Executive Annual Incentive Plan was established effective as of April 26, 2021, the date the Plan was approved by shareholders (the “Effective Date”).</w:t>
      </w:r>
    </w:p>
    <w:p>
      <w:pPr>
        <w:spacing w:after="0" w:line="204" w:lineRule="exact"/>
        <w:rPr>
          <w:sz w:val="20"/>
          <w:szCs w:val="20"/>
          <w:color w:val="auto"/>
        </w:rPr>
      </w:pPr>
    </w:p>
    <w:p>
      <w:pPr>
        <w:ind w:left="1620" w:right="260" w:hanging="647"/>
        <w:spacing w:after="0" w:line="268" w:lineRule="auto"/>
        <w:tabs>
          <w:tab w:leader="none" w:pos="1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The Plan is hereby amended and restated, effective as of October 1, 2023, for purposes of renaming the Plan, the RTX Corporation Executive Annual Incentive Plan, changing all company references from ‘Raytheon Technologies Corporation’ to ‘RTX Corporation’, updating the name of the ‘Compensation Committee’ to the ‘Human Capital &amp; Compensation Committee’ and certain other minor administrative changes.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Definitions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the Plan, the following terms shall have the following meanings: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“Affiliated Entity” means any entity controlled by, controlling or under common control with the 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“Award” means a cash award based on the achievement of performance goals for a Performance Period.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“Board” means the Board of Directors of the Company.</w:t>
      </w:r>
    </w:p>
    <w:p>
      <w:pPr>
        <w:spacing w:after="0" w:line="243"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“Change in Control” has the meaning set forth in the Company’s 2018 Long-Term Incentives Plan, as amended, (or any successor plan thereto).</w:t>
      </w:r>
    </w:p>
    <w:p>
      <w:pPr>
        <w:spacing w:after="0" w:line="204" w:lineRule="exact"/>
        <w:rPr>
          <w:sz w:val="20"/>
          <w:szCs w:val="20"/>
          <w:color w:val="auto"/>
        </w:rPr>
      </w:pPr>
    </w:p>
    <w:p>
      <w:pPr>
        <w:ind w:right="420"/>
        <w:spacing w:after="0" w:line="274" w:lineRule="auto"/>
        <w:rPr>
          <w:sz w:val="20"/>
          <w:szCs w:val="20"/>
          <w:color w:val="auto"/>
        </w:rPr>
      </w:pPr>
      <w:r>
        <w:rPr>
          <w:rFonts w:ascii="Arial" w:cs="Arial" w:eastAsia="Arial" w:hAnsi="Arial"/>
          <w:sz w:val="20"/>
          <w:szCs w:val="20"/>
          <w:color w:val="auto"/>
        </w:rPr>
        <w:t>“Code” means the Internal Revenue Code of 1986, as amended from time to time, and all regulations, interpretations, and administrative guidance issued thereunder.</w:t>
      </w:r>
    </w:p>
    <w:p>
      <w:pPr>
        <w:spacing w:after="0" w:line="190" w:lineRule="exact"/>
        <w:rPr>
          <w:sz w:val="20"/>
          <w:szCs w:val="20"/>
          <w:color w:val="auto"/>
        </w:rPr>
      </w:pPr>
    </w:p>
    <w:p>
      <w:pPr>
        <w:jc w:val="both"/>
        <w:ind w:right="180"/>
        <w:spacing w:after="0" w:line="257" w:lineRule="auto"/>
        <w:rPr>
          <w:sz w:val="20"/>
          <w:szCs w:val="20"/>
          <w:color w:val="auto"/>
        </w:rPr>
      </w:pPr>
      <w:r>
        <w:rPr>
          <w:rFonts w:ascii="Arial" w:cs="Arial" w:eastAsia="Arial" w:hAnsi="Arial"/>
          <w:sz w:val="20"/>
          <w:szCs w:val="20"/>
          <w:color w:val="auto"/>
        </w:rPr>
        <w:t>“Committee” means the Human Capital &amp; Compensation Committee of the Board, or such other committee as the Board may from time to time designate, which committee shall be comprised of not less than two directors and shall be appointed by and serve at the pleasure of the Board.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“Company” means RTX Corporation, a Delaware corporation, or its successor.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has the meaning set forth in Section 1.</w:t>
      </w:r>
    </w:p>
    <w:p>
      <w:pPr>
        <w:sectPr>
          <w:pgSz w:w="11900" w:h="16838" w:orient="portrait"/>
          <w:cols w:equalWidth="0" w:num="1">
            <w:col w:w="11240"/>
          </w:cols>
          <w:pgMar w:left="320" w:top="130" w:right="339" w:bottom="1440" w:gutter="0" w:footer="0" w:header="0"/>
        </w:sectPr>
      </w:pPr>
    </w:p>
    <w:bookmarkStart w:id="133" w:name="page134"/>
    <w:bookmarkEnd w:id="133"/>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“Eligible Employee” means any employee who has been designated by the Company or an Affiliated Entity as an executive (e.g., employee grades E5, E4, E3, E2 and E1), selected for participation in the Plan by the Company or an Affiliated Entity, who is on the active salaried payroll of the Company or an Affiliated Entity at any time during the Performance Period to which an Award relates.</w:t>
      </w:r>
    </w:p>
    <w:p>
      <w:pPr>
        <w:spacing w:after="0" w:line="18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“Exchange Act” means the Securities Exchange Act of 1934, as amended from time to time, and any successor thereto. “Executive Officer” means an officer of the Company who is subject to Section 16 of the Exchange Act.</w:t>
      </w:r>
    </w:p>
    <w:p>
      <w:pPr>
        <w:spacing w:after="0" w:line="217"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“Performance Period” means the Company’s fiscal year, or such other period designated by the Committee. The Performance Period for the year in which the Effective Date occurs shall be the full fiscal year notwithstanding the fact that the Plan does not become effective until the Effective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“Plan” has the meaning set forth in Section 1.</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“Section 409A” means Section 409A of the Code.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“Stub Period” means the portion of a Performance Period that ends on the date of a Change-in-Control.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Administration</w:t>
      </w:r>
    </w:p>
    <w:p>
      <w:pPr>
        <w:spacing w:after="0" w:line="26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Plan shall be administered by the Committee, who shall have the authority in its sole and absolute discretion, subject to, and consistent with, the express provisions of the Plan and applicable law, to administer the Plan (including all related Plan documents) and to exercise all the powers and authorities either specifically granted to it under the Plan or necessary or advisable in the administration of the Plan, including, without limitation, to determine who should be granted Awards and the amount of the Awards; to determine the time or times at which Awards shall be granted; to determine the terms, conditions, restrictions and performance criteria, including performance goals, relating to any Award; to determine whether, to what extent, and under what circumstances an Award may be settled, cancelled, forfeited, or surrendered; to increase or decrease the value of an Award to differentiate the performance of individual Eligible Employees and/or business or functional units of the Company; to make adjustments in performance goals or results in recognition of unusual, unexpected, or non-recurring events, including mergers, acquisitions and dispositions, or in response to changes in applicable laws, regulations, or accounting principles, or for any other reason; to construe and interpret the Plan and any Plan document; to prescribe, amend and rescind rules and regulations relating to the Plan; to determine the terms and provisions of any Award documents; and to make all other determinations deemed necessary or advisable for the administration of the Plan.</w:t>
      </w:r>
    </w:p>
    <w:p>
      <w:pPr>
        <w:spacing w:after="0" w:line="202"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The Committee may delegate such duties under the Plan as it may deem advisable to any person or persons selected by it, and for all purposes of the Plan, such delegate(s) shall be treated as the Committee; provided, however, that the Committee shall administer the Plan for all Executive Officers. Provided further, that no delegate may designate himself or herself as an Award recipient under the delegated authority. All decisions, determinations and interpretations of the Committee, or its delegate(s) shall be final and binding on all persons, including the Company, Affiliated Entities, Eligible Employees (or any person claiming any rights under the Plan from or through any Eligible Employee) and any shareowner.</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No member of the Board or the Committee shall be liable for any action taken or determination made in good faith with respect to the Plan or any Award granted hereunder. To the extent permitted by law, the Committee and all appointed delegates shall be indemnified by the Company and saved harmless against</w:t>
      </w:r>
    </w:p>
    <w:p>
      <w:pPr>
        <w:sectPr>
          <w:pgSz w:w="11900" w:h="16838" w:orient="portrait"/>
          <w:cols w:equalWidth="0" w:num="1">
            <w:col w:w="11220"/>
          </w:cols>
          <w:pgMar w:left="320" w:top="1440" w:right="359" w:bottom="1440" w:gutter="0" w:footer="0" w:header="0"/>
        </w:sectPr>
      </w:pPr>
    </w:p>
    <w:bookmarkStart w:id="134" w:name="page135"/>
    <w:bookmarkEnd w:id="134"/>
    <w:p>
      <w:pPr>
        <w:ind w:right="60"/>
        <w:spacing w:after="0" w:line="260" w:lineRule="auto"/>
        <w:rPr>
          <w:sz w:val="20"/>
          <w:szCs w:val="20"/>
          <w:color w:val="auto"/>
        </w:rPr>
      </w:pPr>
      <w:r>
        <w:rPr>
          <w:rFonts w:ascii="Arial" w:cs="Arial" w:eastAsia="Arial" w:hAnsi="Arial"/>
          <w:sz w:val="20"/>
          <w:szCs w:val="20"/>
          <w:color w:val="auto"/>
        </w:rPr>
        <w:t>any claims and the expenses of defending against such claims, resulting from any action or conduct relating to the administration of the Plan, except claims arising from gross negligence, willful neglect or willful misconduct.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Eligibility</w:t>
      </w:r>
    </w:p>
    <w:p>
      <w:pPr>
        <w:spacing w:after="0" w:line="24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Only Eligible Employees may be granted Awards under the Plan. Unless otherwise determined by the Committee or its delegate, an Eligible Employee, who commences employment with the Company or an Affiliated Entity following the start of a Performance Period, may be eligible for a pro-rata Award for the period of time employed during such Performance Period. Unless otherwise required by local regulation or legislation, an Eligible Employee may not participate in this Plan and another annual incentive plan of the Company or an Affiliated Entity simultaneously or for the same Performance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Performance Goals</w:t>
      </w:r>
    </w:p>
    <w:p>
      <w:pPr>
        <w:spacing w:after="0" w:line="26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Performance goals may consist of financial, operational and strategic performance measures for the Company, an Affiliated Entity and/or any business or functional unit thereof; individual performance goals for Eligible Employees; and/or such other goals as may be determined by the Committee. Performance goals shall be set prior to, or reasonably promptly following, the start of the Performance Period.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Annual Incentive Targets</w:t>
      </w:r>
    </w:p>
    <w:p>
      <w:pPr>
        <w:spacing w:after="0" w:line="249"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The annual target incentive amount shall be expressed as a percentage of the Eligible Employee’s annual salary in effect on December 1st of the Performance Period (or, for purposes of Section 9, the first day of the month immediately preceding the month in which a Change-in-Control occurs), unless otherwise specified in the Award.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Determination and Payment of Awards</w:t>
      </w: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Payments, if any, due in respect of Awards shall be paid in a lump sum in cash. Cash payments made in respect of Awards will be paid as soon as administratively practicable following the end of the applicable Performance Period and the Committee’s determination of the achievement of the underlying performance goals, and, for Eligible Employees on a United States-based payroll or otherwise subject to taxation in the United States, no later than the 15th day of the third month following the end of the Performance Period. In order to be eligible to receive an Award, an Eligible Employee must be employed on the last day of the Performance Period, subject to Section 9 hereof and any rules established under the Plan from time to time. The Committee may, in its sole discretion, permit Eligible Employees to defer the payment of Awards in accordance with and subject to the terms of one or more deferred compensation plans sponsored by the Company or an Affiliated Entity. The Committee’s decisions regarding the amount of each Award shall be final, binding and conclusive for all purposes and need not be consistent among Eligible Employees.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Clawback</w:t>
      </w:r>
    </w:p>
    <w:p>
      <w:pPr>
        <w:spacing w:after="0" w:line="249" w:lineRule="exact"/>
        <w:rPr>
          <w:sz w:val="20"/>
          <w:szCs w:val="20"/>
          <w:color w:val="auto"/>
        </w:rPr>
      </w:pPr>
    </w:p>
    <w:p>
      <w:pPr>
        <w:jc w:val="both"/>
        <w:ind w:right="460"/>
        <w:spacing w:after="0" w:line="257" w:lineRule="auto"/>
        <w:rPr>
          <w:sz w:val="20"/>
          <w:szCs w:val="20"/>
          <w:color w:val="auto"/>
        </w:rPr>
      </w:pPr>
      <w:r>
        <w:rPr>
          <w:rFonts w:ascii="Arial" w:cs="Arial" w:eastAsia="Arial" w:hAnsi="Arial"/>
          <w:sz w:val="20"/>
          <w:szCs w:val="20"/>
          <w:color w:val="auto"/>
        </w:rPr>
        <w:t>Eligible Employees shall be subject to any applicable clawback, recoupment or other similar policies required by law or regulations, or adopted by the Committee, as in effect from time to time, and Awards paid to an Eligible Employee shall be subject to the terms of such policies, as in effect from time to time.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Change-in-Control</w:t>
      </w:r>
    </w:p>
    <w:p>
      <w:pPr>
        <w:sectPr>
          <w:pgSz w:w="11900" w:h="16838" w:orient="portrait"/>
          <w:cols w:equalWidth="0" w:num="1">
            <w:col w:w="11240"/>
          </w:cols>
          <w:pgMar w:left="320" w:top="1419" w:right="339" w:bottom="1440" w:gutter="0" w:footer="0" w:header="0"/>
        </w:sectPr>
      </w:pPr>
    </w:p>
    <w:bookmarkStart w:id="135" w:name="page136"/>
    <w:bookmarkEnd w:id="135"/>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Notwithstanding anything to the contrary in the Plan, upon a Change-in-Control this Plan shall terminate and each Eligible Employee shall be entitled to a lump sum cash payment for the Stub Period. The payment calculated prior to any proration to account for the Stub Period shall be the Eligible Employee’s target incentive amount for the Performance Period. The proration will be determined by dividing the number of days completed in the Stub Period immediately prior to the date of the Change-in-Control by the total number of days in the Performance Period. Payments due as a result of the termination of the Plan upon a Change-in-Control shall be made within 30 days following the date of the Change-in-Control and shall be made to all Eligible Employees who were employed by the Company or an Affiliated Entity immediately prior to the date of the Change-in-Control, regardless of whether they are still employed on the payment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Amendment and Termination of the Plan</w:t>
      </w:r>
    </w:p>
    <w:p>
      <w:pPr>
        <w:spacing w:after="0" w:line="249" w:lineRule="exact"/>
        <w:rPr>
          <w:sz w:val="20"/>
          <w:szCs w:val="20"/>
          <w:color w:val="auto"/>
        </w:rPr>
      </w:pPr>
    </w:p>
    <w:p>
      <w:pPr>
        <w:ind w:right="160"/>
        <w:spacing w:after="0" w:line="268" w:lineRule="auto"/>
        <w:rPr>
          <w:sz w:val="20"/>
          <w:szCs w:val="20"/>
          <w:color w:val="auto"/>
        </w:rPr>
      </w:pPr>
      <w:r>
        <w:rPr>
          <w:rFonts w:ascii="Arial" w:cs="Arial" w:eastAsia="Arial" w:hAnsi="Arial"/>
          <w:sz w:val="19"/>
          <w:szCs w:val="19"/>
          <w:color w:val="auto"/>
        </w:rPr>
        <w:t>The Board or the Committee shall have the right at any time to amend, suspend, discontinue or terminate the Plan, in whole or in part; provided, however, (i) that no such amendment of the Plan shall operate to annul or diminish, without the consent of the Eligible Employee, an Award already made hereunder, except in the case of a recoupment of awards under the Plan in connection with a Company clawback policy; and (ii) no amendment adopted in connection with or in anticipation of a Change-in-Control shall adversely affect an Eligible Employee’s entitlement to an Award for the Stub Period following a Change-in-Control.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Personal Data</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connection with managing and administering the Plan, the Company processes certain personal information about Eligible Employees including, but not limited to, name, home address, telephone number, date of birth, social insurance number, salary, nationality, job title, shares or directorships held in the Company, and details of all Awards paid or pending payment. Some of this information is collected by the Eligible Employee’s local employer and is transferred to the Company, as needed, for the purposes of implementation, administration, and management of the Plan. This information may also be shared with third parties providing services to the Company in connection with the Plan, and the Company takes all necessary steps, in accordance with applicable data protection laws, to ensure that such personal information is adequately protected. The Company is headquartered in the United States, and some of its subsidiaries and affiliates are located outside of the United States. The Company will have in place standard contractual clauses approved by the European Commission to allow for transfer of personal data outside the European Union or European Economic Area. Likewise, the Company will take all necessary measures, in accordance with applicable data protection laws, to protect personal information relating to Eligible Employees located in countries with data privacy laws that is transferred to other countries. Applicable data privacy laws may provide Eligible Employees the right to review and, if factually inaccurate, correct any personal information relating to them.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Miscellaneous</w:t>
      </w:r>
    </w:p>
    <w:p>
      <w:pPr>
        <w:spacing w:after="0" w:line="249" w:lineRule="exact"/>
        <w:rPr>
          <w:sz w:val="20"/>
          <w:szCs w:val="20"/>
          <w:color w:val="auto"/>
        </w:rPr>
      </w:pPr>
    </w:p>
    <w:p>
      <w:pPr>
        <w:ind w:left="920" w:right="20" w:hanging="647"/>
        <w:spacing w:after="0" w:line="282" w:lineRule="auto"/>
        <w:tabs>
          <w:tab w:leader="none" w:pos="9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Each Award is intended to be excluded from coverage under Section 409A as a short-term deferral unless, and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that, a deferral election for such Award is made pursuant to a deferred compensation plan sponsored by the Company or an Affiliated Entity. If an Award does not qualify as a short-term deferral or for another exemption under Section 409A, it is intended that such Award will be paid in a manner that satisfies the requirements of Section 409A, and in the event any Award is payable to a “specified employee” (as determined in accordance with the methodology established by the Company</w:t>
      </w:r>
    </w:p>
    <w:p>
      <w:pPr>
        <w:sectPr>
          <w:pgSz w:w="11900" w:h="16838" w:orient="portrait"/>
          <w:cols w:equalWidth="0" w:num="1">
            <w:col w:w="11240"/>
          </w:cols>
          <w:pgMar w:left="320" w:top="1440" w:right="339" w:bottom="1440" w:gutter="0" w:footer="0" w:header="0"/>
        </w:sectPr>
      </w:pPr>
    </w:p>
    <w:bookmarkStart w:id="136" w:name="page137"/>
    <w:bookmarkEnd w:id="136"/>
    <w:p>
      <w:pPr>
        <w:ind w:left="100" w:right="200"/>
        <w:spacing w:after="0" w:line="288" w:lineRule="auto"/>
        <w:rPr>
          <w:sz w:val="20"/>
          <w:szCs w:val="20"/>
          <w:color w:val="auto"/>
        </w:rPr>
      </w:pPr>
      <w:r>
        <w:rPr>
          <w:rFonts w:ascii="Arial" w:cs="Arial" w:eastAsia="Arial" w:hAnsi="Arial"/>
          <w:sz w:val="18"/>
          <w:szCs w:val="18"/>
          <w:color w:val="auto"/>
        </w:rPr>
        <w:t>in accordance with Section 409A) that would be payable during the six-month period following the specified employee’s “separation from service” (as determined in compliance with the methodology established by the Company in accordance with Section 409A) shall instead by paid on the first business day of the seventh month following the separation from service to the extent necessary to avoid the imposition of any additional taxes or penalties under Section 409A.</w:t>
      </w:r>
    </w:p>
    <w:p>
      <w:pPr>
        <w:spacing w:after="0" w:line="181" w:lineRule="exact"/>
        <w:rPr>
          <w:sz w:val="20"/>
          <w:szCs w:val="20"/>
          <w:color w:val="auto"/>
        </w:rPr>
      </w:pPr>
    </w:p>
    <w:p>
      <w:pPr>
        <w:ind w:hanging="647"/>
        <w:spacing w:after="0" w:line="274" w:lineRule="auto"/>
        <w:rPr>
          <w:sz w:val="20"/>
          <w:szCs w:val="20"/>
          <w:color w:val="auto"/>
        </w:rPr>
      </w:pPr>
      <w:r>
        <w:rPr>
          <w:rFonts w:ascii="Arial" w:cs="Arial" w:eastAsia="Arial" w:hAnsi="Arial"/>
          <w:sz w:val="20"/>
          <w:szCs w:val="20"/>
          <w:color w:val="auto"/>
        </w:rPr>
        <w:t>12.2</w:t>
      </w:r>
      <w:r>
        <w:rPr>
          <w:sz w:val="20"/>
          <w:szCs w:val="20"/>
          <w:color w:val="auto"/>
        </w:rPr>
        <w:t xml:space="preserve"> </w:t>
      </w:r>
      <w:r>
        <w:rPr>
          <w:rFonts w:ascii="Arial" w:cs="Arial" w:eastAsia="Arial" w:hAnsi="Arial"/>
          <w:sz w:val="20"/>
          <w:szCs w:val="20"/>
          <w:i w:val="1"/>
          <w:iCs w:val="1"/>
          <w:color w:val="auto"/>
        </w:rPr>
        <w:t xml:space="preserve">Additional Compensation Arrangement. </w:t>
      </w:r>
      <w:r>
        <w:rPr>
          <w:rFonts w:ascii="Arial" w:cs="Arial" w:eastAsia="Arial" w:hAnsi="Arial"/>
          <w:sz w:val="20"/>
          <w:szCs w:val="20"/>
          <w:color w:val="auto"/>
        </w:rPr>
        <w:t>Nothing contained in this Plan shall prevent or limit the Company or any Affiliated Entity</w:t>
      </w:r>
      <w:r>
        <w:rPr>
          <w:rFonts w:ascii="Arial" w:cs="Arial" w:eastAsia="Arial" w:hAnsi="Arial"/>
          <w:sz w:val="20"/>
          <w:szCs w:val="20"/>
          <w:i w:val="1"/>
          <w:iCs w:val="1"/>
          <w:color w:val="auto"/>
        </w:rPr>
        <w:t xml:space="preserve"> </w:t>
      </w:r>
      <w:r>
        <w:rPr>
          <w:rFonts w:ascii="Arial" w:cs="Arial" w:eastAsia="Arial" w:hAnsi="Arial"/>
          <w:sz w:val="20"/>
          <w:szCs w:val="20"/>
          <w:color w:val="auto"/>
        </w:rPr>
        <w:t>from adopting other or additional compensation arrangements for any employee.</w:t>
      </w:r>
    </w:p>
    <w:p>
      <w:pPr>
        <w:spacing w:after="0" w:line="190" w:lineRule="exact"/>
        <w:rPr>
          <w:sz w:val="20"/>
          <w:szCs w:val="20"/>
          <w:color w:val="auto"/>
        </w:rPr>
      </w:pPr>
    </w:p>
    <w:p>
      <w:pPr>
        <w:ind w:right="480" w:hanging="647"/>
        <w:spacing w:after="0" w:line="260" w:lineRule="auto"/>
        <w:rPr>
          <w:sz w:val="20"/>
          <w:szCs w:val="20"/>
          <w:color w:val="auto"/>
        </w:rPr>
      </w:pPr>
      <w:r>
        <w:rPr>
          <w:rFonts w:ascii="Arial" w:cs="Arial" w:eastAsia="Arial" w:hAnsi="Arial"/>
          <w:sz w:val="20"/>
          <w:szCs w:val="20"/>
          <w:color w:val="auto"/>
        </w:rPr>
        <w:t>12.3</w:t>
      </w:r>
      <w:r>
        <w:rPr>
          <w:sz w:val="20"/>
          <w:szCs w:val="20"/>
          <w:color w:val="auto"/>
        </w:rPr>
        <w:t xml:space="preserve"> </w:t>
      </w:r>
      <w:r>
        <w:rPr>
          <w:rFonts w:ascii="Arial" w:cs="Arial" w:eastAsia="Arial" w:hAnsi="Arial"/>
          <w:sz w:val="20"/>
          <w:szCs w:val="20"/>
          <w:i w:val="1"/>
          <w:iCs w:val="1"/>
          <w:color w:val="auto"/>
        </w:rPr>
        <w:t xml:space="preserve">Plan Participation. </w:t>
      </w:r>
      <w:r>
        <w:rPr>
          <w:rFonts w:ascii="Arial" w:cs="Arial" w:eastAsia="Arial" w:hAnsi="Arial"/>
          <w:sz w:val="20"/>
          <w:szCs w:val="20"/>
          <w:color w:val="auto"/>
        </w:rPr>
        <w:t>Participation in the Plan is voluntary and at the complete discretion of the Company. Receipt of a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Award does not give rise to a vested right or entitlement to receipt of a future Award.</w:t>
      </w:r>
    </w:p>
    <w:p>
      <w:pPr>
        <w:spacing w:after="0" w:line="204" w:lineRule="exact"/>
        <w:rPr>
          <w:sz w:val="20"/>
          <w:szCs w:val="20"/>
          <w:color w:val="auto"/>
        </w:rPr>
      </w:pPr>
    </w:p>
    <w:p>
      <w:pPr>
        <w:ind w:right="80" w:hanging="647"/>
        <w:spacing w:after="0" w:line="288" w:lineRule="auto"/>
        <w:rPr>
          <w:sz w:val="20"/>
          <w:szCs w:val="20"/>
          <w:color w:val="auto"/>
        </w:rPr>
      </w:pPr>
      <w:r>
        <w:rPr>
          <w:rFonts w:ascii="Arial" w:cs="Arial" w:eastAsia="Arial" w:hAnsi="Arial"/>
          <w:sz w:val="20"/>
          <w:szCs w:val="20"/>
          <w:color w:val="auto"/>
        </w:rPr>
        <w:t>12.4</w:t>
      </w:r>
      <w:r>
        <w:rPr>
          <w:sz w:val="20"/>
          <w:szCs w:val="20"/>
          <w:color w:val="auto"/>
        </w:rPr>
        <w:t xml:space="preserve"> </w:t>
      </w:r>
      <w:r>
        <w:rPr>
          <w:rFonts w:ascii="Arial" w:cs="Arial" w:eastAsia="Arial" w:hAnsi="Arial"/>
          <w:sz w:val="18"/>
          <w:szCs w:val="18"/>
          <w:i w:val="1"/>
          <w:iCs w:val="1"/>
          <w:color w:val="auto"/>
        </w:rPr>
        <w:t xml:space="preserve">No Contract of Employment. </w:t>
      </w:r>
      <w:r>
        <w:rPr>
          <w:rFonts w:ascii="Arial" w:cs="Arial" w:eastAsia="Arial" w:hAnsi="Arial"/>
          <w:sz w:val="18"/>
          <w:szCs w:val="18"/>
          <w:color w:val="auto"/>
        </w:rPr>
        <w:t>This Plan shall not constitute a contract of employment, and adoption of this Plan or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shall not confer upon any employee any right to continued employment or payment for future Awards, nor shall it interfere in any way with the right of the Company or any Affiliated Entity to terminate the employment of any employee at any time. This Plan shall not be deemed to constitute part of an Eligible Employee’s terms and conditions of employment.</w:t>
      </w:r>
    </w:p>
    <w:p>
      <w:pPr>
        <w:spacing w:after="0" w:line="194" w:lineRule="exact"/>
        <w:rPr>
          <w:sz w:val="20"/>
          <w:szCs w:val="20"/>
          <w:color w:val="auto"/>
        </w:rPr>
      </w:pPr>
    </w:p>
    <w:p>
      <w:pPr>
        <w:ind w:hanging="647"/>
        <w:spacing w:after="0" w:line="260" w:lineRule="auto"/>
        <w:rPr>
          <w:sz w:val="20"/>
          <w:szCs w:val="20"/>
          <w:color w:val="auto"/>
        </w:rPr>
      </w:pPr>
      <w:r>
        <w:rPr>
          <w:rFonts w:ascii="Arial" w:cs="Arial" w:eastAsia="Arial" w:hAnsi="Arial"/>
          <w:sz w:val="20"/>
          <w:szCs w:val="20"/>
          <w:color w:val="auto"/>
        </w:rPr>
        <w:t>12.5</w:t>
      </w:r>
      <w:r>
        <w:rPr>
          <w:sz w:val="20"/>
          <w:szCs w:val="20"/>
          <w:color w:val="auto"/>
        </w:rPr>
        <w:t xml:space="preserve"> </w:t>
      </w:r>
      <w:r>
        <w:rPr>
          <w:rFonts w:ascii="Arial" w:cs="Arial" w:eastAsia="Arial" w:hAnsi="Arial"/>
          <w:sz w:val="20"/>
          <w:szCs w:val="20"/>
          <w:i w:val="1"/>
          <w:iCs w:val="1"/>
          <w:color w:val="auto"/>
        </w:rPr>
        <w:t xml:space="preserve">Plan Expenses. </w:t>
      </w:r>
      <w:r>
        <w:rPr>
          <w:rFonts w:ascii="Arial" w:cs="Arial" w:eastAsia="Arial" w:hAnsi="Arial"/>
          <w:sz w:val="20"/>
          <w:szCs w:val="20"/>
          <w:color w:val="auto"/>
        </w:rPr>
        <w:t>All expenses and costs in connection with the operation of the Plan shall be borne by the Company or an Affiliated</w:t>
      </w:r>
      <w:r>
        <w:rPr>
          <w:rFonts w:ascii="Arial" w:cs="Arial" w:eastAsia="Arial" w:hAnsi="Arial"/>
          <w:sz w:val="20"/>
          <w:szCs w:val="20"/>
          <w:i w:val="1"/>
          <w:iCs w:val="1"/>
          <w:color w:val="auto"/>
        </w:rPr>
        <w:t xml:space="preserve"> </w:t>
      </w:r>
      <w:r>
        <w:rPr>
          <w:rFonts w:ascii="Arial" w:cs="Arial" w:eastAsia="Arial" w:hAnsi="Arial"/>
          <w:sz w:val="20"/>
          <w:szCs w:val="20"/>
          <w:color w:val="auto"/>
        </w:rPr>
        <w:t>Entity and no part thereof shall be charged against Awards, or to Eligible Employees.</w:t>
      </w:r>
    </w:p>
    <w:p>
      <w:pPr>
        <w:spacing w:after="0" w:line="204" w:lineRule="exact"/>
        <w:rPr>
          <w:sz w:val="20"/>
          <w:szCs w:val="20"/>
          <w:color w:val="auto"/>
        </w:rPr>
      </w:pPr>
    </w:p>
    <w:p>
      <w:pPr>
        <w:ind w:right="100" w:hanging="647"/>
        <w:spacing w:after="0" w:line="277" w:lineRule="auto"/>
        <w:rPr>
          <w:sz w:val="20"/>
          <w:szCs w:val="20"/>
          <w:color w:val="auto"/>
        </w:rPr>
      </w:pPr>
      <w:r>
        <w:rPr>
          <w:rFonts w:ascii="Arial" w:cs="Arial" w:eastAsia="Arial" w:hAnsi="Arial"/>
          <w:sz w:val="20"/>
          <w:szCs w:val="20"/>
          <w:color w:val="auto"/>
        </w:rPr>
        <w:t>12.6</w:t>
      </w:r>
      <w:r>
        <w:rPr>
          <w:sz w:val="20"/>
          <w:szCs w:val="20"/>
          <w:color w:val="auto"/>
        </w:rPr>
        <w:t xml:space="preserve"> </w:t>
      </w:r>
      <w:r>
        <w:rPr>
          <w:rFonts w:ascii="Arial" w:cs="Arial" w:eastAsia="Arial" w:hAnsi="Arial"/>
          <w:sz w:val="18"/>
          <w:szCs w:val="18"/>
          <w:i w:val="1"/>
          <w:iCs w:val="1"/>
          <w:color w:val="auto"/>
        </w:rPr>
        <w:t xml:space="preserve">Withholding. </w:t>
      </w:r>
      <w:r>
        <w:rPr>
          <w:rFonts w:ascii="Arial" w:cs="Arial" w:eastAsia="Arial" w:hAnsi="Arial"/>
          <w:sz w:val="18"/>
          <w:szCs w:val="18"/>
          <w:color w:val="auto"/>
        </w:rPr>
        <w:t>The Company or an Affiliated Entity shall have the right to deduct from Awards any applicable taxes, and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required to be withheld with respect to such payments. In addition, the Company or an Affiliated Entity also may withhold such amounts from other amounts payable by the Company or an Affiliated Entity, subject to applicable law.</w:t>
      </w:r>
    </w:p>
    <w:p>
      <w:pPr>
        <w:spacing w:after="0" w:line="1" w:lineRule="exact"/>
        <w:rPr>
          <w:sz w:val="20"/>
          <w:szCs w:val="20"/>
          <w:color w:val="auto"/>
        </w:rPr>
      </w:pPr>
    </w:p>
    <w:p>
      <w:pPr>
        <w:jc w:val="both"/>
        <w:ind w:right="320" w:hanging="647"/>
        <w:spacing w:after="0" w:line="289" w:lineRule="auto"/>
        <w:rPr>
          <w:sz w:val="20"/>
          <w:szCs w:val="20"/>
          <w:color w:val="auto"/>
        </w:rPr>
      </w:pPr>
      <w:r>
        <w:rPr>
          <w:rFonts w:ascii="Arial" w:cs="Arial" w:eastAsia="Arial" w:hAnsi="Arial"/>
          <w:sz w:val="20"/>
          <w:szCs w:val="20"/>
          <w:color w:val="auto"/>
        </w:rPr>
        <w:t>12.7</w:t>
      </w:r>
      <w:r>
        <w:rPr>
          <w:sz w:val="20"/>
          <w:szCs w:val="20"/>
          <w:color w:val="auto"/>
        </w:rPr>
        <w:t xml:space="preserve"> </w:t>
      </w:r>
      <w:r>
        <w:rPr>
          <w:rFonts w:ascii="Arial" w:cs="Arial" w:eastAsia="Arial" w:hAnsi="Arial"/>
          <w:sz w:val="18"/>
          <w:szCs w:val="18"/>
          <w:i w:val="1"/>
          <w:iCs w:val="1"/>
          <w:color w:val="auto"/>
        </w:rPr>
        <w:t xml:space="preserve">No Limitation on Corporate Actions. </w:t>
      </w:r>
      <w:r>
        <w:rPr>
          <w:rFonts w:ascii="Arial" w:cs="Arial" w:eastAsia="Arial" w:hAnsi="Arial"/>
          <w:sz w:val="18"/>
          <w:szCs w:val="18"/>
          <w:color w:val="auto"/>
        </w:rPr>
        <w:t>Nothing contained in the Plan shall be construed to prevent the Company or an Affiliated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 from taking or not taking any corporate action, whether or not such action could have an adverse effect on any Awards made under the Plan. No Eligible Employee, beneficiary or other person shall have any claim as a result of any such action.</w:t>
      </w:r>
    </w:p>
    <w:p>
      <w:pPr>
        <w:spacing w:after="0" w:line="181" w:lineRule="exact"/>
        <w:rPr>
          <w:sz w:val="20"/>
          <w:szCs w:val="20"/>
          <w:color w:val="auto"/>
        </w:rPr>
      </w:pPr>
    </w:p>
    <w:p>
      <w:pPr>
        <w:jc w:val="both"/>
        <w:ind w:right="480" w:hanging="647"/>
        <w:spacing w:after="0" w:line="257" w:lineRule="auto"/>
        <w:rPr>
          <w:sz w:val="20"/>
          <w:szCs w:val="20"/>
          <w:color w:val="auto"/>
        </w:rPr>
      </w:pPr>
      <w:r>
        <w:rPr>
          <w:rFonts w:ascii="Arial" w:cs="Arial" w:eastAsia="Arial" w:hAnsi="Arial"/>
          <w:sz w:val="20"/>
          <w:szCs w:val="20"/>
          <w:color w:val="auto"/>
        </w:rPr>
        <w:t>12.8</w:t>
      </w:r>
      <w:r>
        <w:rPr>
          <w:sz w:val="20"/>
          <w:szCs w:val="20"/>
          <w:color w:val="auto"/>
        </w:rPr>
        <w:t xml:space="preserve"> </w:t>
      </w:r>
      <w:r>
        <w:rPr>
          <w:rFonts w:ascii="Arial" w:cs="Arial" w:eastAsia="Arial" w:hAnsi="Arial"/>
          <w:sz w:val="20"/>
          <w:szCs w:val="20"/>
          <w:i w:val="1"/>
          <w:iCs w:val="1"/>
          <w:color w:val="auto"/>
        </w:rPr>
        <w:t xml:space="preserve">Unfunded Plan. </w:t>
      </w:r>
      <w:r>
        <w:rPr>
          <w:rFonts w:ascii="Arial" w:cs="Arial" w:eastAsia="Arial" w:hAnsi="Arial"/>
          <w:sz w:val="20"/>
          <w:szCs w:val="20"/>
          <w:color w:val="auto"/>
        </w:rPr>
        <w:t>The Plan is intended to constitute an unfunded plan for incentive compensation. Prior to the payment of any</w:t>
      </w:r>
      <w:r>
        <w:rPr>
          <w:rFonts w:ascii="Arial" w:cs="Arial" w:eastAsia="Arial" w:hAnsi="Arial"/>
          <w:sz w:val="20"/>
          <w:szCs w:val="20"/>
          <w:i w:val="1"/>
          <w:iCs w:val="1"/>
          <w:color w:val="auto"/>
        </w:rPr>
        <w:t xml:space="preserve"> </w:t>
      </w:r>
      <w:r>
        <w:rPr>
          <w:rFonts w:ascii="Arial" w:cs="Arial" w:eastAsia="Arial" w:hAnsi="Arial"/>
          <w:sz w:val="20"/>
          <w:szCs w:val="20"/>
          <w:color w:val="auto"/>
        </w:rPr>
        <w:t>Award, nothing contained herein shall give any rights that are greater than those of a general creditor of the Company or an Affiliated Entity.</w:t>
      </w:r>
    </w:p>
    <w:p>
      <w:pPr>
        <w:spacing w:after="0" w:line="206" w:lineRule="exact"/>
        <w:rPr>
          <w:sz w:val="20"/>
          <w:szCs w:val="20"/>
          <w:color w:val="auto"/>
        </w:rPr>
      </w:pPr>
    </w:p>
    <w:p>
      <w:pPr>
        <w:jc w:val="both"/>
        <w:ind w:right="120" w:hanging="647"/>
        <w:spacing w:after="0" w:line="257" w:lineRule="auto"/>
        <w:rPr>
          <w:sz w:val="20"/>
          <w:szCs w:val="20"/>
          <w:color w:val="auto"/>
        </w:rPr>
      </w:pPr>
      <w:r>
        <w:rPr>
          <w:rFonts w:ascii="Arial" w:cs="Arial" w:eastAsia="Arial" w:hAnsi="Arial"/>
          <w:sz w:val="20"/>
          <w:szCs w:val="20"/>
          <w:color w:val="auto"/>
        </w:rPr>
        <w:t>12.9</w:t>
      </w:r>
      <w:r>
        <w:rPr>
          <w:sz w:val="20"/>
          <w:szCs w:val="20"/>
          <w:color w:val="auto"/>
        </w:rPr>
        <w:t xml:space="preserve"> </w:t>
      </w:r>
      <w:r>
        <w:rPr>
          <w:rFonts w:ascii="Arial" w:cs="Arial" w:eastAsia="Arial" w:hAnsi="Arial"/>
          <w:sz w:val="20"/>
          <w:szCs w:val="20"/>
          <w:i w:val="1"/>
          <w:iCs w:val="1"/>
          <w:color w:val="auto"/>
        </w:rPr>
        <w:t xml:space="preserve">Severability. </w:t>
      </w:r>
      <w:r>
        <w:rPr>
          <w:rFonts w:ascii="Arial" w:cs="Arial" w:eastAsia="Arial" w:hAnsi="Arial"/>
          <w:sz w:val="20"/>
          <w:szCs w:val="20"/>
          <w:color w:val="auto"/>
        </w:rPr>
        <w:t>If any provision of this Plan is held invalid or unenforceable, its invalidity or unenforceability shall not affect any of</w:t>
      </w:r>
      <w:r>
        <w:rPr>
          <w:rFonts w:ascii="Arial" w:cs="Arial" w:eastAsia="Arial" w:hAnsi="Arial"/>
          <w:sz w:val="20"/>
          <w:szCs w:val="20"/>
          <w:i w:val="1"/>
          <w:iCs w:val="1"/>
          <w:color w:val="auto"/>
        </w:rPr>
        <w:t xml:space="preserve"> </w:t>
      </w:r>
      <w:r>
        <w:rPr>
          <w:rFonts w:ascii="Arial" w:cs="Arial" w:eastAsia="Arial" w:hAnsi="Arial"/>
          <w:sz w:val="20"/>
          <w:szCs w:val="20"/>
          <w:color w:val="auto"/>
        </w:rPr>
        <w:t>the other provisions of the Plan, and this Plan shall be construed and enforced as if such provision had not been included in the Plan.</w:t>
      </w:r>
    </w:p>
    <w:p>
      <w:pPr>
        <w:spacing w:after="0" w:line="206" w:lineRule="exact"/>
        <w:rPr>
          <w:sz w:val="20"/>
          <w:szCs w:val="20"/>
          <w:color w:val="auto"/>
        </w:rPr>
      </w:pPr>
    </w:p>
    <w:p>
      <w:pPr>
        <w:ind w:left="100" w:right="120" w:hanging="647"/>
        <w:spacing w:after="0" w:line="251" w:lineRule="auto"/>
        <w:tabs>
          <w:tab w:leader="none" w:pos="8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20"/>
          <w:szCs w:val="20"/>
          <w:i w:val="1"/>
          <w:iCs w:val="1"/>
          <w:color w:val="auto"/>
        </w:rPr>
        <w:t xml:space="preserve">Governing Law. </w:t>
      </w:r>
      <w:r>
        <w:rPr>
          <w:rFonts w:ascii="Arial" w:cs="Arial" w:eastAsia="Arial" w:hAnsi="Arial"/>
          <w:sz w:val="20"/>
          <w:szCs w:val="20"/>
          <w:color w:val="auto"/>
        </w:rPr>
        <w:t>While the Plan is intended to be administered in compliance with local laws and regulations, to the extent there</w:t>
      </w:r>
      <w:r>
        <w:rPr>
          <w:rFonts w:ascii="Arial" w:cs="Arial" w:eastAsia="Arial" w:hAnsi="Arial"/>
          <w:sz w:val="20"/>
          <w:szCs w:val="20"/>
          <w:i w:val="1"/>
          <w:iCs w:val="1"/>
          <w:color w:val="auto"/>
        </w:rPr>
        <w:t xml:space="preserve"> </w:t>
      </w:r>
      <w:r>
        <w:rPr>
          <w:rFonts w:ascii="Arial" w:cs="Arial" w:eastAsia="Arial" w:hAnsi="Arial"/>
          <w:sz w:val="20"/>
          <w:szCs w:val="20"/>
          <w:color w:val="auto"/>
        </w:rPr>
        <w:t>is a conflict, the Plan and all actions taken thereunder shall be governed by and interpreted in accordance with the laws of the State of Delaware without reference to principles of conflict of laws. The captions of this Plan are not part of the provisions hereof and shall have no force or effect.</w:t>
      </w:r>
    </w:p>
    <w:p>
      <w:pPr>
        <w:sectPr>
          <w:pgSz w:w="11900" w:h="16838" w:orient="portrait"/>
          <w:cols w:equalWidth="0" w:num="1">
            <w:col w:w="10340"/>
          </w:cols>
          <w:pgMar w:left="1200" w:top="1419" w:right="359" w:bottom="1440" w:gutter="0" w:footer="0" w:header="0"/>
        </w:sectPr>
      </w:pPr>
    </w:p>
    <w:bookmarkStart w:id="137" w:name="page138"/>
    <w:bookmarkEnd w:id="137"/>
    <w:p>
      <w:pPr>
        <w:spacing w:after="0" w:line="222" w:lineRule="exact"/>
        <w:rPr>
          <w:sz w:val="20"/>
          <w:szCs w:val="20"/>
          <w:color w:val="auto"/>
        </w:rPr>
      </w:pPr>
    </w:p>
    <w:p>
      <w:pPr>
        <w:ind w:right="20" w:hanging="647"/>
        <w:spacing w:after="0" w:line="251" w:lineRule="auto"/>
        <w:rPr>
          <w:sz w:val="20"/>
          <w:szCs w:val="20"/>
          <w:color w:val="auto"/>
        </w:rPr>
      </w:pPr>
      <w:r>
        <w:rPr>
          <w:rFonts w:ascii="Arial" w:cs="Arial" w:eastAsia="Arial" w:hAnsi="Arial"/>
          <w:sz w:val="20"/>
          <w:szCs w:val="20"/>
          <w:color w:val="auto"/>
        </w:rPr>
        <w:t>12.11</w:t>
      </w:r>
      <w:r>
        <w:rPr>
          <w:sz w:val="20"/>
          <w:szCs w:val="20"/>
          <w:color w:val="auto"/>
        </w:rPr>
        <w:t xml:space="preserve"> </w:t>
      </w:r>
      <w:r>
        <w:rPr>
          <w:rFonts w:ascii="Arial" w:cs="Arial" w:eastAsia="Arial" w:hAnsi="Arial"/>
          <w:sz w:val="20"/>
          <w:szCs w:val="20"/>
          <w:i w:val="1"/>
          <w:iCs w:val="1"/>
          <w:color w:val="auto"/>
        </w:rPr>
        <w:t xml:space="preserve">Nontransferability. </w:t>
      </w:r>
      <w:r>
        <w:rPr>
          <w:rFonts w:ascii="Arial" w:cs="Arial" w:eastAsia="Arial" w:hAnsi="Arial"/>
          <w:sz w:val="20"/>
          <w:szCs w:val="20"/>
          <w:color w:val="auto"/>
        </w:rPr>
        <w:t>A person’s rights and interests under the Plan, including any Award previously made to such person or any</w:t>
      </w:r>
      <w:r>
        <w:rPr>
          <w:rFonts w:ascii="Arial" w:cs="Arial" w:eastAsia="Arial" w:hAnsi="Arial"/>
          <w:sz w:val="20"/>
          <w:szCs w:val="20"/>
          <w:i w:val="1"/>
          <w:iCs w:val="1"/>
          <w:color w:val="auto"/>
        </w:rPr>
        <w:t xml:space="preserve"> </w:t>
      </w:r>
      <w:r>
        <w:rPr>
          <w:rFonts w:ascii="Arial" w:cs="Arial" w:eastAsia="Arial" w:hAnsi="Arial"/>
          <w:sz w:val="20"/>
          <w:szCs w:val="20"/>
          <w:color w:val="auto"/>
        </w:rPr>
        <w:t>amounts payable under the Plan, may not be sold, assigned, pledged, transferred or otherwise alienated or hypothecated except, in the event of death, to a designated beneficiary as may be provided in the Plan, or in the absence of such designation, by will or the laws of descent and distribution.</w:t>
      </w:r>
    </w:p>
    <w:p>
      <w:pPr>
        <w:spacing w:after="0" w:line="212" w:lineRule="exact"/>
        <w:rPr>
          <w:sz w:val="20"/>
          <w:szCs w:val="20"/>
          <w:color w:val="auto"/>
        </w:rPr>
      </w:pPr>
    </w:p>
    <w:p>
      <w:pPr>
        <w:ind w:left="20" w:right="40" w:hanging="647"/>
        <w:spacing w:after="0" w:line="249" w:lineRule="auto"/>
        <w:rPr>
          <w:sz w:val="20"/>
          <w:szCs w:val="20"/>
          <w:color w:val="auto"/>
        </w:rPr>
      </w:pPr>
      <w:r>
        <w:rPr>
          <w:rFonts w:ascii="Arial" w:cs="Arial" w:eastAsia="Arial" w:hAnsi="Arial"/>
          <w:sz w:val="20"/>
          <w:szCs w:val="20"/>
          <w:color w:val="auto"/>
        </w:rPr>
        <w:t>12.12</w:t>
      </w:r>
      <w:r>
        <w:rPr>
          <w:sz w:val="20"/>
          <w:szCs w:val="20"/>
          <w:color w:val="auto"/>
        </w:rPr>
        <w:t xml:space="preserve"> </w:t>
      </w:r>
      <w:r>
        <w:rPr>
          <w:rFonts w:ascii="Arial" w:cs="Arial" w:eastAsia="Arial" w:hAnsi="Arial"/>
          <w:sz w:val="20"/>
          <w:szCs w:val="20"/>
          <w:i w:val="1"/>
          <w:iCs w:val="1"/>
          <w:color w:val="auto"/>
        </w:rPr>
        <w:t xml:space="preserve">Beneficiaries. </w:t>
      </w:r>
      <w:r>
        <w:rPr>
          <w:rFonts w:ascii="Arial" w:cs="Arial" w:eastAsia="Arial" w:hAnsi="Arial"/>
          <w:sz w:val="20"/>
          <w:szCs w:val="20"/>
          <w:color w:val="auto"/>
        </w:rPr>
        <w:t>To the extent the Committee permits beneficiary designations, any payment of Awards under the Plan to a</w:t>
      </w:r>
      <w:r>
        <w:rPr>
          <w:rFonts w:ascii="Arial" w:cs="Arial" w:eastAsia="Arial" w:hAnsi="Arial"/>
          <w:sz w:val="20"/>
          <w:szCs w:val="20"/>
          <w:i w:val="1"/>
          <w:iCs w:val="1"/>
          <w:color w:val="auto"/>
        </w:rPr>
        <w:t xml:space="preserve"> </w:t>
      </w:r>
      <w:r>
        <w:rPr>
          <w:rFonts w:ascii="Arial" w:cs="Arial" w:eastAsia="Arial" w:hAnsi="Arial"/>
          <w:sz w:val="20"/>
          <w:szCs w:val="20"/>
          <w:color w:val="auto"/>
        </w:rPr>
        <w:t>deceased Eligible Employee shall be paid to the beneficiary duly designated by the Eligible Employee in accordance with the Company’s or an Affiliated Entity’s practices. If no such beneficiary has been designated or survives the Eligible Employee, payment shall be made to the Eligible Employee’s estate. A beneficiary designation, if such are permitted, may be changed or revoked by an Eligible Employee at any time, provided the change or revocation is filed with the Committee prior to the Eligible Employee’s death.</w:t>
      </w:r>
    </w:p>
    <w:p>
      <w:pPr>
        <w:spacing w:after="0" w:line="215" w:lineRule="exact"/>
        <w:rPr>
          <w:sz w:val="20"/>
          <w:szCs w:val="20"/>
          <w:color w:val="auto"/>
        </w:rPr>
      </w:pPr>
    </w:p>
    <w:p>
      <w:pPr>
        <w:ind w:left="20" w:right="340" w:hanging="647"/>
        <w:spacing w:after="0" w:line="277" w:lineRule="auto"/>
        <w:rPr>
          <w:sz w:val="20"/>
          <w:szCs w:val="20"/>
          <w:color w:val="auto"/>
        </w:rPr>
      </w:pPr>
      <w:r>
        <w:rPr>
          <w:rFonts w:ascii="Arial" w:cs="Arial" w:eastAsia="Arial" w:hAnsi="Arial"/>
          <w:sz w:val="20"/>
          <w:szCs w:val="20"/>
          <w:color w:val="auto"/>
        </w:rPr>
        <w:t>12.13</w:t>
      </w:r>
      <w:r>
        <w:rPr>
          <w:sz w:val="20"/>
          <w:szCs w:val="20"/>
          <w:color w:val="auto"/>
        </w:rPr>
        <w:t xml:space="preserve"> </w:t>
      </w:r>
      <w:r>
        <w:rPr>
          <w:rFonts w:ascii="Arial" w:cs="Arial" w:eastAsia="Arial" w:hAnsi="Arial"/>
          <w:sz w:val="19"/>
          <w:szCs w:val="19"/>
          <w:i w:val="1"/>
          <w:iCs w:val="1"/>
          <w:color w:val="auto"/>
        </w:rPr>
        <w:t xml:space="preserve">Successor. </w:t>
      </w:r>
      <w:r>
        <w:rPr>
          <w:rFonts w:ascii="Arial" w:cs="Arial" w:eastAsia="Arial" w:hAnsi="Arial"/>
          <w:sz w:val="19"/>
          <w:szCs w:val="19"/>
          <w:color w:val="auto"/>
        </w:rPr>
        <w:t>All obligations of the Company under the Plan, with respect to Awards granted hereunder, shall be binding on any</w:t>
      </w:r>
      <w:r>
        <w:rPr>
          <w:rFonts w:ascii="Arial" w:cs="Arial" w:eastAsia="Arial" w:hAnsi="Arial"/>
          <w:sz w:val="19"/>
          <w:szCs w:val="19"/>
          <w:i w:val="1"/>
          <w:iCs w:val="1"/>
          <w:color w:val="auto"/>
        </w:rPr>
        <w:t xml:space="preserve"> </w:t>
      </w:r>
      <w:r>
        <w:rPr>
          <w:rFonts w:ascii="Arial" w:cs="Arial" w:eastAsia="Arial" w:hAnsi="Arial"/>
          <w:sz w:val="19"/>
          <w:szCs w:val="19"/>
          <w:color w:val="auto"/>
        </w:rPr>
        <w:t>successor to the Company, whether the existence of such successor is the result of a direct or indirect purchase, merger, consolidation, or otherwise, of all or substantially all of the business or assets of the Company.</w:t>
      </w:r>
    </w:p>
    <w:p>
      <w:pPr>
        <w:spacing w:after="0" w:line="188" w:lineRule="exact"/>
        <w:rPr>
          <w:sz w:val="20"/>
          <w:szCs w:val="20"/>
          <w:color w:val="auto"/>
        </w:rPr>
      </w:pPr>
    </w:p>
    <w:p>
      <w:pPr>
        <w:ind w:left="20" w:right="380" w:hanging="647"/>
        <w:spacing w:after="0" w:line="251" w:lineRule="auto"/>
        <w:rPr>
          <w:sz w:val="20"/>
          <w:szCs w:val="20"/>
          <w:color w:val="auto"/>
        </w:rPr>
      </w:pPr>
      <w:r>
        <w:rPr>
          <w:rFonts w:ascii="Arial" w:cs="Arial" w:eastAsia="Arial" w:hAnsi="Arial"/>
          <w:sz w:val="20"/>
          <w:szCs w:val="20"/>
          <w:color w:val="auto"/>
        </w:rPr>
        <w:t>12.14</w:t>
      </w:r>
      <w:r>
        <w:rPr>
          <w:sz w:val="20"/>
          <w:szCs w:val="20"/>
          <w:color w:val="auto"/>
        </w:rPr>
        <w:t xml:space="preserve"> </w:t>
      </w:r>
      <w:r>
        <w:rPr>
          <w:rFonts w:ascii="Arial" w:cs="Arial" w:eastAsia="Arial" w:hAnsi="Arial"/>
          <w:sz w:val="20"/>
          <w:szCs w:val="20"/>
          <w:i w:val="1"/>
          <w:iCs w:val="1"/>
          <w:color w:val="auto"/>
        </w:rPr>
        <w:t xml:space="preserve">Relationship to Other Benefits. </w:t>
      </w:r>
      <w:r>
        <w:rPr>
          <w:rFonts w:ascii="Arial" w:cs="Arial" w:eastAsia="Arial" w:hAnsi="Arial"/>
          <w:sz w:val="20"/>
          <w:szCs w:val="20"/>
          <w:color w:val="auto"/>
        </w:rPr>
        <w:t>No payment of benefit under the Plan shall be taken into account in determining any benefits</w:t>
      </w:r>
      <w:r>
        <w:rPr>
          <w:rFonts w:ascii="Arial" w:cs="Arial" w:eastAsia="Arial" w:hAnsi="Arial"/>
          <w:sz w:val="20"/>
          <w:szCs w:val="20"/>
          <w:i w:val="1"/>
          <w:iCs w:val="1"/>
          <w:color w:val="auto"/>
        </w:rPr>
        <w:t xml:space="preserve"> </w:t>
      </w:r>
      <w:r>
        <w:rPr>
          <w:rFonts w:ascii="Arial" w:cs="Arial" w:eastAsia="Arial" w:hAnsi="Arial"/>
          <w:sz w:val="20"/>
          <w:szCs w:val="20"/>
          <w:color w:val="auto"/>
        </w:rPr>
        <w:t>pursuant to any pension, retirement, savings, profit sharing, group insurance, termination programs and/or indemnities or severance payments, welfare or other benefit plan of the Company or any Affiliated Entity, except to the extent otherwise expressly provided in writing in such other plan or arrangement.</w:t>
      </w:r>
    </w:p>
    <w:p>
      <w:pPr>
        <w:spacing w:after="0" w:line="212" w:lineRule="exact"/>
        <w:rPr>
          <w:sz w:val="20"/>
          <w:szCs w:val="20"/>
          <w:color w:val="auto"/>
        </w:rPr>
      </w:pPr>
    </w:p>
    <w:p>
      <w:pPr>
        <w:ind w:left="20" w:hanging="647"/>
        <w:spacing w:after="0" w:line="282" w:lineRule="auto"/>
        <w:rPr>
          <w:sz w:val="20"/>
          <w:szCs w:val="20"/>
          <w:color w:val="auto"/>
        </w:rPr>
      </w:pPr>
      <w:r>
        <w:rPr>
          <w:rFonts w:ascii="Arial" w:cs="Arial" w:eastAsia="Arial" w:hAnsi="Arial"/>
          <w:sz w:val="20"/>
          <w:szCs w:val="20"/>
          <w:color w:val="auto"/>
        </w:rPr>
        <w:t>12.15</w:t>
      </w:r>
      <w:r>
        <w:rPr>
          <w:sz w:val="20"/>
          <w:szCs w:val="20"/>
          <w:color w:val="auto"/>
        </w:rPr>
        <w:t xml:space="preserve"> </w:t>
      </w:r>
      <w:r>
        <w:rPr>
          <w:rFonts w:ascii="Arial" w:cs="Arial" w:eastAsia="Arial" w:hAnsi="Arial"/>
          <w:sz w:val="18"/>
          <w:szCs w:val="18"/>
          <w:i w:val="1"/>
          <w:iCs w:val="1"/>
          <w:color w:val="auto"/>
        </w:rPr>
        <w:t xml:space="preserve">Replacement Plan. </w:t>
      </w:r>
      <w:r>
        <w:rPr>
          <w:rFonts w:ascii="Arial" w:cs="Arial" w:eastAsia="Arial" w:hAnsi="Arial"/>
          <w:sz w:val="18"/>
          <w:szCs w:val="18"/>
          <w:color w:val="auto"/>
        </w:rPr>
        <w:t>This Plan is intended to replace the United Technologies Corporation Annual Executive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(“ICP”), as amended. As allowed by local law, all reference to the ICP in individual employment agreements is hereby replaced with reference to the RTX Corporation Executive Annual Incentive Plan. As provided in Section 4, an Eligible Employee may not participate in this Plan and another annual incentive plan of the Company or an Affiliated Entity simultaneously or for the same Performance Period. If an Eligible Employee makes a claim for benefits under the ICP or other annual incentive plan, any award under this Plan for the same Performance Period shall be immediately forfeit.</w:t>
      </w:r>
    </w:p>
    <w:p>
      <w:pPr>
        <w:sectPr>
          <w:pgSz w:w="11900" w:h="16838" w:orient="portrait"/>
          <w:cols w:equalWidth="0" w:num="1">
            <w:col w:w="10260"/>
          </w:cols>
          <w:pgMar w:left="1280" w:top="1440" w:right="35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RTX CORPORATION</w:t>
      </w:r>
    </w:p>
    <w:p>
      <w:pPr>
        <w:jc w:val="center"/>
        <w:ind w:right="200"/>
        <w:spacing w:after="0"/>
        <w:rPr>
          <w:sz w:val="20"/>
          <w:szCs w:val="20"/>
          <w:color w:val="auto"/>
        </w:rPr>
      </w:pPr>
      <w:r>
        <w:rPr>
          <w:rFonts w:ascii="Arial" w:cs="Arial" w:eastAsia="Arial" w:hAnsi="Arial"/>
          <w:sz w:val="22"/>
          <w:szCs w:val="22"/>
          <w:b w:val="1"/>
          <w:bCs w:val="1"/>
          <w:color w:val="auto"/>
        </w:rPr>
        <w:t>EXECUTIVE SEVERANCE PLAN</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(As Amended and Restated as of October 1, 2023)</w:t>
      </w:r>
    </w:p>
    <w:p>
      <w:pPr>
        <w:spacing w:after="0" w:line="200" w:lineRule="exact"/>
        <w:rPr>
          <w:sz w:val="20"/>
          <w:szCs w:val="20"/>
          <w:color w:val="auto"/>
        </w:rPr>
      </w:pPr>
    </w:p>
    <w:p>
      <w:pPr>
        <w:spacing w:after="0" w:line="203"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PREAMBLE</w:t>
      </w:r>
    </w:p>
    <w:p>
      <w:pPr>
        <w:spacing w:after="0" w:line="206" w:lineRule="exact"/>
        <w:rPr>
          <w:sz w:val="20"/>
          <w:szCs w:val="20"/>
          <w:color w:val="auto"/>
        </w:rPr>
      </w:pPr>
    </w:p>
    <w:p>
      <w:pPr>
        <w:ind w:right="420" w:firstLine="648"/>
        <w:spacing w:after="0" w:line="254" w:lineRule="auto"/>
        <w:rPr>
          <w:sz w:val="20"/>
          <w:szCs w:val="20"/>
          <w:color w:val="auto"/>
        </w:rPr>
      </w:pPr>
      <w:r>
        <w:rPr>
          <w:rFonts w:ascii="Arial" w:cs="Arial" w:eastAsia="Arial" w:hAnsi="Arial"/>
          <w:sz w:val="19"/>
          <w:szCs w:val="19"/>
          <w:b w:val="1"/>
          <w:bCs w:val="1"/>
          <w:color w:val="auto"/>
        </w:rPr>
        <w:t xml:space="preserve">Purpose. </w:t>
      </w:r>
      <w:r>
        <w:rPr>
          <w:rFonts w:ascii="Arial" w:cs="Arial" w:eastAsia="Arial" w:hAnsi="Arial"/>
          <w:sz w:val="19"/>
          <w:szCs w:val="19"/>
          <w:color w:val="auto"/>
        </w:rPr>
        <w:t>The Human Capital &amp; Compensation Committee of the Board of Directors (the “</w:t>
      </w:r>
      <w:r>
        <w:rPr>
          <w:rFonts w:ascii="Arial" w:cs="Arial" w:eastAsia="Arial" w:hAnsi="Arial"/>
          <w:sz w:val="19"/>
          <w:szCs w:val="19"/>
          <w:u w:val="single" w:color="auto"/>
          <w:color w:val="auto"/>
        </w:rPr>
        <w:t>Committee</w:t>
      </w:r>
      <w:r>
        <w:rPr>
          <w:rFonts w:ascii="Arial" w:cs="Arial" w:eastAsia="Arial" w:hAnsi="Arial"/>
          <w:sz w:val="19"/>
          <w:szCs w:val="19"/>
          <w:color w:val="auto"/>
        </w:rPr>
        <w:t>”) recognizes</w:t>
      </w:r>
      <w:r>
        <w:rPr>
          <w:rFonts w:ascii="Arial" w:cs="Arial" w:eastAsia="Arial" w:hAnsi="Arial"/>
          <w:sz w:val="19"/>
          <w:szCs w:val="19"/>
          <w:b w:val="1"/>
          <w:bCs w:val="1"/>
          <w:color w:val="auto"/>
        </w:rPr>
        <w:t xml:space="preserve"> </w:t>
      </w:r>
      <w:r>
        <w:rPr>
          <w:rFonts w:ascii="Arial" w:cs="Arial" w:eastAsia="Arial" w:hAnsi="Arial"/>
          <w:sz w:val="19"/>
          <w:szCs w:val="19"/>
          <w:color w:val="auto"/>
        </w:rPr>
        <w:t>that corporate restructuring, and other organizational changes are often required to more effectively meet the needs of the Company, which creates uncertainty for Company executives that may result in the loss or distraction of executives to the detriment of the Company and its shareholders. The Committee considers the avoidance of such loss and distraction to be essential to protecting and enhancing the best interests of the Company and its shareholders.</w:t>
      </w:r>
    </w:p>
    <w:p>
      <w:pPr>
        <w:spacing w:after="0" w:line="180" w:lineRule="exact"/>
        <w:rPr>
          <w:sz w:val="20"/>
          <w:szCs w:val="20"/>
          <w:color w:val="auto"/>
        </w:rPr>
      </w:pPr>
    </w:p>
    <w:p>
      <w:pPr>
        <w:ind w:right="120" w:firstLine="648"/>
        <w:spacing w:after="0" w:line="250" w:lineRule="auto"/>
        <w:rPr>
          <w:sz w:val="20"/>
          <w:szCs w:val="20"/>
          <w:color w:val="auto"/>
        </w:rPr>
      </w:pPr>
      <w:r>
        <w:rPr>
          <w:rFonts w:ascii="Arial" w:cs="Arial" w:eastAsia="Arial" w:hAnsi="Arial"/>
          <w:sz w:val="19"/>
          <w:szCs w:val="19"/>
          <w:b w:val="1"/>
          <w:bCs w:val="1"/>
          <w:color w:val="auto"/>
        </w:rPr>
        <w:t xml:space="preserve">Effective Date of Plan and Amendments. </w:t>
      </w:r>
      <w:r>
        <w:rPr>
          <w:rFonts w:ascii="Arial" w:cs="Arial" w:eastAsia="Arial" w:hAnsi="Arial"/>
          <w:sz w:val="19"/>
          <w:szCs w:val="19"/>
          <w:color w:val="auto"/>
        </w:rPr>
        <w:t>To fulfill the above purposes, the Committee established the Raytheon</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Technologies Corporation Executive Severance Plan effective as of April 4,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Plan is hereby amended and restated, effective as of October 1, 2023, for purposes of renaming the Plan, the RTX Corporation Executive Severance Plan, changing all company references from ‘Raytheon Technologies Corporation’ to ‘RTX Corporation’, to clarify the Company’s intent retroactive to the Plan Effective Date, to exclude certain employee populations from the Plan that operate outside the standard RTX compensation and benefits structure, and certain other minor administrative changes.</w:t>
      </w:r>
    </w:p>
    <w:p>
      <w:pPr>
        <w:spacing w:after="0" w:line="17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010000"/>
        </w:rPr>
        <w:t>SECTION 1</w:t>
      </w:r>
    </w:p>
    <w:p>
      <w:pPr>
        <w:jc w:val="center"/>
        <w:ind w:right="2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right="280" w:firstLine="648"/>
        <w:spacing w:after="0" w:line="232" w:lineRule="auto"/>
        <w:rPr>
          <w:sz w:val="20"/>
          <w:szCs w:val="20"/>
          <w:color w:val="auto"/>
        </w:rPr>
      </w:pPr>
      <w:r>
        <w:rPr>
          <w:rFonts w:ascii="Arial" w:cs="Arial" w:eastAsia="Arial" w:hAnsi="Arial"/>
          <w:sz w:val="22"/>
          <w:szCs w:val="22"/>
          <w:color w:val="auto"/>
        </w:rPr>
        <w:t>Certain terms used herein have the definitions given to them in the first place in which they are used. As used herein, the following words and phrases shall have the following respective meanings:</w:t>
      </w:r>
    </w:p>
    <w:p>
      <w:pPr>
        <w:spacing w:after="0" w:line="19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Affiliated Entity</w:t>
      </w:r>
      <w:r>
        <w:rPr>
          <w:rFonts w:ascii="Arial" w:cs="Arial" w:eastAsia="Arial" w:hAnsi="Arial"/>
          <w:sz w:val="19"/>
          <w:szCs w:val="19"/>
          <w:color w:val="auto"/>
        </w:rPr>
        <w:t>” means any entity controlled by, controlling or under common control with the Company.</w:t>
      </w:r>
    </w:p>
    <w:p>
      <w:pPr>
        <w:spacing w:after="0" w:line="220" w:lineRule="exact"/>
        <w:rPr>
          <w:sz w:val="20"/>
          <w:szCs w:val="20"/>
          <w:color w:val="auto"/>
        </w:rPr>
      </w:pPr>
    </w:p>
    <w:p>
      <w:pPr>
        <w:jc w:val="both"/>
        <w:ind w:right="540" w:firstLine="648"/>
        <w:spacing w:after="0" w:line="223"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color w:val="000000"/>
        </w:rPr>
        <w:t>“</w:t>
      </w:r>
      <w:r>
        <w:rPr>
          <w:rFonts w:ascii="Arial" w:cs="Arial" w:eastAsia="Arial" w:hAnsi="Arial"/>
          <w:sz w:val="22"/>
          <w:szCs w:val="22"/>
          <w:u w:val="single" w:color="auto"/>
          <w:color w:val="000000"/>
        </w:rPr>
        <w:t>Annual Base Salary</w:t>
      </w:r>
      <w:r>
        <w:rPr>
          <w:rFonts w:ascii="Arial" w:cs="Arial" w:eastAsia="Arial" w:hAnsi="Arial"/>
          <w:sz w:val="22"/>
          <w:szCs w:val="22"/>
          <w:color w:val="000000"/>
        </w:rPr>
        <w:t>” means the annual base salary paid or payable, including any base salary that is subject</w:t>
      </w:r>
      <w:r>
        <w:rPr>
          <w:rFonts w:ascii="Arial" w:cs="Arial" w:eastAsia="Arial" w:hAnsi="Arial"/>
          <w:sz w:val="22"/>
          <w:szCs w:val="22"/>
          <w:color w:val="010000"/>
        </w:rPr>
        <w:t xml:space="preserve"> </w:t>
      </w:r>
      <w:r>
        <w:rPr>
          <w:rFonts w:ascii="Arial" w:cs="Arial" w:eastAsia="Arial" w:hAnsi="Arial"/>
          <w:sz w:val="22"/>
          <w:szCs w:val="22"/>
          <w:color w:val="000000"/>
        </w:rPr>
        <w:t>to deferral and reduced to account for part-time status, to the Participant by the Company or any of the Affiliated Entities at the rate in effect immediately prior to the Termination Date.</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010000"/>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Benefit Continuation Period</w:t>
      </w:r>
      <w:r>
        <w:rPr>
          <w:rFonts w:ascii="Arial" w:cs="Arial" w:eastAsia="Arial" w:hAnsi="Arial"/>
          <w:sz w:val="19"/>
          <w:szCs w:val="19"/>
          <w:color w:val="auto"/>
        </w:rPr>
        <w:t>” means the period of twelve (12) months from the Termination Date.</w:t>
      </w:r>
    </w:p>
    <w:p>
      <w:pPr>
        <w:spacing w:after="0" w:line="220" w:lineRule="exact"/>
        <w:rPr>
          <w:sz w:val="20"/>
          <w:szCs w:val="20"/>
          <w:color w:val="auto"/>
        </w:rPr>
      </w:pPr>
    </w:p>
    <w:p>
      <w:pPr>
        <w:ind w:right="380" w:firstLine="648"/>
        <w:spacing w:after="0" w:line="257" w:lineRule="auto"/>
        <w:rPr>
          <w:sz w:val="20"/>
          <w:szCs w:val="20"/>
          <w:color w:val="auto"/>
        </w:rPr>
      </w:pPr>
      <w:r>
        <w:rPr>
          <w:rFonts w:ascii="Arial" w:cs="Arial" w:eastAsia="Arial" w:hAnsi="Arial"/>
          <w:sz w:val="19"/>
          <w:szCs w:val="19"/>
          <w:color w:val="010000"/>
        </w:rPr>
        <w:t xml:space="preserve">1.4 </w:t>
      </w:r>
      <w:r>
        <w:rPr>
          <w:rFonts w:ascii="Arial" w:cs="Arial" w:eastAsia="Arial" w:hAnsi="Arial"/>
          <w:sz w:val="19"/>
          <w:szCs w:val="19"/>
          <w:color w:val="000000"/>
        </w:rPr>
        <w:t>“</w:t>
      </w:r>
      <w:r>
        <w:rPr>
          <w:rFonts w:ascii="Arial" w:cs="Arial" w:eastAsia="Arial" w:hAnsi="Arial"/>
          <w:sz w:val="19"/>
          <w:szCs w:val="19"/>
          <w:u w:val="single" w:color="auto"/>
          <w:color w:val="000000"/>
        </w:rPr>
        <w:t>Cause</w:t>
      </w:r>
      <w:r>
        <w:rPr>
          <w:rFonts w:ascii="Arial" w:cs="Arial" w:eastAsia="Arial" w:hAnsi="Arial"/>
          <w:sz w:val="19"/>
          <w:szCs w:val="19"/>
          <w:color w:val="000000"/>
        </w:rPr>
        <w:t>” means (a) “Cause” as defined in the Company’s 2018 Long-Term Incentive Plan, as amended and</w:t>
      </w:r>
      <w:r>
        <w:rPr>
          <w:rFonts w:ascii="Arial" w:cs="Arial" w:eastAsia="Arial" w:hAnsi="Arial"/>
          <w:sz w:val="19"/>
          <w:szCs w:val="19"/>
          <w:color w:val="010000"/>
        </w:rPr>
        <w:t xml:space="preserve"> </w:t>
      </w:r>
      <w:r>
        <w:rPr>
          <w:rFonts w:ascii="Arial" w:cs="Arial" w:eastAsia="Arial" w:hAnsi="Arial"/>
          <w:sz w:val="19"/>
          <w:szCs w:val="19"/>
          <w:color w:val="000000"/>
        </w:rPr>
        <w:t>restated, and as further amended from time to time; (b) violation of the Company’s Code of Conduct; (c) such other actions or omissions that constitute willful misconduct, willful failure to perform, or gross negligence in the performance of, reasonable duties of employment; (d) disruptive behavior, or other such actions on the part of the Participant</w:t>
      </w:r>
    </w:p>
    <w:p>
      <w:pPr>
        <w:spacing w:after="0" w:line="77"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40"/>
          </w:cols>
          <w:pgMar w:left="520" w:top="104" w:right="339" w:bottom="1440" w:gutter="0" w:footer="0" w:header="0"/>
        </w:sectPr>
      </w:pPr>
    </w:p>
    <w:bookmarkStart w:id="139" w:name="page140"/>
    <w:bookmarkEnd w:id="139"/>
    <w:p>
      <w:pPr>
        <w:ind w:right="100"/>
        <w:spacing w:after="0" w:line="232" w:lineRule="auto"/>
        <w:rPr>
          <w:sz w:val="20"/>
          <w:szCs w:val="20"/>
          <w:color w:val="auto"/>
        </w:rPr>
      </w:pPr>
      <w:r>
        <w:rPr>
          <w:rFonts w:ascii="Arial" w:cs="Arial" w:eastAsia="Arial" w:hAnsi="Arial"/>
          <w:sz w:val="22"/>
          <w:szCs w:val="22"/>
          <w:color w:val="auto"/>
        </w:rPr>
        <w:t>that renders his or her employment untenable as determined by the Committee; or (e) Participant’s loss or failure to maintain any security clearance required for the Participant’s position.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220" w:lineRule="exact"/>
        <w:rPr>
          <w:sz w:val="20"/>
          <w:szCs w:val="20"/>
          <w:color w:val="auto"/>
        </w:rPr>
      </w:pPr>
    </w:p>
    <w:p>
      <w:pPr>
        <w:ind w:right="860" w:firstLine="648"/>
        <w:spacing w:after="0" w:line="232" w:lineRule="auto"/>
        <w:rPr>
          <w:sz w:val="20"/>
          <w:szCs w:val="20"/>
          <w:color w:val="auto"/>
        </w:rPr>
      </w:pPr>
      <w:r>
        <w:rPr>
          <w:rFonts w:ascii="Arial" w:cs="Arial" w:eastAsia="Arial" w:hAnsi="Arial"/>
          <w:sz w:val="22"/>
          <w:szCs w:val="22"/>
          <w:color w:val="010000"/>
        </w:rPr>
        <w:t xml:space="preserve">1.6 </w:t>
      </w:r>
      <w:r>
        <w:rPr>
          <w:rFonts w:ascii="Arial" w:cs="Arial" w:eastAsia="Arial" w:hAnsi="Arial"/>
          <w:sz w:val="22"/>
          <w:szCs w:val="22"/>
          <w:color w:val="000000"/>
        </w:rPr>
        <w:t>“Committee” means the Human Capital &amp; Compensation Committee of the Board of Directors of RTX</w:t>
      </w:r>
      <w:r>
        <w:rPr>
          <w:rFonts w:ascii="Arial" w:cs="Arial" w:eastAsia="Arial" w:hAnsi="Arial"/>
          <w:sz w:val="22"/>
          <w:szCs w:val="22"/>
          <w:color w:val="010000"/>
        </w:rPr>
        <w:t xml:space="preserve"> </w:t>
      </w:r>
      <w:r>
        <w:rPr>
          <w:rFonts w:ascii="Arial" w:cs="Arial" w:eastAsia="Arial" w:hAnsi="Arial"/>
          <w:sz w:val="22"/>
          <w:szCs w:val="22"/>
          <w:color w:val="000000"/>
        </w:rPr>
        <w:t>Corporation.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RTX Corporation.</w:t>
      </w:r>
    </w:p>
    <w:p>
      <w:pPr>
        <w:spacing w:after="0" w:line="220" w:lineRule="exact"/>
        <w:rPr>
          <w:sz w:val="20"/>
          <w:szCs w:val="20"/>
          <w:color w:val="auto"/>
        </w:rPr>
      </w:pPr>
    </w:p>
    <w:p>
      <w:pPr>
        <w:ind w:right="120" w:firstLine="648"/>
        <w:spacing w:after="0" w:line="226" w:lineRule="auto"/>
        <w:rPr>
          <w:sz w:val="20"/>
          <w:szCs w:val="20"/>
          <w:color w:val="auto"/>
        </w:rPr>
      </w:pPr>
      <w:r>
        <w:rPr>
          <w:rFonts w:ascii="Arial" w:cs="Arial" w:eastAsia="Arial" w:hAnsi="Arial"/>
          <w:sz w:val="21"/>
          <w:szCs w:val="21"/>
          <w:color w:val="010000"/>
        </w:rPr>
        <w:t xml:space="preserve">1.8 </w:t>
      </w:r>
      <w:r>
        <w:rPr>
          <w:rFonts w:ascii="Arial" w:cs="Arial" w:eastAsia="Arial" w:hAnsi="Arial"/>
          <w:sz w:val="21"/>
          <w:szCs w:val="21"/>
          <w:color w:val="000000"/>
        </w:rPr>
        <w:t>“</w:t>
      </w:r>
      <w:r>
        <w:rPr>
          <w:rFonts w:ascii="Arial" w:cs="Arial" w:eastAsia="Arial" w:hAnsi="Arial"/>
          <w:sz w:val="21"/>
          <w:szCs w:val="21"/>
          <w:u w:val="single" w:color="auto"/>
          <w:color w:val="000000"/>
        </w:rPr>
        <w:t>Executive</w:t>
      </w:r>
      <w:r>
        <w:rPr>
          <w:rFonts w:ascii="Arial" w:cs="Arial" w:eastAsia="Arial" w:hAnsi="Arial"/>
          <w:sz w:val="21"/>
          <w:szCs w:val="21"/>
          <w:color w:val="000000"/>
        </w:rPr>
        <w:t>” means an executive level employee (</w:t>
      </w:r>
      <w:r>
        <w:rPr>
          <w:rFonts w:ascii="Arial" w:cs="Arial" w:eastAsia="Arial" w:hAnsi="Arial"/>
          <w:sz w:val="21"/>
          <w:szCs w:val="21"/>
          <w:i w:val="1"/>
          <w:iCs w:val="1"/>
          <w:color w:val="000000"/>
        </w:rPr>
        <w:t>i.e.</w:t>
      </w:r>
      <w:r>
        <w:rPr>
          <w:rFonts w:ascii="Arial" w:cs="Arial" w:eastAsia="Arial" w:hAnsi="Arial"/>
          <w:sz w:val="21"/>
          <w:szCs w:val="21"/>
          <w:color w:val="000000"/>
        </w:rPr>
        <w:t>, job grades E5 (excluding Executive Leadership Group</w:t>
      </w:r>
      <w:r>
        <w:rPr>
          <w:rFonts w:ascii="Arial" w:cs="Arial" w:eastAsia="Arial" w:hAnsi="Arial"/>
          <w:sz w:val="21"/>
          <w:szCs w:val="21"/>
          <w:color w:val="010000"/>
        </w:rPr>
        <w:t xml:space="preserve"> </w:t>
      </w:r>
      <w:r>
        <w:rPr>
          <w:rFonts w:ascii="Arial" w:cs="Arial" w:eastAsia="Arial" w:hAnsi="Arial"/>
          <w:sz w:val="21"/>
          <w:szCs w:val="21"/>
          <w:color w:val="000000"/>
        </w:rPr>
        <w:t>(“</w:t>
      </w:r>
      <w:r>
        <w:rPr>
          <w:rFonts w:ascii="Arial" w:cs="Arial" w:eastAsia="Arial" w:hAnsi="Arial"/>
          <w:sz w:val="21"/>
          <w:szCs w:val="21"/>
          <w:u w:val="single" w:color="auto"/>
          <w:color w:val="000000"/>
        </w:rPr>
        <w:t>ELG</w:t>
      </w:r>
      <w:r>
        <w:rPr>
          <w:rFonts w:ascii="Arial" w:cs="Arial" w:eastAsia="Arial" w:hAnsi="Arial"/>
          <w:sz w:val="21"/>
          <w:szCs w:val="21"/>
          <w:color w:val="000000"/>
        </w:rPr>
        <w:t>”) members), E4, E3, E2 and E1) of the Company or an Affiliated Entity who is on U.S. payroll, subject to U.S. tax withholding, and whose primary work location is one of the fifty (50) states of the United States or the District of Columbia, as of immediately prior to the Termination Date. For the avoidance of doubt, a work location while on international assignment shall not be considered a primary work location.</w:t>
      </w:r>
    </w:p>
    <w:p>
      <w:pPr>
        <w:spacing w:after="0" w:line="200" w:lineRule="exact"/>
        <w:rPr>
          <w:sz w:val="20"/>
          <w:szCs w:val="20"/>
          <w:color w:val="auto"/>
        </w:rPr>
      </w:pPr>
    </w:p>
    <w:p>
      <w:pPr>
        <w:ind w:right="880" w:firstLine="648"/>
        <w:spacing w:after="0" w:line="232" w:lineRule="auto"/>
        <w:rPr>
          <w:sz w:val="20"/>
          <w:szCs w:val="20"/>
          <w:color w:val="auto"/>
        </w:rPr>
      </w:pPr>
      <w:r>
        <w:rPr>
          <w:rFonts w:ascii="Arial" w:cs="Arial" w:eastAsia="Arial" w:hAnsi="Arial"/>
          <w:sz w:val="22"/>
          <w:szCs w:val="22"/>
          <w:color w:val="010000"/>
        </w:rPr>
        <w:t xml:space="preserve">1.9 </w:t>
      </w:r>
      <w:r>
        <w:rPr>
          <w:rFonts w:ascii="Arial" w:cs="Arial" w:eastAsia="Arial" w:hAnsi="Arial"/>
          <w:sz w:val="22"/>
          <w:szCs w:val="22"/>
          <w:color w:val="000000"/>
        </w:rPr>
        <w:t>“</w:t>
      </w:r>
      <w:r>
        <w:rPr>
          <w:rFonts w:ascii="Arial" w:cs="Arial" w:eastAsia="Arial" w:hAnsi="Arial"/>
          <w:sz w:val="22"/>
          <w:szCs w:val="22"/>
          <w:u w:val="single" w:color="auto"/>
          <w:color w:val="000000"/>
        </w:rPr>
        <w:t>Disability</w:t>
      </w:r>
      <w:r>
        <w:rPr>
          <w:rFonts w:ascii="Arial" w:cs="Arial" w:eastAsia="Arial" w:hAnsi="Arial"/>
          <w:sz w:val="22"/>
          <w:szCs w:val="22"/>
          <w:color w:val="000000"/>
        </w:rPr>
        <w:t>” has the meaning given to such term in the Company’s 2018 Long- Term Incentive Plan, as</w:t>
      </w:r>
      <w:r>
        <w:rPr>
          <w:rFonts w:ascii="Arial" w:cs="Arial" w:eastAsia="Arial" w:hAnsi="Arial"/>
          <w:sz w:val="22"/>
          <w:szCs w:val="22"/>
          <w:color w:val="010000"/>
        </w:rPr>
        <w:t xml:space="preserve"> </w:t>
      </w:r>
      <w:r>
        <w:rPr>
          <w:rFonts w:ascii="Arial" w:cs="Arial" w:eastAsia="Arial" w:hAnsi="Arial"/>
          <w:sz w:val="22"/>
          <w:szCs w:val="22"/>
          <w:color w:val="000000"/>
        </w:rPr>
        <w:t>amended and restated, and as further amended from time to time.</w:t>
      </w:r>
    </w:p>
    <w:p>
      <w:pPr>
        <w:spacing w:after="0" w:line="186" w:lineRule="exact"/>
        <w:rPr>
          <w:sz w:val="20"/>
          <w:szCs w:val="20"/>
          <w:color w:val="auto"/>
        </w:rPr>
      </w:pPr>
    </w:p>
    <w:p>
      <w:pPr>
        <w:jc w:val="both"/>
        <w:ind w:right="740" w:firstLine="648"/>
        <w:spacing w:after="0" w:line="210" w:lineRule="auto"/>
        <w:rPr>
          <w:sz w:val="20"/>
          <w:szCs w:val="20"/>
          <w:color w:val="auto"/>
        </w:rPr>
      </w:pPr>
      <w:r>
        <w:rPr>
          <w:rFonts w:ascii="Arial" w:cs="Arial" w:eastAsia="Arial" w:hAnsi="Arial"/>
          <w:sz w:val="22"/>
          <w:szCs w:val="22"/>
          <w:color w:val="010000"/>
        </w:rPr>
        <w:t xml:space="preserve">1.10 </w:t>
      </w:r>
      <w:r>
        <w:rPr>
          <w:rFonts w:ascii="Arial" w:cs="Arial" w:eastAsia="Arial" w:hAnsi="Arial"/>
          <w:sz w:val="22"/>
          <w:szCs w:val="22"/>
          <w:color w:val="000000"/>
        </w:rPr>
        <w:t>“</w:t>
      </w:r>
      <w:r>
        <w:rPr>
          <w:rFonts w:ascii="Arial" w:cs="Arial" w:eastAsia="Arial" w:hAnsi="Arial"/>
          <w:sz w:val="22"/>
          <w:szCs w:val="22"/>
          <w:u w:val="single" w:color="auto"/>
          <w:color w:val="000000"/>
        </w:rPr>
        <w:t>Notice of Termination</w:t>
      </w:r>
      <w:r>
        <w:rPr>
          <w:rFonts w:ascii="Arial" w:cs="Arial" w:eastAsia="Arial" w:hAnsi="Arial"/>
          <w:sz w:val="22"/>
          <w:szCs w:val="22"/>
          <w:color w:val="000000"/>
        </w:rPr>
        <w:t>” means a notice in writing (including an email communication) delivered by the</w:t>
      </w:r>
      <w:r>
        <w:rPr>
          <w:rFonts w:ascii="Arial" w:cs="Arial" w:eastAsia="Arial" w:hAnsi="Arial"/>
          <w:sz w:val="22"/>
          <w:szCs w:val="22"/>
          <w:color w:val="010000"/>
        </w:rPr>
        <w:t xml:space="preserve"> </w:t>
      </w:r>
      <w:r>
        <w:rPr>
          <w:rFonts w:ascii="Arial" w:cs="Arial" w:eastAsia="Arial" w:hAnsi="Arial"/>
          <w:sz w:val="22"/>
          <w:szCs w:val="22"/>
          <w:color w:val="000000"/>
        </w:rPr>
        <w:t>Company to the Executive to inform the Executive (a) of whether their termination shall be a Qualifying Termination under the terms of this Plan; and</w:t>
      </w:r>
    </w:p>
    <w:p>
      <w:pPr>
        <w:spacing w:after="0" w:line="2" w:lineRule="exact"/>
        <w:rPr>
          <w:sz w:val="20"/>
          <w:szCs w:val="20"/>
          <w:color w:val="auto"/>
        </w:rPr>
      </w:pPr>
    </w:p>
    <w:p>
      <w:pPr>
        <w:ind w:right="120" w:firstLine="5"/>
        <w:spacing w:after="0" w:line="212" w:lineRule="auto"/>
        <w:tabs>
          <w:tab w:leader="none" w:pos="30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if the Termination Date (as defined herein) is other than the date of receipt of such notice, specifies the Termination Date (which Termination Date shall be not more than one hundred and twenty (120) days after the date of the written notice). The failure by the Company to set forth in the Notice of Termination any fact or circumstance that contributes to a showing of Cause shall not waive any right of the Company or preclude the Company, from asserting such fact or circumstance in enforcing the Company’s respective rights hereunder.</w:t>
      </w:r>
    </w:p>
    <w:p>
      <w:pPr>
        <w:spacing w:after="0" w:line="201" w:lineRule="exact"/>
        <w:rPr>
          <w:sz w:val="20"/>
          <w:szCs w:val="20"/>
          <w:color w:val="auto"/>
        </w:rPr>
      </w:pPr>
    </w:p>
    <w:p>
      <w:pPr>
        <w:ind w:right="620" w:firstLine="648"/>
        <w:spacing w:after="0" w:line="210" w:lineRule="auto"/>
        <w:rPr>
          <w:sz w:val="20"/>
          <w:szCs w:val="20"/>
          <w:color w:val="auto"/>
        </w:rPr>
      </w:pPr>
      <w:r>
        <w:rPr>
          <w:rFonts w:ascii="Arial" w:cs="Arial" w:eastAsia="Arial" w:hAnsi="Arial"/>
          <w:sz w:val="22"/>
          <w:szCs w:val="22"/>
          <w:color w:val="010000"/>
        </w:rPr>
        <w:t xml:space="preserve">1.11 </w:t>
      </w:r>
      <w:r>
        <w:rPr>
          <w:rFonts w:ascii="Arial" w:cs="Arial" w:eastAsia="Arial" w:hAnsi="Arial"/>
          <w:sz w:val="22"/>
          <w:szCs w:val="22"/>
          <w:color w:val="000000"/>
        </w:rPr>
        <w:t>“</w:t>
      </w:r>
      <w:r>
        <w:rPr>
          <w:rFonts w:ascii="Arial" w:cs="Arial" w:eastAsia="Arial" w:hAnsi="Arial"/>
          <w:sz w:val="22"/>
          <w:szCs w:val="22"/>
          <w:u w:val="single" w:color="auto"/>
          <w:color w:val="000000"/>
        </w:rPr>
        <w:t>Participant</w:t>
      </w:r>
      <w:r>
        <w:rPr>
          <w:rFonts w:ascii="Arial" w:cs="Arial" w:eastAsia="Arial" w:hAnsi="Arial"/>
          <w:sz w:val="22"/>
          <w:szCs w:val="22"/>
          <w:color w:val="000000"/>
        </w:rPr>
        <w:t>” shall mean each Executive, excluding: (a) any individual who has received a formal</w:t>
      </w:r>
      <w:r>
        <w:rPr>
          <w:rFonts w:ascii="Arial" w:cs="Arial" w:eastAsia="Arial" w:hAnsi="Arial"/>
          <w:sz w:val="22"/>
          <w:szCs w:val="22"/>
          <w:color w:val="010000"/>
        </w:rPr>
        <w:t xml:space="preserve"> </w:t>
      </w:r>
      <w:r>
        <w:rPr>
          <w:rFonts w:ascii="Arial" w:cs="Arial" w:eastAsia="Arial" w:hAnsi="Arial"/>
          <w:sz w:val="22"/>
          <w:szCs w:val="22"/>
          <w:color w:val="000000"/>
        </w:rPr>
        <w:t>communication, consistent with the Company’s usual practice for employee transfers, of such individual’s transfer to a position in a jurisdiction outside of the United States;</w:t>
      </w:r>
    </w:p>
    <w:p>
      <w:pPr>
        <w:spacing w:after="0" w:line="2" w:lineRule="exact"/>
        <w:rPr>
          <w:sz w:val="20"/>
          <w:szCs w:val="20"/>
          <w:color w:val="auto"/>
        </w:rPr>
      </w:pPr>
    </w:p>
    <w:p>
      <w:pPr>
        <w:ind w:firstLine="6"/>
        <w:spacing w:after="0" w:line="228" w:lineRule="auto"/>
        <w:tabs>
          <w:tab w:leader="none" w:pos="30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any Executive with an employment agreement that contains severance provisions; and (c) any individual who is employed by an acquired Affiliated Entity that has not been integrated into the RTX Total Rewards compensation and benefits programs, including the RTX global job framework and RTX health and welfare plans.</w:t>
      </w:r>
    </w:p>
    <w:p>
      <w:pPr>
        <w:spacing w:after="0" w:line="198" w:lineRule="exact"/>
        <w:rPr>
          <w:sz w:val="20"/>
          <w:szCs w:val="20"/>
          <w:color w:val="auto"/>
        </w:rPr>
      </w:pPr>
    </w:p>
    <w:p>
      <w:pPr>
        <w:ind w:right="280" w:firstLine="648"/>
        <w:spacing w:after="0" w:line="268" w:lineRule="auto"/>
        <w:rPr>
          <w:sz w:val="20"/>
          <w:szCs w:val="20"/>
          <w:color w:val="auto"/>
        </w:rPr>
      </w:pPr>
      <w:r>
        <w:rPr>
          <w:rFonts w:ascii="Arial" w:cs="Arial" w:eastAsia="Arial" w:hAnsi="Arial"/>
          <w:sz w:val="19"/>
          <w:szCs w:val="19"/>
          <w:color w:val="010000"/>
        </w:rPr>
        <w:t xml:space="preserve">1.12 </w:t>
      </w:r>
      <w:r>
        <w:rPr>
          <w:rFonts w:ascii="Arial" w:cs="Arial" w:eastAsia="Arial" w:hAnsi="Arial"/>
          <w:sz w:val="19"/>
          <w:szCs w:val="19"/>
          <w:color w:val="000000"/>
        </w:rPr>
        <w:t>“</w:t>
      </w:r>
      <w:r>
        <w:rPr>
          <w:rFonts w:ascii="Arial" w:cs="Arial" w:eastAsia="Arial" w:hAnsi="Arial"/>
          <w:sz w:val="19"/>
          <w:szCs w:val="19"/>
          <w:u w:val="single" w:color="auto"/>
          <w:color w:val="000000"/>
        </w:rPr>
        <w:t>Plan Administrator</w:t>
      </w:r>
      <w:r>
        <w:rPr>
          <w:rFonts w:ascii="Arial" w:cs="Arial" w:eastAsia="Arial" w:hAnsi="Arial"/>
          <w:sz w:val="19"/>
          <w:szCs w:val="19"/>
          <w:color w:val="000000"/>
        </w:rPr>
        <w:t>” means the Company’s Chief Human Resources Officer, or his or her duly authorized</w:t>
      </w:r>
      <w:r>
        <w:rPr>
          <w:rFonts w:ascii="Arial" w:cs="Arial" w:eastAsia="Arial" w:hAnsi="Arial"/>
          <w:sz w:val="19"/>
          <w:szCs w:val="19"/>
          <w:color w:val="010000"/>
        </w:rPr>
        <w:t xml:space="preserve"> </w:t>
      </w:r>
      <w:r>
        <w:rPr>
          <w:rFonts w:ascii="Arial" w:cs="Arial" w:eastAsia="Arial" w:hAnsi="Arial"/>
          <w:sz w:val="19"/>
          <w:szCs w:val="19"/>
          <w:color w:val="000000"/>
        </w:rPr>
        <w:t xml:space="preserve">designee or designees, which shall include the Corporate Vice President, Total Rewards;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with respect to each Participant who is a Section 16 Officer of the Company, the Plan Administrator shall be the Committee.</w:t>
      </w:r>
    </w:p>
    <w:p>
      <w:pPr>
        <w:spacing w:after="0" w:line="159" w:lineRule="exact"/>
        <w:rPr>
          <w:sz w:val="20"/>
          <w:szCs w:val="20"/>
          <w:color w:val="auto"/>
        </w:rPr>
      </w:pPr>
    </w:p>
    <w:p>
      <w:pPr>
        <w:ind w:right="180" w:firstLine="648"/>
        <w:spacing w:after="0" w:line="218" w:lineRule="auto"/>
        <w:rPr>
          <w:sz w:val="20"/>
          <w:szCs w:val="20"/>
          <w:color w:val="auto"/>
        </w:rPr>
      </w:pPr>
      <w:r>
        <w:rPr>
          <w:rFonts w:ascii="Arial" w:cs="Arial" w:eastAsia="Arial" w:hAnsi="Arial"/>
          <w:sz w:val="22"/>
          <w:szCs w:val="22"/>
          <w:color w:val="010000"/>
        </w:rPr>
        <w:t xml:space="preserve">1.13 </w:t>
      </w:r>
      <w:r>
        <w:rPr>
          <w:rFonts w:ascii="Arial" w:cs="Arial" w:eastAsia="Arial" w:hAnsi="Arial"/>
          <w:sz w:val="22"/>
          <w:szCs w:val="22"/>
          <w:color w:val="000000"/>
        </w:rPr>
        <w:t>“</w:t>
      </w:r>
      <w:r>
        <w:rPr>
          <w:rFonts w:ascii="Arial" w:cs="Arial" w:eastAsia="Arial" w:hAnsi="Arial"/>
          <w:sz w:val="22"/>
          <w:szCs w:val="22"/>
          <w:u w:val="single" w:color="auto"/>
          <w:color w:val="000000"/>
        </w:rPr>
        <w:t>Qualifying Termination</w:t>
      </w:r>
      <w:r>
        <w:rPr>
          <w:rFonts w:ascii="Arial" w:cs="Arial" w:eastAsia="Arial" w:hAnsi="Arial"/>
          <w:sz w:val="22"/>
          <w:szCs w:val="22"/>
          <w:color w:val="000000"/>
        </w:rPr>
        <w:t>” means an involuntary termination of a Participant’s employment by the Company</w:t>
      </w:r>
      <w:r>
        <w:rPr>
          <w:rFonts w:ascii="Arial" w:cs="Arial" w:eastAsia="Arial" w:hAnsi="Arial"/>
          <w:sz w:val="22"/>
          <w:szCs w:val="22"/>
          <w:color w:val="010000"/>
        </w:rPr>
        <w:t xml:space="preserve"> </w:t>
      </w:r>
      <w:r>
        <w:rPr>
          <w:rFonts w:ascii="Arial" w:cs="Arial" w:eastAsia="Arial" w:hAnsi="Arial"/>
          <w:sz w:val="22"/>
          <w:szCs w:val="22"/>
          <w:color w:val="000000"/>
        </w:rPr>
        <w:t>other than for Cause, death, or Disability. For the avoidance of doubt, “Qualifying Termination” requires actual job loss and shall not include a change in employer relationship for reasons including, without limitation, a divestiture, outsourcing, spin-</w:t>
      </w: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880"/>
          </w:cols>
          <w:pgMar w:left="520" w:top="1400" w:right="499" w:bottom="1440" w:gutter="0" w:footer="0" w:header="0"/>
        </w:sectPr>
      </w:pPr>
    </w:p>
    <w:bookmarkStart w:id="140" w:name="page141"/>
    <w:bookmarkEnd w:id="140"/>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off, merger or other corporate transaction, including, but not limited to, the sale or transfer of a plant, division, department or other unit or assets of the Company or an Affiliated Entity where the Participant’s employment continues post-transaction or, in the case of an involuntary termination of employment as a direct result of such transaction, if the Participant is offered employment (whether or not compensation, benefits and the like are comparable) by the acquirer or successor employer or a subsidiary of the acquirer or successor employer upon the completion of the transaction.</w:t>
      </w:r>
    </w:p>
    <w:p>
      <w:pPr>
        <w:spacing w:after="0" w:line="176" w:lineRule="exact"/>
        <w:rPr>
          <w:sz w:val="20"/>
          <w:szCs w:val="20"/>
          <w:color w:val="auto"/>
        </w:rPr>
      </w:pPr>
    </w:p>
    <w:p>
      <w:pPr>
        <w:ind w:right="380" w:firstLine="648"/>
        <w:spacing w:after="0" w:line="232" w:lineRule="auto"/>
        <w:rPr>
          <w:sz w:val="20"/>
          <w:szCs w:val="20"/>
          <w:color w:val="auto"/>
        </w:rPr>
      </w:pPr>
      <w:r>
        <w:rPr>
          <w:rFonts w:ascii="Arial" w:cs="Arial" w:eastAsia="Arial" w:hAnsi="Arial"/>
          <w:sz w:val="22"/>
          <w:szCs w:val="22"/>
          <w:color w:val="010000"/>
        </w:rPr>
        <w:t xml:space="preserve">1.14 </w:t>
      </w:r>
      <w:r>
        <w:rPr>
          <w:rFonts w:ascii="Arial" w:cs="Arial" w:eastAsia="Arial" w:hAnsi="Arial"/>
          <w:sz w:val="22"/>
          <w:szCs w:val="22"/>
          <w:color w:val="000000"/>
        </w:rPr>
        <w:t>“</w:t>
      </w:r>
      <w:r>
        <w:rPr>
          <w:rFonts w:ascii="Arial" w:cs="Arial" w:eastAsia="Arial" w:hAnsi="Arial"/>
          <w:sz w:val="22"/>
          <w:szCs w:val="22"/>
          <w:u w:val="single" w:color="auto"/>
          <w:color w:val="000000"/>
        </w:rPr>
        <w:t>Section 16 Officer</w:t>
      </w:r>
      <w:r>
        <w:rPr>
          <w:rFonts w:ascii="Arial" w:cs="Arial" w:eastAsia="Arial" w:hAnsi="Arial"/>
          <w:sz w:val="22"/>
          <w:szCs w:val="22"/>
          <w:color w:val="000000"/>
        </w:rPr>
        <w:t>” means an employee of the Company designated as an officer under Section 16(a) of the</w:t>
      </w:r>
      <w:r>
        <w:rPr>
          <w:rFonts w:ascii="Arial" w:cs="Arial" w:eastAsia="Arial" w:hAnsi="Arial"/>
          <w:sz w:val="22"/>
          <w:szCs w:val="22"/>
          <w:color w:val="010000"/>
        </w:rPr>
        <w:t xml:space="preserve"> </w:t>
      </w:r>
      <w:r>
        <w:rPr>
          <w:rFonts w:ascii="Arial" w:cs="Arial" w:eastAsia="Arial" w:hAnsi="Arial"/>
          <w:sz w:val="22"/>
          <w:szCs w:val="22"/>
          <w:color w:val="000000"/>
        </w:rPr>
        <w:t>Securities Exchange Act of 1934.</w:t>
      </w:r>
    </w:p>
    <w:p>
      <w:pPr>
        <w:spacing w:after="0" w:line="199" w:lineRule="exact"/>
        <w:rPr>
          <w:sz w:val="20"/>
          <w:szCs w:val="20"/>
          <w:color w:val="auto"/>
        </w:rPr>
      </w:pPr>
    </w:p>
    <w:p>
      <w:pPr>
        <w:ind w:right="300" w:firstLine="648"/>
        <w:spacing w:after="0" w:line="247" w:lineRule="auto"/>
        <w:rPr>
          <w:sz w:val="20"/>
          <w:szCs w:val="20"/>
          <w:color w:val="auto"/>
        </w:rPr>
      </w:pPr>
      <w:r>
        <w:rPr>
          <w:rFonts w:ascii="Arial" w:cs="Arial" w:eastAsia="Arial" w:hAnsi="Arial"/>
          <w:sz w:val="21"/>
          <w:szCs w:val="21"/>
          <w:color w:val="010000"/>
        </w:rPr>
        <w:t xml:space="preserve">1.15 </w:t>
      </w:r>
      <w:r>
        <w:rPr>
          <w:rFonts w:ascii="Arial" w:cs="Arial" w:eastAsia="Arial" w:hAnsi="Arial"/>
          <w:sz w:val="21"/>
          <w:szCs w:val="21"/>
          <w:color w:val="000000"/>
        </w:rPr>
        <w:t>“</w:t>
      </w:r>
      <w:r>
        <w:rPr>
          <w:rFonts w:ascii="Arial" w:cs="Arial" w:eastAsia="Arial" w:hAnsi="Arial"/>
          <w:sz w:val="21"/>
          <w:szCs w:val="21"/>
          <w:u w:val="single" w:color="auto"/>
          <w:color w:val="000000"/>
        </w:rPr>
        <w:t>Target Annual Incentive</w:t>
      </w:r>
      <w:r>
        <w:rPr>
          <w:rFonts w:ascii="Arial" w:cs="Arial" w:eastAsia="Arial" w:hAnsi="Arial"/>
          <w:sz w:val="21"/>
          <w:szCs w:val="21"/>
          <w:color w:val="000000"/>
        </w:rPr>
        <w:t>” means the Participant’s target annual incentive (bonus) opportunity pursuant to the</w:t>
      </w:r>
      <w:r>
        <w:rPr>
          <w:rFonts w:ascii="Arial" w:cs="Arial" w:eastAsia="Arial" w:hAnsi="Arial"/>
          <w:sz w:val="21"/>
          <w:szCs w:val="21"/>
          <w:color w:val="010000"/>
        </w:rPr>
        <w:t xml:space="preserve"> </w:t>
      </w:r>
      <w:r>
        <w:rPr>
          <w:rFonts w:ascii="Arial" w:cs="Arial" w:eastAsia="Arial" w:hAnsi="Arial"/>
          <w:sz w:val="21"/>
          <w:szCs w:val="21"/>
          <w:color w:val="000000"/>
        </w:rPr>
        <w:t>Company’s applicable annual incentive plan in effect immediately prior to the Termination Date.</w:t>
      </w:r>
    </w:p>
    <w:p>
      <w:pPr>
        <w:spacing w:after="0" w:line="178"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010000"/>
        </w:rPr>
        <w:t xml:space="preserve">1.16 </w:t>
      </w:r>
      <w:r>
        <w:rPr>
          <w:rFonts w:ascii="Arial" w:cs="Arial" w:eastAsia="Arial" w:hAnsi="Arial"/>
          <w:sz w:val="21"/>
          <w:szCs w:val="21"/>
          <w:color w:val="000000"/>
        </w:rPr>
        <w:t>“</w:t>
      </w:r>
      <w:r>
        <w:rPr>
          <w:rFonts w:ascii="Arial" w:cs="Arial" w:eastAsia="Arial" w:hAnsi="Arial"/>
          <w:sz w:val="21"/>
          <w:szCs w:val="21"/>
          <w:u w:val="single" w:color="auto"/>
          <w:color w:val="000000"/>
        </w:rPr>
        <w:t>Termination Date</w:t>
      </w:r>
      <w:r>
        <w:rPr>
          <w:rFonts w:ascii="Arial" w:cs="Arial" w:eastAsia="Arial" w:hAnsi="Arial"/>
          <w:sz w:val="21"/>
          <w:szCs w:val="21"/>
          <w:color w:val="000000"/>
        </w:rPr>
        <w:t>” means the date of receipt of a Notice of Termination from the Company, or any later date</w:t>
      </w:r>
      <w:r>
        <w:rPr>
          <w:rFonts w:ascii="Arial" w:cs="Arial" w:eastAsia="Arial" w:hAnsi="Arial"/>
          <w:sz w:val="21"/>
          <w:szCs w:val="21"/>
          <w:color w:val="010000"/>
        </w:rPr>
        <w:t xml:space="preserve"> </w:t>
      </w:r>
      <w:r>
        <w:rPr>
          <w:rFonts w:ascii="Arial" w:cs="Arial" w:eastAsia="Arial" w:hAnsi="Arial"/>
          <w:sz w:val="21"/>
          <w:szCs w:val="21"/>
          <w:color w:val="000000"/>
        </w:rPr>
        <w:t>specified in the Notice of Termination. Notwithstanding the foregoing, in no event shall the Termination Date occur until the Participant experiences a “separation from service” within the meaning of Section 409A of the Code, and the date on which such separation from service takes place shall be the “Termination Date.”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SECTION 2</w:t>
      </w:r>
    </w:p>
    <w:p>
      <w:pPr>
        <w:jc w:val="center"/>
        <w:ind w:right="40"/>
        <w:spacing w:after="0"/>
        <w:rPr>
          <w:sz w:val="20"/>
          <w:szCs w:val="20"/>
          <w:color w:val="auto"/>
        </w:rPr>
      </w:pPr>
      <w:r>
        <w:rPr>
          <w:rFonts w:ascii="Arial" w:cs="Arial" w:eastAsia="Arial" w:hAnsi="Arial"/>
          <w:sz w:val="22"/>
          <w:szCs w:val="22"/>
          <w:b w:val="1"/>
          <w:bCs w:val="1"/>
          <w:color w:val="auto"/>
        </w:rPr>
        <w:t>SEPARATION BENEFITS</w:t>
      </w:r>
    </w:p>
    <w:p>
      <w:pPr>
        <w:spacing w:after="0" w:line="202" w:lineRule="exact"/>
        <w:rPr>
          <w:sz w:val="20"/>
          <w:szCs w:val="20"/>
          <w:color w:val="auto"/>
        </w:rPr>
      </w:pPr>
    </w:p>
    <w:p>
      <w:pPr>
        <w:ind w:right="200" w:firstLine="648"/>
        <w:spacing w:after="0" w:line="298" w:lineRule="auto"/>
        <w:rPr>
          <w:sz w:val="20"/>
          <w:szCs w:val="20"/>
          <w:color w:val="auto"/>
        </w:rPr>
      </w:pPr>
      <w:r>
        <w:rPr>
          <w:rFonts w:ascii="Arial" w:cs="Arial" w:eastAsia="Arial" w:hAnsi="Arial"/>
          <w:sz w:val="19"/>
          <w:szCs w:val="19"/>
          <w:color w:val="010000"/>
        </w:rPr>
        <w:t xml:space="preserve">2.1 </w:t>
      </w:r>
      <w:r>
        <w:rPr>
          <w:rFonts w:ascii="Arial" w:cs="Arial" w:eastAsia="Arial" w:hAnsi="Arial"/>
          <w:sz w:val="19"/>
          <w:szCs w:val="19"/>
          <w:u w:val="single" w:color="auto"/>
          <w:color w:val="000000"/>
        </w:rPr>
        <w:t>Qualifying Termination</w:t>
      </w:r>
      <w:r>
        <w:rPr>
          <w:rFonts w:ascii="Arial" w:cs="Arial" w:eastAsia="Arial" w:hAnsi="Arial"/>
          <w:sz w:val="19"/>
          <w:szCs w:val="19"/>
          <w:color w:val="000000"/>
        </w:rPr>
        <w:t>. If a Participant experiences a Qualifying Termination, the Company shall pay or</w:t>
      </w:r>
      <w:r>
        <w:rPr>
          <w:rFonts w:ascii="Arial" w:cs="Arial" w:eastAsia="Arial" w:hAnsi="Arial"/>
          <w:sz w:val="19"/>
          <w:szCs w:val="19"/>
          <w:color w:val="010000"/>
        </w:rPr>
        <w:t xml:space="preserve"> </w:t>
      </w:r>
      <w:r>
        <w:rPr>
          <w:rFonts w:ascii="Arial" w:cs="Arial" w:eastAsia="Arial" w:hAnsi="Arial"/>
          <w:sz w:val="19"/>
          <w:szCs w:val="19"/>
          <w:color w:val="000000"/>
        </w:rPr>
        <w:t>provide to the Participant the following payments and benefits at the time or times set forth below, subject to Section 7:</w:t>
      </w:r>
    </w:p>
    <w:p>
      <w:pPr>
        <w:spacing w:after="0" w:line="132" w:lineRule="exact"/>
        <w:rPr>
          <w:sz w:val="20"/>
          <w:szCs w:val="20"/>
          <w:color w:val="auto"/>
        </w:rPr>
      </w:pPr>
    </w:p>
    <w:p>
      <w:pPr>
        <w:ind w:left="660" w:firstLine="642"/>
        <w:spacing w:after="0" w:line="247" w:lineRule="auto"/>
        <w:tabs>
          <w:tab w:leader="none" w:pos="1750"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 xml:space="preserve">a lump sum payment in cash of items (i)(B), (ii) and (iii) below, subject to (other than in the case of the Accrued Obligations and Other Benefits) the Participant’s execution and non-revocation of a General Release of Claims and Restrictive Covenant Agreement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payable as soon as practicable following the date on which such agreement becomes effective and irrevocable and in any event no later than the seventieth (70th) calendar day following the Termination Date, provided that, when the payment period crosses two calendar years, the payment will be made as soon as practicable after all conditions have been satisfied, but in no event earlier than the first day of the second year, equal to the aggregate of the following amounts:</w:t>
      </w:r>
    </w:p>
    <w:p>
      <w:pPr>
        <w:spacing w:after="0" w:line="194" w:lineRule="exact"/>
        <w:rPr>
          <w:rFonts w:ascii="Arial" w:cs="Arial" w:eastAsia="Arial" w:hAnsi="Arial"/>
          <w:sz w:val="19"/>
          <w:szCs w:val="19"/>
          <w:color w:val="010000"/>
        </w:rPr>
      </w:pPr>
    </w:p>
    <w:p>
      <w:pPr>
        <w:ind w:left="1300" w:right="160" w:firstLine="649"/>
        <w:spacing w:after="0" w:line="249" w:lineRule="auto"/>
        <w:tabs>
          <w:tab w:leader="none" w:pos="2395"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the sum of (A) the Participant’s accrued Annual Base Salary through the Termination Date, (B) any annual incentive payment earned by the Participant for a performance period that was completed prior to the Termination Date, with the award paid at the Target Annual Incentive value, unless a Participant’s annual incentive award was approved by the Plan Administrator and communicated to the Participant prior to the date the Participant was notified by the Company of their Termination Date, and (C) any business expenses incurred by the Participant that are unreimbursed as of the Termination Date, in each case,</w:t>
      </w:r>
    </w:p>
    <w:p>
      <w:pPr>
        <w:spacing w:after="0" w:line="368"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880"/>
          </w:cols>
          <w:pgMar w:left="520" w:top="1440" w:right="499" w:bottom="1440" w:gutter="0" w:footer="0" w:header="0"/>
        </w:sectPr>
      </w:pPr>
    </w:p>
    <w:bookmarkStart w:id="141" w:name="page142"/>
    <w:bookmarkEnd w:id="141"/>
    <w:p>
      <w:pPr>
        <w:spacing w:after="0" w:line="204" w:lineRule="exact"/>
        <w:rPr>
          <w:sz w:val="20"/>
          <w:szCs w:val="20"/>
          <w:color w:val="auto"/>
        </w:rPr>
      </w:pPr>
    </w:p>
    <w:p>
      <w:pPr>
        <w:ind w:left="380" w:right="480"/>
        <w:spacing w:after="0" w:line="210" w:lineRule="auto"/>
        <w:rPr>
          <w:sz w:val="20"/>
          <w:szCs w:val="20"/>
          <w:color w:val="auto"/>
        </w:rPr>
      </w:pPr>
      <w:r>
        <w:rPr>
          <w:rFonts w:ascii="Arial" w:cs="Arial" w:eastAsia="Arial" w:hAnsi="Arial"/>
          <w:sz w:val="22"/>
          <w:szCs w:val="22"/>
          <w:color w:val="auto"/>
        </w:rPr>
        <w:t>to the extent not theretofore paid (the sum of the amounts described in clauses (A), (B), and (C) shall be hereinafter referred to as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notwithstanding the foregoing, in the case of</w:t>
      </w:r>
    </w:p>
    <w:p>
      <w:pPr>
        <w:spacing w:after="0" w:line="2" w:lineRule="exact"/>
        <w:rPr>
          <w:sz w:val="20"/>
          <w:szCs w:val="20"/>
          <w:color w:val="auto"/>
        </w:rPr>
      </w:pPr>
    </w:p>
    <w:p>
      <w:pPr>
        <w:ind w:left="380" w:right="40"/>
        <w:spacing w:after="0" w:line="245" w:lineRule="auto"/>
        <w:rPr>
          <w:sz w:val="20"/>
          <w:szCs w:val="20"/>
          <w:color w:val="auto"/>
        </w:rPr>
      </w:pPr>
      <w:r>
        <w:rPr>
          <w:rFonts w:ascii="Arial" w:cs="Arial" w:eastAsia="Arial" w:hAnsi="Arial"/>
          <w:sz w:val="19"/>
          <w:szCs w:val="19"/>
          <w:color w:val="auto"/>
        </w:rPr>
        <w:t>clauses (A) and (B), if the Participant has made an irrevocable election under any deferred compensation arrangement subject to Section 409A of the Code to defer any portion of the Annual Base Salary or annual incentive payment described in clause (A) or (B) above, then for all purposes of this Section 2(i), such deferral election, and the terms of the applicable arrangement, shall apply to the same portion of the amount described in such clauses (A) or (B), and such portion shall not be considered as part of the “Accrued Obligations” but shall instead be an “Other Benefit” (as defined below);</w:t>
      </w:r>
    </w:p>
    <w:p>
      <w:pPr>
        <w:spacing w:after="0" w:line="183" w:lineRule="exact"/>
        <w:rPr>
          <w:sz w:val="20"/>
          <w:szCs w:val="20"/>
          <w:color w:val="auto"/>
        </w:rPr>
      </w:pPr>
    </w:p>
    <w:p>
      <w:pPr>
        <w:ind w:left="380" w:right="320" w:firstLine="649"/>
        <w:spacing w:after="0" w:line="252" w:lineRule="auto"/>
        <w:tabs>
          <w:tab w:leader="none" w:pos="1467"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a payment equal to the product of (A) the Target Annual Incentive and (B) a fraction, the numerator of which is the number of days in the fiscal year the Participant was employed by the Company (beginning on the later of the: (i) first (1st) day of such fiscal year; or (ii) the first (1st) day during the fiscal year in which the Participant began employment with the Company); and ending on and including the Termination Date, and the denominator of which is the total number of days in such fiscal year; and</w:t>
      </w:r>
    </w:p>
    <w:p>
      <w:pPr>
        <w:spacing w:after="0" w:line="189" w:lineRule="exact"/>
        <w:rPr>
          <w:rFonts w:ascii="Arial" w:cs="Arial" w:eastAsia="Arial" w:hAnsi="Arial"/>
          <w:sz w:val="19"/>
          <w:szCs w:val="19"/>
          <w:color w:val="010000"/>
        </w:rPr>
      </w:pPr>
    </w:p>
    <w:p>
      <w:pPr>
        <w:ind w:left="1680" w:hanging="651"/>
        <w:spacing w:after="0"/>
        <w:tabs>
          <w:tab w:leader="none" w:pos="1680" w:val="left"/>
        </w:tabs>
        <w:numPr>
          <w:ilvl w:val="1"/>
          <w:numId w:val="113"/>
        </w:numPr>
        <w:rPr>
          <w:rFonts w:ascii="Arial" w:cs="Arial" w:eastAsia="Arial" w:hAnsi="Arial"/>
          <w:sz w:val="22"/>
          <w:szCs w:val="22"/>
          <w:color w:val="010000"/>
        </w:rPr>
      </w:pPr>
      <w:r>
        <w:rPr>
          <w:rFonts w:ascii="Arial" w:cs="Arial" w:eastAsia="Arial" w:hAnsi="Arial"/>
          <w:sz w:val="22"/>
          <w:szCs w:val="22"/>
          <w:color w:val="auto"/>
        </w:rPr>
        <w:t>a payment equal to the Participant’s Annual Base Salary.</w:t>
      </w:r>
    </w:p>
    <w:p>
      <w:pPr>
        <w:spacing w:after="0" w:line="206" w:lineRule="exact"/>
        <w:rPr>
          <w:rFonts w:ascii="Arial" w:cs="Arial" w:eastAsia="Arial" w:hAnsi="Arial"/>
          <w:sz w:val="22"/>
          <w:szCs w:val="22"/>
          <w:color w:val="010000"/>
        </w:rPr>
      </w:pPr>
    </w:p>
    <w:p>
      <w:pPr>
        <w:ind w:left="-260" w:right="200" w:firstLine="641"/>
        <w:spacing w:after="0" w:line="252" w:lineRule="auto"/>
        <w:tabs>
          <w:tab w:leader="none" w:pos="829"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Treatment of Annual Base Salary and Pro-Rata Target Annual Incentive</w:t>
      </w:r>
      <w:r>
        <w:rPr>
          <w:rFonts w:ascii="Arial" w:cs="Arial" w:eastAsia="Arial" w:hAnsi="Arial"/>
          <w:sz w:val="19"/>
          <w:szCs w:val="19"/>
          <w:color w:val="auto"/>
        </w:rPr>
        <w:t>. The value of the Participant’s Annual Base Salary and pro-rata Target Annual Incentive, as set forth in paragraphs (ii) and (iii) of Section 2(a) above will not be treated as compensation for purposes of any of the Company's retirement or benefit programs. These benefits are provided in consideration of the Participant’s execution and non- revocation of a General Release of Claims and Restrictive Covenant Agreement and fulfillment of the promises contained therein.</w:t>
      </w:r>
    </w:p>
    <w:p>
      <w:pPr>
        <w:spacing w:after="0" w:line="189" w:lineRule="exact"/>
        <w:rPr>
          <w:rFonts w:ascii="Arial" w:cs="Arial" w:eastAsia="Arial" w:hAnsi="Arial"/>
          <w:sz w:val="19"/>
          <w:szCs w:val="19"/>
          <w:color w:val="010000"/>
        </w:rPr>
      </w:pPr>
    </w:p>
    <w:p>
      <w:pPr>
        <w:ind w:left="-260" w:firstLine="641"/>
        <w:spacing w:after="0" w:line="242" w:lineRule="auto"/>
        <w:tabs>
          <w:tab w:leader="none" w:pos="830" w:val="left"/>
        </w:tabs>
        <w:numPr>
          <w:ilvl w:val="0"/>
          <w:numId w:val="114"/>
        </w:numPr>
        <w:rPr>
          <w:rFonts w:ascii="Arial" w:cs="Arial" w:eastAsia="Arial" w:hAnsi="Arial"/>
          <w:sz w:val="19"/>
          <w:szCs w:val="19"/>
          <w:color w:val="010000"/>
        </w:rPr>
      </w:pPr>
      <w:r>
        <w:rPr>
          <w:rFonts w:ascii="Arial" w:cs="Arial" w:eastAsia="Arial" w:hAnsi="Arial"/>
          <w:sz w:val="19"/>
          <w:szCs w:val="19"/>
          <w:u w:val="single" w:color="auto"/>
          <w:color w:val="auto"/>
        </w:rPr>
        <w:t>Healthcare Benefits</w:t>
      </w:r>
      <w:r>
        <w:rPr>
          <w:rFonts w:ascii="Arial" w:cs="Arial" w:eastAsia="Arial" w:hAnsi="Arial"/>
          <w:sz w:val="19"/>
          <w:szCs w:val="19"/>
          <w:color w:val="auto"/>
        </w:rPr>
        <w:t>. For the Benefit Continuation Period, the Company shall continue to provide to the Participant (and Participant’s dependents actively covered by healthcare benefit coverage pursuant to a plan sponsored by the Company or an Affiliated Entity as of immediately prior to the Termination Date, if any (the “</w:t>
      </w:r>
      <w:r>
        <w:rPr>
          <w:rFonts w:ascii="Arial" w:cs="Arial" w:eastAsia="Arial" w:hAnsi="Arial"/>
          <w:sz w:val="19"/>
          <w:szCs w:val="19"/>
          <w:u w:val="single" w:color="auto"/>
          <w:color w:val="auto"/>
        </w:rPr>
        <w:t>eligible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dependents</w:t>
      </w:r>
      <w:r>
        <w:rPr>
          <w:rFonts w:ascii="Arial" w:cs="Arial" w:eastAsia="Arial" w:hAnsi="Arial"/>
          <w:sz w:val="19"/>
          <w:szCs w:val="19"/>
          <w:color w:val="auto"/>
        </w:rPr>
        <w:t>”)) healthcare benefit coverage (including medical, prescription, dental, vision, basic life, and employee assistance program coverage, but exclude annual executive physical benefits if applicable) equal to the coverage that would have been provided if the Participant had continued employment with the Company during the Benefit Continuation Period. The Participant will not be required to pay any portion of the premium for such coverage, though deductibles and co-pays (if any) will continue to apply. If the Participant becomes reemployed with another employer during the Benefit Continuation Period and is eligible to receive any of the types of healthcare benefits under another employer-provided plan, the healthcare benefit coverage that is duplicative of the type of coverage provided hereunder shall cease. The Participant shall promptly notify the Company that the Participant has become eligible to receive healthcare benefits under another employer-provided plan. The period for providing continuation coverage under the group health plans of the Company and the Affiliated Entities as described in</w:t>
      </w:r>
    </w:p>
    <w:p>
      <w:pPr>
        <w:spacing w:after="0" w:line="37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9980"/>
          </w:cols>
          <w:pgMar w:left="1440" w:top="1440" w:right="479" w:bottom="1440" w:gutter="0" w:footer="0" w:header="0"/>
        </w:sectPr>
      </w:pPr>
    </w:p>
    <w:bookmarkStart w:id="142" w:name="page143"/>
    <w:bookmarkEnd w:id="142"/>
    <w:p>
      <w:pPr>
        <w:spacing w:after="0" w:line="204" w:lineRule="exact"/>
        <w:rPr>
          <w:sz w:val="20"/>
          <w:szCs w:val="20"/>
          <w:color w:val="auto"/>
        </w:rPr>
      </w:pPr>
    </w:p>
    <w:p>
      <w:pPr>
        <w:ind w:left="660" w:right="60"/>
        <w:spacing w:after="0" w:line="223" w:lineRule="auto"/>
        <w:rPr>
          <w:sz w:val="20"/>
          <w:szCs w:val="20"/>
          <w:color w:val="auto"/>
        </w:rPr>
      </w:pPr>
      <w:r>
        <w:rPr>
          <w:rFonts w:ascii="Arial" w:cs="Arial" w:eastAsia="Arial" w:hAnsi="Arial"/>
          <w:sz w:val="22"/>
          <w:szCs w:val="22"/>
          <w:color w:val="auto"/>
        </w:rPr>
        <w:t>Section 4980B of the Code (i.e., “COBRA” continuation benefits), if applicable, shall commence upon the expiration of the Benefits Continuation Period (or, if earlier, upon the cessation of the healthcare benefits coverage provided hereunder).</w:t>
      </w:r>
    </w:p>
    <w:p>
      <w:pPr>
        <w:spacing w:after="0" w:line="186" w:lineRule="exact"/>
        <w:rPr>
          <w:sz w:val="20"/>
          <w:szCs w:val="20"/>
          <w:color w:val="auto"/>
        </w:rPr>
      </w:pPr>
    </w:p>
    <w:p>
      <w:pPr>
        <w:jc w:val="both"/>
        <w:ind w:left="660" w:right="120" w:firstLine="642"/>
        <w:spacing w:after="0" w:line="257" w:lineRule="auto"/>
        <w:tabs>
          <w:tab w:leader="none" w:pos="1749" w:val="left"/>
        </w:tabs>
        <w:numPr>
          <w:ilvl w:val="0"/>
          <w:numId w:val="115"/>
        </w:numPr>
        <w:rPr>
          <w:rFonts w:ascii="Arial" w:cs="Arial" w:eastAsia="Arial" w:hAnsi="Arial"/>
          <w:sz w:val="19"/>
          <w:szCs w:val="19"/>
          <w:color w:val="010000"/>
        </w:rPr>
      </w:pPr>
      <w:r>
        <w:rPr>
          <w:rFonts w:ascii="Arial" w:cs="Arial" w:eastAsia="Arial" w:hAnsi="Arial"/>
          <w:sz w:val="19"/>
          <w:szCs w:val="19"/>
          <w:u w:val="single" w:color="auto"/>
          <w:color w:val="auto"/>
        </w:rPr>
        <w:t>Other Benefits</w:t>
      </w:r>
      <w:r>
        <w:rPr>
          <w:rFonts w:ascii="Arial" w:cs="Arial" w:eastAsia="Arial" w:hAnsi="Arial"/>
          <w:sz w:val="19"/>
          <w:szCs w:val="19"/>
          <w:color w:val="auto"/>
        </w:rPr>
        <w:t>. To the extent not theretofore paid or provided, the Company shall timely pay or provide to the Participant any other amounts or benefits required to be paid or provided or which the Participant is eligible to receive under any plan, program, policy or practice, or contract or agreement of the Company and the Affiliated Entities (such other amounts and benefits shall be hereinafter referred to as the “</w:t>
      </w:r>
      <w:r>
        <w:rPr>
          <w:rFonts w:ascii="Arial" w:cs="Arial" w:eastAsia="Arial" w:hAnsi="Arial"/>
          <w:sz w:val="19"/>
          <w:szCs w:val="19"/>
          <w:u w:val="single" w:color="auto"/>
          <w:color w:val="auto"/>
        </w:rPr>
        <w:t>Other Benefits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10000"/>
        </w:rPr>
        <w:t>SECTION 3</w:t>
      </w:r>
    </w:p>
    <w:p>
      <w:pPr>
        <w:jc w:val="center"/>
        <w:ind w:right="20"/>
        <w:spacing w:after="0"/>
        <w:rPr>
          <w:sz w:val="20"/>
          <w:szCs w:val="20"/>
          <w:color w:val="auto"/>
        </w:rPr>
      </w:pPr>
      <w:r>
        <w:rPr>
          <w:rFonts w:ascii="Arial" w:cs="Arial" w:eastAsia="Arial" w:hAnsi="Arial"/>
          <w:sz w:val="22"/>
          <w:szCs w:val="22"/>
          <w:b w:val="1"/>
          <w:bCs w:val="1"/>
          <w:color w:val="auto"/>
        </w:rPr>
        <w:t>NONDUPLICATION; NO OFFSET; REPAYMENT; ENTIRE UNDERSTANDING</w:t>
      </w:r>
    </w:p>
    <w:p>
      <w:pPr>
        <w:spacing w:after="0" w:line="202" w:lineRule="exact"/>
        <w:rPr>
          <w:sz w:val="20"/>
          <w:szCs w:val="20"/>
          <w:color w:val="auto"/>
        </w:rPr>
      </w:pPr>
    </w:p>
    <w:p>
      <w:pPr>
        <w:ind w:right="20" w:firstLine="648"/>
        <w:spacing w:after="0" w:line="243"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Nonduplication of Payments and Benefits</w:t>
      </w:r>
      <w:r>
        <w:rPr>
          <w:rFonts w:ascii="Arial" w:cs="Arial" w:eastAsia="Arial" w:hAnsi="Arial"/>
          <w:sz w:val="19"/>
          <w:szCs w:val="19"/>
          <w:color w:val="000000"/>
        </w:rPr>
        <w:t>. The amount of the payment under Section 2.1(a)(iii) of this Plan will</w:t>
      </w:r>
      <w:r>
        <w:rPr>
          <w:rFonts w:ascii="Arial" w:cs="Arial" w:eastAsia="Arial" w:hAnsi="Arial"/>
          <w:sz w:val="19"/>
          <w:szCs w:val="19"/>
          <w:color w:val="010000"/>
        </w:rPr>
        <w:t xml:space="preserve"> </w:t>
      </w:r>
      <w:r>
        <w:rPr>
          <w:rFonts w:ascii="Arial" w:cs="Arial" w:eastAsia="Arial" w:hAnsi="Arial"/>
          <w:sz w:val="19"/>
          <w:szCs w:val="19"/>
          <w:color w:val="000000"/>
        </w:rPr>
        <w:t>be offset and reduced by the full amount and/or value, as determined by the Plan Administrator in its sole discretion, of any severance benefits, compensation and benefits provided during any notice period, pay in lieu of notice, mandated termination indemnities, or similar benefits that the Participant may separately be entitled to receive from the Company or any Affiliated Entity based on any employment agreement or other contractual obligation (whether individual or union/works council) or statutory scheme. If a Participant’s employment is terminated because of a plant shut-down or mass layoff or other event to which the Worker Adjustment and Retraining Notification Act of 1988 or similar state law (collectively, “</w:t>
      </w:r>
      <w:r>
        <w:rPr>
          <w:rFonts w:ascii="Arial" w:cs="Arial" w:eastAsia="Arial" w:hAnsi="Arial"/>
          <w:sz w:val="19"/>
          <w:szCs w:val="19"/>
          <w:u w:val="single" w:color="auto"/>
          <w:color w:val="000000"/>
        </w:rPr>
        <w:t>WARN</w:t>
      </w:r>
      <w:r>
        <w:rPr>
          <w:rFonts w:ascii="Arial" w:cs="Arial" w:eastAsia="Arial" w:hAnsi="Arial"/>
          <w:sz w:val="19"/>
          <w:szCs w:val="19"/>
          <w:color w:val="000000"/>
        </w:rPr>
        <w:t>”) applies, then the amount of the severance payment under Section 2.1(a)(iii) of this Plan to which the Participant is entitled shall be reduced, dollar for dollar, by the amount of any pay provided to the Participant in lieu of the notice required by WARN, and the Benefits Continuation Period shall be reduced for any period of benefits continuation or pay in lieu thereof provided to Participant due to the application of WARN.</w:t>
      </w:r>
    </w:p>
    <w:p>
      <w:pPr>
        <w:spacing w:after="0" w:line="186"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010000"/>
        </w:rPr>
        <w:t xml:space="preserve">3.2 </w:t>
      </w:r>
      <w:r>
        <w:rPr>
          <w:rFonts w:ascii="Arial" w:cs="Arial" w:eastAsia="Arial" w:hAnsi="Arial"/>
          <w:sz w:val="21"/>
          <w:szCs w:val="21"/>
          <w:u w:val="single" w:color="auto"/>
          <w:color w:val="000000"/>
        </w:rPr>
        <w:t>No Offset or Mitigation</w:t>
      </w:r>
      <w:r>
        <w:rPr>
          <w:rFonts w:ascii="Arial" w:cs="Arial" w:eastAsia="Arial" w:hAnsi="Arial"/>
          <w:sz w:val="21"/>
          <w:szCs w:val="21"/>
          <w:color w:val="000000"/>
        </w:rPr>
        <w:t>. Except as otherwise expressly provided in Section 3.1 or as specifically provided in the</w:t>
      </w:r>
      <w:r>
        <w:rPr>
          <w:rFonts w:ascii="Arial" w:cs="Arial" w:eastAsia="Arial" w:hAnsi="Arial"/>
          <w:sz w:val="21"/>
          <w:szCs w:val="21"/>
          <w:color w:val="010000"/>
        </w:rPr>
        <w:t xml:space="preserve"> </w:t>
      </w:r>
      <w:r>
        <w:rPr>
          <w:rFonts w:ascii="Arial" w:cs="Arial" w:eastAsia="Arial" w:hAnsi="Arial"/>
          <w:sz w:val="21"/>
          <w:szCs w:val="21"/>
          <w:color w:val="000000"/>
        </w:rPr>
        <w:t>General Release of Claims and Restrictive Covenant Agreement, the Company’s obligation to provide the payments and benefits under this Plan and otherwise to perform its obligations hereunder shall be absolute and unconditional and shall not be affected by any setoff, counterclaim, recoupment, defense or other claim, right or action that the Company may have against a Participant or others. In no event shall a Participant be obligated to seek other employment or take any other action by way of mitigation of the amounts payable to such Participant under any of the provisions of this Plan and, except as provided in Section 2.1(c) regarding healthcare benefits, no payments or benefits received from other employment shall serve to mitigate the payments and benefits hereunder.</w:t>
      </w:r>
    </w:p>
    <w:p>
      <w:pPr>
        <w:spacing w:after="0" w:line="206" w:lineRule="exact"/>
        <w:rPr>
          <w:sz w:val="20"/>
          <w:szCs w:val="20"/>
          <w:color w:val="auto"/>
        </w:rPr>
      </w:pPr>
    </w:p>
    <w:p>
      <w:pPr>
        <w:ind w:right="260" w:firstLine="648"/>
        <w:spacing w:after="0" w:line="257"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u w:val="single" w:color="auto"/>
          <w:color w:val="000000"/>
        </w:rPr>
        <w:t>Reemployment by the Company</w:t>
      </w:r>
      <w:r>
        <w:rPr>
          <w:rFonts w:ascii="Arial" w:cs="Arial" w:eastAsia="Arial" w:hAnsi="Arial"/>
          <w:sz w:val="19"/>
          <w:szCs w:val="19"/>
          <w:color w:val="000000"/>
        </w:rPr>
        <w:t>. If the Company or an Affiliated Entity offers the Participant employment (at</w:t>
      </w:r>
      <w:r>
        <w:rPr>
          <w:rFonts w:ascii="Arial" w:cs="Arial" w:eastAsia="Arial" w:hAnsi="Arial"/>
          <w:sz w:val="19"/>
          <w:szCs w:val="19"/>
          <w:color w:val="010000"/>
        </w:rPr>
        <w:t xml:space="preserve"> </w:t>
      </w:r>
      <w:r>
        <w:rPr>
          <w:rFonts w:ascii="Arial" w:cs="Arial" w:eastAsia="Arial" w:hAnsi="Arial"/>
          <w:sz w:val="19"/>
          <w:szCs w:val="19"/>
          <w:color w:val="000000"/>
        </w:rPr>
        <w:t>the Company or Affiliate’s sole discretion), and Participant accepts such employment within twelve (12) months after the Participant’s Termination Date, then as a condition of that reemployment, Participant will be required to repay to the Company a pro-rata portion of the severance payment under Section 2.1(a)(iii) of this Plan. The pro-rata portion the</w:t>
      </w:r>
    </w:p>
    <w:p>
      <w:pPr>
        <w:spacing w:after="0" w:line="347"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860"/>
          </w:cols>
          <w:pgMar w:left="520" w:top="1440" w:right="519" w:bottom="1440" w:gutter="0" w:footer="0" w:header="0"/>
        </w:sectPr>
      </w:pPr>
    </w:p>
    <w:bookmarkStart w:id="143" w:name="page144"/>
    <w:bookmarkEnd w:id="143"/>
    <w:p>
      <w:pPr>
        <w:spacing w:after="0" w:line="204" w:lineRule="exact"/>
        <w:rPr>
          <w:sz w:val="20"/>
          <w:szCs w:val="20"/>
          <w:color w:val="auto"/>
        </w:rPr>
      </w:pPr>
    </w:p>
    <w:p>
      <w:pPr>
        <w:ind w:right="160"/>
        <w:spacing w:after="0" w:line="223" w:lineRule="auto"/>
        <w:rPr>
          <w:sz w:val="20"/>
          <w:szCs w:val="20"/>
          <w:color w:val="auto"/>
        </w:rPr>
      </w:pPr>
      <w:r>
        <w:rPr>
          <w:rFonts w:ascii="Arial" w:cs="Arial" w:eastAsia="Arial" w:hAnsi="Arial"/>
          <w:sz w:val="22"/>
          <w:szCs w:val="22"/>
          <w:color w:val="auto"/>
        </w:rPr>
        <w:t>Participant will be required to repay will be determined by multiplying the payment by a fraction, where the denominator of the fraction will be twelve (12), and the numerator will be twelve (12) minus the number of full months between the Participant’s Termination Date and the Participant’s reemployment date.</w:t>
      </w:r>
    </w:p>
    <w:p>
      <w:pPr>
        <w:spacing w:after="0" w:line="18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19"/>
          <w:szCs w:val="19"/>
          <w:u w:val="single" w:color="auto"/>
          <w:color w:val="auto"/>
        </w:rPr>
        <w:t>Entire Understanding</w:t>
      </w:r>
      <w:r>
        <w:rPr>
          <w:rFonts w:ascii="Arial" w:cs="Arial" w:eastAsia="Arial" w:hAnsi="Arial"/>
          <w:sz w:val="19"/>
          <w:szCs w:val="19"/>
          <w:color w:val="auto"/>
        </w:rPr>
        <w:t>.</w:t>
      </w:r>
    </w:p>
    <w:p>
      <w:pPr>
        <w:spacing w:after="0" w:line="220" w:lineRule="exact"/>
        <w:rPr>
          <w:sz w:val="20"/>
          <w:szCs w:val="20"/>
          <w:color w:val="auto"/>
        </w:rPr>
      </w:pPr>
    </w:p>
    <w:p>
      <w:pPr>
        <w:ind w:left="660" w:firstLine="642"/>
        <w:spacing w:after="0" w:line="244" w:lineRule="auto"/>
        <w:tabs>
          <w:tab w:leader="none" w:pos="1750"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This Plan constitutes the entire understanding between the Company and each Participant relating to the severance payments or benefits to be paid or provided to the Participant by the Company upon a termination of employment that occurs on or after the Effective Date and supersedes all prior agreements and understandings with respect to the subject matter of this Plan, but specifically excluding Executive Leadership Group (ELG) agreements. To the extent permitted by applicable law, Each Participant’s eligibility to receive severance payments or benefits under this Plan following the Effective Date shall preclude the Participant from claiming severance benefits under any other contractual arrangement with the Company or any Affiliated Entity during such period and, to the extent that such preclusion is not permitted by applicable law, then the severance payments under this Plan will be subject to offset and reduction in accordance with Section 3.1.</w:t>
      </w:r>
    </w:p>
    <w:p>
      <w:pPr>
        <w:spacing w:after="0" w:line="187" w:lineRule="exact"/>
        <w:rPr>
          <w:rFonts w:ascii="Arial" w:cs="Arial" w:eastAsia="Arial" w:hAnsi="Arial"/>
          <w:sz w:val="19"/>
          <w:szCs w:val="19"/>
          <w:color w:val="010000"/>
        </w:rPr>
      </w:pPr>
    </w:p>
    <w:p>
      <w:pPr>
        <w:ind w:left="660" w:right="100" w:firstLine="642"/>
        <w:spacing w:after="0" w:line="226" w:lineRule="auto"/>
        <w:tabs>
          <w:tab w:leader="none" w:pos="1749" w:val="left"/>
        </w:tabs>
        <w:numPr>
          <w:ilvl w:val="0"/>
          <w:numId w:val="116"/>
        </w:numPr>
        <w:rPr>
          <w:rFonts w:ascii="Arial" w:cs="Arial" w:eastAsia="Arial" w:hAnsi="Arial"/>
          <w:sz w:val="21"/>
          <w:szCs w:val="21"/>
          <w:color w:val="010000"/>
        </w:rPr>
      </w:pPr>
      <w:r>
        <w:rPr>
          <w:rFonts w:ascii="Arial" w:cs="Arial" w:eastAsia="Arial" w:hAnsi="Arial"/>
          <w:sz w:val="21"/>
          <w:szCs w:val="21"/>
          <w:color w:val="auto"/>
        </w:rPr>
        <w:t>Severance payments and benefits provided under the Plan shall in no way affect the Participant’s ability to terminate employment by reason of the Participant’s “retirement” under, or to be eligible to receive benefits under, any compensation and benefits plans, programs or arrangements of the Company or the Affiliated Entities, including, without limitation, any retirement or pension plans or arrangements or substitute plans adopted by the Company, the Affiliated Entities or their respective successors.</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SECTION 4</w:t>
      </w:r>
    </w:p>
    <w:p>
      <w:pPr>
        <w:jc w:val="center"/>
        <w:ind w:right="40"/>
        <w:spacing w:after="0"/>
        <w:rPr>
          <w:sz w:val="20"/>
          <w:szCs w:val="20"/>
          <w:color w:val="auto"/>
        </w:rPr>
      </w:pPr>
      <w:r>
        <w:rPr>
          <w:rFonts w:ascii="Arial" w:cs="Arial" w:eastAsia="Arial" w:hAnsi="Arial"/>
          <w:sz w:val="22"/>
          <w:szCs w:val="22"/>
          <w:b w:val="1"/>
          <w:bCs w:val="1"/>
          <w:color w:val="auto"/>
        </w:rPr>
        <w:t>AMENDMENT AND TERMINATION</w:t>
      </w:r>
    </w:p>
    <w:p>
      <w:pPr>
        <w:spacing w:after="0" w:line="188" w:lineRule="exact"/>
        <w:rPr>
          <w:sz w:val="20"/>
          <w:szCs w:val="20"/>
          <w:color w:val="auto"/>
        </w:rPr>
      </w:pPr>
    </w:p>
    <w:p>
      <w:pPr>
        <w:ind w:right="160" w:firstLine="648"/>
        <w:spacing w:after="0" w:line="222" w:lineRule="auto"/>
        <w:rPr>
          <w:sz w:val="20"/>
          <w:szCs w:val="20"/>
          <w:color w:val="auto"/>
        </w:rPr>
      </w:pPr>
      <w:r>
        <w:rPr>
          <w:rFonts w:ascii="Arial" w:cs="Arial" w:eastAsia="Arial" w:hAnsi="Arial"/>
          <w:sz w:val="21"/>
          <w:szCs w:val="21"/>
          <w:color w:val="auto"/>
        </w:rPr>
        <w:t xml:space="preserve">This Plan may be terminated or amended in any respect by resolution adopted by the Committee;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any Participant who has experienced a Qualifying Termination, during the period after such Qualifying Termination and before the time at which such Participant has received all severance payments and benefits due under the Plan, the Plan may not be terminated, or amended in a manner that reduces the severance payments and benefits otherwise due to such Participant, in each case without such Participant’s consent; and </w:t>
      </w:r>
      <w:r>
        <w:rPr>
          <w:rFonts w:ascii="Arial" w:cs="Arial" w:eastAsia="Arial" w:hAnsi="Arial"/>
          <w:sz w:val="21"/>
          <w:szCs w:val="21"/>
          <w:i w:val="1"/>
          <w:iCs w:val="1"/>
          <w:color w:val="auto"/>
        </w:rPr>
        <w:t>provided further</w:t>
      </w:r>
      <w:r>
        <w:rPr>
          <w:rFonts w:ascii="Arial" w:cs="Arial" w:eastAsia="Arial" w:hAnsi="Arial"/>
          <w:sz w:val="21"/>
          <w:szCs w:val="21"/>
          <w:color w:val="auto"/>
        </w:rPr>
        <w:t>, that an amendment that is strictly administrative or ministerial in nature shall not require resolution adoption by the Committee and may be approved by the Plan Administrator.</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SECTION 5</w:t>
      </w:r>
    </w:p>
    <w:p>
      <w:pPr>
        <w:jc w:val="center"/>
        <w:ind w:right="40"/>
        <w:spacing w:after="0"/>
        <w:rPr>
          <w:sz w:val="20"/>
          <w:szCs w:val="20"/>
          <w:color w:val="auto"/>
        </w:rPr>
      </w:pPr>
      <w:r>
        <w:rPr>
          <w:rFonts w:ascii="Arial" w:cs="Arial" w:eastAsia="Arial" w:hAnsi="Arial"/>
          <w:sz w:val="22"/>
          <w:szCs w:val="22"/>
          <w:b w:val="1"/>
          <w:bCs w:val="1"/>
          <w:color w:val="auto"/>
        </w:rPr>
        <w:t>PLAN ADMINISTRATION</w:t>
      </w:r>
    </w:p>
    <w:p>
      <w:pPr>
        <w:spacing w:after="0" w:line="202"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010000"/>
        </w:rPr>
        <w:t xml:space="preserve">5.1 </w:t>
      </w:r>
      <w:r>
        <w:rPr>
          <w:rFonts w:ascii="Arial" w:cs="Arial" w:eastAsia="Arial" w:hAnsi="Arial"/>
          <w:sz w:val="22"/>
          <w:szCs w:val="22"/>
          <w:u w:val="single" w:color="auto"/>
          <w:color w:val="000000"/>
        </w:rPr>
        <w:t>General</w:t>
      </w:r>
      <w:r>
        <w:rPr>
          <w:rFonts w:ascii="Arial" w:cs="Arial" w:eastAsia="Arial" w:hAnsi="Arial"/>
          <w:sz w:val="22"/>
          <w:szCs w:val="22"/>
          <w:color w:val="000000"/>
        </w:rPr>
        <w:t>. The Plan Administrator is responsible for the general administration and management of this Plan and</w:t>
      </w:r>
      <w:r>
        <w:rPr>
          <w:rFonts w:ascii="Arial" w:cs="Arial" w:eastAsia="Arial" w:hAnsi="Arial"/>
          <w:sz w:val="22"/>
          <w:szCs w:val="22"/>
          <w:color w:val="010000"/>
        </w:rPr>
        <w:t xml:space="preserve"> </w:t>
      </w:r>
      <w:r>
        <w:rPr>
          <w:rFonts w:ascii="Arial" w:cs="Arial" w:eastAsia="Arial" w:hAnsi="Arial"/>
          <w:sz w:val="22"/>
          <w:szCs w:val="22"/>
          <w:color w:val="000000"/>
        </w:rPr>
        <w:t>shall have all powers and duties necessary to fulfill its responsibilities, including, but not limited to, the discretion to interpret and apply the provisions</w:t>
      </w: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0880"/>
          </w:cols>
          <w:pgMar w:left="520" w:top="1440" w:right="499" w:bottom="1440" w:gutter="0" w:footer="0" w:header="0"/>
        </w:sectPr>
      </w:pPr>
    </w:p>
    <w:bookmarkStart w:id="144" w:name="page145"/>
    <w:bookmarkEnd w:id="144"/>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 xml:space="preserve">of this Plan, to modify the provisions of this Plan, or the General Release of Claims and Restrictive Covenant Agreement, as applied to any Participant providing services outside of the United States to the extent necessary or appropriate in order to comply with any applicable legal or regulatory provisions and otherwise to carry out the intent and purpose of this Plan, and to determine all questions relating to eligibility for benefits under this Plan, to interpret or construe ambiguous, unclear, or implied (but omitted) terms in any fashion it deems to be appropriate, and to make any findings of fact needed in the administration of this Plan. All decisions, interpretations and other actions of the Plan Administrator shall be final, conclusive and binding on all parties who have an interest in this Plan. In the event of a civil action challenging any Plan Administrator decision, the standard of review shall be deferential rather than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and the Plan Administrator’s decisions may be overturned only if deemed unreasonable, arbitrary or capricious.</w:t>
      </w:r>
    </w:p>
    <w:p>
      <w:pPr>
        <w:spacing w:after="0" w:line="188" w:lineRule="exact"/>
        <w:rPr>
          <w:sz w:val="20"/>
          <w:szCs w:val="20"/>
          <w:color w:val="auto"/>
        </w:rPr>
      </w:pPr>
    </w:p>
    <w:p>
      <w:pPr>
        <w:ind w:right="100" w:firstLine="648"/>
        <w:spacing w:after="0" w:line="229" w:lineRule="auto"/>
        <w:rPr>
          <w:sz w:val="20"/>
          <w:szCs w:val="20"/>
          <w:color w:val="auto"/>
        </w:rPr>
      </w:pPr>
      <w:r>
        <w:rPr>
          <w:rFonts w:ascii="Arial" w:cs="Arial" w:eastAsia="Arial" w:hAnsi="Arial"/>
          <w:sz w:val="21"/>
          <w:szCs w:val="21"/>
          <w:color w:val="010000"/>
        </w:rPr>
        <w:t xml:space="preserve">5.2 </w:t>
      </w:r>
      <w:r>
        <w:rPr>
          <w:rFonts w:ascii="Arial" w:cs="Arial" w:eastAsia="Arial" w:hAnsi="Arial"/>
          <w:sz w:val="21"/>
          <w:szCs w:val="21"/>
          <w:u w:val="single" w:color="auto"/>
          <w:color w:val="000000"/>
        </w:rPr>
        <w:t>ERISA</w:t>
      </w:r>
      <w:r>
        <w:rPr>
          <w:rFonts w:ascii="Arial" w:cs="Arial" w:eastAsia="Arial" w:hAnsi="Arial"/>
          <w:sz w:val="21"/>
          <w:szCs w:val="21"/>
          <w:color w:val="000000"/>
        </w:rPr>
        <w:t>. This Plan (a) shall be considered to be an unfunded plan maintained by the Company primarily for the</w:t>
      </w:r>
      <w:r>
        <w:rPr>
          <w:rFonts w:ascii="Arial" w:cs="Arial" w:eastAsia="Arial" w:hAnsi="Arial"/>
          <w:sz w:val="21"/>
          <w:szCs w:val="21"/>
          <w:color w:val="010000"/>
        </w:rPr>
        <w:t xml:space="preserve"> </w:t>
      </w:r>
      <w:r>
        <w:rPr>
          <w:rFonts w:ascii="Arial" w:cs="Arial" w:eastAsia="Arial" w:hAnsi="Arial"/>
          <w:sz w:val="21"/>
          <w:szCs w:val="21"/>
          <w:color w:val="000000"/>
        </w:rPr>
        <w:t>purpose of providing deferred compensation for a select group of management or highly compensated employees (a “</w:t>
      </w:r>
      <w:r>
        <w:rPr>
          <w:rFonts w:ascii="Arial" w:cs="Arial" w:eastAsia="Arial" w:hAnsi="Arial"/>
          <w:sz w:val="21"/>
          <w:szCs w:val="21"/>
          <w:u w:val="single" w:color="auto"/>
          <w:color w:val="000000"/>
        </w:rPr>
        <w:t>top-hat</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plan</w:t>
      </w:r>
      <w:r>
        <w:rPr>
          <w:rFonts w:ascii="Arial" w:cs="Arial" w:eastAsia="Arial" w:hAnsi="Arial"/>
          <w:sz w:val="21"/>
          <w:szCs w:val="21"/>
          <w:color w:val="000000"/>
        </w:rPr>
        <w:t>”), and (b) shall be administered in a manner that complies with the provisions of the Employee Retirement Income Security Act of 1974, as amended (“</w:t>
      </w:r>
      <w:r>
        <w:rPr>
          <w:rFonts w:ascii="Arial" w:cs="Arial" w:eastAsia="Arial" w:hAnsi="Arial"/>
          <w:sz w:val="21"/>
          <w:szCs w:val="21"/>
          <w:u w:val="single" w:color="auto"/>
          <w:color w:val="000000"/>
        </w:rPr>
        <w:t>ERISA</w:t>
      </w:r>
      <w:r>
        <w:rPr>
          <w:rFonts w:ascii="Arial" w:cs="Arial" w:eastAsia="Arial" w:hAnsi="Arial"/>
          <w:sz w:val="21"/>
          <w:szCs w:val="21"/>
          <w:color w:val="000000"/>
        </w:rPr>
        <w:t>”) that are applicable to top-hat plans.</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5.3</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w:t>
      </w:r>
    </w:p>
    <w:p>
      <w:pPr>
        <w:spacing w:after="0" w:line="206" w:lineRule="exact"/>
        <w:rPr>
          <w:sz w:val="20"/>
          <w:szCs w:val="20"/>
          <w:color w:val="auto"/>
        </w:rPr>
      </w:pPr>
    </w:p>
    <w:p>
      <w:pPr>
        <w:ind w:left="660" w:right="40" w:firstLine="641"/>
        <w:spacing w:after="0" w:line="244" w:lineRule="auto"/>
        <w:tabs>
          <w:tab w:leader="none" w:pos="1750" w:val="left"/>
        </w:tabs>
        <w:numPr>
          <w:ilvl w:val="0"/>
          <w:numId w:val="117"/>
        </w:numPr>
        <w:rPr>
          <w:rFonts w:ascii="Arial" w:cs="Arial" w:eastAsia="Arial" w:hAnsi="Arial"/>
          <w:sz w:val="19"/>
          <w:szCs w:val="19"/>
          <w:color w:val="010000"/>
        </w:rPr>
      </w:pPr>
      <w:r>
        <w:rPr>
          <w:rFonts w:ascii="Arial" w:cs="Arial" w:eastAsia="Arial" w:hAnsi="Arial"/>
          <w:sz w:val="19"/>
          <w:szCs w:val="19"/>
          <w:u w:val="single" w:color="auto"/>
          <w:color w:val="auto"/>
        </w:rPr>
        <w:t>Initial Claims</w:t>
      </w:r>
      <w:r>
        <w:rPr>
          <w:rFonts w:ascii="Arial" w:cs="Arial" w:eastAsia="Arial" w:hAnsi="Arial"/>
          <w:sz w:val="19"/>
          <w:szCs w:val="19"/>
          <w:color w:val="auto"/>
        </w:rPr>
        <w:t>. A Participant who believes that such Participant is entitled to a payment under this Plan that has not been received may submit a written claim for benefits under this Plan within sixty (60) days after the Participant’s Termination Date. If the Participant’s claim is denied, in whole or in part, such Participant will be furnished with written notice of the denial within ninety (90) days after the Plan Administrator’s receipt of the Participant’s written claim, unless special circumstances require an extension of time for processing the claim, in which case, the decision period may be extended by up to an additional ninety (90) days. If such an extension of time is necessary, written notice of the extension will be furnished to the Participant before the termination of the initial ninety (90)-day period and will describe the circumstances requiring the extension and the date by which a decision is expected to be rendered. Written notice of the denial of the Participant’s claim will contain the following information:</w:t>
      </w:r>
    </w:p>
    <w:p>
      <w:pPr>
        <w:spacing w:after="0" w:line="282" w:lineRule="exact"/>
        <w:rPr>
          <w:rFonts w:ascii="Arial" w:cs="Arial" w:eastAsia="Arial" w:hAnsi="Arial"/>
          <w:sz w:val="19"/>
          <w:szCs w:val="19"/>
          <w:color w:val="010000"/>
        </w:rPr>
      </w:pPr>
    </w:p>
    <w:p>
      <w:pPr>
        <w:ind w:left="2580" w:hanging="631"/>
        <w:spacing w:after="0"/>
        <w:tabs>
          <w:tab w:leader="none" w:pos="2580" w:val="left"/>
        </w:tabs>
        <w:numPr>
          <w:ilvl w:val="1"/>
          <w:numId w:val="117"/>
        </w:numPr>
        <w:rPr>
          <w:rFonts w:ascii="Arial" w:cs="Arial" w:eastAsia="Arial" w:hAnsi="Arial"/>
          <w:sz w:val="22"/>
          <w:szCs w:val="22"/>
          <w:color w:val="010000"/>
        </w:rPr>
      </w:pPr>
      <w:r>
        <w:rPr>
          <w:rFonts w:ascii="Arial" w:cs="Arial" w:eastAsia="Arial" w:hAnsi="Arial"/>
          <w:sz w:val="22"/>
          <w:szCs w:val="22"/>
          <w:color w:val="auto"/>
        </w:rPr>
        <w:t>the reason or reasons for the denial of the Participant’s claim;</w:t>
      </w:r>
    </w:p>
    <w:p>
      <w:pPr>
        <w:spacing w:after="0" w:line="206" w:lineRule="exact"/>
        <w:rPr>
          <w:rFonts w:ascii="Arial" w:cs="Arial" w:eastAsia="Arial" w:hAnsi="Arial"/>
          <w:sz w:val="22"/>
          <w:szCs w:val="22"/>
          <w:color w:val="010000"/>
        </w:rPr>
      </w:pPr>
    </w:p>
    <w:p>
      <w:pPr>
        <w:ind w:left="2380" w:hanging="431"/>
        <w:spacing w:after="0"/>
        <w:tabs>
          <w:tab w:leader="none" w:pos="2380" w:val="left"/>
        </w:tabs>
        <w:numPr>
          <w:ilvl w:val="1"/>
          <w:numId w:val="117"/>
        </w:numPr>
        <w:rPr>
          <w:rFonts w:ascii="Arial" w:cs="Arial" w:eastAsia="Arial" w:hAnsi="Arial"/>
          <w:sz w:val="21"/>
          <w:szCs w:val="21"/>
          <w:color w:val="010000"/>
        </w:rPr>
      </w:pPr>
      <w:r>
        <w:rPr>
          <w:rFonts w:ascii="Arial" w:cs="Arial" w:eastAsia="Arial" w:hAnsi="Arial"/>
          <w:sz w:val="21"/>
          <w:szCs w:val="21"/>
          <w:color w:val="auto"/>
        </w:rPr>
        <w:t>references to the Plan provisions on which the denial of the Participant’s claim was based;</w:t>
      </w:r>
    </w:p>
    <w:p>
      <w:pPr>
        <w:spacing w:after="0" w:line="231" w:lineRule="exact"/>
        <w:rPr>
          <w:rFonts w:ascii="Arial" w:cs="Arial" w:eastAsia="Arial" w:hAnsi="Arial"/>
          <w:sz w:val="21"/>
          <w:szCs w:val="21"/>
          <w:color w:val="010000"/>
        </w:rPr>
      </w:pPr>
    </w:p>
    <w:p>
      <w:pPr>
        <w:ind w:left="1300" w:right="500" w:firstLine="649"/>
        <w:spacing w:after="0" w:line="223" w:lineRule="auto"/>
        <w:tabs>
          <w:tab w:leader="none" w:pos="2393" w:val="left"/>
        </w:tabs>
        <w:numPr>
          <w:ilvl w:val="1"/>
          <w:numId w:val="117"/>
        </w:numPr>
        <w:rPr>
          <w:rFonts w:ascii="Arial" w:cs="Arial" w:eastAsia="Arial" w:hAnsi="Arial"/>
          <w:sz w:val="22"/>
          <w:szCs w:val="22"/>
          <w:color w:val="010000"/>
        </w:rPr>
      </w:pPr>
      <w:r>
        <w:rPr>
          <w:rFonts w:ascii="Arial" w:cs="Arial" w:eastAsia="Arial" w:hAnsi="Arial"/>
          <w:sz w:val="22"/>
          <w:szCs w:val="22"/>
          <w:color w:val="auto"/>
        </w:rPr>
        <w:t>a description of any additional information or material required by the Plan Administrator to reconsider the Participant’s claim (to the extent applicable) and an explanation of why such material or information is necessary; and</w:t>
      </w:r>
    </w:p>
    <w:p>
      <w:pPr>
        <w:spacing w:after="0" w:line="266" w:lineRule="exact"/>
        <w:rPr>
          <w:rFonts w:ascii="Arial" w:cs="Arial" w:eastAsia="Arial" w:hAnsi="Arial"/>
          <w:sz w:val="22"/>
          <w:szCs w:val="22"/>
          <w:color w:val="010000"/>
        </w:rPr>
      </w:pPr>
    </w:p>
    <w:p>
      <w:pPr>
        <w:ind w:left="1300" w:right="520" w:firstLine="649"/>
        <w:spacing w:after="0" w:line="232" w:lineRule="auto"/>
        <w:tabs>
          <w:tab w:leader="none" w:pos="2395" w:val="left"/>
        </w:tabs>
        <w:numPr>
          <w:ilvl w:val="1"/>
          <w:numId w:val="117"/>
        </w:numPr>
        <w:rPr>
          <w:rFonts w:ascii="Arial" w:cs="Arial" w:eastAsia="Arial" w:hAnsi="Arial"/>
          <w:sz w:val="22"/>
          <w:szCs w:val="22"/>
          <w:color w:val="010000"/>
        </w:rPr>
      </w:pPr>
      <w:r>
        <w:rPr>
          <w:rFonts w:ascii="Arial" w:cs="Arial" w:eastAsia="Arial" w:hAnsi="Arial"/>
          <w:sz w:val="22"/>
          <w:szCs w:val="22"/>
          <w:color w:val="auto"/>
        </w:rPr>
        <w:t>a description of this Plan’s review procedures and time limits applicable to such procedures, including a statement of the Participant’s right to</w:t>
      </w: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0880"/>
          </w:cols>
          <w:pgMar w:left="520" w:top="1440" w:right="499" w:bottom="1440" w:gutter="0" w:footer="0" w:header="0"/>
        </w:sectPr>
      </w:pPr>
    </w:p>
    <w:bookmarkStart w:id="145" w:name="page146"/>
    <w:bookmarkEnd w:id="145"/>
    <w:p>
      <w:pPr>
        <w:spacing w:after="0" w:line="204"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bring a civil action under Section 502(a) of ERISA following a benefit claim denial on review.</w:t>
      </w:r>
    </w:p>
    <w:p>
      <w:pPr>
        <w:spacing w:after="0" w:line="206" w:lineRule="exact"/>
        <w:rPr>
          <w:sz w:val="20"/>
          <w:szCs w:val="20"/>
          <w:color w:val="auto"/>
        </w:rPr>
      </w:pPr>
    </w:p>
    <w:p>
      <w:pPr>
        <w:ind w:left="-260" w:right="160" w:firstLine="642"/>
        <w:spacing w:after="0" w:line="218" w:lineRule="auto"/>
        <w:tabs>
          <w:tab w:leader="none" w:pos="829"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Appeal of Denied Claims</w:t>
      </w:r>
      <w:r>
        <w:rPr>
          <w:rFonts w:ascii="Arial" w:cs="Arial" w:eastAsia="Arial" w:hAnsi="Arial"/>
          <w:sz w:val="22"/>
          <w:szCs w:val="22"/>
          <w:color w:val="auto"/>
        </w:rPr>
        <w:t>. If the Participant’s claim is denied, the Participant (or the Participant’s authorized representative) may file a request for review of the claim in writing with the Plan Administrator. This request for review must be filed no later than sixty (60) days after the Participant has received written notification of the denial.</w:t>
      </w:r>
    </w:p>
    <w:p>
      <w:pPr>
        <w:spacing w:after="0" w:line="268" w:lineRule="exact"/>
        <w:rPr>
          <w:rFonts w:ascii="Arial" w:cs="Arial" w:eastAsia="Arial" w:hAnsi="Arial"/>
          <w:sz w:val="22"/>
          <w:szCs w:val="22"/>
          <w:color w:val="010000"/>
        </w:rPr>
      </w:pPr>
    </w:p>
    <w:p>
      <w:pPr>
        <w:ind w:left="380" w:right="280" w:firstLine="650"/>
        <w:spacing w:after="0" w:line="232" w:lineRule="auto"/>
        <w:tabs>
          <w:tab w:leader="none" w:pos="1475"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Such request for review may include any comments, documents, records and other information relating to the Participant’s claim for benefits.</w:t>
      </w:r>
    </w:p>
    <w:p>
      <w:pPr>
        <w:spacing w:after="0" w:line="199" w:lineRule="exact"/>
        <w:rPr>
          <w:rFonts w:ascii="Arial" w:cs="Arial" w:eastAsia="Arial" w:hAnsi="Arial"/>
          <w:sz w:val="22"/>
          <w:szCs w:val="22"/>
          <w:color w:val="010000"/>
        </w:rPr>
      </w:pPr>
    </w:p>
    <w:p>
      <w:pPr>
        <w:jc w:val="both"/>
        <w:ind w:left="380" w:firstLine="650"/>
        <w:spacing w:after="0" w:line="223" w:lineRule="auto"/>
        <w:tabs>
          <w:tab w:leader="none" w:pos="1467"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The Participant has the right to be provided with, upon request and free of charge, reasonable access to and copies of all pertinent documents, records and other information that is relevant to the Participant’s claim for benefits.</w:t>
      </w:r>
    </w:p>
    <w:p>
      <w:pPr>
        <w:spacing w:after="0" w:line="199" w:lineRule="exact"/>
        <w:rPr>
          <w:rFonts w:ascii="Arial" w:cs="Arial" w:eastAsia="Arial" w:hAnsi="Arial"/>
          <w:sz w:val="22"/>
          <w:szCs w:val="22"/>
          <w:color w:val="010000"/>
        </w:rPr>
      </w:pPr>
    </w:p>
    <w:p>
      <w:pPr>
        <w:ind w:left="380" w:right="200" w:firstLine="650"/>
        <w:spacing w:after="0" w:line="268" w:lineRule="auto"/>
        <w:tabs>
          <w:tab w:leader="none" w:pos="1473" w:val="left"/>
        </w:tabs>
        <w:numPr>
          <w:ilvl w:val="1"/>
          <w:numId w:val="118"/>
        </w:numPr>
        <w:rPr>
          <w:rFonts w:ascii="Arial" w:cs="Arial" w:eastAsia="Arial" w:hAnsi="Arial"/>
          <w:sz w:val="19"/>
          <w:szCs w:val="19"/>
          <w:color w:val="010000"/>
        </w:rPr>
      </w:pPr>
      <w:r>
        <w:rPr>
          <w:rFonts w:ascii="Arial" w:cs="Arial" w:eastAsia="Arial" w:hAnsi="Arial"/>
          <w:sz w:val="19"/>
          <w:szCs w:val="19"/>
          <w:color w:val="auto"/>
        </w:rPr>
        <w:t>The review of the denied claim will take into account all comments, documents, records and other information that the Participant submitted relating to the Participant’s claim, without regard to whether such information was submitted or considered in the initial denial of the Participant’s claim.</w:t>
      </w:r>
    </w:p>
    <w:p>
      <w:pPr>
        <w:spacing w:after="0" w:line="159" w:lineRule="exact"/>
        <w:rPr>
          <w:rFonts w:ascii="Arial" w:cs="Arial" w:eastAsia="Arial" w:hAnsi="Arial"/>
          <w:sz w:val="19"/>
          <w:szCs w:val="19"/>
          <w:color w:val="010000"/>
        </w:rPr>
      </w:pPr>
    </w:p>
    <w:p>
      <w:pPr>
        <w:ind w:left="-260" w:right="180" w:firstLine="641"/>
        <w:spacing w:after="0" w:line="224" w:lineRule="auto"/>
        <w:tabs>
          <w:tab w:leader="none" w:pos="830" w:val="left"/>
        </w:tabs>
        <w:numPr>
          <w:ilvl w:val="0"/>
          <w:numId w:val="118"/>
        </w:numPr>
        <w:rPr>
          <w:rFonts w:ascii="Arial" w:cs="Arial" w:eastAsia="Arial" w:hAnsi="Arial"/>
          <w:sz w:val="21"/>
          <w:szCs w:val="21"/>
          <w:color w:val="010000"/>
        </w:rPr>
      </w:pPr>
      <w:r>
        <w:rPr>
          <w:rFonts w:ascii="Arial" w:cs="Arial" w:eastAsia="Arial" w:hAnsi="Arial"/>
          <w:sz w:val="21"/>
          <w:szCs w:val="21"/>
          <w:u w:val="single" w:color="auto"/>
          <w:color w:val="auto"/>
        </w:rPr>
        <w:t>Plan Administrator’s Response to Appeal</w:t>
      </w:r>
      <w:r>
        <w:rPr>
          <w:rFonts w:ascii="Arial" w:cs="Arial" w:eastAsia="Arial" w:hAnsi="Arial"/>
          <w:sz w:val="21"/>
          <w:szCs w:val="21"/>
          <w:color w:val="auto"/>
        </w:rPr>
        <w:t xml:space="preserve">. The Plan Administrator will notify the Participant of its decision within sixty (60) days after the Plan Administrator’s receipt of the Participant’s written claim for review;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Plan Administrator may extend the review period by up to sixty (60) additional days, if the Plan</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Administrator notifies the Participant in writing of the need for an extension (and the reason therefor) before the end of the initial sixty (60)-day period. If the Plan Administrator makes an adverse decision on appeal, the Plan Administrator shall communicate its decision in a writing that includes:</w:t>
      </w:r>
    </w:p>
    <w:p>
      <w:pPr>
        <w:spacing w:after="0" w:line="200" w:lineRule="exact"/>
        <w:rPr>
          <w:rFonts w:ascii="Arial" w:cs="Arial" w:eastAsia="Arial" w:hAnsi="Arial"/>
          <w:sz w:val="21"/>
          <w:szCs w:val="21"/>
          <w:color w:val="010000"/>
        </w:rPr>
      </w:pPr>
    </w:p>
    <w:p>
      <w:pPr>
        <w:ind w:left="1660" w:hanging="631"/>
        <w:spacing w:after="0"/>
        <w:tabs>
          <w:tab w:leader="none" w:pos="1660"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the reason or reasons for the denial of the Participant’s appeal;</w:t>
      </w:r>
    </w:p>
    <w:p>
      <w:pPr>
        <w:spacing w:after="0" w:line="219" w:lineRule="exact"/>
        <w:rPr>
          <w:rFonts w:ascii="Arial" w:cs="Arial" w:eastAsia="Arial" w:hAnsi="Arial"/>
          <w:sz w:val="22"/>
          <w:szCs w:val="22"/>
          <w:color w:val="010000"/>
        </w:rPr>
      </w:pPr>
    </w:p>
    <w:p>
      <w:pPr>
        <w:ind w:left="1460" w:hanging="430"/>
        <w:spacing w:after="0"/>
        <w:tabs>
          <w:tab w:leader="none" w:pos="1460" w:val="left"/>
        </w:tabs>
        <w:numPr>
          <w:ilvl w:val="1"/>
          <w:numId w:val="118"/>
        </w:numPr>
        <w:rPr>
          <w:rFonts w:ascii="Arial" w:cs="Arial" w:eastAsia="Arial" w:hAnsi="Arial"/>
          <w:sz w:val="21"/>
          <w:szCs w:val="21"/>
          <w:color w:val="010000"/>
        </w:rPr>
      </w:pPr>
      <w:r>
        <w:rPr>
          <w:rFonts w:ascii="Arial" w:cs="Arial" w:eastAsia="Arial" w:hAnsi="Arial"/>
          <w:sz w:val="21"/>
          <w:szCs w:val="21"/>
          <w:color w:val="auto"/>
        </w:rPr>
        <w:t>reference to the Plan provisions on which the denial of the Participant’s appeal is based;</w:t>
      </w:r>
    </w:p>
    <w:p>
      <w:pPr>
        <w:spacing w:after="0" w:line="217" w:lineRule="exact"/>
        <w:rPr>
          <w:rFonts w:ascii="Arial" w:cs="Arial" w:eastAsia="Arial" w:hAnsi="Arial"/>
          <w:sz w:val="21"/>
          <w:szCs w:val="21"/>
          <w:color w:val="010000"/>
        </w:rPr>
      </w:pPr>
    </w:p>
    <w:p>
      <w:pPr>
        <w:ind w:left="380" w:right="160" w:firstLine="650"/>
        <w:spacing w:after="0" w:line="223" w:lineRule="auto"/>
        <w:tabs>
          <w:tab w:leader="none" w:pos="1473"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a statement that the Participant is entitled to receive, upon request and free of charge, reasonable access to, and copies of, this Plan and all documents, records and other information relevant to the Participant’s claim for benefits; and</w:t>
      </w:r>
    </w:p>
    <w:p>
      <w:pPr>
        <w:spacing w:after="0" w:line="180" w:lineRule="exact"/>
        <w:rPr>
          <w:rFonts w:ascii="Arial" w:cs="Arial" w:eastAsia="Arial" w:hAnsi="Arial"/>
          <w:sz w:val="22"/>
          <w:szCs w:val="22"/>
          <w:color w:val="010000"/>
        </w:rPr>
      </w:pPr>
    </w:p>
    <w:p>
      <w:pPr>
        <w:ind w:left="1480" w:hanging="450"/>
        <w:spacing w:after="0"/>
        <w:tabs>
          <w:tab w:leader="none" w:pos="1480" w:val="left"/>
        </w:tabs>
        <w:numPr>
          <w:ilvl w:val="1"/>
          <w:numId w:val="118"/>
        </w:numPr>
        <w:rPr>
          <w:rFonts w:ascii="Arial" w:cs="Arial" w:eastAsia="Arial" w:hAnsi="Arial"/>
          <w:sz w:val="22"/>
          <w:szCs w:val="22"/>
          <w:color w:val="010000"/>
        </w:rPr>
      </w:pPr>
      <w:r>
        <w:rPr>
          <w:rFonts w:ascii="Arial" w:cs="Arial" w:eastAsia="Arial" w:hAnsi="Arial"/>
          <w:sz w:val="22"/>
          <w:szCs w:val="22"/>
          <w:color w:val="auto"/>
        </w:rPr>
        <w:t>a statement describing the Participant’s right to bring an action under Section 502(a) of</w:t>
      </w:r>
    </w:p>
    <w:p>
      <w:pPr>
        <w:ind w:left="380"/>
        <w:spacing w:after="0"/>
        <w:rPr>
          <w:sz w:val="20"/>
          <w:szCs w:val="20"/>
          <w:color w:val="auto"/>
        </w:rPr>
      </w:pPr>
      <w:r>
        <w:rPr>
          <w:rFonts w:ascii="Arial" w:cs="Arial" w:eastAsia="Arial" w:hAnsi="Arial"/>
          <w:sz w:val="22"/>
          <w:szCs w:val="22"/>
          <w:color w:val="auto"/>
        </w:rPr>
        <w:t>ERISA.</w:t>
      </w:r>
    </w:p>
    <w:p>
      <w:pPr>
        <w:spacing w:after="0" w:line="188" w:lineRule="exact"/>
        <w:rPr>
          <w:sz w:val="20"/>
          <w:szCs w:val="20"/>
          <w:color w:val="auto"/>
        </w:rPr>
      </w:pPr>
    </w:p>
    <w:p>
      <w:pPr>
        <w:ind w:left="-260" w:right="400" w:firstLine="642"/>
        <w:spacing w:after="0" w:line="247" w:lineRule="auto"/>
        <w:tabs>
          <w:tab w:leader="none" w:pos="829" w:val="left"/>
        </w:tabs>
        <w:numPr>
          <w:ilvl w:val="0"/>
          <w:numId w:val="119"/>
        </w:numPr>
        <w:rPr>
          <w:rFonts w:ascii="Arial" w:cs="Arial" w:eastAsia="Arial" w:hAnsi="Arial"/>
          <w:sz w:val="21"/>
          <w:szCs w:val="21"/>
          <w:color w:val="010000"/>
        </w:rPr>
      </w:pPr>
      <w:r>
        <w:rPr>
          <w:rFonts w:ascii="Arial" w:cs="Arial" w:eastAsia="Arial" w:hAnsi="Arial"/>
          <w:sz w:val="21"/>
          <w:szCs w:val="21"/>
          <w:u w:val="single" w:color="auto"/>
          <w:color w:val="auto"/>
        </w:rPr>
        <w:t>Exhaustion of Administrative Remedies</w:t>
      </w:r>
      <w:r>
        <w:rPr>
          <w:rFonts w:ascii="Arial" w:cs="Arial" w:eastAsia="Arial" w:hAnsi="Arial"/>
          <w:sz w:val="21"/>
          <w:szCs w:val="21"/>
          <w:color w:val="auto"/>
        </w:rPr>
        <w:t>. The exhaustion of these claims procedures is mandatory for resolving every claim and dispute arising under this Plan. As to such claims and disputes:</w:t>
      </w:r>
    </w:p>
    <w:p>
      <w:pPr>
        <w:spacing w:after="0" w:line="367"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9960"/>
          </w:cols>
          <w:pgMar w:left="1440" w:top="1440" w:right="499" w:bottom="1440" w:gutter="0" w:footer="0" w:header="0"/>
        </w:sectPr>
      </w:pPr>
    </w:p>
    <w:bookmarkStart w:id="146" w:name="page147"/>
    <w:bookmarkEnd w:id="146"/>
    <w:p>
      <w:pPr>
        <w:spacing w:after="0" w:line="204" w:lineRule="exact"/>
        <w:rPr>
          <w:sz w:val="20"/>
          <w:szCs w:val="20"/>
          <w:color w:val="auto"/>
        </w:rPr>
      </w:pPr>
    </w:p>
    <w:p>
      <w:pPr>
        <w:ind w:left="1300" w:right="320" w:firstLine="649"/>
        <w:spacing w:after="0" w:line="223" w:lineRule="auto"/>
        <w:tabs>
          <w:tab w:leader="none" w:pos="2395"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no claimant shall be permitted to commence any arbitration or legal action to recover benefits or to enforce or clarify rights under this Plan or under any provision of law until these claim procedures have been exhausted in their entirety;</w:t>
      </w:r>
    </w:p>
    <w:p>
      <w:pPr>
        <w:spacing w:after="0" w:line="185" w:lineRule="exact"/>
        <w:rPr>
          <w:rFonts w:ascii="Arial" w:cs="Arial" w:eastAsia="Arial" w:hAnsi="Arial"/>
          <w:sz w:val="22"/>
          <w:szCs w:val="22"/>
          <w:color w:val="010000"/>
        </w:rPr>
      </w:pPr>
    </w:p>
    <w:p>
      <w:pPr>
        <w:ind w:left="1300" w:right="340" w:firstLine="649"/>
        <w:spacing w:after="0" w:line="232" w:lineRule="auto"/>
        <w:tabs>
          <w:tab w:leader="none" w:pos="2387" w:val="left"/>
        </w:tabs>
        <w:numPr>
          <w:ilvl w:val="1"/>
          <w:numId w:val="120"/>
        </w:numPr>
        <w:rPr>
          <w:rFonts w:ascii="Arial" w:cs="Arial" w:eastAsia="Arial" w:hAnsi="Arial"/>
          <w:sz w:val="22"/>
          <w:szCs w:val="22"/>
          <w:color w:val="010000"/>
        </w:rPr>
      </w:pPr>
      <w:r>
        <w:rPr>
          <w:rFonts w:ascii="Arial" w:cs="Arial" w:eastAsia="Arial" w:hAnsi="Arial"/>
          <w:sz w:val="22"/>
          <w:szCs w:val="22"/>
          <w:color w:val="auto"/>
        </w:rPr>
        <w:t>failure to submit a claim, appeal or any required information by the applicable deadline under these claims procedures shall result in forfeiture of the benefits being claimed;</w:t>
      </w:r>
    </w:p>
    <w:p>
      <w:pPr>
        <w:spacing w:after="0" w:line="199" w:lineRule="exact"/>
        <w:rPr>
          <w:rFonts w:ascii="Arial" w:cs="Arial" w:eastAsia="Arial" w:hAnsi="Arial"/>
          <w:sz w:val="22"/>
          <w:szCs w:val="22"/>
          <w:color w:val="010000"/>
        </w:rPr>
      </w:pPr>
    </w:p>
    <w:p>
      <w:pPr>
        <w:ind w:left="1300" w:right="120" w:firstLine="649"/>
        <w:spacing w:after="0" w:line="226" w:lineRule="auto"/>
        <w:tabs>
          <w:tab w:leader="none" w:pos="2393" w:val="left"/>
        </w:tabs>
        <w:numPr>
          <w:ilvl w:val="1"/>
          <w:numId w:val="120"/>
        </w:numPr>
        <w:rPr>
          <w:rFonts w:ascii="Arial" w:cs="Arial" w:eastAsia="Arial" w:hAnsi="Arial"/>
          <w:sz w:val="21"/>
          <w:szCs w:val="21"/>
          <w:color w:val="010000"/>
        </w:rPr>
      </w:pPr>
      <w:r>
        <w:rPr>
          <w:rFonts w:ascii="Arial" w:cs="Arial" w:eastAsia="Arial" w:hAnsi="Arial"/>
          <w:sz w:val="21"/>
          <w:szCs w:val="21"/>
          <w:color w:val="auto"/>
        </w:rPr>
        <w:t>in any civil action, arbitration or other agreed upon dispute resolution procedure, all explicit and implicit determinations by the Plan Administrator (including, but not limited to, interpretation of disputed plan terms, factual findings, and determinations as to whether the claim, or a request for a review of a denied claim, was timely filed) shall be afforded the maximum deference permitted by law and shall be overturned only if deemed unreasonable, arbitrary or capricious; and</w:t>
      </w:r>
    </w:p>
    <w:p>
      <w:pPr>
        <w:spacing w:after="0" w:line="186" w:lineRule="exact"/>
        <w:rPr>
          <w:rFonts w:ascii="Arial" w:cs="Arial" w:eastAsia="Arial" w:hAnsi="Arial"/>
          <w:sz w:val="21"/>
          <w:szCs w:val="21"/>
          <w:color w:val="010000"/>
        </w:rPr>
      </w:pPr>
    </w:p>
    <w:p>
      <w:pPr>
        <w:ind w:left="2400" w:hanging="450"/>
        <w:spacing w:after="0"/>
        <w:tabs>
          <w:tab w:leader="none" w:pos="2400"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no legal action or arbitration may be commenced by the Participant later than one hundred eighty</w:t>
      </w:r>
    </w:p>
    <w:p>
      <w:pPr>
        <w:spacing w:after="0" w:line="15" w:lineRule="exact"/>
        <w:rPr>
          <w:rFonts w:ascii="Arial" w:cs="Arial" w:eastAsia="Arial" w:hAnsi="Arial"/>
          <w:sz w:val="19"/>
          <w:szCs w:val="19"/>
          <w:color w:val="010000"/>
        </w:rPr>
      </w:pPr>
    </w:p>
    <w:p>
      <w:pPr>
        <w:ind w:left="1300" w:right="160" w:firstLine="2"/>
        <w:spacing w:after="0" w:line="224" w:lineRule="auto"/>
        <w:tabs>
          <w:tab w:leader="none" w:pos="182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days subsequent to the date of the written response of the Plan Administrator to a Participant’s request for review pursuant to Section 5.3(c).</w:t>
      </w:r>
    </w:p>
    <w:p>
      <w:pPr>
        <w:spacing w:after="0" w:line="198"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Indemnification</w:t>
      </w:r>
      <w:r>
        <w:rPr>
          <w:rFonts w:ascii="Arial" w:cs="Arial" w:eastAsia="Arial" w:hAnsi="Arial"/>
          <w:sz w:val="22"/>
          <w:szCs w:val="22"/>
          <w:color w:val="000000"/>
        </w:rPr>
        <w:t>. To the extent permitted by law, the Company shall indemnify the Plan Administrator and his or</w:t>
      </w:r>
      <w:r>
        <w:rPr>
          <w:rFonts w:ascii="Arial" w:cs="Arial" w:eastAsia="Arial" w:hAnsi="Arial"/>
          <w:sz w:val="22"/>
          <w:szCs w:val="22"/>
          <w:color w:val="010000"/>
        </w:rPr>
        <w:t xml:space="preserve"> </w:t>
      </w:r>
      <w:r>
        <w:rPr>
          <w:rFonts w:ascii="Arial" w:cs="Arial" w:eastAsia="Arial" w:hAnsi="Arial"/>
          <w:sz w:val="22"/>
          <w:szCs w:val="22"/>
          <w:color w:val="000000"/>
        </w:rPr>
        <w:t>her delegates from all claims for liability, loss or damage (including the payment of expenses in connection with defense against such claims) arising from any good faith action, or failure to act, by the Plan Administrator in connection with this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SECTION 6</w:t>
      </w:r>
    </w:p>
    <w:p>
      <w:pPr>
        <w:jc w:val="center"/>
        <w:ind w:right="-39"/>
        <w:spacing w:after="0"/>
        <w:rPr>
          <w:sz w:val="20"/>
          <w:szCs w:val="20"/>
          <w:color w:val="auto"/>
        </w:rPr>
      </w:pPr>
      <w:r>
        <w:rPr>
          <w:rFonts w:ascii="Arial" w:cs="Arial" w:eastAsia="Arial" w:hAnsi="Arial"/>
          <w:sz w:val="22"/>
          <w:szCs w:val="22"/>
          <w:b w:val="1"/>
          <w:bCs w:val="1"/>
          <w:color w:val="auto"/>
        </w:rPr>
        <w:t>SUCCESSORS; ASSIGNMENT</w:t>
      </w:r>
    </w:p>
    <w:p>
      <w:pPr>
        <w:spacing w:after="0" w:line="202"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u w:val="single" w:color="auto"/>
          <w:color w:val="000000"/>
        </w:rPr>
        <w:t>Successors</w:t>
      </w:r>
      <w:r>
        <w:rPr>
          <w:rFonts w:ascii="Arial" w:cs="Arial" w:eastAsia="Arial" w:hAnsi="Arial"/>
          <w:sz w:val="19"/>
          <w:szCs w:val="19"/>
          <w:color w:val="000000"/>
        </w:rPr>
        <w:t>. The Company shall require any corporation, entity, individual or other person who is the successor</w:t>
      </w:r>
      <w:r>
        <w:rPr>
          <w:rFonts w:ascii="Arial" w:cs="Arial" w:eastAsia="Arial" w:hAnsi="Arial"/>
          <w:sz w:val="19"/>
          <w:szCs w:val="19"/>
          <w:color w:val="010000"/>
        </w:rPr>
        <w:t xml:space="preserve"> </w:t>
      </w:r>
      <w:r>
        <w:rPr>
          <w:rFonts w:ascii="Arial" w:cs="Arial" w:eastAsia="Arial" w:hAnsi="Arial"/>
          <w:sz w:val="19"/>
          <w:szCs w:val="19"/>
          <w:color w:val="000000"/>
        </w:rPr>
        <w:t>(whether direct or indirect, by purchase, merger, consolidation, reorganization or otherwise) to all or substantially all of the business and/or assets of the Company to expressly assume and agree to perform, by a written agreement in form and in substance satisfactory to the Company, all of the obligations of the Company under this Plan. As used in this Plan, the term “Company” shall mean the Company as hereinbefore defined and any successor to its business and/or assets as aforesaid that assumes and agrees to perform this Plan by operation of law, written agreement or otherwise.</w:t>
      </w:r>
    </w:p>
    <w:p>
      <w:pPr>
        <w:spacing w:after="0" w:line="179"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010000"/>
        </w:rPr>
        <w:t xml:space="preserve">6.2 </w:t>
      </w:r>
      <w:r>
        <w:rPr>
          <w:rFonts w:ascii="Arial" w:cs="Arial" w:eastAsia="Arial" w:hAnsi="Arial"/>
          <w:sz w:val="22"/>
          <w:szCs w:val="22"/>
          <w:u w:val="single" w:color="auto"/>
          <w:color w:val="000000"/>
        </w:rPr>
        <w:t>Assignment of Rights</w:t>
      </w:r>
      <w:r>
        <w:rPr>
          <w:rFonts w:ascii="Arial" w:cs="Arial" w:eastAsia="Arial" w:hAnsi="Arial"/>
          <w:sz w:val="22"/>
          <w:szCs w:val="22"/>
          <w:color w:val="000000"/>
        </w:rPr>
        <w:t>. It is a condition of this Plan, and of all rights of each person eligible to receive benefits</w:t>
      </w:r>
      <w:r>
        <w:rPr>
          <w:rFonts w:ascii="Arial" w:cs="Arial" w:eastAsia="Arial" w:hAnsi="Arial"/>
          <w:sz w:val="22"/>
          <w:szCs w:val="22"/>
          <w:color w:val="010000"/>
        </w:rPr>
        <w:t xml:space="preserve"> </w:t>
      </w:r>
      <w:r>
        <w:rPr>
          <w:rFonts w:ascii="Arial" w:cs="Arial" w:eastAsia="Arial" w:hAnsi="Arial"/>
          <w:sz w:val="22"/>
          <w:szCs w:val="22"/>
          <w:color w:val="000000"/>
        </w:rPr>
        <w:t>under this Plan, that no right or interest of any such person in this Plan shall be assignable or transferable in whole or in part, except by will or the laws of descent and distribution or other operation of law, including, but not by way of limitation, lawful execution, levy, garnishment, attachment, pledge, bankruptcy, alimony, child support or qualified domestic relations order.</w:t>
      </w:r>
    </w:p>
    <w:p>
      <w:pPr>
        <w:spacing w:after="0" w:line="37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0820"/>
          </w:cols>
          <w:pgMar w:left="520" w:top="1440" w:right="559" w:bottom="1440" w:gutter="0" w:footer="0" w:header="0"/>
        </w:sectPr>
      </w:pPr>
    </w:p>
    <w:bookmarkStart w:id="147" w:name="page148"/>
    <w:bookmarkEnd w:id="147"/>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SECTION 7</w:t>
      </w:r>
    </w:p>
    <w:p>
      <w:pPr>
        <w:jc w:val="center"/>
        <w:ind w:right="40"/>
        <w:spacing w:after="0"/>
        <w:rPr>
          <w:sz w:val="20"/>
          <w:szCs w:val="20"/>
          <w:color w:val="auto"/>
        </w:rPr>
      </w:pPr>
      <w:r>
        <w:rPr>
          <w:rFonts w:ascii="Arial" w:cs="Arial" w:eastAsia="Arial" w:hAnsi="Arial"/>
          <w:sz w:val="22"/>
          <w:szCs w:val="22"/>
          <w:b w:val="1"/>
          <w:bCs w:val="1"/>
          <w:color w:val="auto"/>
        </w:rPr>
        <w:t>SECTION 409A OF THE CODE</w:t>
      </w:r>
    </w:p>
    <w:p>
      <w:pPr>
        <w:spacing w:after="0" w:line="20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u w:val="single" w:color="auto"/>
          <w:color w:val="000000"/>
        </w:rPr>
        <w:t>General</w:t>
      </w:r>
      <w:r>
        <w:rPr>
          <w:rFonts w:ascii="Arial" w:cs="Arial" w:eastAsia="Arial" w:hAnsi="Arial"/>
          <w:sz w:val="19"/>
          <w:szCs w:val="19"/>
          <w:color w:val="000000"/>
        </w:rPr>
        <w:t>. The obligations under this Plan are intended to comply with the requirements of Section 409A of the</w:t>
      </w:r>
      <w:r>
        <w:rPr>
          <w:rFonts w:ascii="Arial" w:cs="Arial" w:eastAsia="Arial" w:hAnsi="Arial"/>
          <w:sz w:val="19"/>
          <w:szCs w:val="19"/>
          <w:color w:val="010000"/>
        </w:rPr>
        <w:t xml:space="preserve"> </w:t>
      </w:r>
      <w:r>
        <w:rPr>
          <w:rFonts w:ascii="Arial" w:cs="Arial" w:eastAsia="Arial" w:hAnsi="Arial"/>
          <w:sz w:val="19"/>
          <w:szCs w:val="19"/>
          <w:color w:val="000000"/>
        </w:rPr>
        <w:t>Code or an exemption or exclusion therefrom and shall in all respects be administered in accordance with Section 409A of the Code. Any payments that qualify for the “short-term deferral” exception, the separation pay exception or another exception under Section 409A of the Code shall be paid under the applicable exception to the maximum extent possible. For purposes of the limitations on nonqualified deferred compensation under Section 409A of the Code and applying the exclusion under Section 409A for short-term deferral amounts, the separation pay exception, or any other exception or exclusion under Section 409A of the Code, each payment of compensation under this Plan shall be treated as a separate payment of compensation.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199"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u w:val="single" w:color="auto"/>
          <w:color w:val="000000"/>
        </w:rPr>
        <w:t>Reimbursements and In-Kind Benefits</w:t>
      </w:r>
      <w:r>
        <w:rPr>
          <w:rFonts w:ascii="Arial" w:cs="Arial" w:eastAsia="Arial" w:hAnsi="Arial"/>
          <w:sz w:val="21"/>
          <w:szCs w:val="21"/>
          <w:color w:val="000000"/>
        </w:rPr>
        <w:t>. Notwithstanding anything to the contrary in this Plan, all</w:t>
      </w:r>
      <w:r>
        <w:rPr>
          <w:rFonts w:ascii="Arial" w:cs="Arial" w:eastAsia="Arial" w:hAnsi="Arial"/>
          <w:sz w:val="21"/>
          <w:szCs w:val="21"/>
          <w:color w:val="010000"/>
        </w:rPr>
        <w:t xml:space="preserve"> </w:t>
      </w:r>
      <w:r>
        <w:rPr>
          <w:rFonts w:ascii="Arial" w:cs="Arial" w:eastAsia="Arial" w:hAnsi="Arial"/>
          <w:sz w:val="21"/>
          <w:szCs w:val="21"/>
          <w:color w:val="000000"/>
        </w:rPr>
        <w:t xml:space="preserve">reimbursements and in-kind benefits provided under this Plan that are subject to Section 409A of the Code shall be made in accordance with the requirements of Section 409A of the Code, including, without limitation, where applicable, the requirement that (a) in no event shall the Company’s obligations to make such reimbursements or to provide such in-kind benefits apply later than the Participant’s remaining lifetime (or if longer, through the twentieth (20th) anniversary of the Effective Date); (b) the amount of expenses eligible for reimbursement, or in-kind benefits provided, during a calendar year may not affect the expenses eligible for reimbursement, or in-kind benefits to be provided, in any other calendar year; (c) the reimbursement of eligible fees and expenses shall be made no later than the last day of the calendar year following the year in which the applicable fees and expenses were incurred;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that the Participant shall have submitted an invoice for such fees and expenses at least thirty (30) days before the end of the calendar year next following the calendar year in which such fees and expenses were incurred; and (d) the right to reimbursement or in-kind benefits is not subject to liquidation or exchange for another benefit.</w:t>
      </w:r>
    </w:p>
    <w:p>
      <w:pPr>
        <w:spacing w:after="0" w:line="191" w:lineRule="exact"/>
        <w:rPr>
          <w:sz w:val="20"/>
          <w:szCs w:val="20"/>
          <w:color w:val="auto"/>
        </w:rPr>
      </w:pPr>
    </w:p>
    <w:p>
      <w:pPr>
        <w:ind w:right="80" w:firstLine="648"/>
        <w:spacing w:after="0" w:line="220"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u w:val="single" w:color="auto"/>
          <w:color w:val="000000"/>
        </w:rPr>
        <w:t>Delay of Payments</w:t>
      </w:r>
      <w:r>
        <w:rPr>
          <w:rFonts w:ascii="Arial" w:cs="Arial" w:eastAsia="Arial" w:hAnsi="Arial"/>
          <w:sz w:val="21"/>
          <w:szCs w:val="21"/>
          <w:color w:val="000000"/>
        </w:rPr>
        <w:t>. Notwithstanding any other provision of this Plan to the contrary, if a Participant is</w:t>
      </w:r>
      <w:r>
        <w:rPr>
          <w:rFonts w:ascii="Arial" w:cs="Arial" w:eastAsia="Arial" w:hAnsi="Arial"/>
          <w:sz w:val="21"/>
          <w:szCs w:val="21"/>
          <w:color w:val="010000"/>
        </w:rPr>
        <w:t xml:space="preserve"> </w:t>
      </w:r>
      <w:r>
        <w:rPr>
          <w:rFonts w:ascii="Arial" w:cs="Arial" w:eastAsia="Arial" w:hAnsi="Arial"/>
          <w:sz w:val="21"/>
          <w:szCs w:val="21"/>
          <w:color w:val="000000"/>
        </w:rPr>
        <w:t>considered a “specified employee” for purposes of Section 409A of the Code (as determined in accordance with the methodology established by the Company as in effect on the Termination Date), any payment or benefit that constitutes nonqualified deferred compensation within the meaning of Section 409A of the Code that is otherwise due to be paid to such Participant under this Agreement during the six (6)-month period immediately following such Participant’s separation from service (as determined in accordance with Section 409A of the Code) because of such Participant’s separation from service shall be accumulated and paid to such Participant on the first (1st) business day of the seventh (7th) month following the Participant’s separation from service (the “</w:t>
      </w:r>
      <w:r>
        <w:rPr>
          <w:rFonts w:ascii="Arial" w:cs="Arial" w:eastAsia="Arial" w:hAnsi="Arial"/>
          <w:sz w:val="21"/>
          <w:szCs w:val="21"/>
          <w:u w:val="single" w:color="auto"/>
          <w:color w:val="000000"/>
        </w:rPr>
        <w:t>Delayed Payment Date</w:t>
      </w:r>
      <w:r>
        <w:rPr>
          <w:rFonts w:ascii="Arial" w:cs="Arial" w:eastAsia="Arial" w:hAnsi="Arial"/>
          <w:sz w:val="21"/>
          <w:szCs w:val="21"/>
          <w:color w:val="000000"/>
        </w:rPr>
        <w:t>”), or the next regularly scheduled payroll cycle thereafter, to the extent necessary to avoid penalty taxes or accelerated taxation pursuant to Section 409A of the Code. If such Participant dies during the postponement</w:t>
      </w:r>
    </w:p>
    <w:p>
      <w:pPr>
        <w:spacing w:after="0" w:line="37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0880"/>
          </w:cols>
          <w:pgMar w:left="520" w:top="1440" w:right="499" w:bottom="1440" w:gutter="0" w:footer="0" w:header="0"/>
        </w:sectPr>
      </w:pPr>
    </w:p>
    <w:bookmarkStart w:id="148" w:name="page149"/>
    <w:bookmarkEnd w:id="148"/>
    <w:p>
      <w:pPr>
        <w:spacing w:after="0" w:line="204" w:lineRule="exact"/>
        <w:rPr>
          <w:sz w:val="20"/>
          <w:szCs w:val="20"/>
          <w:color w:val="auto"/>
        </w:rPr>
      </w:pPr>
    </w:p>
    <w:p>
      <w:pPr>
        <w:ind w:right="960"/>
        <w:spacing w:after="0" w:line="232" w:lineRule="auto"/>
        <w:rPr>
          <w:sz w:val="20"/>
          <w:szCs w:val="20"/>
          <w:color w:val="auto"/>
        </w:rPr>
      </w:pPr>
      <w:r>
        <w:rPr>
          <w:rFonts w:ascii="Arial" w:cs="Arial" w:eastAsia="Arial" w:hAnsi="Arial"/>
          <w:sz w:val="22"/>
          <w:szCs w:val="22"/>
          <w:color w:val="auto"/>
        </w:rPr>
        <w:t>period, the amounts and entitlements delayed on account of Section 409A of the Code shall be paid to the personal representative of his or her estate on the Delayed Payment Date.</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10000"/>
        </w:rPr>
        <w:t>SECTION 8</w:t>
      </w:r>
    </w:p>
    <w:p>
      <w:pPr>
        <w:jc w:val="center"/>
        <w:ind w:right="40"/>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ind w:right="100" w:firstLine="648"/>
        <w:spacing w:after="0" w:line="224" w:lineRule="auto"/>
        <w:rPr>
          <w:sz w:val="20"/>
          <w:szCs w:val="20"/>
          <w:color w:val="auto"/>
        </w:rPr>
      </w:pPr>
      <w:r>
        <w:rPr>
          <w:rFonts w:ascii="Arial" w:cs="Arial" w:eastAsia="Arial" w:hAnsi="Arial"/>
          <w:sz w:val="21"/>
          <w:szCs w:val="21"/>
          <w:color w:val="010000"/>
        </w:rPr>
        <w:t xml:space="preserve">8.1 </w:t>
      </w:r>
      <w:r>
        <w:rPr>
          <w:rFonts w:ascii="Arial" w:cs="Arial" w:eastAsia="Arial" w:hAnsi="Arial"/>
          <w:sz w:val="21"/>
          <w:szCs w:val="21"/>
          <w:u w:val="single" w:color="auto"/>
          <w:color w:val="000000"/>
        </w:rPr>
        <w:t>Governing Law</w:t>
      </w:r>
      <w:r>
        <w:rPr>
          <w:rFonts w:ascii="Arial" w:cs="Arial" w:eastAsia="Arial" w:hAnsi="Arial"/>
          <w:sz w:val="21"/>
          <w:szCs w:val="21"/>
          <w:color w:val="000000"/>
        </w:rPr>
        <w:t>. To the extent not preempted by ERISA, this Plan shall be governed by and construed in</w:t>
      </w:r>
      <w:r>
        <w:rPr>
          <w:rFonts w:ascii="Arial" w:cs="Arial" w:eastAsia="Arial" w:hAnsi="Arial"/>
          <w:sz w:val="21"/>
          <w:szCs w:val="21"/>
          <w:color w:val="010000"/>
        </w:rPr>
        <w:t xml:space="preserve"> </w:t>
      </w:r>
      <w:r>
        <w:rPr>
          <w:rFonts w:ascii="Arial" w:cs="Arial" w:eastAsia="Arial" w:hAnsi="Arial"/>
          <w:sz w:val="21"/>
          <w:szCs w:val="21"/>
          <w:color w:val="000000"/>
        </w:rPr>
        <w:t>accordance with the laws of the 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Plan, even if under such jurisdiction’s choice of law or conflict of law analysis, the substantive law of some other jurisdiction would ordinarily apply.</w:t>
      </w:r>
    </w:p>
    <w:p>
      <w:pPr>
        <w:spacing w:after="0" w:line="187" w:lineRule="exact"/>
        <w:rPr>
          <w:sz w:val="20"/>
          <w:szCs w:val="20"/>
          <w:color w:val="auto"/>
        </w:rPr>
      </w:pPr>
    </w:p>
    <w:p>
      <w:pPr>
        <w:ind w:right="220" w:firstLine="648"/>
        <w:spacing w:after="0" w:line="298" w:lineRule="auto"/>
        <w:rPr>
          <w:sz w:val="20"/>
          <w:szCs w:val="20"/>
          <w:color w:val="auto"/>
        </w:rPr>
      </w:pPr>
      <w:r>
        <w:rPr>
          <w:rFonts w:ascii="Arial" w:cs="Arial" w:eastAsia="Arial" w:hAnsi="Arial"/>
          <w:sz w:val="19"/>
          <w:szCs w:val="19"/>
          <w:color w:val="010000"/>
        </w:rPr>
        <w:t xml:space="preserve">8.2 </w:t>
      </w:r>
      <w:r>
        <w:rPr>
          <w:rFonts w:ascii="Arial" w:cs="Arial" w:eastAsia="Arial" w:hAnsi="Arial"/>
          <w:sz w:val="19"/>
          <w:szCs w:val="19"/>
          <w:u w:val="single" w:color="auto"/>
          <w:color w:val="000000"/>
        </w:rPr>
        <w:t>Withholding</w:t>
      </w:r>
      <w:r>
        <w:rPr>
          <w:rFonts w:ascii="Arial" w:cs="Arial" w:eastAsia="Arial" w:hAnsi="Arial"/>
          <w:sz w:val="19"/>
          <w:szCs w:val="19"/>
          <w:color w:val="000000"/>
        </w:rPr>
        <w:t>. The Company may withhold from any amount payable or benefit provided under this Plan such</w:t>
      </w:r>
      <w:r>
        <w:rPr>
          <w:rFonts w:ascii="Arial" w:cs="Arial" w:eastAsia="Arial" w:hAnsi="Arial"/>
          <w:sz w:val="19"/>
          <w:szCs w:val="19"/>
          <w:color w:val="010000"/>
        </w:rPr>
        <w:t xml:space="preserve"> </w:t>
      </w:r>
      <w:r>
        <w:rPr>
          <w:rFonts w:ascii="Arial" w:cs="Arial" w:eastAsia="Arial" w:hAnsi="Arial"/>
          <w:sz w:val="19"/>
          <w:szCs w:val="19"/>
          <w:color w:val="000000"/>
        </w:rPr>
        <w:t>federal, state, local, foreign and other taxes as are required to be withheld pursuant to any applicable law or regulation.</w:t>
      </w:r>
    </w:p>
    <w:p>
      <w:pPr>
        <w:spacing w:after="0" w:line="146"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010000"/>
        </w:rPr>
        <w:t xml:space="preserve">8.3 </w:t>
      </w:r>
      <w:r>
        <w:rPr>
          <w:rFonts w:ascii="Arial" w:cs="Arial" w:eastAsia="Arial" w:hAnsi="Arial"/>
          <w:sz w:val="22"/>
          <w:szCs w:val="22"/>
          <w:u w:val="single" w:color="auto"/>
          <w:color w:val="000000"/>
        </w:rPr>
        <w:t>Gender and Plurals</w:t>
      </w:r>
      <w:r>
        <w:rPr>
          <w:rFonts w:ascii="Arial" w:cs="Arial" w:eastAsia="Arial" w:hAnsi="Arial"/>
          <w:sz w:val="22"/>
          <w:szCs w:val="22"/>
          <w:color w:val="000000"/>
        </w:rPr>
        <w:t>. Wherever used in this Plan document, words in the masculine gender shall include</w:t>
      </w:r>
      <w:r>
        <w:rPr>
          <w:rFonts w:ascii="Arial" w:cs="Arial" w:eastAsia="Arial" w:hAnsi="Arial"/>
          <w:sz w:val="22"/>
          <w:szCs w:val="22"/>
          <w:color w:val="010000"/>
        </w:rPr>
        <w:t xml:space="preserve"> </w:t>
      </w:r>
      <w:r>
        <w:rPr>
          <w:rFonts w:ascii="Arial" w:cs="Arial" w:eastAsia="Arial" w:hAnsi="Arial"/>
          <w:sz w:val="22"/>
          <w:szCs w:val="22"/>
          <w:color w:val="000000"/>
        </w:rPr>
        <w:t>masculine or feminine gender, and, unless the context otherwise requires, words in the singular shall include the plural, and words in the plural shall include the singular.</w:t>
      </w:r>
    </w:p>
    <w:p>
      <w:pPr>
        <w:spacing w:after="0" w:line="199"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u w:val="single" w:color="auto"/>
          <w:color w:val="000000"/>
        </w:rPr>
        <w:t>Plan Controls</w:t>
      </w:r>
      <w:r>
        <w:rPr>
          <w:rFonts w:ascii="Arial" w:cs="Arial" w:eastAsia="Arial" w:hAnsi="Arial"/>
          <w:sz w:val="22"/>
          <w:szCs w:val="22"/>
          <w:color w:val="000000"/>
        </w:rPr>
        <w:t>. In the event of any inconsistency between this Plan document and any other communication</w:t>
      </w:r>
      <w:r>
        <w:rPr>
          <w:rFonts w:ascii="Arial" w:cs="Arial" w:eastAsia="Arial" w:hAnsi="Arial"/>
          <w:sz w:val="22"/>
          <w:szCs w:val="22"/>
          <w:color w:val="010000"/>
        </w:rPr>
        <w:t xml:space="preserve"> </w:t>
      </w:r>
      <w:r>
        <w:rPr>
          <w:rFonts w:ascii="Arial" w:cs="Arial" w:eastAsia="Arial" w:hAnsi="Arial"/>
          <w:sz w:val="22"/>
          <w:szCs w:val="22"/>
          <w:color w:val="000000"/>
        </w:rPr>
        <w:t>regarding this Plan, this Plan document shall control. The captions in this Plan are not part of the provisions hereof and shall have no force or effect.</w:t>
      </w:r>
    </w:p>
    <w:p>
      <w:pPr>
        <w:spacing w:after="0" w:line="186" w:lineRule="exact"/>
        <w:rPr>
          <w:sz w:val="20"/>
          <w:szCs w:val="20"/>
          <w:color w:val="auto"/>
        </w:rPr>
      </w:pPr>
    </w:p>
    <w:p>
      <w:pPr>
        <w:ind w:right="440" w:firstLine="648"/>
        <w:spacing w:after="0" w:line="232" w:lineRule="auto"/>
        <w:rPr>
          <w:sz w:val="20"/>
          <w:szCs w:val="20"/>
          <w:color w:val="auto"/>
        </w:rPr>
      </w:pPr>
      <w:r>
        <w:rPr>
          <w:rFonts w:ascii="Arial" w:cs="Arial" w:eastAsia="Arial" w:hAnsi="Arial"/>
          <w:sz w:val="22"/>
          <w:szCs w:val="22"/>
          <w:color w:val="010000"/>
        </w:rPr>
        <w:t xml:space="preserve">8.5 </w:t>
      </w:r>
      <w:r>
        <w:rPr>
          <w:rFonts w:ascii="Arial" w:cs="Arial" w:eastAsia="Arial" w:hAnsi="Arial"/>
          <w:sz w:val="22"/>
          <w:szCs w:val="22"/>
          <w:u w:val="single" w:color="auto"/>
          <w:color w:val="000000"/>
        </w:rPr>
        <w:t>Not an Employment Contract</w:t>
      </w:r>
      <w:r>
        <w:rPr>
          <w:rFonts w:ascii="Arial" w:cs="Arial" w:eastAsia="Arial" w:hAnsi="Arial"/>
          <w:sz w:val="22"/>
          <w:szCs w:val="22"/>
          <w:color w:val="000000"/>
        </w:rPr>
        <w:t>. Neither this Plan nor any action taken with respect to it shall confer upon any</w:t>
      </w:r>
      <w:r>
        <w:rPr>
          <w:rFonts w:ascii="Arial" w:cs="Arial" w:eastAsia="Arial" w:hAnsi="Arial"/>
          <w:sz w:val="22"/>
          <w:szCs w:val="22"/>
          <w:color w:val="010000"/>
        </w:rPr>
        <w:t xml:space="preserve"> </w:t>
      </w:r>
      <w:r>
        <w:rPr>
          <w:rFonts w:ascii="Arial" w:cs="Arial" w:eastAsia="Arial" w:hAnsi="Arial"/>
          <w:sz w:val="22"/>
          <w:szCs w:val="22"/>
          <w:color w:val="000000"/>
        </w:rPr>
        <w:t>person the right to continued employment with the Company.</w:t>
      </w:r>
    </w:p>
    <w:p>
      <w:pPr>
        <w:spacing w:after="0" w:line="19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010000"/>
        </w:rPr>
        <w:t xml:space="preserve">8.6 </w:t>
      </w:r>
      <w:r>
        <w:rPr>
          <w:rFonts w:ascii="Arial" w:cs="Arial" w:eastAsia="Arial" w:hAnsi="Arial"/>
          <w:sz w:val="22"/>
          <w:szCs w:val="22"/>
          <w:u w:val="single" w:color="auto"/>
          <w:color w:val="000000"/>
        </w:rPr>
        <w:t>Notices</w:t>
      </w:r>
      <w:r>
        <w:rPr>
          <w:rFonts w:ascii="Arial" w:cs="Arial" w:eastAsia="Arial" w:hAnsi="Arial"/>
          <w:sz w:val="22"/>
          <w:szCs w:val="22"/>
          <w:color w:val="000000"/>
        </w:rPr>
        <w:t>. Any notice or other communication required to be delivered to the Company by a Participant hereunder</w:t>
      </w:r>
      <w:r>
        <w:rPr>
          <w:rFonts w:ascii="Arial" w:cs="Arial" w:eastAsia="Arial" w:hAnsi="Arial"/>
          <w:sz w:val="22"/>
          <w:szCs w:val="22"/>
          <w:color w:val="010000"/>
        </w:rPr>
        <w:t xml:space="preserve"> </w:t>
      </w:r>
      <w:r>
        <w:rPr>
          <w:rFonts w:ascii="Arial" w:cs="Arial" w:eastAsia="Arial" w:hAnsi="Arial"/>
          <w:sz w:val="22"/>
          <w:szCs w:val="22"/>
          <w:color w:val="000000"/>
        </w:rPr>
        <w:t>(including, without limitation, any claim submitted by a Participant pursuant to Section 5 and the Plan Administrator’s response thereto) shall be properly delivered to the Company when delivered by electronic mail to the RTX Corporation Total Rewards Department:</w:t>
      </w:r>
    </w:p>
    <w:p>
      <w:pPr>
        <w:spacing w:after="0" w:line="25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Attention: Corporate Vice President, Total Rewards Email Address:</w:t>
      </w:r>
    </w:p>
    <w:p>
      <w:pPr>
        <w:ind w:left="2240"/>
        <w:spacing w:after="0"/>
        <w:rPr>
          <w:sz w:val="20"/>
          <w:szCs w:val="20"/>
          <w:color w:val="auto"/>
        </w:rPr>
      </w:pPr>
      <w:r>
        <w:rPr>
          <w:rFonts w:ascii="Arial" w:cs="Arial" w:eastAsia="Arial" w:hAnsi="Arial"/>
          <w:sz w:val="22"/>
          <w:szCs w:val="22"/>
          <w:u w:val="single" w:color="auto"/>
          <w:color w:val="auto"/>
        </w:rPr>
        <w:t>RTXTotalRewards@rtx.com</w:t>
      </w:r>
    </w:p>
    <w:p>
      <w:pPr>
        <w:spacing w:after="0" w:line="202" w:lineRule="exact"/>
        <w:rPr>
          <w:sz w:val="20"/>
          <w:szCs w:val="20"/>
          <w:color w:val="auto"/>
        </w:rPr>
      </w:pPr>
    </w:p>
    <w:p>
      <w:pPr>
        <w:ind w:right="120"/>
        <w:spacing w:after="0" w:line="226" w:lineRule="auto"/>
        <w:rPr>
          <w:sz w:val="20"/>
          <w:szCs w:val="20"/>
          <w:color w:val="auto"/>
        </w:rPr>
      </w:pPr>
      <w:r>
        <w:rPr>
          <w:rFonts w:ascii="Arial" w:cs="Arial" w:eastAsia="Arial" w:hAnsi="Arial"/>
          <w:sz w:val="21"/>
          <w:szCs w:val="21"/>
          <w:color w:val="auto"/>
        </w:rPr>
        <w:t>Any notice required to be delivered to the Participant by the Company hereunder shall be properly delivered to the Participant when the Company delivers such notice personally, by placing said notice in the U.S. mail, registered or certified mail, return receipt requested, postage prepaid to that person’s last known address as reflected on the books and records of the Company, or by sending said notice to the Participant’s Company email address prior to the Termination Date and thereafter to the email address provided by the Participant to the Company.</w:t>
      </w:r>
    </w:p>
    <w:p>
      <w:pPr>
        <w:spacing w:after="0" w:line="362"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0880"/>
          </w:cols>
          <w:pgMar w:left="520" w:top="1440" w:right="499" w:bottom="1440" w:gutter="0" w:footer="0" w:header="0"/>
        </w:sectPr>
      </w:pPr>
    </w:p>
    <w:bookmarkStart w:id="149" w:name="page150"/>
    <w:bookmarkEnd w:id="149"/>
    <w:p>
      <w:pPr>
        <w:spacing w:after="0" w:line="204"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010000"/>
        </w:rPr>
        <w:t xml:space="preserve">8.7 </w:t>
      </w:r>
      <w:r>
        <w:rPr>
          <w:rFonts w:ascii="Arial" w:cs="Arial" w:eastAsia="Arial" w:hAnsi="Arial"/>
          <w:sz w:val="22"/>
          <w:szCs w:val="22"/>
          <w:u w:val="single" w:color="auto"/>
          <w:color w:val="000000"/>
        </w:rPr>
        <w:t>Severability</w:t>
      </w:r>
      <w:r>
        <w:rPr>
          <w:rFonts w:ascii="Arial" w:cs="Arial" w:eastAsia="Arial" w:hAnsi="Arial"/>
          <w:sz w:val="22"/>
          <w:szCs w:val="22"/>
          <w:color w:val="000000"/>
        </w:rPr>
        <w:t>. If any provision of this Plan is held invalid or unenforceable, its invalidity or unenforceability shall</w:t>
      </w:r>
      <w:r>
        <w:rPr>
          <w:rFonts w:ascii="Arial" w:cs="Arial" w:eastAsia="Arial" w:hAnsi="Arial"/>
          <w:sz w:val="22"/>
          <w:szCs w:val="22"/>
          <w:color w:val="010000"/>
        </w:rPr>
        <w:t xml:space="preserve"> </w:t>
      </w:r>
      <w:r>
        <w:rPr>
          <w:rFonts w:ascii="Arial" w:cs="Arial" w:eastAsia="Arial" w:hAnsi="Arial"/>
          <w:sz w:val="22"/>
          <w:szCs w:val="22"/>
          <w:color w:val="000000"/>
        </w:rPr>
        <w:t>not affect any other provisions of this Plan, and this Plan shall be construed and enforced as if such provision had not been included in this Plan.</w:t>
      </w:r>
    </w:p>
    <w:p>
      <w:pPr>
        <w:spacing w:after="0" w:line="11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0820"/>
          </w:cols>
          <w:pgMar w:left="520" w:top="1440" w:right="559" w:bottom="1440" w:gutter="0" w:footer="0" w:header="0"/>
        </w:sectPr>
      </w:pPr>
    </w:p>
    <w:bookmarkStart w:id="150" w:name="page151"/>
    <w:bookmarkEnd w:id="150"/>
    <w:p>
      <w:pPr>
        <w:ind w:left="5000"/>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GENERAL RELEASE OF CLAIMS AND RESTRICTIVE</w:t>
      </w:r>
    </w:p>
    <w:p>
      <w:pPr>
        <w:jc w:val="center"/>
        <w:spacing w:after="0"/>
        <w:rPr>
          <w:sz w:val="20"/>
          <w:szCs w:val="20"/>
          <w:color w:val="auto"/>
        </w:rPr>
      </w:pPr>
      <w:r>
        <w:rPr>
          <w:rFonts w:ascii="Arial" w:cs="Arial" w:eastAsia="Arial" w:hAnsi="Arial"/>
          <w:sz w:val="22"/>
          <w:szCs w:val="22"/>
          <w:b w:val="1"/>
          <w:bCs w:val="1"/>
          <w:color w:val="auto"/>
        </w:rPr>
        <w:t>COVENANT AGREEMENT</w:t>
      </w:r>
    </w:p>
    <w:p>
      <w:pPr>
        <w:spacing w:after="0" w:line="202"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THIS GENERAL RELEASE OF CLAIMS AND RESTRICTIVE COVENANT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 (“</w:t>
      </w:r>
      <w:r>
        <w:rPr>
          <w:rFonts w:ascii="Arial" w:cs="Arial" w:eastAsia="Arial" w:hAnsi="Arial"/>
          <w:sz w:val="22"/>
          <w:szCs w:val="22"/>
          <w:u w:val="single" w:color="auto"/>
          <w:color w:val="auto"/>
        </w:rPr>
        <w:t>Executive</w:t>
      </w:r>
      <w:r>
        <w:rPr>
          <w:rFonts w:ascii="Arial" w:cs="Arial" w:eastAsia="Arial" w:hAnsi="Arial"/>
          <w:sz w:val="22"/>
          <w:szCs w:val="22"/>
          <w:color w:val="auto"/>
        </w:rPr>
        <w:t>”) and RTX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on behalf of the Company and its Affiliated Entities, as of [●]. Capitalized terms used and not defined herein shall have the meanings provided in the RTX Corporation Executive Severance Plan (the “</w:t>
      </w:r>
      <w:r>
        <w:rPr>
          <w:rFonts w:ascii="Arial" w:cs="Arial" w:eastAsia="Arial" w:hAnsi="Arial"/>
          <w:sz w:val="22"/>
          <w:szCs w:val="22"/>
          <w:u w:val="single" w:color="auto"/>
          <w:color w:val="auto"/>
        </w:rPr>
        <w:t>Plan</w:t>
      </w:r>
      <w:r>
        <w:rPr>
          <w:rFonts w:ascii="Arial" w:cs="Arial" w:eastAsia="Arial" w:hAnsi="Arial"/>
          <w:sz w:val="22"/>
          <w:szCs w:val="22"/>
          <w:color w:val="auto"/>
        </w:rPr>
        <w:t>”). The entering into and non-revocation of this Agreement is a condition to Executive’s right to receive the severance payments and benefits under Section 2.1 of the Plan (other than the Accrued Obligations and Other Benefits).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Accordingly, Executive and the Company agree as follows:</w:t>
      </w:r>
    </w:p>
    <w:p>
      <w:pPr>
        <w:spacing w:after="0" w:line="214" w:lineRule="exact"/>
        <w:rPr>
          <w:sz w:val="20"/>
          <w:szCs w:val="20"/>
          <w:color w:val="auto"/>
        </w:rPr>
      </w:pPr>
    </w:p>
    <w:p>
      <w:pPr>
        <w:ind w:left="1320" w:hanging="647"/>
        <w:spacing w:after="0"/>
        <w:tabs>
          <w:tab w:leader="none" w:pos="132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of Claims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left="20" w:firstLine="1302"/>
        <w:spacing w:after="0"/>
        <w:tabs>
          <w:tab w:leader="none" w:pos="1758" w:val="left"/>
        </w:tabs>
        <w:numPr>
          <w:ilvl w:val="1"/>
          <w:numId w:val="122"/>
        </w:numPr>
        <w:rPr>
          <w:rFonts w:ascii="Arial" w:cs="Arial" w:eastAsia="Arial" w:hAnsi="Arial"/>
          <w:sz w:val="19"/>
          <w:szCs w:val="19"/>
          <w:color w:val="auto"/>
        </w:rPr>
      </w:pPr>
      <w:r>
        <w:rPr>
          <w:rFonts w:ascii="Arial" w:cs="Arial" w:eastAsia="Arial" w:hAnsi="Arial"/>
          <w:sz w:val="19"/>
          <w:szCs w:val="19"/>
          <w:i w:val="1"/>
          <w:iCs w:val="1"/>
          <w:color w:val="auto"/>
        </w:rPr>
        <w:t>Executive Release of Claims</w:t>
      </w:r>
      <w:r>
        <w:rPr>
          <w:rFonts w:ascii="Arial" w:cs="Arial" w:eastAsia="Arial" w:hAnsi="Arial"/>
          <w:sz w:val="19"/>
          <w:szCs w:val="19"/>
          <w:color w:val="auto"/>
        </w:rPr>
        <w:t>. Executive, for Executive, Executive’s heirs, administrators, representatives,</w:t>
      </w:r>
      <w:r>
        <w:rPr>
          <w:rFonts w:ascii="Arial" w:cs="Arial" w:eastAsia="Arial" w:hAnsi="Arial"/>
          <w:sz w:val="19"/>
          <w:szCs w:val="19"/>
          <w:i w:val="1"/>
          <w:iCs w:val="1"/>
          <w:color w:val="auto"/>
        </w:rPr>
        <w:t xml:space="preserve"> </w:t>
      </w:r>
      <w:r>
        <w:rPr>
          <w:rFonts w:ascii="Arial" w:cs="Arial" w:eastAsia="Arial" w:hAnsi="Arial"/>
          <w:sz w:val="19"/>
          <w:szCs w:val="19"/>
          <w:color w:val="auto"/>
        </w:rPr>
        <w:t>executors, successors and assigns, hereby irrevocably and unconditionally releases, acquits and forever discharges and agrees not to sue the Company or any of its Affiliated Entities and their respective current and former directors, officers, shareholders, trustees, employees, consultants, independent contractors, successors and assigns, and all persons acting by, through or under or in concert with any of them, from all actions, damages, losses, costs and claims of any and every kind and nature whatsoever, at law or in equity, whether absolute or contingent, up to and including the date of this Agreement, arising from or relating to Executive’s employment with, or termination of employment from, the Company and its Affiliated Entities, and from any and all charges, complaints, claims, liabilities, obligations, promises, agreements, controversies, damages, actions, causes of action, suits, rights, demands, costs, losses, debts and expenses of any nature whatsoever, known or unknown, suspected or unsuspected and any claims of wrongful discharge, breach of contract, implied contract, promissory estoppel, defamation, slander, libel, tortious conduct, employment discrimination or claims under any federal, state or local employment statute, law, order or ordinance, including any rights or claims arising under the Age Discrimination in Employment Act of 1967, as amended (“</w:t>
      </w:r>
      <w:r>
        <w:rPr>
          <w:rFonts w:ascii="Arial" w:cs="Arial" w:eastAsia="Arial" w:hAnsi="Arial"/>
          <w:sz w:val="19"/>
          <w:szCs w:val="19"/>
          <w:u w:val="single" w:color="auto"/>
          <w:color w:val="auto"/>
        </w:rPr>
        <w:t>ADEA</w:t>
      </w:r>
      <w:r>
        <w:rPr>
          <w:rFonts w:ascii="Arial" w:cs="Arial" w:eastAsia="Arial" w:hAnsi="Arial"/>
          <w:sz w:val="19"/>
          <w:szCs w:val="19"/>
          <w:color w:val="auto"/>
        </w:rPr>
        <w:t>”); Title VII of the Civil Rights Act of 1964, as amended; the Equal Pay Act of 1963, as amended; the Americans with Disabilities Act of 1990, as amended; the Employee Retirement Income Security Act of 1974, as amended; and any other federal, state or local laws or regulations prohibiting employment discrimination. This Agreement specifically excludes (i) Executive’s right to receive the amounts and benefits under the Plan and to enforce the terms of this Agreement, (ii) Executive’s rights to vested amounts and benefits under any employee benefit plan of the Company or its Affiliated Entities, (iii) any claims arising after the date hereof, and (iv) any claim or right Executive may have to indemnification or coverage under the Company’s or any of its Affiliated Entities’ respective bylaws or directors’ and officers’ insurance policies or any agreement to which Executive is a party or a third-party beneficiary. To the maximum extent permitted by law, Executive agrees that Executive has not filed, nor will Executive ever file, a lawsuit asserting any claims that are released by this Agreement, or to accept any benefit from any lawsuit that might be filed by another person or governmental entity based in whole or in part on any event, act, or omission that is the subject of the release contained in this Agreement. The Executive agrees to ratify and confirm the release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880"/>
          </w:cols>
          <w:pgMar w:left="500" w:top="1394" w:right="51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effective as of the Termination Date as a pre-condition to receiving any of the benefits hereunder.</w:t>
      </w:r>
    </w:p>
    <w:p>
      <w:pPr>
        <w:spacing w:after="0" w:line="287" w:lineRule="exact"/>
        <w:rPr>
          <w:sz w:val="20"/>
          <w:szCs w:val="20"/>
          <w:color w:val="auto"/>
        </w:rPr>
      </w:pPr>
    </w:p>
    <w:p>
      <w:pPr>
        <w:ind w:right="280" w:firstLine="1301"/>
        <w:spacing w:after="0" w:line="218" w:lineRule="auto"/>
        <w:tabs>
          <w:tab w:leader="none" w:pos="1737" w:val="left"/>
        </w:tabs>
        <w:numPr>
          <w:ilvl w:val="0"/>
          <w:numId w:val="123"/>
        </w:numPr>
        <w:rPr>
          <w:rFonts w:ascii="Arial" w:cs="Arial" w:eastAsia="Arial" w:hAnsi="Arial"/>
          <w:sz w:val="22"/>
          <w:szCs w:val="22"/>
          <w:color w:val="auto"/>
        </w:rPr>
      </w:pPr>
      <w:r>
        <w:rPr>
          <w:rFonts w:ascii="Arial" w:cs="Arial" w:eastAsia="Arial" w:hAnsi="Arial"/>
          <w:sz w:val="22"/>
          <w:szCs w:val="22"/>
          <w:i w:val="1"/>
          <w:iCs w:val="1"/>
          <w:color w:val="auto"/>
        </w:rPr>
        <w:t>EEOC</w:t>
      </w:r>
      <w:r>
        <w:rPr>
          <w:rFonts w:ascii="Arial" w:cs="Arial" w:eastAsia="Arial" w:hAnsi="Arial"/>
          <w:sz w:val="22"/>
          <w:szCs w:val="22"/>
          <w:color w:val="auto"/>
        </w:rPr>
        <w:t>. The parties agree that this Agreement shall not affect the rights and responsibilities of the U.S.</w:t>
      </w:r>
      <w:r>
        <w:rPr>
          <w:rFonts w:ascii="Arial" w:cs="Arial" w:eastAsia="Arial" w:hAnsi="Arial"/>
          <w:sz w:val="22"/>
          <w:szCs w:val="22"/>
          <w:i w:val="1"/>
          <w:iCs w:val="1"/>
          <w:color w:val="auto"/>
        </w:rPr>
        <w:t xml:space="preserve"> </w:t>
      </w:r>
      <w:r>
        <w:rPr>
          <w:rFonts w:ascii="Arial" w:cs="Arial" w:eastAsia="Arial" w:hAnsi="Arial"/>
          <w:sz w:val="22"/>
          <w:szCs w:val="22"/>
          <w:color w:val="auto"/>
        </w:rPr>
        <w:t>Equal Employment Opportunity Commission (“EEOC”) to enforce ADEA and other laws. Executive agrees, however, to waive the right to recover monetary damages in any charge, complaint or lawsuit filed by Executive or on Executive’s behalf with respect to any claims released in this Agreement.</w:t>
      </w:r>
    </w:p>
    <w:p>
      <w:pPr>
        <w:spacing w:after="0" w:line="187" w:lineRule="exact"/>
        <w:rPr>
          <w:rFonts w:ascii="Arial" w:cs="Arial" w:eastAsia="Arial" w:hAnsi="Arial"/>
          <w:sz w:val="22"/>
          <w:szCs w:val="22"/>
          <w:color w:val="auto"/>
        </w:rPr>
      </w:pPr>
    </w:p>
    <w:p>
      <w:pPr>
        <w:ind w:right="260" w:firstLine="1301"/>
        <w:spacing w:after="0" w:line="247" w:lineRule="auto"/>
        <w:tabs>
          <w:tab w:leader="none" w:pos="1738" w:val="left"/>
        </w:tabs>
        <w:numPr>
          <w:ilvl w:val="0"/>
          <w:numId w:val="123"/>
        </w:numPr>
        <w:rPr>
          <w:rFonts w:ascii="Arial" w:cs="Arial" w:eastAsia="Arial" w:hAnsi="Arial"/>
          <w:sz w:val="21"/>
          <w:szCs w:val="21"/>
          <w:color w:val="auto"/>
        </w:rPr>
      </w:pPr>
      <w:r>
        <w:rPr>
          <w:rFonts w:ascii="Arial" w:cs="Arial" w:eastAsia="Arial" w:hAnsi="Arial"/>
          <w:sz w:val="21"/>
          <w:szCs w:val="21"/>
          <w:i w:val="1"/>
          <w:iCs w:val="1"/>
          <w:color w:val="auto"/>
        </w:rPr>
        <w:t>Section 1542 of the California Civil Code</w:t>
      </w:r>
      <w:r>
        <w:rPr>
          <w:rFonts w:ascii="Arial" w:cs="Arial" w:eastAsia="Arial" w:hAnsi="Arial"/>
          <w:sz w:val="21"/>
          <w:szCs w:val="21"/>
          <w:color w:val="auto"/>
        </w:rPr>
        <w:t>. The parties hereto expressly acknowledge and agree that all</w:t>
      </w:r>
      <w:r>
        <w:rPr>
          <w:rFonts w:ascii="Arial" w:cs="Arial" w:eastAsia="Arial" w:hAnsi="Arial"/>
          <w:sz w:val="21"/>
          <w:szCs w:val="21"/>
          <w:i w:val="1"/>
          <w:iCs w:val="1"/>
          <w:color w:val="auto"/>
        </w:rPr>
        <w:t xml:space="preserve"> </w:t>
      </w:r>
      <w:r>
        <w:rPr>
          <w:rFonts w:ascii="Arial" w:cs="Arial" w:eastAsia="Arial" w:hAnsi="Arial"/>
          <w:sz w:val="21"/>
          <w:szCs w:val="21"/>
          <w:color w:val="auto"/>
        </w:rPr>
        <w:t>rights under Section 1542 of the California Civil Code are expressly waived. That section provides:</w:t>
      </w:r>
    </w:p>
    <w:p>
      <w:pPr>
        <w:spacing w:after="0" w:line="191" w:lineRule="exact"/>
        <w:rPr>
          <w:sz w:val="20"/>
          <w:szCs w:val="20"/>
          <w:color w:val="auto"/>
        </w:rPr>
      </w:pPr>
    </w:p>
    <w:p>
      <w:pPr>
        <w:ind w:left="980"/>
        <w:spacing w:after="0" w:line="21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01" w:lineRule="exact"/>
        <w:rPr>
          <w:sz w:val="20"/>
          <w:szCs w:val="20"/>
          <w:color w:val="auto"/>
        </w:rPr>
      </w:pPr>
    </w:p>
    <w:p>
      <w:pPr>
        <w:jc w:val="both"/>
        <w:ind w:right="580" w:firstLine="1301"/>
        <w:spacing w:after="0" w:line="268" w:lineRule="auto"/>
        <w:tabs>
          <w:tab w:leader="none" w:pos="1737" w:val="left"/>
        </w:tabs>
        <w:numPr>
          <w:ilvl w:val="1"/>
          <w:numId w:val="124"/>
        </w:numPr>
        <w:rPr>
          <w:rFonts w:ascii="Arial" w:cs="Arial" w:eastAsia="Arial" w:hAnsi="Arial"/>
          <w:sz w:val="19"/>
          <w:szCs w:val="19"/>
          <w:color w:val="auto"/>
        </w:rPr>
      </w:pPr>
      <w:r>
        <w:rPr>
          <w:rFonts w:ascii="Arial" w:cs="Arial" w:eastAsia="Arial" w:hAnsi="Arial"/>
          <w:sz w:val="19"/>
          <w:szCs w:val="19"/>
          <w:i w:val="1"/>
          <w:iCs w:val="1"/>
          <w:color w:val="auto"/>
        </w:rPr>
        <w:t xml:space="preserve">Executive Acknowledgment. </w:t>
      </w:r>
      <w:r>
        <w:rPr>
          <w:rFonts w:ascii="Arial" w:cs="Arial" w:eastAsia="Arial" w:hAnsi="Arial"/>
          <w:sz w:val="19"/>
          <w:szCs w:val="19"/>
          <w:color w:val="auto"/>
        </w:rPr>
        <w:t>Executive shall take any action requested by the Company to ensure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removal and termination, with effect from the Termination Date, from all offices, directorships, board or committee memberships and fiduciary capacities in which Executive served at the Company and its Affiliated Entities.</w:t>
      </w:r>
    </w:p>
    <w:p>
      <w:pPr>
        <w:spacing w:after="0" w:line="153" w:lineRule="exact"/>
        <w:rPr>
          <w:rFonts w:ascii="Arial" w:cs="Arial" w:eastAsia="Arial" w:hAnsi="Arial"/>
          <w:sz w:val="19"/>
          <w:szCs w:val="19"/>
          <w:color w:val="auto"/>
        </w:rPr>
      </w:pPr>
    </w:p>
    <w:p>
      <w:pPr>
        <w:ind w:left="1300" w:hanging="647"/>
        <w:spacing w:after="0"/>
        <w:tabs>
          <w:tab w:leader="none" w:pos="130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firstLine="1301"/>
        <w:spacing w:after="0" w:line="241" w:lineRule="auto"/>
        <w:tabs>
          <w:tab w:leader="none" w:pos="1738" w:val="left"/>
        </w:tabs>
        <w:numPr>
          <w:ilvl w:val="1"/>
          <w:numId w:val="125"/>
        </w:numPr>
        <w:rPr>
          <w:rFonts w:ascii="Arial" w:cs="Arial" w:eastAsia="Arial" w:hAnsi="Arial"/>
          <w:sz w:val="19"/>
          <w:szCs w:val="19"/>
          <w:color w:val="auto"/>
        </w:rPr>
      </w:pPr>
      <w:r>
        <w:rPr>
          <w:rFonts w:ascii="Arial" w:cs="Arial" w:eastAsia="Arial" w:hAnsi="Arial"/>
          <w:sz w:val="19"/>
          <w:szCs w:val="19"/>
          <w:i w:val="1"/>
          <w:iCs w:val="1"/>
          <w:color w:val="auto"/>
        </w:rPr>
        <w:t xml:space="preserve">Protection of Confidential Information. </w:t>
      </w:r>
      <w:r>
        <w:rPr>
          <w:rFonts w:ascii="Arial" w:cs="Arial" w:eastAsia="Arial" w:hAnsi="Arial"/>
          <w:sz w:val="19"/>
          <w:szCs w:val="19"/>
          <w:color w:val="auto"/>
        </w:rPr>
        <w:t>Executive shall hold in a fiduciary capacity for the benefit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and its Affiliated Entities all secret or confidential information, knowledge, or data relating to the Company and its Affiliated Entities and businesses, which information, knowledge or data shall have been obtained by Executive during Executive’s employment by the Company or its Affiliated Entities and which information, knowledge or data shall not be or become public knowledge (other than by acts by Executive or representatives of Executive in violation of this Agreement)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and Executive agrees not to provide such Confidential Information, directly or indirectly, to any third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information that: (i) is lawfully received by Executive from any third party without restriction on disclosure or use, or (ii) is required to be disclosed by law, shall not be deemed to be Confidential Information for purposes of this Section 2(a). Executive shall not, without the prior written consent of the Company or as may otherwise be required by law, use, communicate or divulge any such Confidential Information. Notwithstanding any other provisions of this Section 2(a), pursuant to 18 USC Section 1833(b), Executive shall not be held criminally or civilly liable under any federal or state trade secret law for the disclosure of any Confidential Information that is a trade secret that is made: (A) confidentially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If Executive files a lawsuit for retaliation by the Company for reporting a suspected violation of law, Executive may disclose such trade secret to Executive’s attorney and use the trade secret information in related court proceedings,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860"/>
          </w:cols>
          <w:pgMar w:left="520" w:top="1400" w:right="519" w:bottom="1440" w:gutter="0" w:footer="0" w:header="0"/>
        </w:sectPr>
      </w:pPr>
    </w:p>
    <w:bookmarkStart w:id="152" w:name="page153"/>
    <w:bookmarkEnd w:id="152"/>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Executive files any document containing the trade secret information under seal and does not disclose the trade secret, except pursuant to court order. Notwithstanding any provision of this Agreement to the contrary, the provisions of this Agreement are not intended to, and shall be interpreted in a manner that does not, limit or restrict Executive from exercising any legally protected whistleblower rights (including pursuant to Rule 21F under the Securities Exchange Act of 1934).</w:t>
      </w:r>
    </w:p>
    <w:p>
      <w:pPr>
        <w:spacing w:after="0" w:line="171" w:lineRule="exact"/>
        <w:rPr>
          <w:sz w:val="20"/>
          <w:szCs w:val="20"/>
          <w:color w:val="auto"/>
        </w:rPr>
      </w:pPr>
    </w:p>
    <w:p>
      <w:pPr>
        <w:ind w:firstLine="1140"/>
        <w:spacing w:after="0" w:line="243" w:lineRule="auto"/>
        <w:tabs>
          <w:tab w:leader="none" w:pos="1737" w:val="left"/>
        </w:tabs>
        <w:numPr>
          <w:ilvl w:val="0"/>
          <w:numId w:val="126"/>
        </w:numPr>
        <w:rPr>
          <w:rFonts w:ascii="Arial" w:cs="Arial" w:eastAsia="Arial" w:hAnsi="Arial"/>
          <w:sz w:val="19"/>
          <w:szCs w:val="19"/>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To further ensure the protection of the Confidential Information, Executive agrees that</w:t>
      </w:r>
      <w:r>
        <w:rPr>
          <w:rFonts w:ascii="Arial" w:cs="Arial" w:eastAsia="Arial" w:hAnsi="Arial"/>
          <w:sz w:val="19"/>
          <w:szCs w:val="19"/>
          <w:i w:val="1"/>
          <w:iCs w:val="1"/>
          <w:color w:val="auto"/>
        </w:rPr>
        <w:t xml:space="preserve"> </w:t>
      </w:r>
      <w:r>
        <w:rPr>
          <w:rFonts w:ascii="Arial" w:cs="Arial" w:eastAsia="Arial" w:hAnsi="Arial"/>
          <w:sz w:val="19"/>
          <w:szCs w:val="19"/>
          <w:color w:val="auto"/>
        </w:rPr>
        <w:t>for a period of one (1) year after Executive’s Termination Date, Executive will not accept employment with or provide services in any form to (including serving as a director, partner or founder, or entering into a consulting relationship or similar arrangements) a business that (i) competes, directly or indirectly, with the Company or any of the Company’s principal business units as of the Termination Date; or (ii) is a material customer of or a material supplier to any of the Company’s businesses as of the Termination Date (a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shall not be considered a breach of this Agreement for Executive to be a passive owner of not more than 5% of the outstanding stock or other securities or interests of a corporation or other entity that is a Competitive Business, so long as Executive has no direct or indirect active participation in the business or management of such corporation or entity. Executive acknowledges that the Company is a global enterprise with competitors, customers and suppliers throughout the world and for that reason there are no geographic limitations on the covenants in this Section 2(b) or (c).</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right="760" w:firstLine="1140"/>
        <w:spacing w:after="0" w:line="232" w:lineRule="auto"/>
        <w:tabs>
          <w:tab w:leader="none" w:pos="1738" w:val="left"/>
        </w:tabs>
        <w:numPr>
          <w:ilvl w:val="0"/>
          <w:numId w:val="126"/>
        </w:numPr>
        <w:rPr>
          <w:rFonts w:ascii="Arial" w:cs="Arial" w:eastAsia="Arial" w:hAnsi="Arial"/>
          <w:sz w:val="22"/>
          <w:szCs w:val="22"/>
          <w:color w:val="auto"/>
        </w:rPr>
      </w:pPr>
      <w:r>
        <w:rPr>
          <w:rFonts w:ascii="Arial" w:cs="Arial" w:eastAsia="Arial" w:hAnsi="Arial"/>
          <w:sz w:val="22"/>
          <w:szCs w:val="22"/>
          <w:i w:val="1"/>
          <w:iCs w:val="1"/>
          <w:color w:val="auto"/>
        </w:rPr>
        <w:t>Employee and Customer Nonsolicitation</w:t>
      </w:r>
      <w:r>
        <w:rPr>
          <w:rFonts w:ascii="Arial" w:cs="Arial" w:eastAsia="Arial" w:hAnsi="Arial"/>
          <w:sz w:val="22"/>
          <w:szCs w:val="22"/>
          <w:color w:val="auto"/>
        </w:rPr>
        <w:t>. Executive agrees that for a period of two (2) years after</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Termination Date, that Executive shall not, directly or indirectly:</w:t>
      </w:r>
    </w:p>
    <w:p>
      <w:pPr>
        <w:spacing w:after="0" w:line="266" w:lineRule="exact"/>
        <w:rPr>
          <w:rFonts w:ascii="Arial" w:cs="Arial" w:eastAsia="Arial" w:hAnsi="Arial"/>
          <w:sz w:val="22"/>
          <w:szCs w:val="22"/>
          <w:color w:val="auto"/>
        </w:rPr>
      </w:pPr>
    </w:p>
    <w:p>
      <w:pPr>
        <w:ind w:left="1140" w:right="300" w:firstLine="809"/>
        <w:spacing w:after="0" w:line="214" w:lineRule="auto"/>
        <w:tabs>
          <w:tab w:leader="none" w:pos="2397" w:val="left"/>
        </w:tabs>
        <w:numPr>
          <w:ilvl w:val="1"/>
          <w:numId w:val="126"/>
        </w:numPr>
        <w:rPr>
          <w:rFonts w:ascii="Arial" w:cs="Arial" w:eastAsia="Arial" w:hAnsi="Arial"/>
          <w:sz w:val="22"/>
          <w:szCs w:val="22"/>
          <w:color w:val="auto"/>
        </w:rPr>
      </w:pPr>
      <w:r>
        <w:rPr>
          <w:rFonts w:ascii="Arial" w:cs="Arial" w:eastAsia="Arial" w:hAnsi="Arial"/>
          <w:sz w:val="22"/>
          <w:szCs w:val="22"/>
          <w:color w:val="auto"/>
        </w:rPr>
        <w:t>solicit any individual who is, at the time of such solicitation (or was during the three (3)-month period prior to the date of such solicitation), employed by the Company or one of its Affiliated Entities with whom Executive had direct contact (other than incidental) during the two (2)-year period prior to the Termination Date, to terminate or refrain from rendering services to the Company or its Affiliated Entities for the purpose of encouraging such individual to become employed by, or to become a consultant to, a non-RTX entity or any other unrelated individual, or</w:t>
      </w:r>
    </w:p>
    <w:p>
      <w:pPr>
        <w:spacing w:after="0" w:line="199" w:lineRule="exact"/>
        <w:rPr>
          <w:rFonts w:ascii="Arial" w:cs="Arial" w:eastAsia="Arial" w:hAnsi="Arial"/>
          <w:sz w:val="22"/>
          <w:szCs w:val="22"/>
          <w:color w:val="auto"/>
        </w:rPr>
      </w:pPr>
    </w:p>
    <w:p>
      <w:pPr>
        <w:ind w:left="1140" w:right="80" w:firstLine="809"/>
        <w:spacing w:after="0" w:line="252" w:lineRule="auto"/>
        <w:tabs>
          <w:tab w:leader="none" w:pos="2389" w:val="left"/>
        </w:tabs>
        <w:numPr>
          <w:ilvl w:val="1"/>
          <w:numId w:val="126"/>
        </w:numPr>
        <w:rPr>
          <w:rFonts w:ascii="Arial" w:cs="Arial" w:eastAsia="Arial" w:hAnsi="Arial"/>
          <w:sz w:val="19"/>
          <w:szCs w:val="19"/>
          <w:color w:val="auto"/>
        </w:rPr>
      </w:pPr>
      <w:r>
        <w:rPr>
          <w:rFonts w:ascii="Arial" w:cs="Arial" w:eastAsia="Arial" w:hAnsi="Arial"/>
          <w:sz w:val="19"/>
          <w:szCs w:val="19"/>
          <w:color w:val="auto"/>
        </w:rPr>
        <w:t>induce or attempt to induce any current customer, investor, supplier, licensee or other business relation of the Company or any of its Affiliated Entities with whom or which Executive had direct contact (other than incidental) during the two (2)-year period prior to the Termination Date (“</w:t>
      </w:r>
      <w:r>
        <w:rPr>
          <w:rFonts w:ascii="Arial" w:cs="Arial" w:eastAsia="Arial" w:hAnsi="Arial"/>
          <w:sz w:val="19"/>
          <w:szCs w:val="19"/>
          <w:u w:val="single" w:color="auto"/>
          <w:color w:val="auto"/>
        </w:rPr>
        <w:t>Customer</w:t>
      </w:r>
      <w:r>
        <w:rPr>
          <w:rFonts w:ascii="Arial" w:cs="Arial" w:eastAsia="Arial" w:hAnsi="Arial"/>
          <w:sz w:val="19"/>
          <w:szCs w:val="19"/>
          <w:color w:val="auto"/>
        </w:rPr>
        <w:t>”) to cease doing business with the Company or its Affiliated Entities, or in any way interfere with the relationship between any such Customer, on the one hand, and the Company or any of its Affiliated Entities, on the other hand.</w:t>
      </w:r>
    </w:p>
    <w:p>
      <w:pPr>
        <w:spacing w:after="0" w:line="175" w:lineRule="exact"/>
        <w:rPr>
          <w:rFonts w:ascii="Arial" w:cs="Arial" w:eastAsia="Arial" w:hAnsi="Arial"/>
          <w:sz w:val="19"/>
          <w:szCs w:val="19"/>
          <w:color w:val="auto"/>
        </w:rPr>
      </w:pPr>
    </w:p>
    <w:p>
      <w:pPr>
        <w:ind w:right="60" w:firstLine="1139"/>
        <w:spacing w:after="0" w:line="257" w:lineRule="auto"/>
        <w:tabs>
          <w:tab w:leader="none" w:pos="1737" w:val="left"/>
        </w:tabs>
        <w:numPr>
          <w:ilvl w:val="0"/>
          <w:numId w:val="126"/>
        </w:numPr>
        <w:rPr>
          <w:rFonts w:ascii="Arial" w:cs="Arial" w:eastAsia="Arial" w:hAnsi="Arial"/>
          <w:sz w:val="19"/>
          <w:szCs w:val="19"/>
          <w:color w:val="auto"/>
        </w:rPr>
      </w:pPr>
      <w:r>
        <w:rPr>
          <w:rFonts w:ascii="Arial" w:cs="Arial" w:eastAsia="Arial" w:hAnsi="Arial"/>
          <w:sz w:val="19"/>
          <w:szCs w:val="19"/>
          <w:i w:val="1"/>
          <w:iCs w:val="1"/>
          <w:color w:val="auto"/>
        </w:rPr>
        <w:t>Non-disparagement</w:t>
      </w:r>
      <w:r>
        <w:rPr>
          <w:rFonts w:ascii="Arial" w:cs="Arial" w:eastAsia="Arial" w:hAnsi="Arial"/>
          <w:sz w:val="19"/>
          <w:szCs w:val="19"/>
          <w:color w:val="auto"/>
        </w:rPr>
        <w:t>. Executive agrees not to disparage or defame, through any public medium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social media) the business reputation, technology, products, practices or conduct of the Company or its Affiliated Entities or any member of the board of directors or any executive officer of the Company in their capacity as such. Nothing in this Agreement or elsewhere shall prevent Executive from making statements in confidence to an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900"/>
          </w:cols>
          <w:pgMar w:left="520" w:top="1440" w:right="479" w:bottom="1440" w:gutter="0" w:footer="0" w:header="0"/>
        </w:sectPr>
      </w:pPr>
    </w:p>
    <w:bookmarkStart w:id="153" w:name="page154"/>
    <w:bookmarkEnd w:id="153"/>
    <w:p>
      <w:pPr>
        <w:spacing w:after="0" w:line="204"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immediate family member or to an attorney for the purpose of seeking legal advice, or from making truthful statements when required by law, subpoena or the like, or in arbitration or other legal proceeding permitted under this Agreement and/or the Plan, as applicable.</w:t>
      </w:r>
    </w:p>
    <w:p>
      <w:pPr>
        <w:spacing w:after="0" w:line="186" w:lineRule="exact"/>
        <w:rPr>
          <w:sz w:val="20"/>
          <w:szCs w:val="20"/>
          <w:color w:val="auto"/>
        </w:rPr>
      </w:pPr>
    </w:p>
    <w:p>
      <w:pPr>
        <w:ind w:right="40" w:firstLine="1139"/>
        <w:spacing w:after="0" w:line="221" w:lineRule="auto"/>
        <w:tabs>
          <w:tab w:leader="none" w:pos="1738" w:val="left"/>
        </w:tabs>
        <w:numPr>
          <w:ilvl w:val="0"/>
          <w:numId w:val="127"/>
        </w:numPr>
        <w:rPr>
          <w:rFonts w:ascii="Arial" w:cs="Arial" w:eastAsia="Arial" w:hAnsi="Arial"/>
          <w:sz w:val="21"/>
          <w:szCs w:val="21"/>
          <w:color w:val="auto"/>
        </w:rPr>
      </w:pPr>
      <w:r>
        <w:rPr>
          <w:rFonts w:ascii="Arial" w:cs="Arial" w:eastAsia="Arial" w:hAnsi="Arial"/>
          <w:sz w:val="21"/>
          <w:szCs w:val="21"/>
          <w:i w:val="1"/>
          <w:iCs w:val="1"/>
          <w:color w:val="auto"/>
        </w:rPr>
        <w:t>Return of Property</w:t>
      </w:r>
      <w:r>
        <w:rPr>
          <w:rFonts w:ascii="Arial" w:cs="Arial" w:eastAsia="Arial" w:hAnsi="Arial"/>
          <w:sz w:val="21"/>
          <w:szCs w:val="21"/>
          <w:color w:val="auto"/>
        </w:rPr>
        <w:t>. On or before the Termination Date, the Executive will return all Company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including Company issued laptop, cell phone, and other electronic devices (as applicable). The Executive acknowledges and agrees that all Confidential Information, documents and materials supplied to or developed by Executive in the course of, or as a result of his or her employment at the Company, shall be the sole property of Company. The Executive will immediately upon termination of employment, return all originals and copies (electronic and hard copy) of the Company property to the Company. The Executive also agrees that the Executive will not copy or remove from the Company’s place of business, or the place of business of a customer of the Company, property or information belonging to the Company or entrusted to the Company by a customer.</w:t>
      </w:r>
    </w:p>
    <w:p>
      <w:pPr>
        <w:spacing w:after="0" w:line="205" w:lineRule="exact"/>
        <w:rPr>
          <w:rFonts w:ascii="Arial" w:cs="Arial" w:eastAsia="Arial" w:hAnsi="Arial"/>
          <w:sz w:val="21"/>
          <w:szCs w:val="21"/>
          <w:color w:val="auto"/>
        </w:rPr>
      </w:pPr>
    </w:p>
    <w:p>
      <w:pPr>
        <w:ind w:right="20" w:firstLine="1139"/>
        <w:spacing w:after="0" w:line="242" w:lineRule="auto"/>
        <w:tabs>
          <w:tab w:leader="none" w:pos="1741" w:val="left"/>
        </w:tabs>
        <w:numPr>
          <w:ilvl w:val="0"/>
          <w:numId w:val="127"/>
        </w:numPr>
        <w:rPr>
          <w:rFonts w:ascii="Arial" w:cs="Arial" w:eastAsia="Arial" w:hAnsi="Arial"/>
          <w:sz w:val="19"/>
          <w:szCs w:val="19"/>
          <w:color w:val="auto"/>
        </w:rPr>
      </w:pPr>
      <w:r>
        <w:rPr>
          <w:rFonts w:ascii="Arial" w:cs="Arial" w:eastAsia="Arial" w:hAnsi="Arial"/>
          <w:sz w:val="19"/>
          <w:szCs w:val="19"/>
          <w:i w:val="1"/>
          <w:iCs w:val="1"/>
          <w:color w:val="auto"/>
        </w:rPr>
        <w:t xml:space="preserve">Executive Acknowledgment. </w:t>
      </w:r>
      <w:r>
        <w:rPr>
          <w:rFonts w:ascii="Arial" w:cs="Arial" w:eastAsia="Arial" w:hAnsi="Arial"/>
          <w:sz w:val="19"/>
          <w:szCs w:val="19"/>
          <w:color w:val="auto"/>
        </w:rPr>
        <w:t>Executive acknowledges that Executive’s agreement to comply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covenants in this Section 2 is in consideration for the payments and benefits to be received by Executive under Section 2.1 of the Plan. Executive understands that the covenants in this Section 2 may limit Executive’s ability to work in a business similar to the business of the Company and its Affiliated Entities;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Executive agrees that, in light of Executive’s education, skills, abilities and financial resources, Executive shall not assert, and it shall not be relevant nor admissible as evidence in any dispute arising in respect of the covenants in this Section 2, that any provisions of such covenants prevent Executive from earning a living. Executive acknowledges that the Intellectual Property Agreement between Executive and the Company, and all restrictive covenants applicable to the Participant pursuant to the applicable Company Long-Term Incentive Plan, any schedule of terms thereunder, and the Company’s Clawback Policy, including all related forfeiture and recoupment provisions, will continue in full force and effect following the Termination Date and are in addition to Executive’s obligations hereunder. To the extent the Executive does not currently have an intellectual property (“IP”) Agreement on file with the Company, the Executive agrees to sign the IP Agreement, attached hereto as Exhibit A-1, as a condition precedent to receiving benefits under this Agreement.</w:t>
      </w:r>
    </w:p>
    <w:p>
      <w:pPr>
        <w:spacing w:after="0" w:line="200" w:lineRule="exact"/>
        <w:rPr>
          <w:rFonts w:ascii="Arial" w:cs="Arial" w:eastAsia="Arial" w:hAnsi="Arial"/>
          <w:sz w:val="19"/>
          <w:szCs w:val="19"/>
          <w:color w:val="auto"/>
        </w:rPr>
      </w:pPr>
    </w:p>
    <w:p>
      <w:pPr>
        <w:ind w:firstLine="1139"/>
        <w:spacing w:after="0" w:line="246" w:lineRule="auto"/>
        <w:tabs>
          <w:tab w:leader="none" w:pos="1737" w:val="left"/>
        </w:tabs>
        <w:numPr>
          <w:ilvl w:val="0"/>
          <w:numId w:val="127"/>
        </w:numPr>
        <w:rPr>
          <w:rFonts w:ascii="Arial" w:cs="Arial" w:eastAsia="Arial" w:hAnsi="Arial"/>
          <w:sz w:val="19"/>
          <w:szCs w:val="19"/>
          <w:color w:val="auto"/>
        </w:rPr>
      </w:pPr>
      <w:r>
        <w:rPr>
          <w:rFonts w:ascii="Arial" w:cs="Arial" w:eastAsia="Arial" w:hAnsi="Arial"/>
          <w:sz w:val="19"/>
          <w:szCs w:val="19"/>
          <w:i w:val="1"/>
          <w:iCs w:val="1"/>
          <w:color w:val="auto"/>
        </w:rPr>
        <w:t>Remedies</w:t>
      </w:r>
      <w:r>
        <w:rPr>
          <w:rFonts w:ascii="Arial" w:cs="Arial" w:eastAsia="Arial" w:hAnsi="Arial"/>
          <w:sz w:val="19"/>
          <w:szCs w:val="19"/>
          <w:color w:val="auto"/>
        </w:rPr>
        <w:t>. Executive acknowledges that the Company and its Affiliated Entities would be irreparably</w:t>
      </w:r>
      <w:r>
        <w:rPr>
          <w:rFonts w:ascii="Arial" w:cs="Arial" w:eastAsia="Arial" w:hAnsi="Arial"/>
          <w:sz w:val="19"/>
          <w:szCs w:val="19"/>
          <w:i w:val="1"/>
          <w:iCs w:val="1"/>
          <w:color w:val="auto"/>
        </w:rPr>
        <w:t xml:space="preserve"> </w:t>
      </w:r>
      <w:r>
        <w:rPr>
          <w:rFonts w:ascii="Arial" w:cs="Arial" w:eastAsia="Arial" w:hAnsi="Arial"/>
          <w:sz w:val="19"/>
          <w:szCs w:val="19"/>
          <w:color w:val="auto"/>
        </w:rPr>
        <w:t>injured by a violation of Section 2(a), (b), (c) or (d), and Executive agrees that the Company and such Affiliated Entities, in addition to any other remedies available, shall be entitled to: (i) a preliminary injunction, temporary restraining order or other equivalent relief, restraining Executive from any actual or threatened material breach of any of Sections 2(a), (b), (c) or (d), or (ii) to cause the Executive to forfeit any remaining vested or unvested Company equity awards or remaining unpaid severance payments or benefits upon any material breach of any of Sections 2(a), (b), (c) or (d). In the event of such a material breach, the Company’s remedies shall also include, but not be limited to, the right to recover the payments and value of payments and benefits provided under Section 2 of the Plan.</w:t>
      </w:r>
    </w:p>
    <w:p>
      <w:pPr>
        <w:spacing w:after="0" w:line="179" w:lineRule="exact"/>
        <w:rPr>
          <w:rFonts w:ascii="Arial" w:cs="Arial" w:eastAsia="Arial" w:hAnsi="Arial"/>
          <w:sz w:val="19"/>
          <w:szCs w:val="19"/>
          <w:color w:val="auto"/>
        </w:rPr>
      </w:pPr>
    </w:p>
    <w:p>
      <w:pPr>
        <w:ind w:right="120" w:firstLine="1139"/>
        <w:spacing w:after="0" w:line="268" w:lineRule="auto"/>
        <w:tabs>
          <w:tab w:leader="none" w:pos="1737" w:val="left"/>
        </w:tabs>
        <w:numPr>
          <w:ilvl w:val="0"/>
          <w:numId w:val="127"/>
        </w:numPr>
        <w:rPr>
          <w:rFonts w:ascii="Arial" w:cs="Arial" w:eastAsia="Arial" w:hAnsi="Arial"/>
          <w:sz w:val="19"/>
          <w:szCs w:val="19"/>
          <w:color w:val="auto"/>
        </w:rPr>
      </w:pPr>
      <w:r>
        <w:rPr>
          <w:rFonts w:ascii="Arial" w:cs="Arial" w:eastAsia="Arial" w:hAnsi="Arial"/>
          <w:sz w:val="19"/>
          <w:szCs w:val="19"/>
          <w:i w:val="1"/>
          <w:iCs w:val="1"/>
          <w:color w:val="auto"/>
        </w:rPr>
        <w:t>Severability; Blue Pencil</w:t>
      </w:r>
      <w:r>
        <w:rPr>
          <w:rFonts w:ascii="Arial" w:cs="Arial" w:eastAsia="Arial" w:hAnsi="Arial"/>
          <w:sz w:val="19"/>
          <w:szCs w:val="19"/>
          <w:color w:val="auto"/>
        </w:rPr>
        <w:t>. Executive acknowledges and agrees that Executive has had the opportunity to</w:t>
      </w:r>
      <w:r>
        <w:rPr>
          <w:rFonts w:ascii="Arial" w:cs="Arial" w:eastAsia="Arial" w:hAnsi="Arial"/>
          <w:sz w:val="19"/>
          <w:szCs w:val="19"/>
          <w:i w:val="1"/>
          <w:iCs w:val="1"/>
          <w:color w:val="auto"/>
        </w:rPr>
        <w:t xml:space="preserve"> </w:t>
      </w:r>
      <w:r>
        <w:rPr>
          <w:rFonts w:ascii="Arial" w:cs="Arial" w:eastAsia="Arial" w:hAnsi="Arial"/>
          <w:sz w:val="19"/>
          <w:szCs w:val="19"/>
          <w:color w:val="auto"/>
        </w:rPr>
        <w:t>seek advice of counsel in connection with this Agreement, and the restrictive covenants contained herein are reasonable in geographic scope, temporal duration, and in all other respects. If it is determined that any provision of this Section 2 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840"/>
          </w:cols>
          <w:pgMar w:left="520" w:top="1440" w:right="539" w:bottom="1440" w:gutter="0" w:footer="0" w:header="0"/>
        </w:sectPr>
      </w:pPr>
    </w:p>
    <w:bookmarkStart w:id="154" w:name="page155"/>
    <w:bookmarkEnd w:id="154"/>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invalid or unenforceable, the remainder of the provisions of this Section 2 shall not thereby be affected and shall be given full effect, without regard to the invalid portions. If any court or other decision-maker of competent jurisdiction determines that any covenant in this Section 2 is unenforceable because of the duration or geographic scope of such covenant, then, after such determination becomes final and nonappealable, the duration or scope of such provision, as the case may be, shall be reduced so that such provision becomes enforceable, and that, in its reduced form, such covenant shall be enforced.</w:t>
      </w:r>
    </w:p>
    <w:p>
      <w:pPr>
        <w:spacing w:after="0" w:line="176" w:lineRule="exact"/>
        <w:rPr>
          <w:sz w:val="20"/>
          <w:szCs w:val="20"/>
          <w:color w:val="auto"/>
        </w:rPr>
      </w:pPr>
    </w:p>
    <w:p>
      <w:pPr>
        <w:ind w:right="20" w:firstLine="1140"/>
        <w:spacing w:after="0" w:line="224" w:lineRule="auto"/>
        <w:tabs>
          <w:tab w:leader="none" w:pos="1743" w:val="left"/>
        </w:tabs>
        <w:numPr>
          <w:ilvl w:val="0"/>
          <w:numId w:val="128"/>
        </w:numPr>
        <w:rPr>
          <w:rFonts w:ascii="Arial" w:cs="Arial" w:eastAsia="Arial" w:hAnsi="Arial"/>
          <w:sz w:val="21"/>
          <w:szCs w:val="21"/>
          <w:color w:val="auto"/>
        </w:rPr>
      </w:pPr>
      <w:r>
        <w:rPr>
          <w:rFonts w:ascii="Arial" w:cs="Arial" w:eastAsia="Arial" w:hAnsi="Arial"/>
          <w:sz w:val="21"/>
          <w:szCs w:val="21"/>
          <w:i w:val="1"/>
          <w:iCs w:val="1"/>
          <w:color w:val="auto"/>
        </w:rPr>
        <w:t xml:space="preserve">Cooperation. </w:t>
      </w:r>
      <w:r>
        <w:rPr>
          <w:rFonts w:ascii="Arial" w:cs="Arial" w:eastAsia="Arial" w:hAnsi="Arial"/>
          <w:sz w:val="21"/>
          <w:szCs w:val="21"/>
          <w:color w:val="auto"/>
        </w:rPr>
        <w:t>The Executive agrees to cooperate with the Company following the Termination Date with</w:t>
      </w:r>
      <w:r>
        <w:rPr>
          <w:rFonts w:ascii="Arial" w:cs="Arial" w:eastAsia="Arial" w:hAnsi="Arial"/>
          <w:sz w:val="21"/>
          <w:szCs w:val="21"/>
          <w:i w:val="1"/>
          <w:iCs w:val="1"/>
          <w:color w:val="auto"/>
        </w:rPr>
        <w:t xml:space="preserve"> </w:t>
      </w:r>
      <w:r>
        <w:rPr>
          <w:rFonts w:ascii="Arial" w:cs="Arial" w:eastAsia="Arial" w:hAnsi="Arial"/>
          <w:sz w:val="21"/>
          <w:szCs w:val="21"/>
          <w:color w:val="auto"/>
        </w:rPr>
        <w:t>respect to any matter in which: (i) the Executive was involved during the course of his or her employment; and (ii) Executive’s subsequent assistance and cooperation is reasonably necessary or appropriate. Such cooperation will include being reasonably available, and furnishing information as reasonably requested, to the Company and its lawyers, in litigation and governmental investigations. The Company will reimburse the Executive for any reasonable expenses incurred in connection with providing any such assistance.</w:t>
      </w:r>
    </w:p>
    <w:p>
      <w:pPr>
        <w:spacing w:after="0" w:line="267" w:lineRule="exact"/>
        <w:rPr>
          <w:rFonts w:ascii="Arial" w:cs="Arial" w:eastAsia="Arial" w:hAnsi="Arial"/>
          <w:sz w:val="21"/>
          <w:szCs w:val="21"/>
          <w:color w:val="auto"/>
        </w:rPr>
      </w:pPr>
    </w:p>
    <w:p>
      <w:pPr>
        <w:ind w:right="220" w:firstLine="1140"/>
        <w:spacing w:after="0" w:line="218" w:lineRule="auto"/>
        <w:tabs>
          <w:tab w:leader="none" w:pos="1743"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No Rehire</w:t>
      </w:r>
      <w:r>
        <w:rPr>
          <w:rFonts w:ascii="Arial" w:cs="Arial" w:eastAsia="Arial" w:hAnsi="Arial"/>
          <w:sz w:val="22"/>
          <w:szCs w:val="22"/>
          <w:color w:val="auto"/>
        </w:rPr>
        <w:t>. The Executive understands and agrees that, as a condition of receiving the payments and</w:t>
      </w:r>
      <w:r>
        <w:rPr>
          <w:rFonts w:ascii="Arial" w:cs="Arial" w:eastAsia="Arial" w:hAnsi="Arial"/>
          <w:sz w:val="22"/>
          <w:szCs w:val="22"/>
          <w:i w:val="1"/>
          <w:iCs w:val="1"/>
          <w:color w:val="auto"/>
        </w:rPr>
        <w:t xml:space="preserve"> </w:t>
      </w:r>
      <w:r>
        <w:rPr>
          <w:rFonts w:ascii="Arial" w:cs="Arial" w:eastAsia="Arial" w:hAnsi="Arial"/>
          <w:sz w:val="22"/>
          <w:szCs w:val="22"/>
          <w:color w:val="auto"/>
        </w:rPr>
        <w:t>benefits provided under Section 2.1 of the Plan, the Executive will not be entitled to any future employment with the Company. The Executive acknowledges that the Company has no obligation to rehire the Executive or consider him or her for any post- termination applications.</w:t>
      </w:r>
    </w:p>
    <w:p>
      <w:pPr>
        <w:spacing w:after="0" w:line="201" w:lineRule="exact"/>
        <w:rPr>
          <w:rFonts w:ascii="Arial" w:cs="Arial" w:eastAsia="Arial" w:hAnsi="Arial"/>
          <w:sz w:val="22"/>
          <w:szCs w:val="22"/>
          <w:color w:val="auto"/>
        </w:rPr>
      </w:pPr>
    </w:p>
    <w:p>
      <w:pPr>
        <w:ind w:right="180" w:firstLine="1140"/>
        <w:spacing w:after="0" w:line="222" w:lineRule="auto"/>
        <w:tabs>
          <w:tab w:leader="none" w:pos="1737" w:val="left"/>
        </w:tabs>
        <w:numPr>
          <w:ilvl w:val="0"/>
          <w:numId w:val="128"/>
        </w:numPr>
        <w:rPr>
          <w:rFonts w:ascii="Arial" w:cs="Arial" w:eastAsia="Arial" w:hAnsi="Arial"/>
          <w:sz w:val="21"/>
          <w:szCs w:val="21"/>
          <w:color w:val="auto"/>
        </w:rPr>
      </w:pPr>
      <w:r>
        <w:rPr>
          <w:rFonts w:ascii="Arial" w:cs="Arial" w:eastAsia="Arial" w:hAnsi="Arial"/>
          <w:sz w:val="21"/>
          <w:szCs w:val="21"/>
          <w:i w:val="1"/>
          <w:iCs w:val="1"/>
          <w:color w:val="auto"/>
        </w:rPr>
        <w:t>Reemployment by the Company</w:t>
      </w:r>
      <w:r>
        <w:rPr>
          <w:rFonts w:ascii="Arial" w:cs="Arial" w:eastAsia="Arial" w:hAnsi="Arial"/>
          <w:sz w:val="21"/>
          <w:szCs w:val="21"/>
          <w:color w:val="auto"/>
        </w:rPr>
        <w:t>. Notwithstanding paragraph (j) above, if the Company or an Affiliate</w:t>
      </w:r>
      <w:r>
        <w:rPr>
          <w:rFonts w:ascii="Arial" w:cs="Arial" w:eastAsia="Arial" w:hAnsi="Arial"/>
          <w:sz w:val="21"/>
          <w:szCs w:val="21"/>
          <w:i w:val="1"/>
          <w:iCs w:val="1"/>
          <w:color w:val="auto"/>
        </w:rPr>
        <w:t xml:space="preserve"> </w:t>
      </w:r>
      <w:r>
        <w:rPr>
          <w:rFonts w:ascii="Arial" w:cs="Arial" w:eastAsia="Arial" w:hAnsi="Arial"/>
          <w:sz w:val="21"/>
          <w:szCs w:val="21"/>
          <w:color w:val="auto"/>
        </w:rPr>
        <w:t>were to offer the Executive employment, and if the Executive accepted such employment within twelve (12) months after the Executive’s Termination Date, then as a condition of that reemployment, Executive will be required to repay to the Company a pro-rata portion of the severance payment under Section 2.1(a)(iii) of the Plan. The pro-rata portion the Executive will be required to repay will be determined by multiplying the payment by a fraction, where the denominator of the fraction will be twelve (12), and the numerator will be twelve (12) minus the number of full months between the Executive’s Termination Date and the Executive’s reemployment date.</w:t>
      </w:r>
    </w:p>
    <w:p>
      <w:pPr>
        <w:spacing w:after="0" w:line="199" w:lineRule="exact"/>
        <w:rPr>
          <w:sz w:val="20"/>
          <w:szCs w:val="20"/>
          <w:color w:val="auto"/>
        </w:rPr>
      </w:pPr>
    </w:p>
    <w:p>
      <w:pPr>
        <w:ind w:left="1300" w:hanging="646"/>
        <w:spacing w:after="0"/>
        <w:tabs>
          <w:tab w:leader="none" w:pos="130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Timing for Consideration; Revocation</w:t>
      </w:r>
      <w:r>
        <w:rPr>
          <w:rFonts w:ascii="Arial" w:cs="Arial" w:eastAsia="Arial" w:hAnsi="Arial"/>
          <w:sz w:val="22"/>
          <w:szCs w:val="22"/>
          <w:b w:val="1"/>
          <w:bCs w:val="1"/>
          <w:color w:val="auto"/>
        </w:rPr>
        <w:t>.</w:t>
      </w:r>
    </w:p>
    <w:p>
      <w:pPr>
        <w:spacing w:after="0" w:line="212" w:lineRule="exact"/>
        <w:rPr>
          <w:sz w:val="20"/>
          <w:szCs w:val="20"/>
          <w:color w:val="auto"/>
        </w:rPr>
      </w:pPr>
    </w:p>
    <w:p>
      <w:pPr>
        <w:ind w:right="300" w:firstLine="648"/>
        <w:spacing w:after="0" w:line="213" w:lineRule="auto"/>
        <w:rPr>
          <w:sz w:val="20"/>
          <w:szCs w:val="20"/>
          <w:color w:val="auto"/>
        </w:rPr>
      </w:pPr>
      <w:r>
        <w:rPr>
          <w:rFonts w:ascii="Arial" w:cs="Arial" w:eastAsia="Arial" w:hAnsi="Arial"/>
          <w:sz w:val="22"/>
          <w:szCs w:val="22"/>
          <w:color w:val="auto"/>
        </w:rPr>
        <w:t>Executive acknowledges that the Company has specifically advised Executive of the right to seek the advice of an attorney concerning the terms and conditions of this Agreement.</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9"/>
          <w:szCs w:val="19"/>
          <w:color w:val="auto"/>
        </w:rPr>
        <w:t>Executive further acknowledges that Executive has been furnished with a copy of this Agreement, and Executive has been afforded [twenty-one (21)][OR][forty-five (45)] calendar days in which to consider the terms and conditions of this Agreement. By executing this Agreement, Executive affirmatively states that Executive has had sufficient and reasonable time to review this Agreement and to consult with an attorney concerning his legal rights prior to the final execution of this Agreement. Executive further agrees that Executive has carefully read this Agreement and fully understands its terms. Executive acknowledges that Executive has entered into this Agreement, knowingly, freely and voluntarily. Executive understands that Executive may revoke this Agreement within seven (7) calendar days after signing this Agreement. Revocation of this Agreement must be made in writing and must be received by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820"/>
          </w:cols>
          <w:pgMar w:left="520" w:top="1440" w:right="559" w:bottom="1440" w:gutter="0" w:footer="0" w:header="0"/>
        </w:sectPr>
      </w:pPr>
    </w:p>
    <w:bookmarkStart w:id="155" w:name="page156"/>
    <w:bookmarkEnd w:id="155"/>
    <w:p>
      <w:pPr>
        <w:spacing w:after="0" w:line="204" w:lineRule="exact"/>
        <w:rPr>
          <w:sz w:val="20"/>
          <w:szCs w:val="20"/>
          <w:color w:val="auto"/>
        </w:rPr>
      </w:pPr>
    </w:p>
    <w:p>
      <w:pPr>
        <w:ind w:right="800"/>
        <w:spacing w:after="0" w:line="232" w:lineRule="auto"/>
        <w:rPr>
          <w:sz w:val="20"/>
          <w:szCs w:val="20"/>
          <w:color w:val="auto"/>
        </w:rPr>
      </w:pPr>
      <w:r>
        <w:rPr>
          <w:rFonts w:ascii="Arial" w:cs="Arial" w:eastAsia="Arial" w:hAnsi="Arial"/>
          <w:sz w:val="22"/>
          <w:szCs w:val="22"/>
          <w:color w:val="auto"/>
        </w:rPr>
        <w:t xml:space="preserve">Corporate Vice President, Total Rewards of the Company, at </w:t>
      </w:r>
      <w:r>
        <w:rPr>
          <w:rFonts w:ascii="Arial" w:cs="Arial" w:eastAsia="Arial" w:hAnsi="Arial"/>
          <w:sz w:val="22"/>
          <w:szCs w:val="22"/>
          <w:u w:val="single" w:color="auto"/>
          <w:color w:val="auto"/>
        </w:rPr>
        <w:t>RTXTotalRewards@rtx.com</w:t>
      </w:r>
      <w:r>
        <w:rPr>
          <w:rFonts w:ascii="Arial" w:cs="Arial" w:eastAsia="Arial" w:hAnsi="Arial"/>
          <w:sz w:val="22"/>
          <w:szCs w:val="22"/>
          <w:color w:val="auto"/>
        </w:rPr>
        <w:t>, within the time period set forth above.</w:t>
      </w:r>
    </w:p>
    <w:p>
      <w:pPr>
        <w:spacing w:after="0" w:line="180" w:lineRule="exact"/>
        <w:rPr>
          <w:sz w:val="20"/>
          <w:szCs w:val="20"/>
          <w:color w:val="auto"/>
        </w:rPr>
      </w:pPr>
    </w:p>
    <w:p>
      <w:pPr>
        <w:ind w:left="1300" w:hanging="646"/>
        <w:spacing w:after="0"/>
        <w:tabs>
          <w:tab w:leader="none" w:pos="130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 of Agreement</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This Agreement shall become effective and enforceable on the eighth (8th) calendar day following Executive’s delivery of a copy of this executed Agreement to the Company;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Executive does not timely exercise Executive’s right of revocation as described in Section 3 above. If Executive fails to timely sign and deliver this Agreement or timely revokes this Agreement, this Agreement will be without force or effect, and Executive shall not be entitled to the payments or benefits described in Section 2 of the Plan (other than the Accrued Obligations and Other Benefits).</w:t>
      </w:r>
    </w:p>
    <w:p>
      <w:pPr>
        <w:spacing w:after="0" w:line="170" w:lineRule="exact"/>
        <w:rPr>
          <w:sz w:val="20"/>
          <w:szCs w:val="20"/>
          <w:color w:val="auto"/>
        </w:rPr>
      </w:pPr>
    </w:p>
    <w:p>
      <w:pPr>
        <w:ind w:left="1300" w:hanging="646"/>
        <w:spacing w:after="0"/>
        <w:tabs>
          <w:tab w:leader="none" w:pos="130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right="40" w:firstLine="1301"/>
        <w:spacing w:after="0" w:line="214" w:lineRule="auto"/>
        <w:tabs>
          <w:tab w:leader="none" w:pos="1738" w:val="left"/>
        </w:tabs>
        <w:numPr>
          <w:ilvl w:val="1"/>
          <w:numId w:val="131"/>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will be governed by and construed in accordance with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State of 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91" w:lineRule="exact"/>
        <w:rPr>
          <w:rFonts w:ascii="Arial" w:cs="Arial" w:eastAsia="Arial" w:hAnsi="Arial"/>
          <w:sz w:val="22"/>
          <w:szCs w:val="22"/>
          <w:color w:val="auto"/>
        </w:rPr>
      </w:pPr>
    </w:p>
    <w:p>
      <w:pPr>
        <w:ind w:left="1740" w:hanging="438"/>
        <w:spacing w:after="0"/>
        <w:tabs>
          <w:tab w:leader="none" w:pos="1740" w:val="left"/>
        </w:tabs>
        <w:numPr>
          <w:ilvl w:val="1"/>
          <w:numId w:val="131"/>
        </w:numPr>
        <w:rPr>
          <w:rFonts w:ascii="Arial" w:cs="Arial" w:eastAsia="Arial" w:hAnsi="Arial"/>
          <w:sz w:val="21"/>
          <w:szCs w:val="21"/>
          <w:color w:val="auto"/>
        </w:rPr>
      </w:pPr>
      <w:r>
        <w:rPr>
          <w:rFonts w:ascii="Arial" w:cs="Arial" w:eastAsia="Arial" w:hAnsi="Arial"/>
          <w:sz w:val="21"/>
          <w:szCs w:val="21"/>
          <w:i w:val="1"/>
          <w:iCs w:val="1"/>
          <w:color w:val="auto"/>
        </w:rPr>
        <w:t xml:space="preserve">Severability. </w:t>
      </w:r>
      <w:r>
        <w:rPr>
          <w:rFonts w:ascii="Arial" w:cs="Arial" w:eastAsia="Arial" w:hAnsi="Arial"/>
          <w:sz w:val="21"/>
          <w:szCs w:val="21"/>
          <w:color w:val="auto"/>
        </w:rPr>
        <w:t>The provisions of this Agreement and obligations of the parties are severable, and if</w:t>
      </w:r>
    </w:p>
    <w:p>
      <w:pPr>
        <w:spacing w:after="0"/>
        <w:rPr>
          <w:sz w:val="20"/>
          <w:szCs w:val="20"/>
          <w:color w:val="auto"/>
        </w:rPr>
      </w:pPr>
      <w:r>
        <w:rPr>
          <w:rFonts w:ascii="Arial" w:cs="Arial" w:eastAsia="Arial" w:hAnsi="Arial"/>
          <w:sz w:val="21"/>
          <w:szCs w:val="21"/>
          <w:color w:val="auto"/>
        </w:rPr>
        <w:t>any part or portion of it is found to be unenforceable, the other paragraphs shall remain fully valid and enforceable.</w:t>
      </w:r>
    </w:p>
    <w:p>
      <w:pPr>
        <w:spacing w:after="0" w:line="200" w:lineRule="exact"/>
        <w:rPr>
          <w:sz w:val="20"/>
          <w:szCs w:val="20"/>
          <w:color w:val="auto"/>
        </w:rPr>
      </w:pPr>
    </w:p>
    <w:p>
      <w:pPr>
        <w:ind w:right="540" w:firstLine="1302"/>
        <w:spacing w:after="0" w:line="298" w:lineRule="auto"/>
        <w:tabs>
          <w:tab w:leader="none" w:pos="1738"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 xml:space="preserve">Taxes. </w:t>
      </w:r>
      <w:r>
        <w:rPr>
          <w:rFonts w:ascii="Arial" w:cs="Arial" w:eastAsia="Arial" w:hAnsi="Arial"/>
          <w:sz w:val="19"/>
          <w:szCs w:val="19"/>
          <w:color w:val="auto"/>
        </w:rPr>
        <w:t>Executive is responsible for any tax liability associated with payments and benefits 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this Agreement. The Company shall withhold taxes from such payments to the extent required by law.</w:t>
      </w:r>
    </w:p>
    <w:p>
      <w:pPr>
        <w:spacing w:after="0" w:line="145" w:lineRule="exact"/>
        <w:rPr>
          <w:rFonts w:ascii="Arial" w:cs="Arial" w:eastAsia="Arial" w:hAnsi="Arial"/>
          <w:sz w:val="19"/>
          <w:szCs w:val="19"/>
          <w:color w:val="auto"/>
        </w:rPr>
      </w:pPr>
    </w:p>
    <w:p>
      <w:pPr>
        <w:jc w:val="both"/>
        <w:ind w:right="400" w:firstLine="1302"/>
        <w:spacing w:after="0" w:line="223" w:lineRule="auto"/>
        <w:tabs>
          <w:tab w:leader="none" w:pos="1737"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 xml:space="preserve">Entire Agreement; Amendment. </w:t>
      </w:r>
      <w:r>
        <w:rPr>
          <w:rFonts w:ascii="Arial" w:cs="Arial" w:eastAsia="Arial" w:hAnsi="Arial"/>
          <w:sz w:val="22"/>
          <w:szCs w:val="22"/>
          <w:color w:val="auto"/>
        </w:rPr>
        <w:t>This Agreement constitutes the entire agreement between the parties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the subject matter of this Agreement. No amendment to this Agreement shall be binding upon either party unless in writing and signed by or on behalf of such party.</w:t>
      </w:r>
    </w:p>
    <w:p>
      <w:pPr>
        <w:spacing w:after="0" w:line="199" w:lineRule="exact"/>
        <w:rPr>
          <w:rFonts w:ascii="Arial" w:cs="Arial" w:eastAsia="Arial" w:hAnsi="Arial"/>
          <w:sz w:val="22"/>
          <w:szCs w:val="22"/>
          <w:color w:val="auto"/>
        </w:rPr>
      </w:pPr>
    </w:p>
    <w:p>
      <w:pPr>
        <w:ind w:right="180" w:firstLine="1302"/>
        <w:spacing w:after="0" w:line="220" w:lineRule="auto"/>
        <w:tabs>
          <w:tab w:leader="none" w:pos="1738" w:val="left"/>
        </w:tabs>
        <w:numPr>
          <w:ilvl w:val="0"/>
          <w:numId w:val="132"/>
        </w:numPr>
        <w:rPr>
          <w:rFonts w:ascii="Arial" w:cs="Arial" w:eastAsia="Arial" w:hAnsi="Arial"/>
          <w:sz w:val="21"/>
          <w:szCs w:val="21"/>
          <w:color w:val="auto"/>
        </w:rPr>
      </w:pPr>
      <w:r>
        <w:rPr>
          <w:rFonts w:ascii="Arial" w:cs="Arial" w:eastAsia="Arial" w:hAnsi="Arial"/>
          <w:sz w:val="21"/>
          <w:szCs w:val="21"/>
          <w:i w:val="1"/>
          <w:iCs w:val="1"/>
          <w:color w:val="auto"/>
        </w:rPr>
        <w:t>Dispute Resolution</w:t>
      </w:r>
      <w:r>
        <w:rPr>
          <w:rFonts w:ascii="Arial" w:cs="Arial" w:eastAsia="Arial" w:hAnsi="Arial"/>
          <w:sz w:val="21"/>
          <w:szCs w:val="21"/>
          <w:color w:val="auto"/>
        </w:rPr>
        <w:t>. Except with respect to claims for breach of the obligations under Section 2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for which the Company may seek enforcement in any court having competent jurisdiction at its election, any dispute arising between the Company and Executive with respect to the validity, performance or interpretation of this Agreement shall be submitted to and determined in binding arbitration in Farmington, Connecticut, for resolution in accordance with the rules of the American Arbitration Association, modified to provide that the decision of the arbitrator shall be binding on the parties; shall be furnished in writing, separately and specifically stating the findings of fact and conclusions of law on which the decision is based; shall be kept confidential by the arbitrator and the parties; and shall be rendered within sixty (60) days following the arbitrator being impaneled. Costs of the arbitration shall be borne by the party that does not prevail. The arbitrator shall be selected in accordance with the rules of the American Arbitration Association. The forum for any civil action arising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0880"/>
          </w:cols>
          <w:pgMar w:left="520" w:top="1440" w:right="499" w:bottom="1440" w:gutter="0" w:footer="0" w:header="0"/>
        </w:sectPr>
      </w:pPr>
    </w:p>
    <w:bookmarkStart w:id="156" w:name="page157"/>
    <w:bookmarkEnd w:id="156"/>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from or relating to this Agreement shall be the United States District Court for the District of Delaware.</w:t>
      </w:r>
    </w:p>
    <w:p>
      <w:pPr>
        <w:spacing w:after="0" w:line="287" w:lineRule="exact"/>
        <w:rPr>
          <w:sz w:val="20"/>
          <w:szCs w:val="20"/>
          <w:color w:val="auto"/>
        </w:rPr>
      </w:pPr>
    </w:p>
    <w:p>
      <w:pPr>
        <w:ind w:firstLine="1301"/>
        <w:spacing w:after="0" w:line="223" w:lineRule="auto"/>
        <w:tabs>
          <w:tab w:leader="none" w:pos="1741"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Enforcement</w:t>
      </w:r>
      <w:r>
        <w:rPr>
          <w:rFonts w:ascii="Arial" w:cs="Arial" w:eastAsia="Arial" w:hAnsi="Arial"/>
          <w:sz w:val="22"/>
          <w:szCs w:val="22"/>
          <w:color w:val="auto"/>
        </w:rPr>
        <w:t>. This Agreement shall inure to the benefit of and be enforceable by Executive’s heirs</w:t>
      </w:r>
      <w:r>
        <w:rPr>
          <w:rFonts w:ascii="Arial" w:cs="Arial" w:eastAsia="Arial" w:hAnsi="Arial"/>
          <w:sz w:val="22"/>
          <w:szCs w:val="22"/>
          <w:i w:val="1"/>
          <w:iCs w:val="1"/>
          <w:color w:val="auto"/>
        </w:rPr>
        <w:t xml:space="preserve"> </w:t>
      </w:r>
      <w:r>
        <w:rPr>
          <w:rFonts w:ascii="Arial" w:cs="Arial" w:eastAsia="Arial" w:hAnsi="Arial"/>
          <w:sz w:val="22"/>
          <w:szCs w:val="22"/>
          <w:color w:val="auto"/>
        </w:rPr>
        <w:t>and legal representatives. This Agreement shall inure to the benefit of and be binding upon the Company and its successors and assigns.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 hereby agree to the terms of the Release as described above.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BY: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r>
        <w:rPr>
          <w:rFonts w:ascii="Arial" w:cs="Arial" w:eastAsia="Arial" w:hAnsi="Arial"/>
          <w:sz w:val="22"/>
          <w:szCs w:val="22"/>
          <w:color w:val="FFFFFF"/>
        </w:rPr>
        <w:t>--------</w:t>
      </w:r>
      <w:r>
        <w:rPr>
          <w:rFonts w:ascii="Arial" w:cs="Arial" w:eastAsia="Arial" w:hAnsi="Arial"/>
          <w:sz w:val="22"/>
          <w:szCs w:val="22"/>
          <w:color w:val="auto"/>
        </w:rPr>
        <w:t>___________________</w:t>
      </w:r>
    </w:p>
    <w:p>
      <w:pPr>
        <w:ind w:left="3120"/>
        <w:spacing w:after="0"/>
        <w:rPr>
          <w:sz w:val="20"/>
          <w:szCs w:val="20"/>
          <w:color w:val="auto"/>
        </w:rPr>
      </w:pPr>
      <w:r>
        <w:rPr>
          <w:rFonts w:ascii="Arial" w:cs="Arial" w:eastAsia="Arial" w:hAnsi="Arial"/>
          <w:sz w:val="22"/>
          <w:szCs w:val="22"/>
          <w:color w:val="auto"/>
        </w:rPr>
        <w:t>[Executive Name]</w:t>
      </w: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0220"/>
          </w:cols>
          <w:pgMar w:left="520" w:top="1440" w:right="1159" w:bottom="1440" w:gutter="0" w:footer="0" w:header="0"/>
        </w:sectPr>
      </w:pPr>
    </w:p>
    <w:bookmarkStart w:id="157" w:name="page158"/>
    <w:bookmarkEnd w:id="157"/>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u w:val="single" w:color="auto"/>
          <w:color w:val="auto"/>
        </w:rPr>
        <w:t>Exhibit A-1</w:t>
      </w: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INTELLECTUAL PROPERTY AGREEMENT</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As a condition and in consideration of my employment by, as applicable, </w:t>
      </w:r>
      <w:r>
        <w:rPr>
          <w:rFonts w:ascii="Arial" w:cs="Arial" w:eastAsia="Arial" w:hAnsi="Arial"/>
          <w:sz w:val="18"/>
          <w:szCs w:val="18"/>
          <w:b w:val="1"/>
          <w:bCs w:val="1"/>
          <w:color w:val="auto"/>
        </w:rPr>
        <w:t>RTX CORPORATION</w:t>
      </w:r>
      <w:r>
        <w:rPr>
          <w:rFonts w:ascii="Arial" w:cs="Arial" w:eastAsia="Arial" w:hAnsi="Arial"/>
          <w:sz w:val="18"/>
          <w:szCs w:val="18"/>
          <w:color w:val="auto"/>
        </w:rPr>
        <w:t>, or any of its direct or indirect subsidiaries or affiliates, or their successors or assigns, including but not limited to the RTX Business identified in the signature block</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below (hereinafter collectively “RTX”) and the compensation I receive from RTX for such employment, I, the EMPLOYEE named below, willingly execute this Intellectual Property Agreement (“Agreement”) and agree to the following terms and conditions:</w:t>
      </w:r>
    </w:p>
    <w:p>
      <w:pPr>
        <w:spacing w:after="0" w:line="190" w:lineRule="exact"/>
        <w:rPr>
          <w:sz w:val="20"/>
          <w:szCs w:val="20"/>
          <w:color w:val="auto"/>
        </w:rPr>
      </w:pPr>
    </w:p>
    <w:p>
      <w:pPr>
        <w:jc w:val="both"/>
        <w:ind w:firstLine="654"/>
        <w:spacing w:after="0" w:line="243" w:lineRule="auto"/>
        <w:tabs>
          <w:tab w:leader="none" w:pos="1093"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Former Employer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 will not bring with me, disclose, access, reference or use in any way in my</w:t>
      </w:r>
      <w:r>
        <w:rPr>
          <w:rFonts w:ascii="Arial" w:cs="Arial" w:eastAsia="Arial" w:hAnsi="Arial"/>
          <w:sz w:val="18"/>
          <w:szCs w:val="18"/>
          <w:b w:val="1"/>
          <w:bCs w:val="1"/>
          <w:color w:val="auto"/>
        </w:rPr>
        <w:t xml:space="preserve"> </w:t>
      </w:r>
      <w:r>
        <w:rPr>
          <w:rFonts w:ascii="Arial" w:cs="Arial" w:eastAsia="Arial" w:hAnsi="Arial"/>
          <w:sz w:val="18"/>
          <w:szCs w:val="18"/>
          <w:color w:val="auto"/>
        </w:rPr>
        <w:t>work for RTX any confidential or otherwise proprietary information, files, documents, materials, equipment or property of others, including any trade secret information of my prior employers. I represent and acknowledge that no employee or representative of RTX has requested me to do so, and that no employee or representative will have the authority to instruct me to do so at any time. I further represent that my work for RTX and compliance with this Agreement will not breach any obligation I have to, or agreement that I previously entered into with, any prior employer, including any non-disclosure, non-compete or other restrictive covenant agreement.</w:t>
      </w:r>
    </w:p>
    <w:p>
      <w:pPr>
        <w:spacing w:after="0" w:line="187" w:lineRule="exact"/>
        <w:rPr>
          <w:rFonts w:ascii="Arial" w:cs="Arial" w:eastAsia="Arial" w:hAnsi="Arial"/>
          <w:sz w:val="18"/>
          <w:szCs w:val="18"/>
          <w:b w:val="1"/>
          <w:bCs w:val="1"/>
          <w:color w:val="auto"/>
        </w:rPr>
      </w:pPr>
    </w:p>
    <w:p>
      <w:pPr>
        <w:ind w:left="900" w:hanging="247"/>
        <w:spacing w:after="0"/>
        <w:tabs>
          <w:tab w:leader="none" w:pos="90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RTX Proprietary Information</w:t>
      </w:r>
      <w:r>
        <w:rPr>
          <w:rFonts w:ascii="Arial" w:cs="Arial" w:eastAsia="Arial" w:hAnsi="Arial"/>
          <w:sz w:val="20"/>
          <w:szCs w:val="20"/>
          <w:b w:val="1"/>
          <w:bCs w:val="1"/>
          <w:color w:val="auto"/>
        </w:rPr>
        <w:t>.</w:t>
      </w:r>
    </w:p>
    <w:p>
      <w:pPr>
        <w:spacing w:after="0" w:line="302" w:lineRule="exact"/>
        <w:rPr>
          <w:rFonts w:ascii="Arial" w:cs="Arial" w:eastAsia="Arial" w:hAnsi="Arial"/>
          <w:sz w:val="20"/>
          <w:szCs w:val="20"/>
          <w:b w:val="1"/>
          <w:bCs w:val="1"/>
          <w:color w:val="auto"/>
        </w:rPr>
      </w:pPr>
    </w:p>
    <w:p>
      <w:pPr>
        <w:jc w:val="both"/>
        <w:ind w:firstLine="898"/>
        <w:spacing w:after="0" w:line="215" w:lineRule="auto"/>
        <w:tabs>
          <w:tab w:leader="none" w:pos="1746" w:val="left"/>
        </w:tabs>
        <w:numPr>
          <w:ilvl w:val="1"/>
          <w:numId w:val="134"/>
        </w:numPr>
        <w:rPr>
          <w:rFonts w:ascii="Arial" w:cs="Arial" w:eastAsia="Arial" w:hAnsi="Arial"/>
          <w:sz w:val="20"/>
          <w:szCs w:val="20"/>
          <w:color w:val="auto"/>
        </w:rPr>
      </w:pPr>
      <w:r>
        <w:rPr>
          <w:rFonts w:ascii="Arial" w:cs="Arial" w:eastAsia="Arial" w:hAnsi="Arial"/>
          <w:sz w:val="20"/>
          <w:szCs w:val="20"/>
          <w:color w:val="auto"/>
        </w:rPr>
        <w:t>I acknowledge that during my employment I will obtain, receive and/or gain access to certain valuable trade secret, confidential or otherwise proprietary information not generally known to the public, developed by, for or at the expense of RTX, or assigned or entrusted to RTX by me or others (collectively, “Proprietary Information”). In addition, I acknowledge that I may receive and/or gain access to Proprietary Information in oral, written and/or electronic form. Proprietary Information includes, but is not limited to the following:</w:t>
      </w:r>
    </w:p>
    <w:p>
      <w:pPr>
        <w:spacing w:after="0" w:line="225" w:lineRule="exact"/>
        <w:rPr>
          <w:rFonts w:ascii="Arial" w:cs="Arial" w:eastAsia="Arial" w:hAnsi="Arial"/>
          <w:sz w:val="20"/>
          <w:szCs w:val="20"/>
          <w:color w:val="auto"/>
        </w:rPr>
      </w:pPr>
    </w:p>
    <w:p>
      <w:pPr>
        <w:jc w:val="both"/>
        <w:ind w:firstLine="1140"/>
        <w:spacing w:after="0" w:line="250" w:lineRule="auto"/>
        <w:tabs>
          <w:tab w:leader="none" w:pos="1739" w:val="left"/>
        </w:tabs>
        <w:numPr>
          <w:ilvl w:val="2"/>
          <w:numId w:val="134"/>
        </w:numPr>
        <w:rPr>
          <w:rFonts w:ascii="Arial" w:cs="Arial" w:eastAsia="Arial" w:hAnsi="Arial"/>
          <w:sz w:val="20"/>
          <w:szCs w:val="20"/>
          <w:color w:val="auto"/>
        </w:rPr>
      </w:pPr>
      <w:r>
        <w:rPr>
          <w:rFonts w:ascii="Arial" w:cs="Arial" w:eastAsia="Arial" w:hAnsi="Arial"/>
          <w:sz w:val="20"/>
          <w:szCs w:val="20"/>
          <w:color w:val="auto"/>
        </w:rPr>
        <w:t>Technical information, such as technical data, designs, drawings, documentation, models, schematics, specifications, methods, processes, procedures, techniques, databases, software and computer programs, formulas, compositions, plans, ideas, concepts, inventions, innovations, discoveries, improvements, and know-how;</w:t>
      </w:r>
    </w:p>
    <w:p>
      <w:pPr>
        <w:spacing w:after="0" w:line="199" w:lineRule="exact"/>
        <w:rPr>
          <w:rFonts w:ascii="Arial" w:cs="Arial" w:eastAsia="Arial" w:hAnsi="Arial"/>
          <w:sz w:val="20"/>
          <w:szCs w:val="20"/>
          <w:color w:val="auto"/>
        </w:rPr>
      </w:pPr>
    </w:p>
    <w:p>
      <w:pPr>
        <w:jc w:val="both"/>
        <w:ind w:firstLine="1139"/>
        <w:spacing w:after="0" w:line="220" w:lineRule="auto"/>
        <w:tabs>
          <w:tab w:leader="none" w:pos="1739" w:val="left"/>
        </w:tabs>
        <w:numPr>
          <w:ilvl w:val="2"/>
          <w:numId w:val="134"/>
        </w:numPr>
        <w:rPr>
          <w:rFonts w:ascii="Arial" w:cs="Arial" w:eastAsia="Arial" w:hAnsi="Arial"/>
          <w:sz w:val="20"/>
          <w:szCs w:val="20"/>
          <w:color w:val="auto"/>
        </w:rPr>
      </w:pPr>
      <w:r>
        <w:rPr>
          <w:rFonts w:ascii="Arial" w:cs="Arial" w:eastAsia="Arial" w:hAnsi="Arial"/>
          <w:sz w:val="20"/>
          <w:szCs w:val="20"/>
          <w:color w:val="auto"/>
        </w:rPr>
        <w:t>Business information, such as business, marketing, sales, procurement and pricing plans and strategies, financial and budget data, asset allocations, customer lists, customer contact information, contractual business relationships, bid information, production plans, supply sources, business methods or tools, intellectual property plans and strategies, and acquisition and divestiture plans and details; and</w:t>
      </w:r>
    </w:p>
    <w:p>
      <w:pPr>
        <w:spacing w:after="0" w:line="196" w:lineRule="exact"/>
        <w:rPr>
          <w:rFonts w:ascii="Arial" w:cs="Arial" w:eastAsia="Arial" w:hAnsi="Arial"/>
          <w:sz w:val="20"/>
          <w:szCs w:val="20"/>
          <w:color w:val="auto"/>
        </w:rPr>
      </w:pPr>
    </w:p>
    <w:p>
      <w:pPr>
        <w:jc w:val="both"/>
        <w:ind w:firstLine="1140"/>
        <w:spacing w:after="0" w:line="227" w:lineRule="auto"/>
        <w:tabs>
          <w:tab w:leader="none" w:pos="1741" w:val="left"/>
        </w:tabs>
        <w:numPr>
          <w:ilvl w:val="2"/>
          <w:numId w:val="134"/>
        </w:numPr>
        <w:rPr>
          <w:rFonts w:ascii="Arial" w:cs="Arial" w:eastAsia="Arial" w:hAnsi="Arial"/>
          <w:sz w:val="20"/>
          <w:szCs w:val="20"/>
          <w:color w:val="auto"/>
        </w:rPr>
      </w:pPr>
      <w:r>
        <w:rPr>
          <w:rFonts w:ascii="Arial" w:cs="Arial" w:eastAsia="Arial" w:hAnsi="Arial"/>
          <w:sz w:val="20"/>
          <w:szCs w:val="20"/>
          <w:color w:val="auto"/>
        </w:rPr>
        <w:t>All information entrusted to RTX by others, including but not limited to technical and business information provided directly or indirectly by customers, joint venture partners, collaborators, investors, bankers, insurers, vendors, suppliers, agents, or other similar persons.</w:t>
      </w:r>
    </w:p>
    <w:p>
      <w:pPr>
        <w:spacing w:after="0" w:line="197" w:lineRule="exact"/>
        <w:rPr>
          <w:rFonts w:ascii="Arial" w:cs="Arial" w:eastAsia="Arial" w:hAnsi="Arial"/>
          <w:sz w:val="20"/>
          <w:szCs w:val="20"/>
          <w:color w:val="auto"/>
        </w:rPr>
      </w:pPr>
    </w:p>
    <w:p>
      <w:pPr>
        <w:jc w:val="both"/>
        <w:ind w:firstLine="898"/>
        <w:spacing w:after="0" w:line="214" w:lineRule="auto"/>
        <w:tabs>
          <w:tab w:leader="none" w:pos="1743" w:val="left"/>
        </w:tabs>
        <w:numPr>
          <w:ilvl w:val="1"/>
          <w:numId w:val="134"/>
        </w:numPr>
        <w:rPr>
          <w:rFonts w:ascii="Arial" w:cs="Arial" w:eastAsia="Arial" w:hAnsi="Arial"/>
          <w:sz w:val="20"/>
          <w:szCs w:val="20"/>
          <w:color w:val="auto"/>
        </w:rPr>
      </w:pPr>
      <w:r>
        <w:rPr>
          <w:rFonts w:ascii="Arial" w:cs="Arial" w:eastAsia="Arial" w:hAnsi="Arial"/>
          <w:sz w:val="20"/>
          <w:szCs w:val="20"/>
          <w:color w:val="auto"/>
        </w:rPr>
        <w:t>I understand that my employment creates a relationship of confidence and trust between me and RTX with respect to Proprietary Information. In exchange for RTX granting me access to Proprietary Information, I will not at any time, either during or after my employment, use, publish or otherwise disclose through any means verbally or in writing (including through social media, the Internet or any other electronic communication) any Proprietary Information, except as my RTX duties may require, and in all such events solely for RTX’s benefit and in accordance with applicable RTX policies and procedures. However, I understand that this Agreement does not limit or prohibit me from disclosing information regarding the terms and conditions of employment. I understand that if I am unsure about whether information constitutes Proprietary Information, I will seek the guidance of RTX legal counsel. At RTX’s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0920"/>
          </w:cols>
          <w:pgMar w:left="520" w:top="1440" w:right="459" w:bottom="1440" w:gutter="0" w:footer="0" w:header="0"/>
        </w:sectPr>
      </w:pPr>
    </w:p>
    <w:bookmarkStart w:id="158" w:name="page159"/>
    <w:bookmarkEnd w:id="158"/>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request or upon termination of my employment for any reason, I will immediately deliver to or leave with RTX all files, documents, materials, equipment, property and other items and information that belong to RTX or that by their nature are for the use of RTX personnel only, including but not limited to items and information constituting or containing Proprietary Information.</w:t>
      </w:r>
    </w:p>
    <w:p>
      <w:pPr>
        <w:spacing w:after="0" w:line="192" w:lineRule="exact"/>
        <w:rPr>
          <w:sz w:val="20"/>
          <w:szCs w:val="20"/>
          <w:color w:val="auto"/>
        </w:rPr>
      </w:pPr>
    </w:p>
    <w:p>
      <w:pPr>
        <w:jc w:val="both"/>
        <w:ind w:firstLine="897"/>
        <w:spacing w:after="0" w:line="221" w:lineRule="auto"/>
        <w:tabs>
          <w:tab w:leader="none" w:pos="1745" w:val="left"/>
        </w:tabs>
        <w:numPr>
          <w:ilvl w:val="2"/>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Regarding Trade Secrets. </w:t>
      </w:r>
      <w:r>
        <w:rPr>
          <w:rFonts w:ascii="Arial" w:cs="Arial" w:eastAsia="Arial" w:hAnsi="Arial"/>
          <w:sz w:val="20"/>
          <w:szCs w:val="20"/>
          <w:color w:val="auto"/>
        </w:rPr>
        <w:t>Under certain conditions, the Defend Trade Secrets Act of 2016 (Public Law</w:t>
      </w:r>
      <w:r>
        <w:rPr>
          <w:rFonts w:ascii="Arial" w:cs="Arial" w:eastAsia="Arial" w:hAnsi="Arial"/>
          <w:sz w:val="20"/>
          <w:szCs w:val="20"/>
          <w:b w:val="1"/>
          <w:bCs w:val="1"/>
          <w:color w:val="auto"/>
        </w:rPr>
        <w:t xml:space="preserve"> </w:t>
      </w:r>
      <w:r>
        <w:rPr>
          <w:rFonts w:ascii="Arial" w:cs="Arial" w:eastAsia="Arial" w:hAnsi="Arial"/>
          <w:sz w:val="20"/>
          <w:szCs w:val="20"/>
          <w:color w:val="auto"/>
        </w:rPr>
        <w:t>No. 114-153, Section 7) provides immunity from liability for certain disclosures of trade secrets, in confidence or under seal, to the government or in connection with a court proceeding, when related to suspected violations of law raised in good faith. (18 U.S.C. § 1833).</w:t>
      </w:r>
    </w:p>
    <w:p>
      <w:pPr>
        <w:spacing w:after="0" w:line="192" w:lineRule="exact"/>
        <w:rPr>
          <w:rFonts w:ascii="Arial" w:cs="Arial" w:eastAsia="Arial" w:hAnsi="Arial"/>
          <w:sz w:val="20"/>
          <w:szCs w:val="20"/>
          <w:b w:val="1"/>
          <w:bCs w:val="1"/>
          <w:color w:val="auto"/>
        </w:rPr>
      </w:pPr>
    </w:p>
    <w:p>
      <w:pPr>
        <w:ind w:left="900" w:hanging="247"/>
        <w:spacing w:after="0"/>
        <w:tabs>
          <w:tab w:leader="none" w:pos="900" w:val="left"/>
        </w:tabs>
        <w:numPr>
          <w:ilvl w:val="1"/>
          <w:numId w:val="1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Employee Work Product</w:t>
      </w:r>
      <w:r>
        <w:rPr>
          <w:rFonts w:ascii="Arial" w:cs="Arial" w:eastAsia="Arial" w:hAnsi="Arial"/>
          <w:sz w:val="20"/>
          <w:szCs w:val="20"/>
          <w:b w:val="1"/>
          <w:bCs w:val="1"/>
          <w:color w:val="auto"/>
        </w:rPr>
        <w:t>.</w:t>
      </w:r>
    </w:p>
    <w:p>
      <w:pPr>
        <w:spacing w:after="0" w:line="316" w:lineRule="exact"/>
        <w:rPr>
          <w:rFonts w:ascii="Arial" w:cs="Arial" w:eastAsia="Arial" w:hAnsi="Arial"/>
          <w:sz w:val="20"/>
          <w:szCs w:val="20"/>
          <w:b w:val="1"/>
          <w:bCs w:val="1"/>
          <w:color w:val="auto"/>
        </w:rPr>
      </w:pPr>
    </w:p>
    <w:p>
      <w:pPr>
        <w:jc w:val="both"/>
        <w:ind w:firstLine="898"/>
        <w:spacing w:after="0" w:line="235" w:lineRule="auto"/>
        <w:tabs>
          <w:tab w:leader="none" w:pos="174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 will promptly disclose in confidence to RTX all ideas, concepts, inventions, innovations, discoveries, improvements, works of authorship (including but not limited to illustrations, writings, designs, drawings, documentation, plans, models, schematics, specifications, mask works, software and computer programs), trade secrets, Proprietary Information and other technical and business information authored, conceived, developed, reduced to practice or otherwise created by me, either alone or with others (collectively, “Inventions and Developments”), during the period of my employment with RTX. Additionally, I will maintain for RTX adequate and current written records of all Inventions and Developments that (i) relate to the existing, contemplated, or reasonably foreseeable future business or research or development activities of RTX, or (ii) result from or are related to any work I perform for RTX, or (iii) are otherwise made through the use of RTX time, equipment, supplies, facilities, materials or other resources, or Proprietary Information (such Inventions and Developments being referred to collectively in this Agreement as “Employee Work Product”).</w:t>
      </w:r>
    </w:p>
    <w:p>
      <w:pPr>
        <w:spacing w:after="0" w:line="200" w:lineRule="exact"/>
        <w:rPr>
          <w:rFonts w:ascii="Arial" w:cs="Arial" w:eastAsia="Arial" w:hAnsi="Arial"/>
          <w:sz w:val="18"/>
          <w:szCs w:val="18"/>
          <w:color w:val="auto"/>
        </w:rPr>
      </w:pPr>
    </w:p>
    <w:p>
      <w:pPr>
        <w:jc w:val="both"/>
        <w:ind w:firstLine="898"/>
        <w:spacing w:after="0" w:line="223" w:lineRule="auto"/>
        <w:tabs>
          <w:tab w:leader="none" w:pos="1743" w:val="left"/>
        </w:tabs>
        <w:numPr>
          <w:ilvl w:val="2"/>
          <w:numId w:val="136"/>
        </w:numPr>
        <w:rPr>
          <w:rFonts w:ascii="Arial" w:cs="Arial" w:eastAsia="Arial" w:hAnsi="Arial"/>
          <w:sz w:val="19"/>
          <w:szCs w:val="19"/>
          <w:color w:val="auto"/>
        </w:rPr>
      </w:pPr>
      <w:r>
        <w:rPr>
          <w:rFonts w:ascii="Arial" w:cs="Arial" w:eastAsia="Arial" w:hAnsi="Arial"/>
          <w:sz w:val="19"/>
          <w:szCs w:val="19"/>
          <w:color w:val="auto"/>
        </w:rPr>
        <w:t>I agree that RTX will be the sole owner of all rights, title and interest in and to Employee Work Product. I further acknowledge and agree that, to the maximum extent permissible by applicable law, all Employee Work Product that are protectable by copyright will be “works made for hire” as that term is defined in the United States Copyright Act. To the extent that any Employee Work Product is not a “work made for hire” or is not otherwise owned by RTX, I hereby irrevocably assign and promise to assign to RTX any interest I may have in such Employee Work Product. Both during and after my employment with RTX, I will promptly execute any papers and do any acts (at RTX’s expense) that RTX may consider necessary to secure to RTX or its nominees any and all rights relating to Employee Work Product, including but not limited to rights in patents (and renewals or extensions of such rights) in any country. For purposes of my obligations under this Agreement, Employee Work Product includes any Invention or Development made by me, either alone or jointly with others, after termination of my employment with RTX, if I utilized any of RTX’s Proprietary Information in creating such Invention or Development.</w:t>
      </w:r>
    </w:p>
    <w:p>
      <w:pPr>
        <w:spacing w:after="0" w:line="191" w:lineRule="exact"/>
        <w:rPr>
          <w:rFonts w:ascii="Arial" w:cs="Arial" w:eastAsia="Arial" w:hAnsi="Arial"/>
          <w:sz w:val="19"/>
          <w:szCs w:val="19"/>
          <w:color w:val="auto"/>
        </w:rPr>
      </w:pPr>
    </w:p>
    <w:p>
      <w:pPr>
        <w:jc w:val="both"/>
        <w:ind w:firstLine="897"/>
        <w:spacing w:after="0" w:line="223" w:lineRule="auto"/>
        <w:tabs>
          <w:tab w:leader="none" w:pos="1745" w:val="left"/>
        </w:tabs>
        <w:numPr>
          <w:ilvl w:val="2"/>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Regarding Inventions. </w:t>
      </w:r>
      <w:r>
        <w:rPr>
          <w:rFonts w:ascii="Arial" w:cs="Arial" w:eastAsia="Arial" w:hAnsi="Arial"/>
          <w:sz w:val="19"/>
          <w:szCs w:val="19"/>
          <w:color w:val="auto"/>
        </w:rPr>
        <w:t>The provisions in this Agreement requiring me to assign rights in inventions do not</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not apply to any Inventions and Developments that I developed entirely on my own time without using RTX’s equipment, supplies, facilities, or trade secret information, except for those inventions that either: (i) relate at the time of conception or reduction to practice of the invention to RTX’s business, or actual or demonstrably anticipated research or development of RTX; or (ii) result from any work performed by me for RTX. This NOTICE Regarding Inventions is provided in compliance with California Labor Code §§ 2870-2872; Revised Code of Washington §§ 49.44.140-150; Delaware Code Title 19, § 805; Illinois Statutes chapter 765, paragraph 1060/2; Kansas Statute § 44-130; Minnesota Statute</w:t>
      </w:r>
    </w:p>
    <w:p>
      <w:pPr>
        <w:spacing w:after="0" w:line="4" w:lineRule="exact"/>
        <w:rPr>
          <w:rFonts w:ascii="Arial" w:cs="Arial" w:eastAsia="Arial" w:hAnsi="Arial"/>
          <w:sz w:val="19"/>
          <w:szCs w:val="19"/>
          <w:b w:val="1"/>
          <w:bCs w:val="1"/>
          <w:color w:val="auto"/>
        </w:rPr>
      </w:pPr>
    </w:p>
    <w:p>
      <w:pPr>
        <w:ind w:left="180" w:hanging="174"/>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181.78; North Carolina General Statute § 66-57.1-.2; Utah Code §§ 34-39-1 to 3; and any other similar state laws and should be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interpreted in a manner consistent with any applicable state law concerning the assignment of employee rights to inventions.</w:t>
      </w:r>
    </w:p>
    <w:p>
      <w:pPr>
        <w:spacing w:after="0" w:line="238" w:lineRule="exact"/>
        <w:rPr>
          <w:sz w:val="20"/>
          <w:szCs w:val="20"/>
          <w:color w:val="auto"/>
        </w:rPr>
      </w:pPr>
    </w:p>
    <w:p>
      <w:pPr>
        <w:ind w:right="20" w:firstLine="898"/>
        <w:spacing w:after="0" w:line="229" w:lineRule="auto"/>
        <w:tabs>
          <w:tab w:leader="none" w:pos="174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To the extent that all rights I may have in any Employee Work Product are not fully and effectively transferred or assigned to RTX by this Agreement, or if any Employee Work Product (i) is based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0920"/>
          </w:cols>
          <w:pgMar w:left="520" w:top="1440" w:right="459" w:bottom="1440" w:gutter="0" w:footer="0" w:header="0"/>
        </w:sectPr>
      </w:pPr>
    </w:p>
    <w:bookmarkStart w:id="159" w:name="page160"/>
    <w:bookmarkEnd w:id="159"/>
    <w:p>
      <w:pPr>
        <w:spacing w:after="0" w:line="195"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color w:val="auto"/>
        </w:rPr>
        <w:t>on or derived from rights owned, licensed or otherwise held by me and not assigned under this Agreement, including any such rights existing prior to my employment with RTX, or (ii) cannot be exploited without using rights owned, licensed or otherwise held by me, I</w:t>
      </w:r>
    </w:p>
    <w:p>
      <w:pPr>
        <w:ind w:left="200"/>
        <w:spacing w:after="0" w:line="220" w:lineRule="auto"/>
        <w:rPr>
          <w:sz w:val="20"/>
          <w:szCs w:val="20"/>
          <w:color w:val="auto"/>
        </w:rPr>
      </w:pPr>
      <w:r>
        <w:rPr>
          <w:rFonts w:ascii="Arial" w:cs="Arial" w:eastAsia="Arial" w:hAnsi="Arial"/>
          <w:sz w:val="20"/>
          <w:szCs w:val="20"/>
          <w:color w:val="auto"/>
        </w:rPr>
        <w:t>hereby irrevocably grant and promise to grant to RTX a perpetual, worldwide, paid-up and royalty-free, nonexclusive and sublicensable right and license to freely exploit and exercise all such rights and the Employee Work Product in any manner.</w:t>
      </w:r>
    </w:p>
    <w:p>
      <w:pPr>
        <w:spacing w:after="0" w:line="204" w:lineRule="exact"/>
        <w:rPr>
          <w:sz w:val="20"/>
          <w:szCs w:val="20"/>
          <w:color w:val="auto"/>
        </w:rPr>
      </w:pPr>
    </w:p>
    <w:p>
      <w:pPr>
        <w:jc w:val="both"/>
        <w:ind w:left="200" w:firstLine="654"/>
        <w:spacing w:after="0" w:line="255" w:lineRule="auto"/>
        <w:tabs>
          <w:tab w:leader="none" w:pos="1293"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that nothing in this Agreement is intended to limit any remedy of RTX under any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that my violation of any provision of this Agreement could cause RTX irreparable harm which cannot be fully compensated by money, and that RTX may be entitled to injunctive or other equitable relief to prevent or stop such breach.</w:t>
      </w:r>
    </w:p>
    <w:p>
      <w:pPr>
        <w:spacing w:after="0" w:line="177" w:lineRule="exact"/>
        <w:rPr>
          <w:rFonts w:ascii="Arial" w:cs="Arial" w:eastAsia="Arial" w:hAnsi="Arial"/>
          <w:sz w:val="18"/>
          <w:szCs w:val="18"/>
          <w:b w:val="1"/>
          <w:bCs w:val="1"/>
          <w:color w:val="auto"/>
        </w:rPr>
      </w:pPr>
    </w:p>
    <w:p>
      <w:pPr>
        <w:jc w:val="both"/>
        <w:ind w:left="200" w:firstLine="653"/>
        <w:spacing w:after="0" w:line="223" w:lineRule="auto"/>
        <w:tabs>
          <w:tab w:leader="none" w:pos="1293"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supersedes all prior oral or written agreements between me and RTX relating generally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same subject matter. This Agreement is effective as of the first day that I performed any work for RTX, and my obligations under this Agreement will survive any termination of my employment with RTX. This Agreement is binding upon me, and my heirs, executors, administrators, legal representatives and assigns. This Agreement may be modified only by an express written document signed by me and an authorized representative of RTX. This Agreement will be governed by and construed in accordance with the laws of the State of Delaware, United States of America, without reference to conflicts of law principles. This Agreement does not alter my existing employment relationship with RTX, whether it is currently at-will or based on a written employment agreement. Additionally, this Agreement shall remain effective regardless of future changes in my duties, salary or compensation. If any provision of this Agreement (or any portion of this Agreement) is held to be invalid, illegal or otherwise unenforceable by a court of competent jurisdiction, I agree that the court should modify such provision to the extent necessary to render such provision enforceable, and the remaining provisions of this Agreement will remain in full force and effect. I agree that RTX may notify any of my prior or subsequent employers of this Agreement and my obligations under this Agreement.</w:t>
      </w:r>
    </w:p>
    <w:p>
      <w:pPr>
        <w:spacing w:after="0" w:line="210" w:lineRule="exact"/>
        <w:rPr>
          <w:sz w:val="20"/>
          <w:szCs w:val="20"/>
          <w:color w:val="auto"/>
        </w:rPr>
      </w:pPr>
    </w:p>
    <w:p>
      <w:pPr>
        <w:ind w:left="200" w:right="20"/>
        <w:spacing w:after="0" w:line="267" w:lineRule="auto"/>
        <w:rPr>
          <w:sz w:val="20"/>
          <w:szCs w:val="20"/>
          <w:color w:val="auto"/>
        </w:rPr>
      </w:pPr>
      <w:r>
        <w:rPr>
          <w:rFonts w:ascii="Arial" w:cs="Arial" w:eastAsia="Arial" w:hAnsi="Arial"/>
          <w:sz w:val="20"/>
          <w:szCs w:val="20"/>
          <w:b w:val="1"/>
          <w:bCs w:val="1"/>
          <w:color w:val="auto"/>
        </w:rPr>
        <w:t>I HAVE READ THIS AGREEMENT CAREFULLY AND I UNDERSTAND ITS TERMS. I ACCEPT THE OBLIGATIONS WHICH IT IMPOSES UPON ME VOLUNTARILY AND WITHOUT RESERVATION.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This Agreement is executed this _______ day of ______________, 20___,</w:t>
      </w:r>
    </w:p>
    <w:p>
      <w:pPr>
        <w:ind w:left="4540"/>
        <w:spacing w:after="0"/>
        <w:rPr>
          <w:sz w:val="20"/>
          <w:szCs w:val="20"/>
          <w:color w:val="auto"/>
        </w:rPr>
      </w:pPr>
      <w:r>
        <w:rPr>
          <w:rFonts w:ascii="Arial" w:cs="Arial" w:eastAsia="Arial" w:hAnsi="Arial"/>
          <w:sz w:val="20"/>
          <w:szCs w:val="20"/>
          <w:color w:val="auto"/>
        </w:rPr>
        <w:t>Month</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at___________________, ________________.</w:t>
      </w:r>
    </w:p>
    <w:p>
      <w:pPr>
        <w:ind w:left="1060"/>
        <w:spacing w:after="0"/>
        <w:rPr>
          <w:sz w:val="20"/>
          <w:szCs w:val="20"/>
          <w:color w:val="auto"/>
        </w:rPr>
      </w:pPr>
      <w:r>
        <w:rPr>
          <w:rFonts w:ascii="Arial" w:cs="Arial" w:eastAsia="Arial" w:hAnsi="Arial"/>
          <w:sz w:val="20"/>
          <w:szCs w:val="20"/>
          <w:color w:val="auto"/>
        </w:rPr>
        <w:t xml:space="preserve">City </w:t>
      </w:r>
      <w:r>
        <w:rPr>
          <w:rFonts w:ascii="Arial" w:cs="Arial" w:eastAsia="Arial" w:hAnsi="Arial"/>
          <w:sz w:val="20"/>
          <w:szCs w:val="20"/>
          <w:color w:val="FFFFFF"/>
        </w:rPr>
        <w:t>_______________</w:t>
      </w:r>
      <w:r>
        <w:rPr>
          <w:rFonts w:ascii="Arial" w:cs="Arial" w:eastAsia="Arial" w:hAnsi="Arial"/>
          <w:sz w:val="20"/>
          <w:szCs w:val="20"/>
          <w:color w:val="auto"/>
        </w:rPr>
        <w:t>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EMPLOYEE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Signature __________________ Residence 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Print Name _________________ City 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Employee Number ___________ State _____________Zip______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RTX Business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120"/>
          </w:cols>
          <w:pgMar w:left="320" w:top="1440" w:right="45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18"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color w:val="auto"/>
        </w:rPr>
        <w:t>RTX CORPORATION</w:t>
      </w:r>
    </w:p>
    <w:p>
      <w:pPr>
        <w:spacing w:after="0" w:line="26" w:lineRule="exact"/>
        <w:rPr>
          <w:sz w:val="20"/>
          <w:szCs w:val="20"/>
          <w:color w:val="auto"/>
        </w:rPr>
      </w:pPr>
    </w:p>
    <w:p>
      <w:pPr>
        <w:jc w:val="center"/>
        <w:ind w:right="95"/>
        <w:spacing w:after="0"/>
        <w:rPr>
          <w:sz w:val="20"/>
          <w:szCs w:val="20"/>
          <w:color w:val="auto"/>
        </w:rPr>
      </w:pPr>
      <w:r>
        <w:rPr>
          <w:rFonts w:ascii="Arial" w:cs="Arial" w:eastAsia="Arial" w:hAnsi="Arial"/>
          <w:sz w:val="20"/>
          <w:szCs w:val="20"/>
          <w:b w:val="1"/>
          <w:bCs w:val="1"/>
          <w:color w:val="auto"/>
        </w:rPr>
        <w:t>PERFORMANCE SHARE UNIT DEFERRAL PLAN</w:t>
      </w:r>
    </w:p>
    <w:p>
      <w:pPr>
        <w:spacing w:after="0" w:line="60" w:lineRule="exact"/>
        <w:rPr>
          <w:sz w:val="20"/>
          <w:szCs w:val="20"/>
          <w:color w:val="auto"/>
        </w:rPr>
      </w:pPr>
    </w:p>
    <w:p>
      <w:pPr>
        <w:jc w:val="center"/>
        <w:ind w:right="175"/>
        <w:spacing w:after="0"/>
        <w:rPr>
          <w:sz w:val="20"/>
          <w:szCs w:val="20"/>
          <w:color w:val="auto"/>
        </w:rPr>
      </w:pPr>
      <w:r>
        <w:rPr>
          <w:rFonts w:ascii="Arial" w:cs="Arial" w:eastAsia="Arial" w:hAnsi="Arial"/>
          <w:sz w:val="20"/>
          <w:szCs w:val="20"/>
          <w:color w:val="auto"/>
        </w:rPr>
        <w:t>(As Amended and Restated as of October 1, 2023)</w:t>
      </w:r>
    </w:p>
    <w:p>
      <w:pPr>
        <w:spacing w:after="0" w:line="210" w:lineRule="exact"/>
        <w:rPr>
          <w:sz w:val="20"/>
          <w:szCs w:val="20"/>
          <w:color w:val="auto"/>
        </w:rPr>
      </w:pPr>
    </w:p>
    <w:p>
      <w:pPr>
        <w:ind w:left="45"/>
        <w:spacing w:after="0"/>
        <w:rPr>
          <w:sz w:val="20"/>
          <w:szCs w:val="20"/>
          <w:color w:val="auto"/>
        </w:rPr>
      </w:pPr>
      <w:r>
        <w:rPr>
          <w:rFonts w:ascii="Arial" w:cs="Arial" w:eastAsia="Arial" w:hAnsi="Arial"/>
          <w:sz w:val="20"/>
          <w:szCs w:val="20"/>
          <w:b w:val="1"/>
          <w:bCs w:val="1"/>
          <w:u w:val="single" w:color="auto"/>
          <w:color w:val="auto"/>
        </w:rPr>
        <w:t>ARTICLE I – PREAMBLE</w:t>
      </w:r>
    </w:p>
    <w:p>
      <w:pPr>
        <w:spacing w:after="0" w:line="292"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Purpose</w:t>
      </w:r>
    </w:p>
    <w:p>
      <w:pPr>
        <w:spacing w:after="0" w:line="257" w:lineRule="exact"/>
        <w:rPr>
          <w:sz w:val="20"/>
          <w:szCs w:val="20"/>
          <w:color w:val="auto"/>
        </w:rPr>
      </w:pPr>
    </w:p>
    <w:p>
      <w:pPr>
        <w:jc w:val="both"/>
        <w:ind w:left="5" w:right="280" w:firstLine="648"/>
        <w:spacing w:after="0" w:line="299" w:lineRule="auto"/>
        <w:rPr>
          <w:sz w:val="20"/>
          <w:szCs w:val="20"/>
          <w:color w:val="auto"/>
        </w:rPr>
      </w:pPr>
      <w:r>
        <w:rPr>
          <w:rFonts w:ascii="Arial" w:cs="Arial" w:eastAsia="Arial" w:hAnsi="Arial"/>
          <w:sz w:val="20"/>
          <w:szCs w:val="20"/>
          <w:color w:val="auto"/>
        </w:rPr>
        <w:t xml:space="preserve">The purpose of the RTX Corporation Performance Share Unit Deferral Plan (the </w:t>
      </w:r>
      <w:r>
        <w:rPr>
          <w:rFonts w:ascii="Arial" w:cs="Arial" w:eastAsia="Arial" w:hAnsi="Arial"/>
          <w:sz w:val="20"/>
          <w:szCs w:val="20"/>
          <w:i w:val="1"/>
          <w:iCs w:val="1"/>
          <w:color w:val="auto"/>
        </w:rPr>
        <w:t>“Plan”</w:t>
      </w:r>
      <w:r>
        <w:rPr>
          <w:rFonts w:ascii="Arial" w:cs="Arial" w:eastAsia="Arial" w:hAnsi="Arial"/>
          <w:sz w:val="20"/>
          <w:szCs w:val="20"/>
          <w:color w:val="auto"/>
        </w:rPr>
        <w:t>), is to provide eligible Participants with the opportunity to defer receipt of shares of Common Stock in respect of Performance Share Units (“PSUs”) awarded pursuant to a long-term incentive plan (“LTIP”) of the Corporation.</w:t>
      </w:r>
    </w:p>
    <w:p>
      <w:pPr>
        <w:spacing w:after="0" w:line="169" w:lineRule="exact"/>
        <w:rPr>
          <w:sz w:val="20"/>
          <w:szCs w:val="20"/>
          <w:color w:val="auto"/>
        </w:rPr>
      </w:pPr>
    </w:p>
    <w:p>
      <w:pPr>
        <w:ind w:left="645"/>
        <w:spacing w:after="0"/>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Effective Date of Plan and Amendments</w:t>
      </w:r>
    </w:p>
    <w:p>
      <w:pPr>
        <w:spacing w:after="0" w:line="284" w:lineRule="exact"/>
        <w:rPr>
          <w:sz w:val="20"/>
          <w:szCs w:val="20"/>
          <w:color w:val="auto"/>
        </w:rPr>
      </w:pPr>
    </w:p>
    <w:p>
      <w:pPr>
        <w:ind w:left="1185" w:hanging="537"/>
        <w:spacing w:after="0"/>
        <w:tabs>
          <w:tab w:leader="none" w:pos="1185" w:val="left"/>
        </w:tabs>
        <w:numPr>
          <w:ilvl w:val="1"/>
          <w:numId w:val="139"/>
        </w:numPr>
        <w:rPr>
          <w:rFonts w:ascii="Arial" w:cs="Arial" w:eastAsia="Arial" w:hAnsi="Arial"/>
          <w:sz w:val="21"/>
          <w:szCs w:val="21"/>
          <w:color w:val="auto"/>
        </w:rPr>
      </w:pPr>
      <w:r>
        <w:rPr>
          <w:rFonts w:ascii="Arial" w:cs="Arial" w:eastAsia="Arial" w:hAnsi="Arial"/>
          <w:sz w:val="19"/>
          <w:szCs w:val="19"/>
          <w:color w:val="auto"/>
        </w:rPr>
        <w:t>The United Technologies Corporation LTIP Performance Share Unit Deferral Plan was originally established in 2008.</w:t>
      </w:r>
    </w:p>
    <w:p>
      <w:pPr>
        <w:spacing w:after="0" w:line="298" w:lineRule="exact"/>
        <w:rPr>
          <w:rFonts w:ascii="Arial" w:cs="Arial" w:eastAsia="Arial" w:hAnsi="Arial"/>
          <w:sz w:val="21"/>
          <w:szCs w:val="21"/>
          <w:color w:val="auto"/>
        </w:rPr>
      </w:pPr>
    </w:p>
    <w:p>
      <w:pPr>
        <w:jc w:val="both"/>
        <w:ind w:left="5" w:right="100" w:firstLine="643"/>
        <w:spacing w:after="0" w:line="312" w:lineRule="auto"/>
        <w:tabs>
          <w:tab w:leader="none" w:pos="1188" w:val="left"/>
        </w:tabs>
        <w:numPr>
          <w:ilvl w:val="1"/>
          <w:numId w:val="139"/>
        </w:numPr>
        <w:rPr>
          <w:rFonts w:ascii="Arial" w:cs="Arial" w:eastAsia="Arial" w:hAnsi="Arial"/>
          <w:sz w:val="19"/>
          <w:szCs w:val="19"/>
          <w:color w:val="auto"/>
        </w:rPr>
      </w:pPr>
      <w:r>
        <w:rPr>
          <w:rFonts w:ascii="Arial" w:cs="Arial" w:eastAsia="Arial" w:hAnsi="Arial"/>
          <w:sz w:val="18"/>
          <w:szCs w:val="18"/>
          <w:color w:val="auto"/>
        </w:rPr>
        <w:t>The Plan was amended and restated, effective as of January 1, 2020, for the purpose of: (a) documenting certain plan rule changes in the determination of the Valuation Date for PSUs granted prior to, and on or after, January 1, 2008, effective January 1, 2008;</w:t>
      </w:r>
    </w:p>
    <w:p>
      <w:pPr>
        <w:jc w:val="both"/>
        <w:ind w:left="5" w:right="120" w:hanging="5"/>
        <w:spacing w:after="0" w:line="292" w:lineRule="auto"/>
        <w:tabs>
          <w:tab w:leader="none" w:pos="31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changing the definition of Specified Employee effective as of April 1, 2020; (iii) certain other administrative changes effective as of January 1, 2020; and (iv) changing pertinent references from “United Technologies Corporation” or “UTC” to “Raytheon Technologies Corporation” or “RTX” effective as of April 3, 2020.</w:t>
      </w:r>
    </w:p>
    <w:p>
      <w:pPr>
        <w:spacing w:after="0" w:line="227" w:lineRule="exact"/>
        <w:rPr>
          <w:rFonts w:ascii="Arial" w:cs="Arial" w:eastAsia="Arial" w:hAnsi="Arial"/>
          <w:sz w:val="20"/>
          <w:szCs w:val="20"/>
          <w:color w:val="auto"/>
        </w:rPr>
      </w:pPr>
    </w:p>
    <w:p>
      <w:pPr>
        <w:ind w:left="5" w:right="100" w:firstLine="643"/>
        <w:spacing w:after="0" w:line="275" w:lineRule="auto"/>
        <w:tabs>
          <w:tab w:leader="none" w:pos="1190" w:val="left"/>
        </w:tabs>
        <w:numPr>
          <w:ilvl w:val="1"/>
          <w:numId w:val="140"/>
        </w:numPr>
        <w:rPr>
          <w:rFonts w:ascii="Arial" w:cs="Arial" w:eastAsia="Arial" w:hAnsi="Arial"/>
          <w:sz w:val="22"/>
          <w:szCs w:val="22"/>
          <w:color w:val="auto"/>
        </w:rPr>
      </w:pPr>
      <w:r>
        <w:rPr>
          <w:rFonts w:ascii="Arial" w:cs="Arial" w:eastAsia="Arial" w:hAnsi="Arial"/>
          <w:sz w:val="20"/>
          <w:szCs w:val="20"/>
          <w:color w:val="auto"/>
        </w:rPr>
        <w:t xml:space="preserve">The Plan was amended and restated, effective as of June 1, 2022, for the purpose of: (i) renaming the Plan the </w:t>
      </w:r>
      <w:r>
        <w:rPr>
          <w:rFonts w:ascii="Arial" w:cs="Arial" w:eastAsia="Arial" w:hAnsi="Arial"/>
          <w:sz w:val="20"/>
          <w:szCs w:val="20"/>
          <w:i w:val="1"/>
          <w:iCs w:val="1"/>
          <w:color w:val="auto"/>
        </w:rPr>
        <w:t>Raytheon</w:t>
      </w:r>
      <w:r>
        <w:rPr>
          <w:rFonts w:ascii="Arial" w:cs="Arial" w:eastAsia="Arial" w:hAnsi="Arial"/>
          <w:sz w:val="20"/>
          <w:szCs w:val="20"/>
          <w:color w:val="auto"/>
        </w:rPr>
        <w:t xml:space="preserve"> </w:t>
      </w:r>
      <w:r>
        <w:rPr>
          <w:rFonts w:ascii="Arial" w:cs="Arial" w:eastAsia="Arial" w:hAnsi="Arial"/>
          <w:sz w:val="20"/>
          <w:szCs w:val="20"/>
          <w:i w:val="1"/>
          <w:iCs w:val="1"/>
          <w:color w:val="auto"/>
        </w:rPr>
        <w:t>Technologies Corporation Performance Share Unit Deferral Plan</w:t>
      </w:r>
    </w:p>
    <w:p>
      <w:pPr>
        <w:ind w:left="5" w:right="100" w:hanging="5"/>
        <w:spacing w:after="0" w:line="303" w:lineRule="auto"/>
        <w:tabs>
          <w:tab w:leader="none" w:pos="29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eliminating the Separation from Service before Attaining Age 50 provision for prospective deferrals and (iii) to provide for a minimum deferral period of three (3) years and a maximum deferral period of fifteen (15) years.</w:t>
      </w:r>
    </w:p>
    <w:p>
      <w:pPr>
        <w:spacing w:after="0" w:line="229" w:lineRule="exact"/>
        <w:rPr>
          <w:rFonts w:ascii="Arial" w:cs="Arial" w:eastAsia="Arial" w:hAnsi="Arial"/>
          <w:sz w:val="20"/>
          <w:szCs w:val="20"/>
          <w:color w:val="auto"/>
        </w:rPr>
      </w:pPr>
    </w:p>
    <w:p>
      <w:pPr>
        <w:jc w:val="both"/>
        <w:ind w:left="5" w:right="100" w:firstLine="643"/>
        <w:spacing w:after="0" w:line="285" w:lineRule="auto"/>
        <w:tabs>
          <w:tab w:leader="none" w:pos="1187" w:val="left"/>
        </w:tabs>
        <w:numPr>
          <w:ilvl w:val="1"/>
          <w:numId w:val="141"/>
        </w:numPr>
        <w:rPr>
          <w:rFonts w:ascii="Arial" w:cs="Arial" w:eastAsia="Arial" w:hAnsi="Arial"/>
          <w:sz w:val="22"/>
          <w:szCs w:val="22"/>
          <w:color w:val="auto"/>
        </w:rPr>
      </w:pPr>
      <w:r>
        <w:rPr>
          <w:rFonts w:ascii="Arial" w:cs="Arial" w:eastAsia="Arial" w:hAnsi="Arial"/>
          <w:sz w:val="20"/>
          <w:szCs w:val="20"/>
          <w:color w:val="auto"/>
        </w:rPr>
        <w:t xml:space="preserve">The Plan is hereby further amended and restated, effective as of October 1, 2023, for the purpose of renaming the Plan the </w:t>
      </w:r>
      <w:r>
        <w:rPr>
          <w:rFonts w:ascii="Arial" w:cs="Arial" w:eastAsia="Arial" w:hAnsi="Arial"/>
          <w:sz w:val="20"/>
          <w:szCs w:val="20"/>
          <w:i w:val="1"/>
          <w:iCs w:val="1"/>
          <w:color w:val="auto"/>
        </w:rPr>
        <w:t xml:space="preserve">RTX Corporation Performance Share Unit Deferral Plan </w:t>
      </w:r>
      <w:r>
        <w:rPr>
          <w:rFonts w:ascii="Arial" w:cs="Arial" w:eastAsia="Arial" w:hAnsi="Arial"/>
          <w:sz w:val="20"/>
          <w:szCs w:val="20"/>
          <w:color w:val="auto"/>
        </w:rPr>
        <w:t>and changing all company references from ‘Raytheon Technologies Corporation’</w:t>
      </w:r>
      <w:r>
        <w:rPr>
          <w:rFonts w:ascii="Arial" w:cs="Arial" w:eastAsia="Arial" w:hAnsi="Arial"/>
          <w:sz w:val="20"/>
          <w:szCs w:val="20"/>
          <w:i w:val="1"/>
          <w:iCs w:val="1"/>
          <w:color w:val="auto"/>
        </w:rPr>
        <w:t xml:space="preserve"> </w:t>
      </w:r>
      <w:r>
        <w:rPr>
          <w:rFonts w:ascii="Arial" w:cs="Arial" w:eastAsia="Arial" w:hAnsi="Arial"/>
          <w:sz w:val="20"/>
          <w:szCs w:val="20"/>
          <w:color w:val="auto"/>
        </w:rPr>
        <w:t>to ‘RTX Corporation’.</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20"/>
          <w:szCs w:val="20"/>
          <w:b w:val="1"/>
          <w:bCs w:val="1"/>
          <w:u w:val="single" w:color="auto"/>
          <w:color w:val="auto"/>
        </w:rPr>
        <w:t>ARTICLE II – DEFINITIONS</w:t>
      </w:r>
    </w:p>
    <w:p>
      <w:pPr>
        <w:spacing w:after="0" w:line="289" w:lineRule="exact"/>
        <w:rPr>
          <w:sz w:val="20"/>
          <w:szCs w:val="20"/>
          <w:color w:val="auto"/>
        </w:rPr>
      </w:pPr>
    </w:p>
    <w:p>
      <w:pPr>
        <w:ind w:left="5"/>
        <w:spacing w:after="0"/>
        <w:rPr>
          <w:sz w:val="20"/>
          <w:szCs w:val="20"/>
          <w:color w:val="auto"/>
        </w:rPr>
      </w:pPr>
      <w:r>
        <w:rPr>
          <w:rFonts w:ascii="Arial" w:cs="Arial" w:eastAsia="Arial" w:hAnsi="Arial"/>
          <w:sz w:val="20"/>
          <w:szCs w:val="20"/>
          <w:color w:val="auto"/>
        </w:rPr>
        <w:t>For purposes of this Plan, the following terms are defined as set forth below:</w:t>
      </w:r>
    </w:p>
    <w:p>
      <w:pPr>
        <w:spacing w:after="0" w:line="270" w:lineRule="exact"/>
        <w:rPr>
          <w:sz w:val="20"/>
          <w:szCs w:val="20"/>
          <w:color w:val="auto"/>
        </w:rPr>
      </w:pPr>
    </w:p>
    <w:p>
      <w:pPr>
        <w:ind w:left="5" w:right="400" w:firstLine="643"/>
        <w:spacing w:after="0" w:line="321" w:lineRule="auto"/>
        <w:tabs>
          <w:tab w:leader="none" w:pos="1190" w:val="left"/>
        </w:tabs>
        <w:numPr>
          <w:ilvl w:val="0"/>
          <w:numId w:val="142"/>
        </w:numPr>
        <w:rPr>
          <w:rFonts w:ascii="Arial" w:cs="Arial" w:eastAsia="Arial" w:hAnsi="Arial"/>
          <w:sz w:val="21"/>
          <w:szCs w:val="21"/>
          <w:color w:val="auto"/>
        </w:rPr>
      </w:pPr>
      <w:r>
        <w:rPr>
          <w:rFonts w:ascii="Arial" w:cs="Arial" w:eastAsia="Arial" w:hAnsi="Arial"/>
          <w:sz w:val="19"/>
          <w:szCs w:val="19"/>
          <w:i w:val="1"/>
          <w:iCs w:val="1"/>
          <w:color w:val="auto"/>
        </w:rPr>
        <w:t xml:space="preserve">Beneficiary </w:t>
      </w:r>
      <w:r>
        <w:rPr>
          <w:rFonts w:ascii="Arial" w:cs="Arial" w:eastAsia="Arial" w:hAnsi="Arial"/>
          <w:sz w:val="19"/>
          <w:szCs w:val="19"/>
          <w:color w:val="auto"/>
        </w:rPr>
        <w:t>means the person, persons or entity designated on an electronic or written form by the Participant to receive</w:t>
      </w:r>
      <w:r>
        <w:rPr>
          <w:rFonts w:ascii="Arial" w:cs="Arial" w:eastAsia="Arial" w:hAnsi="Arial"/>
          <w:sz w:val="19"/>
          <w:szCs w:val="19"/>
          <w:i w:val="1"/>
          <w:iCs w:val="1"/>
          <w:color w:val="auto"/>
        </w:rPr>
        <w:t xml:space="preserve"> </w:t>
      </w:r>
      <w:r>
        <w:rPr>
          <w:rFonts w:ascii="Arial" w:cs="Arial" w:eastAsia="Arial" w:hAnsi="Arial"/>
          <w:sz w:val="19"/>
          <w:szCs w:val="19"/>
          <w:color w:val="auto"/>
        </w:rPr>
        <w:t>the value of his or her Plan Account in the event of the Participant’s death in accordance with the terms of this Plan.</w:t>
      </w:r>
    </w:p>
    <w:p>
      <w:pPr>
        <w:spacing w:after="0" w:line="208" w:lineRule="exact"/>
        <w:rPr>
          <w:rFonts w:ascii="Arial" w:cs="Arial" w:eastAsia="Arial" w:hAnsi="Arial"/>
          <w:sz w:val="21"/>
          <w:szCs w:val="21"/>
          <w:color w:val="auto"/>
        </w:rPr>
      </w:pPr>
    </w:p>
    <w:p>
      <w:pPr>
        <w:ind w:left="5" w:right="900" w:firstLine="643"/>
        <w:spacing w:after="0" w:line="264" w:lineRule="auto"/>
        <w:tabs>
          <w:tab w:leader="none" w:pos="1188" w:val="left"/>
        </w:tabs>
        <w:numPr>
          <w:ilvl w:val="0"/>
          <w:numId w:val="142"/>
        </w:numPr>
        <w:rPr>
          <w:rFonts w:ascii="Arial" w:cs="Arial" w:eastAsia="Arial" w:hAnsi="Arial"/>
          <w:sz w:val="22"/>
          <w:szCs w:val="22"/>
          <w:color w:val="auto"/>
        </w:rPr>
      </w:pPr>
      <w:r>
        <w:rPr>
          <w:rFonts w:ascii="Arial" w:cs="Arial" w:eastAsia="Arial" w:hAnsi="Arial"/>
          <w:sz w:val="20"/>
          <w:szCs w:val="20"/>
          <w:i w:val="1"/>
          <w:iCs w:val="1"/>
          <w:color w:val="auto"/>
        </w:rPr>
        <w:t xml:space="preserve">Code or IRC </w:t>
      </w:r>
      <w:r>
        <w:rPr>
          <w:rFonts w:ascii="Arial" w:cs="Arial" w:eastAsia="Arial" w:hAnsi="Arial"/>
          <w:sz w:val="20"/>
          <w:szCs w:val="20"/>
          <w:color w:val="auto"/>
        </w:rPr>
        <w:t>means the Internal Revenue Code of 1986, as amended from time to time, and any successor thereto.</w:t>
      </w:r>
      <w:r>
        <w:rPr>
          <w:rFonts w:ascii="Arial" w:cs="Arial" w:eastAsia="Arial" w:hAnsi="Arial"/>
          <w:sz w:val="20"/>
          <w:szCs w:val="20"/>
          <w:i w:val="1"/>
          <w:iCs w:val="1"/>
          <w:color w:val="auto"/>
        </w:rPr>
        <w:t xml:space="preserve"> </w:t>
      </w:r>
      <w:r>
        <w:rPr>
          <w:rFonts w:ascii="Arial" w:cs="Arial" w:eastAsia="Arial" w:hAnsi="Arial"/>
          <w:sz w:val="20"/>
          <w:szCs w:val="20"/>
          <w:color w:val="auto"/>
        </w:rPr>
        <w:t>Reference to any section of the Internal Revenue Code shall include any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75"/>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w:t>
      </w:r>
      <w:r>
        <w:rPr>
          <w:rFonts w:ascii="Arial" w:cs="Arial" w:eastAsia="Arial" w:hAnsi="Arial"/>
          <w:sz w:val="22"/>
          <w:szCs w:val="22"/>
          <w:color w:val="auto"/>
        </w:rPr>
        <w:t>-</w:t>
      </w:r>
    </w:p>
    <w:p>
      <w:pPr>
        <w:sectPr>
          <w:pgSz w:w="11900" w:h="16838" w:orient="portrait"/>
          <w:cols w:equalWidth="0" w:num="1">
            <w:col w:w="11125"/>
          </w:cols>
          <w:pgMar w:left="435" w:top="832" w:right="339" w:bottom="1440" w:gutter="0" w:footer="0" w:header="0"/>
        </w:sectPr>
      </w:pPr>
    </w:p>
    <w:bookmarkStart w:id="161" w:name="page162"/>
    <w:bookmarkEnd w:id="161"/>
    <w:p>
      <w:pPr>
        <w:spacing w:after="0" w:line="47"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regulations or other applicable guidance. References to “Section 409A” shall refer to Section 409A of the Code and any final regulations and guidance issued thereunder by the Internal Revenue Service from time to time in effect.</w:t>
      </w:r>
    </w:p>
    <w:p>
      <w:pPr>
        <w:spacing w:after="0" w:line="202" w:lineRule="exact"/>
        <w:rPr>
          <w:sz w:val="20"/>
          <w:szCs w:val="20"/>
          <w:color w:val="auto"/>
        </w:rPr>
      </w:pPr>
    </w:p>
    <w:p>
      <w:pPr>
        <w:ind w:right="1200" w:firstLine="643"/>
        <w:spacing w:after="0" w:line="279" w:lineRule="auto"/>
        <w:tabs>
          <w:tab w:leader="none" w:pos="1185"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Committee </w:t>
      </w:r>
      <w:r>
        <w:rPr>
          <w:rFonts w:ascii="Arial" w:cs="Arial" w:eastAsia="Arial" w:hAnsi="Arial"/>
          <w:sz w:val="20"/>
          <w:szCs w:val="20"/>
          <w:color w:val="auto"/>
        </w:rPr>
        <w:t>means the Deferred Compensation Committee (or successor committee), which is responsible for</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administration of the Plan.</w:t>
      </w:r>
    </w:p>
    <w:p>
      <w:pPr>
        <w:spacing w:after="0" w:line="205" w:lineRule="exact"/>
        <w:rPr>
          <w:rFonts w:ascii="Arial" w:cs="Arial" w:eastAsia="Arial" w:hAnsi="Arial"/>
          <w:sz w:val="22"/>
          <w:szCs w:val="22"/>
          <w:color w:val="auto"/>
        </w:rPr>
      </w:pPr>
    </w:p>
    <w:p>
      <w:pPr>
        <w:ind w:left="1280" w:hanging="636"/>
        <w:spacing w:after="0"/>
        <w:tabs>
          <w:tab w:leader="none" w:pos="1280"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Corporation </w:t>
      </w:r>
      <w:r>
        <w:rPr>
          <w:rFonts w:ascii="Arial" w:cs="Arial" w:eastAsia="Arial" w:hAnsi="Arial"/>
          <w:sz w:val="20"/>
          <w:szCs w:val="20"/>
          <w:color w:val="auto"/>
        </w:rPr>
        <w:t>means RTX Corporation, or any successor thereto.</w:t>
      </w:r>
    </w:p>
    <w:p>
      <w:pPr>
        <w:spacing w:after="0" w:line="206" w:lineRule="exact"/>
        <w:rPr>
          <w:rFonts w:ascii="Arial" w:cs="Arial" w:eastAsia="Arial" w:hAnsi="Arial"/>
          <w:sz w:val="22"/>
          <w:szCs w:val="22"/>
          <w:color w:val="auto"/>
        </w:rPr>
      </w:pPr>
    </w:p>
    <w:p>
      <w:pPr>
        <w:ind w:left="1280" w:hanging="636"/>
        <w:spacing w:after="0"/>
        <w:tabs>
          <w:tab w:leader="none" w:pos="1280"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Default Distribution </w:t>
      </w:r>
      <w:r>
        <w:rPr>
          <w:rFonts w:ascii="Arial" w:cs="Arial" w:eastAsia="Arial" w:hAnsi="Arial"/>
          <w:sz w:val="20"/>
          <w:szCs w:val="20"/>
          <w:color w:val="auto"/>
        </w:rPr>
        <w:t>means payment in a lump sum distribution.</w:t>
      </w:r>
    </w:p>
    <w:p>
      <w:pPr>
        <w:spacing w:after="0" w:line="262" w:lineRule="exact"/>
        <w:rPr>
          <w:rFonts w:ascii="Arial" w:cs="Arial" w:eastAsia="Arial" w:hAnsi="Arial"/>
          <w:sz w:val="22"/>
          <w:szCs w:val="22"/>
          <w:color w:val="auto"/>
        </w:rPr>
      </w:pPr>
    </w:p>
    <w:p>
      <w:pPr>
        <w:ind w:right="160" w:firstLine="643"/>
        <w:spacing w:after="0" w:line="293" w:lineRule="auto"/>
        <w:tabs>
          <w:tab w:leader="none" w:pos="1188"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Deferral Period </w:t>
      </w:r>
      <w:r>
        <w:rPr>
          <w:rFonts w:ascii="Arial" w:cs="Arial" w:eastAsia="Arial" w:hAnsi="Arial"/>
          <w:sz w:val="20"/>
          <w:szCs w:val="20"/>
          <w:color w:val="auto"/>
        </w:rPr>
        <w:t>means the period designated (or deemed to be designated) by the Participant in accordance with this Plan</w:t>
      </w:r>
      <w:r>
        <w:rPr>
          <w:rFonts w:ascii="Arial" w:cs="Arial" w:eastAsia="Arial" w:hAnsi="Arial"/>
          <w:sz w:val="20"/>
          <w:szCs w:val="20"/>
          <w:i w:val="1"/>
          <w:iCs w:val="1"/>
          <w:color w:val="auto"/>
        </w:rPr>
        <w:t xml:space="preserve"> </w:t>
      </w:r>
      <w:r>
        <w:rPr>
          <w:rFonts w:ascii="Arial" w:cs="Arial" w:eastAsia="Arial" w:hAnsi="Arial"/>
          <w:sz w:val="20"/>
          <w:szCs w:val="20"/>
          <w:color w:val="auto"/>
        </w:rPr>
        <w:t>that ends on the Participant’s Separation from Service Date or on a Specific Deferral Date.</w:t>
      </w:r>
    </w:p>
    <w:p>
      <w:pPr>
        <w:spacing w:after="0" w:line="233" w:lineRule="exact"/>
        <w:rPr>
          <w:rFonts w:ascii="Arial" w:cs="Arial" w:eastAsia="Arial" w:hAnsi="Arial"/>
          <w:sz w:val="22"/>
          <w:szCs w:val="22"/>
          <w:color w:val="auto"/>
        </w:rPr>
      </w:pPr>
    </w:p>
    <w:p>
      <w:pPr>
        <w:ind w:right="480" w:firstLine="643"/>
        <w:spacing w:after="0" w:line="264" w:lineRule="auto"/>
        <w:tabs>
          <w:tab w:leader="none" w:pos="1183"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Deferred Share Units </w:t>
      </w:r>
      <w:r>
        <w:rPr>
          <w:rFonts w:ascii="Arial" w:cs="Arial" w:eastAsia="Arial" w:hAnsi="Arial"/>
          <w:sz w:val="20"/>
          <w:szCs w:val="20"/>
          <w:color w:val="auto"/>
        </w:rPr>
        <w:t>means PSUs that have been deferred pursuant to the terms of this Plan and dividend equivalents</w:t>
      </w:r>
      <w:r>
        <w:rPr>
          <w:rFonts w:ascii="Arial" w:cs="Arial" w:eastAsia="Arial" w:hAnsi="Arial"/>
          <w:sz w:val="20"/>
          <w:szCs w:val="20"/>
          <w:i w:val="1"/>
          <w:iCs w:val="1"/>
          <w:color w:val="auto"/>
        </w:rPr>
        <w:t xml:space="preserve"> </w:t>
      </w:r>
      <w:r>
        <w:rPr>
          <w:rFonts w:ascii="Arial" w:cs="Arial" w:eastAsia="Arial" w:hAnsi="Arial"/>
          <w:sz w:val="20"/>
          <w:szCs w:val="20"/>
          <w:color w:val="auto"/>
        </w:rPr>
        <w:t>that are credited and invested pursuant to Section 7.1.</w:t>
      </w:r>
    </w:p>
    <w:p>
      <w:pPr>
        <w:spacing w:after="0" w:line="278" w:lineRule="exact"/>
        <w:rPr>
          <w:rFonts w:ascii="Arial" w:cs="Arial" w:eastAsia="Arial" w:hAnsi="Arial"/>
          <w:sz w:val="22"/>
          <w:szCs w:val="22"/>
          <w:color w:val="auto"/>
        </w:rPr>
      </w:pPr>
    </w:p>
    <w:p>
      <w:pPr>
        <w:ind w:right="320" w:firstLine="643"/>
        <w:spacing w:after="0" w:line="284" w:lineRule="auto"/>
        <w:tabs>
          <w:tab w:leader="none" w:pos="1183"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Disability </w:t>
      </w:r>
      <w:r>
        <w:rPr>
          <w:rFonts w:ascii="Arial" w:cs="Arial" w:eastAsia="Arial" w:hAnsi="Arial"/>
          <w:sz w:val="20"/>
          <w:szCs w:val="20"/>
          <w:color w:val="auto"/>
        </w:rPr>
        <w:t>means permanent and total disability as determined under the Corporation’s long-term disability plan</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w:t>
      </w:r>
    </w:p>
    <w:p>
      <w:pPr>
        <w:spacing w:after="0" w:line="234" w:lineRule="exact"/>
        <w:rPr>
          <w:rFonts w:ascii="Arial" w:cs="Arial" w:eastAsia="Arial" w:hAnsi="Arial"/>
          <w:sz w:val="22"/>
          <w:szCs w:val="22"/>
          <w:color w:val="auto"/>
        </w:rPr>
      </w:pPr>
    </w:p>
    <w:p>
      <w:pPr>
        <w:ind w:right="320" w:firstLine="643"/>
        <w:spacing w:after="0" w:line="328" w:lineRule="auto"/>
        <w:tabs>
          <w:tab w:leader="none" w:pos="1175" w:val="left"/>
        </w:tabs>
        <w:numPr>
          <w:ilvl w:val="0"/>
          <w:numId w:val="143"/>
        </w:numPr>
        <w:rPr>
          <w:rFonts w:ascii="Arial" w:cs="Arial" w:eastAsia="Arial" w:hAnsi="Arial"/>
          <w:sz w:val="19"/>
          <w:szCs w:val="19"/>
          <w:color w:val="auto"/>
        </w:rPr>
      </w:pPr>
      <w:r>
        <w:rPr>
          <w:rFonts w:ascii="Arial" w:cs="Arial" w:eastAsia="Arial" w:hAnsi="Arial"/>
          <w:sz w:val="18"/>
          <w:szCs w:val="18"/>
          <w:i w:val="1"/>
          <w:iCs w:val="1"/>
          <w:color w:val="auto"/>
        </w:rPr>
        <w:t xml:space="preserve">Election Form </w:t>
      </w:r>
      <w:r>
        <w:rPr>
          <w:rFonts w:ascii="Arial" w:cs="Arial" w:eastAsia="Arial" w:hAnsi="Arial"/>
          <w:sz w:val="18"/>
          <w:szCs w:val="18"/>
          <w:color w:val="auto"/>
        </w:rPr>
        <w:t>means the enrollment form provided by the Committee to Participants electronically or in paper 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deferring PSUs under the Plan. Each Participant’s Election Form must contain such information as the Committee may require, including: the percentage of the award of PSUs to be deferred with respect to the applicable Performance Cycle, the form of distribution elected, and the distribution start date. There will be a separate Election Form for each Performance Cycle.</w:t>
      </w:r>
    </w:p>
    <w:p>
      <w:pPr>
        <w:spacing w:after="0" w:line="202" w:lineRule="exact"/>
        <w:rPr>
          <w:rFonts w:ascii="Arial" w:cs="Arial" w:eastAsia="Arial" w:hAnsi="Arial"/>
          <w:sz w:val="19"/>
          <w:szCs w:val="19"/>
          <w:color w:val="auto"/>
        </w:rPr>
      </w:pPr>
    </w:p>
    <w:p>
      <w:pPr>
        <w:ind w:firstLine="643"/>
        <w:spacing w:after="0" w:line="293" w:lineRule="auto"/>
        <w:tabs>
          <w:tab w:leader="none" w:pos="1176"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Eligible Employee </w:t>
      </w:r>
      <w:r>
        <w:rPr>
          <w:rFonts w:ascii="Arial" w:cs="Arial" w:eastAsia="Arial" w:hAnsi="Arial"/>
          <w:sz w:val="20"/>
          <w:szCs w:val="20"/>
          <w:color w:val="auto"/>
        </w:rPr>
        <w:t>means an executive level employee of an RTX Company who: (i) is at a level of E1-E5, (ii) is paid from</w:t>
      </w:r>
      <w:r>
        <w:rPr>
          <w:rFonts w:ascii="Arial" w:cs="Arial" w:eastAsia="Arial" w:hAnsi="Arial"/>
          <w:sz w:val="20"/>
          <w:szCs w:val="20"/>
          <w:i w:val="1"/>
          <w:iCs w:val="1"/>
          <w:color w:val="auto"/>
        </w:rPr>
        <w:t xml:space="preserve"> </w:t>
      </w:r>
      <w:r>
        <w:rPr>
          <w:rFonts w:ascii="Arial" w:cs="Arial" w:eastAsia="Arial" w:hAnsi="Arial"/>
          <w:sz w:val="20"/>
          <w:szCs w:val="20"/>
          <w:color w:val="auto"/>
        </w:rPr>
        <w:t>a U.S. payroll, (iii) is subject to U.S. tax withholding and (iv) has been awarded PSUs.</w:t>
      </w:r>
    </w:p>
    <w:p>
      <w:pPr>
        <w:spacing w:after="0" w:line="190" w:lineRule="exact"/>
        <w:rPr>
          <w:rFonts w:ascii="Arial" w:cs="Arial" w:eastAsia="Arial" w:hAnsi="Arial"/>
          <w:sz w:val="22"/>
          <w:szCs w:val="22"/>
          <w:color w:val="auto"/>
        </w:rPr>
      </w:pPr>
    </w:p>
    <w:p>
      <w:pPr>
        <w:ind w:left="1280" w:hanging="636"/>
        <w:spacing w:after="0"/>
        <w:tabs>
          <w:tab w:leader="none" w:pos="1280"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ERISA </w:t>
      </w:r>
      <w:r>
        <w:rPr>
          <w:rFonts w:ascii="Arial" w:cs="Arial" w:eastAsia="Arial" w:hAnsi="Arial"/>
          <w:sz w:val="20"/>
          <w:szCs w:val="20"/>
          <w:color w:val="auto"/>
        </w:rPr>
        <w:t>means the Employee Retirement Income Security Act of 1974, as amended.</w:t>
      </w:r>
    </w:p>
    <w:p>
      <w:pPr>
        <w:spacing w:after="0" w:line="262" w:lineRule="exact"/>
        <w:rPr>
          <w:rFonts w:ascii="Arial" w:cs="Arial" w:eastAsia="Arial" w:hAnsi="Arial"/>
          <w:sz w:val="22"/>
          <w:szCs w:val="22"/>
          <w:color w:val="auto"/>
        </w:rPr>
      </w:pPr>
    </w:p>
    <w:p>
      <w:pPr>
        <w:jc w:val="both"/>
        <w:ind w:right="240" w:firstLine="643"/>
        <w:spacing w:after="0" w:line="284" w:lineRule="auto"/>
        <w:tabs>
          <w:tab w:leader="none" w:pos="1176"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Participant </w:t>
      </w:r>
      <w:r>
        <w:rPr>
          <w:rFonts w:ascii="Arial" w:cs="Arial" w:eastAsia="Arial" w:hAnsi="Arial"/>
          <w:sz w:val="20"/>
          <w:szCs w:val="20"/>
          <w:color w:val="auto"/>
        </w:rPr>
        <w:t>means an Eligible Employee who elects to defer a portion of such PSUs pursuant to the terms of this Plan.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who has previously deferred under the Plan, but who ceases to be an Eligible Employee, shall not be eligible to further defer PSUs under Article IV, but shall remain a Participant under the Plan with respect to his or her Plan Account until final distribution in accordance with the terms of the Plan.</w:t>
      </w:r>
    </w:p>
    <w:p>
      <w:pPr>
        <w:spacing w:after="0" w:line="234" w:lineRule="exact"/>
        <w:rPr>
          <w:rFonts w:ascii="Arial" w:cs="Arial" w:eastAsia="Arial" w:hAnsi="Arial"/>
          <w:sz w:val="22"/>
          <w:szCs w:val="22"/>
          <w:color w:val="auto"/>
        </w:rPr>
      </w:pPr>
    </w:p>
    <w:p>
      <w:pPr>
        <w:ind w:right="340" w:firstLine="643"/>
        <w:spacing w:after="0" w:line="264" w:lineRule="auto"/>
        <w:tabs>
          <w:tab w:leader="none" w:pos="1176" w:val="left"/>
        </w:tabs>
        <w:numPr>
          <w:ilvl w:val="0"/>
          <w:numId w:val="143"/>
        </w:numPr>
        <w:rPr>
          <w:rFonts w:ascii="Arial" w:cs="Arial" w:eastAsia="Arial" w:hAnsi="Arial"/>
          <w:sz w:val="22"/>
          <w:szCs w:val="22"/>
          <w:color w:val="auto"/>
        </w:rPr>
      </w:pPr>
      <w:r>
        <w:rPr>
          <w:rFonts w:ascii="Arial" w:cs="Arial" w:eastAsia="Arial" w:hAnsi="Arial"/>
          <w:sz w:val="20"/>
          <w:szCs w:val="20"/>
          <w:i w:val="1"/>
          <w:iCs w:val="1"/>
          <w:color w:val="auto"/>
        </w:rPr>
        <w:t xml:space="preserve">Performance Cycle </w:t>
      </w:r>
      <w:r>
        <w:rPr>
          <w:rFonts w:ascii="Arial" w:cs="Arial" w:eastAsia="Arial" w:hAnsi="Arial"/>
          <w:sz w:val="20"/>
          <w:szCs w:val="20"/>
          <w:color w:val="auto"/>
        </w:rPr>
        <w:t>means the performance measurement period, as established by the Human Capital &amp;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of the Board of Directors of the Corporation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2</w:t>
      </w:r>
      <w:r>
        <w:rPr>
          <w:rFonts w:ascii="Arial" w:cs="Arial" w:eastAsia="Arial" w:hAnsi="Arial"/>
          <w:sz w:val="22"/>
          <w:szCs w:val="22"/>
          <w:color w:val="auto"/>
        </w:rPr>
        <w:t>-</w:t>
      </w:r>
    </w:p>
    <w:p>
      <w:pPr>
        <w:sectPr>
          <w:pgSz w:w="11900" w:h="16838" w:orient="portrait"/>
          <w:cols w:equalWidth="0" w:num="1">
            <w:col w:w="10980"/>
          </w:cols>
          <w:pgMar w:left="440" w:top="1440" w:right="4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(“Compensation Committee of the Board”), during which the pre-established performance targets are measured for each award of PSUs.</w:t>
      </w:r>
    </w:p>
    <w:p>
      <w:pPr>
        <w:spacing w:after="0" w:line="279" w:lineRule="exact"/>
        <w:rPr>
          <w:sz w:val="20"/>
          <w:szCs w:val="20"/>
          <w:color w:val="auto"/>
        </w:rPr>
      </w:pPr>
    </w:p>
    <w:p>
      <w:pPr>
        <w:ind w:left="40" w:right="180" w:firstLine="643"/>
        <w:spacing w:after="0" w:line="284" w:lineRule="auto"/>
        <w:tabs>
          <w:tab w:leader="none" w:pos="1223"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Performance Cycle Account </w:t>
      </w:r>
      <w:r>
        <w:rPr>
          <w:rFonts w:ascii="Arial" w:cs="Arial" w:eastAsia="Arial" w:hAnsi="Arial"/>
          <w:sz w:val="20"/>
          <w:szCs w:val="20"/>
          <w:color w:val="auto"/>
        </w:rPr>
        <w:t>means a Plan account established for a Participant for each Performance Cycle for which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has elected to defer PSUs under the Plan. A Performance Cycle Account shall be established effective as of the date that the Compensation Committee of the Board determines the extent to which the performance goals for the applicable Performance Cycle were obtained.</w:t>
      </w:r>
    </w:p>
    <w:p>
      <w:pPr>
        <w:spacing w:after="0" w:line="234" w:lineRule="exact"/>
        <w:rPr>
          <w:rFonts w:ascii="Arial" w:cs="Arial" w:eastAsia="Arial" w:hAnsi="Arial"/>
          <w:sz w:val="22"/>
          <w:szCs w:val="22"/>
          <w:color w:val="auto"/>
        </w:rPr>
      </w:pPr>
    </w:p>
    <w:p>
      <w:pPr>
        <w:ind w:left="40" w:right="360" w:firstLine="643"/>
        <w:spacing w:after="0" w:line="321" w:lineRule="auto"/>
        <w:tabs>
          <w:tab w:leader="none" w:pos="1223" w:val="left"/>
        </w:tabs>
        <w:numPr>
          <w:ilvl w:val="0"/>
          <w:numId w:val="144"/>
        </w:numPr>
        <w:rPr>
          <w:rFonts w:ascii="Arial" w:cs="Arial" w:eastAsia="Arial" w:hAnsi="Arial"/>
          <w:sz w:val="21"/>
          <w:szCs w:val="21"/>
          <w:color w:val="auto"/>
        </w:rPr>
      </w:pPr>
      <w:r>
        <w:rPr>
          <w:rFonts w:ascii="Arial" w:cs="Arial" w:eastAsia="Arial" w:hAnsi="Arial"/>
          <w:sz w:val="19"/>
          <w:szCs w:val="19"/>
          <w:i w:val="1"/>
          <w:iCs w:val="1"/>
          <w:color w:val="auto"/>
        </w:rPr>
        <w:t xml:space="preserve">Performance Share Units or PSUs </w:t>
      </w:r>
      <w:r>
        <w:rPr>
          <w:rFonts w:ascii="Arial" w:cs="Arial" w:eastAsia="Arial" w:hAnsi="Arial"/>
          <w:sz w:val="19"/>
          <w:szCs w:val="19"/>
          <w:color w:val="auto"/>
        </w:rPr>
        <w:t>means annual restricted stock units granted pursuant to a long-term incentive plan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Corporation, the vesting of which is conditioned upon the attainment of performance goals and continued service</w:t>
      </w:r>
      <w:r>
        <w:rPr>
          <w:rFonts w:ascii="Arial" w:cs="Arial" w:eastAsia="Arial" w:hAnsi="Arial"/>
          <w:sz w:val="19"/>
          <w:szCs w:val="19"/>
          <w:i w:val="1"/>
          <w:iCs w:val="1"/>
          <w:color w:val="auto"/>
        </w:rPr>
        <w:t>.</w:t>
      </w:r>
    </w:p>
    <w:p>
      <w:pPr>
        <w:spacing w:after="0" w:line="205" w:lineRule="exact"/>
        <w:rPr>
          <w:rFonts w:ascii="Arial" w:cs="Arial" w:eastAsia="Arial" w:hAnsi="Arial"/>
          <w:sz w:val="21"/>
          <w:szCs w:val="21"/>
          <w:color w:val="auto"/>
        </w:rPr>
      </w:pPr>
    </w:p>
    <w:p>
      <w:pPr>
        <w:ind w:left="1220" w:hanging="537"/>
        <w:spacing w:after="0"/>
        <w:tabs>
          <w:tab w:leader="none" w:pos="1220"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Plan </w:t>
      </w:r>
      <w:r>
        <w:rPr>
          <w:rFonts w:ascii="Arial" w:cs="Arial" w:eastAsia="Arial" w:hAnsi="Arial"/>
          <w:sz w:val="20"/>
          <w:szCs w:val="20"/>
          <w:color w:val="auto"/>
        </w:rPr>
        <w:t>means the RTX Corporation Performance Share Unit Deferral Plan, as amended from time to time.</w:t>
      </w:r>
    </w:p>
    <w:p>
      <w:pPr>
        <w:spacing w:after="0" w:line="246" w:lineRule="exact"/>
        <w:rPr>
          <w:rFonts w:ascii="Arial" w:cs="Arial" w:eastAsia="Arial" w:hAnsi="Arial"/>
          <w:sz w:val="22"/>
          <w:szCs w:val="22"/>
          <w:color w:val="auto"/>
        </w:rPr>
      </w:pPr>
    </w:p>
    <w:p>
      <w:pPr>
        <w:ind w:left="1320" w:hanging="636"/>
        <w:spacing w:after="0"/>
        <w:tabs>
          <w:tab w:leader="none" w:pos="1320"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Plan Account </w:t>
      </w:r>
      <w:r>
        <w:rPr>
          <w:rFonts w:ascii="Arial" w:cs="Arial" w:eastAsia="Arial" w:hAnsi="Arial"/>
          <w:sz w:val="20"/>
          <w:szCs w:val="20"/>
          <w:color w:val="auto"/>
        </w:rPr>
        <w:t>means the aggregate balance of all Performance Cycle Accounts.</w:t>
      </w:r>
    </w:p>
    <w:p>
      <w:pPr>
        <w:spacing w:after="0" w:line="262" w:lineRule="exact"/>
        <w:rPr>
          <w:rFonts w:ascii="Arial" w:cs="Arial" w:eastAsia="Arial" w:hAnsi="Arial"/>
          <w:sz w:val="22"/>
          <w:szCs w:val="22"/>
          <w:color w:val="auto"/>
        </w:rPr>
      </w:pPr>
    </w:p>
    <w:p>
      <w:pPr>
        <w:ind w:left="40" w:right="380" w:firstLine="643"/>
        <w:spacing w:after="0" w:line="285" w:lineRule="auto"/>
        <w:tabs>
          <w:tab w:leader="none" w:pos="1227"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Retirement </w:t>
      </w:r>
      <w:r>
        <w:rPr>
          <w:rFonts w:ascii="Arial" w:cs="Arial" w:eastAsia="Arial" w:hAnsi="Arial"/>
          <w:sz w:val="20"/>
          <w:szCs w:val="20"/>
          <w:color w:val="auto"/>
        </w:rPr>
        <w:t>means, with regard to PSUs deferred prior to January 1, 2023, a Separation from Service on or after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attainment of age 50; and with regard to PSUs deferred on or after January 1, 2023, a </w:t>
      </w:r>
      <w:r>
        <w:rPr>
          <w:rFonts w:ascii="Arial" w:cs="Arial" w:eastAsia="Arial" w:hAnsi="Arial"/>
          <w:sz w:val="20"/>
          <w:szCs w:val="20"/>
          <w:i w:val="1"/>
          <w:iCs w:val="1"/>
          <w:color w:val="auto"/>
        </w:rPr>
        <w:t>Separation from Service</w:t>
      </w:r>
      <w:r>
        <w:rPr>
          <w:rFonts w:ascii="Arial" w:cs="Arial" w:eastAsia="Arial" w:hAnsi="Arial"/>
          <w:sz w:val="20"/>
          <w:szCs w:val="20"/>
          <w:color w:val="auto"/>
        </w:rPr>
        <w:t>, regardless of age at the time of Separation from Service.</w:t>
      </w:r>
    </w:p>
    <w:p>
      <w:pPr>
        <w:spacing w:after="0" w:line="190" w:lineRule="exact"/>
        <w:rPr>
          <w:rFonts w:ascii="Arial" w:cs="Arial" w:eastAsia="Arial" w:hAnsi="Arial"/>
          <w:sz w:val="22"/>
          <w:szCs w:val="22"/>
          <w:color w:val="auto"/>
        </w:rPr>
      </w:pPr>
    </w:p>
    <w:p>
      <w:pPr>
        <w:ind w:left="1340" w:hanging="656"/>
        <w:spacing w:after="0"/>
        <w:tabs>
          <w:tab w:leader="none" w:pos="1340"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Retirement Date </w:t>
      </w:r>
      <w:r>
        <w:rPr>
          <w:rFonts w:ascii="Arial" w:cs="Arial" w:eastAsia="Arial" w:hAnsi="Arial"/>
          <w:sz w:val="20"/>
          <w:szCs w:val="20"/>
          <w:color w:val="auto"/>
        </w:rPr>
        <w:t>means the date of a Participant’s Retirement.</w:t>
      </w:r>
    </w:p>
    <w:p>
      <w:pPr>
        <w:spacing w:after="0" w:line="262" w:lineRule="exact"/>
        <w:rPr>
          <w:rFonts w:ascii="Arial" w:cs="Arial" w:eastAsia="Arial" w:hAnsi="Arial"/>
          <w:sz w:val="22"/>
          <w:szCs w:val="22"/>
          <w:color w:val="auto"/>
        </w:rPr>
      </w:pPr>
    </w:p>
    <w:p>
      <w:pPr>
        <w:jc w:val="both"/>
        <w:ind w:left="40" w:right="300" w:firstLine="643"/>
        <w:spacing w:after="0" w:line="285" w:lineRule="auto"/>
        <w:tabs>
          <w:tab w:leader="none" w:pos="1216"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RTX Company </w:t>
      </w:r>
      <w:r>
        <w:rPr>
          <w:rFonts w:ascii="Arial" w:cs="Arial" w:eastAsia="Arial" w:hAnsi="Arial"/>
          <w:sz w:val="20"/>
          <w:szCs w:val="20"/>
          <w:color w:val="auto"/>
        </w:rPr>
        <w:t>means the Corporation or any entity controlled by or under common control with the Corporation within</w:t>
      </w:r>
      <w:r>
        <w:rPr>
          <w:rFonts w:ascii="Arial" w:cs="Arial" w:eastAsia="Arial" w:hAnsi="Arial"/>
          <w:sz w:val="20"/>
          <w:szCs w:val="20"/>
          <w:i w:val="1"/>
          <w:iCs w:val="1"/>
          <w:color w:val="auto"/>
        </w:rPr>
        <w:t xml:space="preserve"> </w:t>
      </w:r>
      <w:r>
        <w:rPr>
          <w:rFonts w:ascii="Arial" w:cs="Arial" w:eastAsia="Arial" w:hAnsi="Arial"/>
          <w:sz w:val="20"/>
          <w:szCs w:val="20"/>
          <w:color w:val="auto"/>
        </w:rPr>
        <w:t>the meaning of Section 414(b) or (c) of the Code (but substituting “at least 20 percent” for “at least 80 percent” as the control threshold used in applying Sections 414(b) and (c)).</w:t>
      </w:r>
    </w:p>
    <w:p>
      <w:pPr>
        <w:spacing w:after="0" w:line="233" w:lineRule="exact"/>
        <w:rPr>
          <w:rFonts w:ascii="Arial" w:cs="Arial" w:eastAsia="Arial" w:hAnsi="Arial"/>
          <w:sz w:val="22"/>
          <w:szCs w:val="22"/>
          <w:color w:val="auto"/>
        </w:rPr>
      </w:pPr>
    </w:p>
    <w:p>
      <w:pPr>
        <w:ind w:left="40" w:firstLine="643"/>
        <w:spacing w:after="0" w:line="284" w:lineRule="auto"/>
        <w:tabs>
          <w:tab w:leader="none" w:pos="1223"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Separation from Service </w:t>
      </w:r>
      <w:r>
        <w:rPr>
          <w:rFonts w:ascii="Arial" w:cs="Arial" w:eastAsia="Arial" w:hAnsi="Arial"/>
          <w:sz w:val="20"/>
          <w:szCs w:val="20"/>
          <w:color w:val="auto"/>
        </w:rPr>
        <w:t>means a Participant’s termination of employment with all RTX Companies, other than by reason of</w:t>
      </w:r>
      <w:r>
        <w:rPr>
          <w:rFonts w:ascii="Arial" w:cs="Arial" w:eastAsia="Arial" w:hAnsi="Arial"/>
          <w:sz w:val="20"/>
          <w:szCs w:val="20"/>
          <w:i w:val="1"/>
          <w:iCs w:val="1"/>
          <w:color w:val="auto"/>
        </w:rPr>
        <w:t xml:space="preserve"> </w:t>
      </w:r>
      <w:r>
        <w:rPr>
          <w:rFonts w:ascii="Arial" w:cs="Arial" w:eastAsia="Arial" w:hAnsi="Arial"/>
          <w:sz w:val="20"/>
          <w:szCs w:val="20"/>
          <w:color w:val="auto"/>
        </w:rPr>
        <w:t>death. A Separation from Service will be deemed to occur where the Participant and the RTX Company that employs the Participant reasonably anticipate that the bona fide level of services the Participant will perform (whether as an employee or as an independent contractor) for RTX Companies will be permanently reduced to a level that is less than thirty-seven and a half percent (37.5%) of the average level of bona fide services the Participant performed during the immediately preceding thirty-six (36) months (or the entire period the Participant has provided services if the Participant has been providing services to RTX Companies for less than thirty-six (36) months). A Participant shall not be considered to have had a Separation from Service as a result of a transfer from one RTX Company to another RTX Company.</w:t>
      </w:r>
    </w:p>
    <w:p>
      <w:pPr>
        <w:spacing w:after="0" w:line="196" w:lineRule="exact"/>
        <w:rPr>
          <w:rFonts w:ascii="Arial" w:cs="Arial" w:eastAsia="Arial" w:hAnsi="Arial"/>
          <w:sz w:val="22"/>
          <w:szCs w:val="22"/>
          <w:color w:val="auto"/>
        </w:rPr>
      </w:pPr>
    </w:p>
    <w:p>
      <w:pPr>
        <w:ind w:left="1320" w:hanging="636"/>
        <w:spacing w:after="0"/>
        <w:tabs>
          <w:tab w:leader="none" w:pos="1320"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Share </w:t>
      </w:r>
      <w:r>
        <w:rPr>
          <w:rFonts w:ascii="Arial" w:cs="Arial" w:eastAsia="Arial" w:hAnsi="Arial"/>
          <w:sz w:val="20"/>
          <w:szCs w:val="20"/>
          <w:color w:val="auto"/>
        </w:rPr>
        <w:t>means a share of RTX Common Stock.</w:t>
      </w:r>
    </w:p>
    <w:p>
      <w:pPr>
        <w:spacing w:after="0" w:line="262" w:lineRule="exact"/>
        <w:rPr>
          <w:rFonts w:ascii="Arial" w:cs="Arial" w:eastAsia="Arial" w:hAnsi="Arial"/>
          <w:sz w:val="22"/>
          <w:szCs w:val="22"/>
          <w:color w:val="auto"/>
        </w:rPr>
      </w:pPr>
    </w:p>
    <w:p>
      <w:pPr>
        <w:ind w:left="40" w:right="300" w:firstLine="643"/>
        <w:spacing w:after="0" w:line="285" w:lineRule="auto"/>
        <w:tabs>
          <w:tab w:leader="none" w:pos="1217" w:val="left"/>
        </w:tabs>
        <w:numPr>
          <w:ilvl w:val="0"/>
          <w:numId w:val="144"/>
        </w:numPr>
        <w:rPr>
          <w:rFonts w:ascii="Arial" w:cs="Arial" w:eastAsia="Arial" w:hAnsi="Arial"/>
          <w:sz w:val="22"/>
          <w:szCs w:val="22"/>
          <w:color w:val="auto"/>
        </w:rPr>
      </w:pPr>
      <w:r>
        <w:rPr>
          <w:rFonts w:ascii="Arial" w:cs="Arial" w:eastAsia="Arial" w:hAnsi="Arial"/>
          <w:sz w:val="20"/>
          <w:szCs w:val="20"/>
          <w:i w:val="1"/>
          <w:iCs w:val="1"/>
          <w:color w:val="auto"/>
        </w:rPr>
        <w:t xml:space="preserve">Specific Deferral Date </w:t>
      </w:r>
      <w:r>
        <w:rPr>
          <w:rFonts w:ascii="Arial" w:cs="Arial" w:eastAsia="Arial" w:hAnsi="Arial"/>
          <w:sz w:val="20"/>
          <w:szCs w:val="20"/>
          <w:color w:val="auto"/>
        </w:rPr>
        <w:t>means a specified year, not less than three (3) years following the date on which the Performance</w:t>
      </w:r>
      <w:r>
        <w:rPr>
          <w:rFonts w:ascii="Arial" w:cs="Arial" w:eastAsia="Arial" w:hAnsi="Arial"/>
          <w:sz w:val="20"/>
          <w:szCs w:val="20"/>
          <w:i w:val="1"/>
          <w:iCs w:val="1"/>
          <w:color w:val="auto"/>
        </w:rPr>
        <w:t xml:space="preserve"> </w:t>
      </w:r>
      <w:r>
        <w:rPr>
          <w:rFonts w:ascii="Arial" w:cs="Arial" w:eastAsia="Arial" w:hAnsi="Arial"/>
          <w:sz w:val="20"/>
          <w:szCs w:val="20"/>
          <w:color w:val="auto"/>
        </w:rPr>
        <w:t>Cycle Account is established, and not more than fifteen (15) years following the date on which the Performance Cycle Account is established.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3</w:t>
      </w:r>
      <w:r>
        <w:rPr>
          <w:rFonts w:ascii="Arial" w:cs="Arial" w:eastAsia="Arial" w:hAnsi="Arial"/>
          <w:sz w:val="22"/>
          <w:szCs w:val="22"/>
          <w:color w:val="auto"/>
        </w:rPr>
        <w:t>-</w:t>
      </w:r>
    </w:p>
    <w:p>
      <w:pPr>
        <w:sectPr>
          <w:pgSz w:w="11900" w:h="16838" w:orient="portrait"/>
          <w:cols w:equalWidth="0" w:num="1">
            <w:col w:w="11040"/>
          </w:cols>
          <w:pgMar w:left="400" w:top="1419" w:right="459" w:bottom="1440" w:gutter="0" w:footer="0" w:header="0"/>
        </w:sectPr>
      </w:pPr>
    </w:p>
    <w:bookmarkStart w:id="163" w:name="page164"/>
    <w:bookmarkEnd w:id="163"/>
    <w:p>
      <w:pPr>
        <w:spacing w:after="0" w:line="33" w:lineRule="exact"/>
        <w:rPr>
          <w:sz w:val="20"/>
          <w:szCs w:val="20"/>
          <w:color w:val="auto"/>
        </w:rPr>
      </w:pPr>
    </w:p>
    <w:p>
      <w:pPr>
        <w:ind w:right="140" w:firstLine="643"/>
        <w:spacing w:after="0" w:line="249" w:lineRule="auto"/>
        <w:tabs>
          <w:tab w:leader="none" w:pos="1183" w:val="left"/>
        </w:tabs>
        <w:numPr>
          <w:ilvl w:val="1"/>
          <w:numId w:val="145"/>
        </w:numPr>
        <w:rPr>
          <w:rFonts w:ascii="Arial" w:cs="Arial" w:eastAsia="Arial" w:hAnsi="Arial"/>
          <w:sz w:val="21"/>
          <w:szCs w:val="21"/>
          <w:color w:val="auto"/>
        </w:rPr>
      </w:pPr>
      <w:r>
        <w:rPr>
          <w:rFonts w:ascii="Arial" w:cs="Arial" w:eastAsia="Arial" w:hAnsi="Arial"/>
          <w:sz w:val="19"/>
          <w:szCs w:val="19"/>
          <w:i w:val="1"/>
          <w:iCs w:val="1"/>
          <w:color w:val="auto"/>
        </w:rPr>
        <w:t xml:space="preserve">Specified Employee </w:t>
      </w:r>
      <w:r>
        <w:rPr>
          <w:rFonts w:ascii="Arial" w:cs="Arial" w:eastAsia="Arial" w:hAnsi="Arial"/>
          <w:sz w:val="19"/>
          <w:szCs w:val="19"/>
          <w:color w:val="auto"/>
        </w:rPr>
        <w:t>means each of the fifty (50) highest-paid officers and other executives of the Corporation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affiliates (determined for this purpose under Treas. Reg. §1.409A- 1(g)), effective annually as of April 1</w:t>
      </w:r>
      <w:r>
        <w:rPr>
          <w:rFonts w:ascii="Arial" w:cs="Arial" w:eastAsia="Arial" w:hAnsi="Arial"/>
          <w:sz w:val="24"/>
          <w:szCs w:val="24"/>
          <w:color w:val="auto"/>
          <w:vertAlign w:val="superscript"/>
        </w:rPr>
        <w:t>st</w:t>
      </w:r>
      <w:r>
        <w:rPr>
          <w:rFonts w:ascii="Arial" w:cs="Arial" w:eastAsia="Arial" w:hAnsi="Arial"/>
          <w:sz w:val="19"/>
          <w:szCs w:val="19"/>
          <w:color w:val="auto"/>
        </w:rPr>
        <w:t>, based on compensation reported in Box 1 of Form W-2, but including amounts that are excluded from taxable income as a result of elective deferrals to qualified plans and pre-tax contributions. Compensation will not include foreign compensation earned by a nonresident alien that is not effectively connected with the conduct of a trade or business in the United States.</w:t>
      </w:r>
    </w:p>
    <w:p>
      <w:pPr>
        <w:spacing w:after="0" w:line="254" w:lineRule="exact"/>
        <w:rPr>
          <w:rFonts w:ascii="Arial" w:cs="Arial" w:eastAsia="Arial" w:hAnsi="Arial"/>
          <w:sz w:val="21"/>
          <w:szCs w:val="21"/>
          <w:color w:val="auto"/>
        </w:rPr>
      </w:pPr>
    </w:p>
    <w:p>
      <w:pPr>
        <w:ind w:firstLine="643"/>
        <w:spacing w:after="0" w:line="298" w:lineRule="auto"/>
        <w:tabs>
          <w:tab w:leader="none" w:pos="1182" w:val="left"/>
        </w:tabs>
        <w:numPr>
          <w:ilvl w:val="1"/>
          <w:numId w:val="145"/>
        </w:numPr>
        <w:rPr>
          <w:rFonts w:ascii="Arial" w:cs="Arial" w:eastAsia="Arial" w:hAnsi="Arial"/>
          <w:sz w:val="19"/>
          <w:szCs w:val="19"/>
          <w:color w:val="auto"/>
        </w:rPr>
      </w:pPr>
      <w:r>
        <w:rPr>
          <w:rFonts w:ascii="Arial" w:cs="Arial" w:eastAsia="Arial" w:hAnsi="Arial"/>
          <w:sz w:val="18"/>
          <w:szCs w:val="18"/>
          <w:i w:val="1"/>
          <w:iCs w:val="1"/>
          <w:color w:val="auto"/>
        </w:rPr>
        <w:t xml:space="preserve">Valuation Date </w:t>
      </w:r>
      <w:r>
        <w:rPr>
          <w:rFonts w:ascii="Arial" w:cs="Arial" w:eastAsia="Arial" w:hAnsi="Arial"/>
          <w:sz w:val="18"/>
          <w:szCs w:val="18"/>
          <w:color w:val="auto"/>
        </w:rPr>
        <w:t>means the date on which Deferred Share Units included in a Participant’s Plan Account are valued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 determining the Valuation date, different Plan rules shall apply to (i) PSUs granted prior to January 1, 2008, (ii) PSUs granted on or after January 1, 2008, but before January 1, 2021, and (iii) PSUs granted on or after January 1, 2021 as follows:</w:t>
      </w:r>
    </w:p>
    <w:p>
      <w:pPr>
        <w:spacing w:after="0" w:line="227" w:lineRule="exact"/>
        <w:rPr>
          <w:rFonts w:ascii="Arial" w:cs="Arial" w:eastAsia="Arial" w:hAnsi="Arial"/>
          <w:sz w:val="19"/>
          <w:szCs w:val="19"/>
          <w:color w:val="auto"/>
        </w:rPr>
      </w:pPr>
    </w:p>
    <w:p>
      <w:pPr>
        <w:ind w:left="800" w:hanging="344"/>
        <w:spacing w:after="0"/>
        <w:tabs>
          <w:tab w:leader="none" w:pos="8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For PSUs granted on or after January 1, 2021, the following rules apply for purposes of determining the Valuation Date:</w:t>
      </w:r>
    </w:p>
    <w:p>
      <w:pPr>
        <w:spacing w:after="0" w:line="254" w:lineRule="exact"/>
        <w:rPr>
          <w:rFonts w:ascii="Arial" w:cs="Arial" w:eastAsia="Arial" w:hAnsi="Arial"/>
          <w:sz w:val="19"/>
          <w:szCs w:val="19"/>
          <w:color w:val="auto"/>
        </w:rPr>
      </w:pPr>
    </w:p>
    <w:p>
      <w:pPr>
        <w:ind w:left="800" w:right="20" w:firstLine="653"/>
        <w:spacing w:after="0" w:line="273" w:lineRule="auto"/>
        <w:tabs>
          <w:tab w:leader="none" w:pos="1814" w:val="left"/>
        </w:tabs>
        <w:numPr>
          <w:ilvl w:val="2"/>
          <w:numId w:val="146"/>
        </w:numPr>
        <w:rPr>
          <w:rFonts w:ascii="Arial" w:cs="Arial" w:eastAsia="Arial" w:hAnsi="Arial"/>
          <w:sz w:val="22"/>
          <w:szCs w:val="22"/>
          <w:color w:val="auto"/>
        </w:rPr>
      </w:pPr>
      <w:r>
        <w:rPr>
          <w:rFonts w:ascii="Arial" w:cs="Arial" w:eastAsia="Arial" w:hAnsi="Arial"/>
          <w:sz w:val="20"/>
          <w:szCs w:val="20"/>
          <w:i w:val="1"/>
          <w:iCs w:val="1"/>
          <w:color w:val="auto"/>
        </w:rPr>
        <w:t>Separation from Service</w:t>
      </w:r>
      <w:r>
        <w:rPr>
          <w:rFonts w:ascii="Arial" w:cs="Arial" w:eastAsia="Arial" w:hAnsi="Arial"/>
          <w:sz w:val="20"/>
          <w:szCs w:val="20"/>
          <w:color w:val="auto"/>
        </w:rPr>
        <w:t>. If the distribution is made because of the Participant’s Separation from Service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distribution is: (1) a lump sum, the Valuation Date will be the July 31st next following the Separation from Service Date (or, if later, the July 31st next following the vesting date for the PSUs) or (2) in installments, the Valuation Date will be the July 31st next following the Separation from Service Date (or, if later, the vesting date for the PSUs) and each subsequent July 31st thereafter for the remaining installments.</w:t>
      </w:r>
    </w:p>
    <w:p>
      <w:pPr>
        <w:spacing w:after="0" w:line="218" w:lineRule="exact"/>
        <w:rPr>
          <w:rFonts w:ascii="Arial" w:cs="Arial" w:eastAsia="Arial" w:hAnsi="Arial"/>
          <w:sz w:val="22"/>
          <w:szCs w:val="22"/>
          <w:color w:val="auto"/>
        </w:rPr>
      </w:pPr>
    </w:p>
    <w:p>
      <w:pPr>
        <w:ind w:left="800" w:right="80" w:firstLine="653"/>
        <w:spacing w:after="0" w:line="238" w:lineRule="auto"/>
        <w:tabs>
          <w:tab w:leader="none" w:pos="1817" w:val="left"/>
        </w:tabs>
        <w:numPr>
          <w:ilvl w:val="2"/>
          <w:numId w:val="146"/>
        </w:numPr>
        <w:rPr>
          <w:rFonts w:ascii="Arial" w:cs="Arial" w:eastAsia="Arial" w:hAnsi="Arial"/>
          <w:sz w:val="22"/>
          <w:szCs w:val="22"/>
          <w:color w:val="auto"/>
        </w:rPr>
      </w:pPr>
      <w:r>
        <w:rPr>
          <w:rFonts w:ascii="Arial" w:cs="Arial" w:eastAsia="Arial" w:hAnsi="Arial"/>
          <w:sz w:val="20"/>
          <w:szCs w:val="20"/>
          <w:i w:val="1"/>
          <w:iCs w:val="1"/>
          <w:color w:val="auto"/>
        </w:rPr>
        <w:t>Specific Deferral Date</w:t>
      </w:r>
      <w:r>
        <w:rPr>
          <w:rFonts w:ascii="Arial" w:cs="Arial" w:eastAsia="Arial" w:hAnsi="Arial"/>
          <w:sz w:val="20"/>
          <w:szCs w:val="20"/>
          <w:color w:val="auto"/>
        </w:rPr>
        <w:t>. If the distribution is made because the Deferral Period has ended on a Specific Deferral</w:t>
      </w:r>
      <w:r>
        <w:rPr>
          <w:rFonts w:ascii="Arial" w:cs="Arial" w:eastAsia="Arial" w:hAnsi="Arial"/>
          <w:sz w:val="20"/>
          <w:szCs w:val="20"/>
          <w:i w:val="1"/>
          <w:iCs w:val="1"/>
          <w:color w:val="auto"/>
        </w:rPr>
        <w:t xml:space="preserve"> </w:t>
      </w:r>
      <w:r>
        <w:rPr>
          <w:rFonts w:ascii="Arial" w:cs="Arial" w:eastAsia="Arial" w:hAnsi="Arial"/>
          <w:sz w:val="20"/>
          <w:szCs w:val="20"/>
          <w:color w:val="auto"/>
        </w:rPr>
        <w:t>Date, the Valuation Date for the lump sum or initial installment distribution will be the July 31st of the Specific Deferral Date and each subsequent July 31st thereafter for any remaining installments.</w:t>
      </w:r>
    </w:p>
    <w:p>
      <w:pPr>
        <w:spacing w:after="0" w:line="265" w:lineRule="exact"/>
        <w:rPr>
          <w:rFonts w:ascii="Arial" w:cs="Arial" w:eastAsia="Arial" w:hAnsi="Arial"/>
          <w:sz w:val="22"/>
          <w:szCs w:val="22"/>
          <w:color w:val="auto"/>
        </w:rPr>
      </w:pPr>
    </w:p>
    <w:p>
      <w:pPr>
        <w:ind w:left="800" w:right="100" w:firstLine="653"/>
        <w:spacing w:after="0" w:line="272" w:lineRule="auto"/>
        <w:tabs>
          <w:tab w:leader="none" w:pos="1816" w:val="left"/>
        </w:tabs>
        <w:numPr>
          <w:ilvl w:val="2"/>
          <w:numId w:val="146"/>
        </w:numPr>
        <w:rPr>
          <w:rFonts w:ascii="Arial" w:cs="Arial" w:eastAsia="Arial" w:hAnsi="Arial"/>
          <w:sz w:val="22"/>
          <w:szCs w:val="22"/>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If the distribution is made as a result of the Participant’s death, the Valuation Date will be a date that is as</w:t>
      </w:r>
      <w:r>
        <w:rPr>
          <w:rFonts w:ascii="Arial" w:cs="Arial" w:eastAsia="Arial" w:hAnsi="Arial"/>
          <w:sz w:val="20"/>
          <w:szCs w:val="20"/>
          <w:i w:val="1"/>
          <w:iCs w:val="1"/>
          <w:color w:val="auto"/>
        </w:rPr>
        <w:t xml:space="preserve"> </w:t>
      </w:r>
      <w:r>
        <w:rPr>
          <w:rFonts w:ascii="Arial" w:cs="Arial" w:eastAsia="Arial" w:hAnsi="Arial"/>
          <w:sz w:val="20"/>
          <w:szCs w:val="20"/>
          <w:color w:val="auto"/>
        </w:rPr>
        <w:t>soon as practicable prior to the date the distribution is to be made on account of the death.</w:t>
      </w:r>
    </w:p>
    <w:p>
      <w:pPr>
        <w:spacing w:after="0" w:line="20" w:lineRule="exact"/>
        <w:rPr>
          <w:sz w:val="20"/>
          <w:szCs w:val="20"/>
          <w:color w:val="auto"/>
        </w:rPr>
      </w:pPr>
    </w:p>
    <w:p>
      <w:pPr>
        <w:ind w:left="800" w:right="900" w:hanging="398"/>
        <w:spacing w:after="0" w:line="279" w:lineRule="auto"/>
        <w:tabs>
          <w:tab w:leader="none" w:pos="795" w:val="left"/>
        </w:tabs>
        <w:numPr>
          <w:ilvl w:val="0"/>
          <w:numId w:val="147"/>
        </w:numPr>
        <w:rPr>
          <w:rFonts w:ascii="Arial" w:cs="Arial" w:eastAsia="Arial" w:hAnsi="Arial"/>
          <w:sz w:val="22"/>
          <w:szCs w:val="22"/>
          <w:color w:val="auto"/>
        </w:rPr>
      </w:pPr>
      <w:r>
        <w:rPr>
          <w:rFonts w:ascii="Arial" w:cs="Arial" w:eastAsia="Arial" w:hAnsi="Arial"/>
          <w:sz w:val="20"/>
          <w:szCs w:val="20"/>
          <w:color w:val="auto"/>
        </w:rPr>
        <w:t>For PSUs granted on or after January 1, 2008, but before January 1, 2021, the following rules apply for purposes of determining the Valuation Date:</w:t>
      </w:r>
    </w:p>
    <w:p>
      <w:pPr>
        <w:spacing w:after="0" w:line="248" w:lineRule="exact"/>
        <w:rPr>
          <w:rFonts w:ascii="Arial" w:cs="Arial" w:eastAsia="Arial" w:hAnsi="Arial"/>
          <w:sz w:val="22"/>
          <w:szCs w:val="22"/>
          <w:color w:val="auto"/>
        </w:rPr>
      </w:pPr>
    </w:p>
    <w:p>
      <w:pPr>
        <w:jc w:val="both"/>
        <w:ind w:left="800" w:firstLine="653"/>
        <w:spacing w:after="0" w:line="278" w:lineRule="auto"/>
        <w:tabs>
          <w:tab w:leader="none" w:pos="1815" w:val="left"/>
        </w:tabs>
        <w:numPr>
          <w:ilvl w:val="2"/>
          <w:numId w:val="147"/>
        </w:numPr>
        <w:rPr>
          <w:rFonts w:ascii="Arial" w:cs="Arial" w:eastAsia="Arial" w:hAnsi="Arial"/>
          <w:sz w:val="22"/>
          <w:szCs w:val="22"/>
          <w:color w:val="auto"/>
        </w:rPr>
      </w:pPr>
      <w:r>
        <w:rPr>
          <w:rFonts w:ascii="Arial" w:cs="Arial" w:eastAsia="Arial" w:hAnsi="Arial"/>
          <w:sz w:val="20"/>
          <w:szCs w:val="20"/>
          <w:i w:val="1"/>
          <w:iCs w:val="1"/>
          <w:color w:val="auto"/>
        </w:rPr>
        <w:t>Separation from Service prior to age 50</w:t>
      </w:r>
      <w:r>
        <w:rPr>
          <w:rFonts w:ascii="Arial" w:cs="Arial" w:eastAsia="Arial" w:hAnsi="Arial"/>
          <w:sz w:val="20"/>
          <w:szCs w:val="20"/>
          <w:color w:val="auto"/>
        </w:rPr>
        <w:t>. If the distribution is made because of the Participant’s Separation from</w:t>
      </w:r>
      <w:r>
        <w:rPr>
          <w:rFonts w:ascii="Arial" w:cs="Arial" w:eastAsia="Arial" w:hAnsi="Arial"/>
          <w:sz w:val="20"/>
          <w:szCs w:val="20"/>
          <w:i w:val="1"/>
          <w:iCs w:val="1"/>
          <w:color w:val="auto"/>
        </w:rPr>
        <w:t xml:space="preserve"> </w:t>
      </w:r>
      <w:r>
        <w:rPr>
          <w:rFonts w:ascii="Arial" w:cs="Arial" w:eastAsia="Arial" w:hAnsi="Arial"/>
          <w:sz w:val="20"/>
          <w:szCs w:val="20"/>
          <w:color w:val="auto"/>
        </w:rPr>
        <w:t>Service prior to attaining age fifty (50), the Valuation Date for the lump sum distribution will be the July 31st next following the Separation from Service date.</w:t>
      </w:r>
    </w:p>
    <w:p>
      <w:pPr>
        <w:spacing w:after="0" w:line="254" w:lineRule="exact"/>
        <w:rPr>
          <w:rFonts w:ascii="Arial" w:cs="Arial" w:eastAsia="Arial" w:hAnsi="Arial"/>
          <w:sz w:val="22"/>
          <w:szCs w:val="22"/>
          <w:color w:val="auto"/>
        </w:rPr>
      </w:pPr>
    </w:p>
    <w:p>
      <w:pPr>
        <w:ind w:left="800" w:right="160" w:firstLine="653"/>
        <w:spacing w:after="0" w:line="268" w:lineRule="auto"/>
        <w:tabs>
          <w:tab w:leader="none" w:pos="1817" w:val="left"/>
        </w:tabs>
        <w:numPr>
          <w:ilvl w:val="2"/>
          <w:numId w:val="147"/>
        </w:numPr>
        <w:rPr>
          <w:rFonts w:ascii="Arial" w:cs="Arial" w:eastAsia="Arial" w:hAnsi="Arial"/>
          <w:sz w:val="22"/>
          <w:szCs w:val="22"/>
          <w:color w:val="auto"/>
        </w:rPr>
      </w:pPr>
      <w:r>
        <w:rPr>
          <w:rFonts w:ascii="Arial" w:cs="Arial" w:eastAsia="Arial" w:hAnsi="Arial"/>
          <w:sz w:val="20"/>
          <w:szCs w:val="20"/>
          <w:i w:val="1"/>
          <w:iCs w:val="1"/>
          <w:color w:val="auto"/>
        </w:rPr>
        <w:t>Retirement</w:t>
      </w:r>
      <w:r>
        <w:rPr>
          <w:rFonts w:ascii="Arial" w:cs="Arial" w:eastAsia="Arial" w:hAnsi="Arial"/>
          <w:sz w:val="20"/>
          <w:szCs w:val="20"/>
          <w:color w:val="auto"/>
        </w:rPr>
        <w:t>. If the distribution is made because of the Participant’s Retirement and the distribution is (1) a lump</w:t>
      </w:r>
      <w:r>
        <w:rPr>
          <w:rFonts w:ascii="Arial" w:cs="Arial" w:eastAsia="Arial" w:hAnsi="Arial"/>
          <w:sz w:val="20"/>
          <w:szCs w:val="20"/>
          <w:i w:val="1"/>
          <w:iCs w:val="1"/>
          <w:color w:val="auto"/>
        </w:rPr>
        <w:t xml:space="preserve"> </w:t>
      </w:r>
      <w:r>
        <w:rPr>
          <w:rFonts w:ascii="Arial" w:cs="Arial" w:eastAsia="Arial" w:hAnsi="Arial"/>
          <w:sz w:val="20"/>
          <w:szCs w:val="20"/>
          <w:color w:val="auto"/>
        </w:rPr>
        <w:t>sum, the Valuation Date will be the July 31st next following the Retirement Date (or, if later, the July 31st next following the vesting date for the PSUs) or</w:t>
      </w:r>
    </w:p>
    <w:p>
      <w:pPr>
        <w:ind w:left="800" w:right="60" w:firstLine="5"/>
        <w:spacing w:after="0" w:line="243" w:lineRule="auto"/>
        <w:tabs>
          <w:tab w:leader="none" w:pos="1079" w:val="left"/>
        </w:tabs>
        <w:numPr>
          <w:ilvl w:val="1"/>
          <w:numId w:val="147"/>
        </w:numPr>
        <w:rPr>
          <w:rFonts w:ascii="Arial" w:cs="Arial" w:eastAsia="Arial" w:hAnsi="Arial"/>
          <w:sz w:val="20"/>
          <w:szCs w:val="20"/>
          <w:color w:val="auto"/>
        </w:rPr>
      </w:pPr>
      <w:r>
        <w:rPr>
          <w:rFonts w:ascii="Arial" w:cs="Arial" w:eastAsia="Arial" w:hAnsi="Arial"/>
          <w:sz w:val="20"/>
          <w:szCs w:val="20"/>
          <w:color w:val="auto"/>
        </w:rPr>
        <w:t>in installments, the Valuation Date will be the July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next following the Retirement Date (or, if later, the vesting date for the PSUs) and each subsequent July 31st thereafter for the remaining installments.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4</w:t>
      </w:r>
      <w:r>
        <w:rPr>
          <w:rFonts w:ascii="Arial" w:cs="Arial" w:eastAsia="Arial" w:hAnsi="Arial"/>
          <w:sz w:val="22"/>
          <w:szCs w:val="22"/>
          <w:color w:val="auto"/>
        </w:rPr>
        <w:t>-</w:t>
      </w:r>
    </w:p>
    <w:p>
      <w:pPr>
        <w:sectPr>
          <w:pgSz w:w="11900" w:h="16838" w:orient="portrait"/>
          <w:cols w:equalWidth="0" w:num="1">
            <w:col w:w="10840"/>
          </w:cols>
          <w:pgMar w:left="440" w:top="1440" w:right="619" w:bottom="1440" w:gutter="0" w:footer="0" w:header="0"/>
        </w:sectPr>
      </w:pPr>
    </w:p>
    <w:bookmarkStart w:id="164" w:name="page165"/>
    <w:bookmarkEnd w:id="164"/>
    <w:p>
      <w:pPr>
        <w:spacing w:after="0" w:line="200" w:lineRule="exact"/>
        <w:rPr>
          <w:sz w:val="20"/>
          <w:szCs w:val="20"/>
          <w:color w:val="auto"/>
        </w:rPr>
      </w:pPr>
    </w:p>
    <w:p>
      <w:pPr>
        <w:spacing w:after="0" w:line="360" w:lineRule="exact"/>
        <w:rPr>
          <w:sz w:val="20"/>
          <w:szCs w:val="20"/>
          <w:color w:val="auto"/>
        </w:rPr>
      </w:pPr>
    </w:p>
    <w:p>
      <w:pPr>
        <w:ind w:left="398" w:right="260" w:firstLine="653"/>
        <w:spacing w:after="0" w:line="285" w:lineRule="auto"/>
        <w:tabs>
          <w:tab w:leader="none" w:pos="1415" w:val="left"/>
        </w:tabs>
        <w:numPr>
          <w:ilvl w:val="2"/>
          <w:numId w:val="148"/>
        </w:numPr>
        <w:rPr>
          <w:rFonts w:ascii="Arial" w:cs="Arial" w:eastAsia="Arial" w:hAnsi="Arial"/>
          <w:sz w:val="22"/>
          <w:szCs w:val="22"/>
          <w:color w:val="auto"/>
        </w:rPr>
      </w:pPr>
      <w:r>
        <w:rPr>
          <w:rFonts w:ascii="Arial" w:cs="Arial" w:eastAsia="Arial" w:hAnsi="Arial"/>
          <w:sz w:val="20"/>
          <w:szCs w:val="20"/>
          <w:i w:val="1"/>
          <w:iCs w:val="1"/>
          <w:color w:val="auto"/>
        </w:rPr>
        <w:t>Specific Deferral Date</w:t>
      </w:r>
      <w:r>
        <w:rPr>
          <w:rFonts w:ascii="Arial" w:cs="Arial" w:eastAsia="Arial" w:hAnsi="Arial"/>
          <w:sz w:val="20"/>
          <w:szCs w:val="20"/>
          <w:color w:val="auto"/>
        </w:rPr>
        <w:t>. If the distribution is made because the Deferral Period has ended on a Specific Deferral</w:t>
      </w:r>
      <w:r>
        <w:rPr>
          <w:rFonts w:ascii="Arial" w:cs="Arial" w:eastAsia="Arial" w:hAnsi="Arial"/>
          <w:sz w:val="20"/>
          <w:szCs w:val="20"/>
          <w:i w:val="1"/>
          <w:iCs w:val="1"/>
          <w:color w:val="auto"/>
        </w:rPr>
        <w:t xml:space="preserve"> </w:t>
      </w:r>
      <w:r>
        <w:rPr>
          <w:rFonts w:ascii="Arial" w:cs="Arial" w:eastAsia="Arial" w:hAnsi="Arial"/>
          <w:sz w:val="20"/>
          <w:szCs w:val="20"/>
          <w:color w:val="auto"/>
        </w:rPr>
        <w:t>Date, the Valuation Date for the lump sum or initial installment distribution will be the July 31st of the Specific Deferral Date and each subsequent July 31st thereafter for any remaining installments.</w:t>
      </w:r>
    </w:p>
    <w:p>
      <w:pPr>
        <w:spacing w:after="0" w:line="233" w:lineRule="exact"/>
        <w:rPr>
          <w:rFonts w:ascii="Arial" w:cs="Arial" w:eastAsia="Arial" w:hAnsi="Arial"/>
          <w:sz w:val="22"/>
          <w:szCs w:val="22"/>
          <w:color w:val="auto"/>
        </w:rPr>
      </w:pPr>
    </w:p>
    <w:p>
      <w:pPr>
        <w:ind w:left="398" w:right="280" w:firstLine="653"/>
        <w:spacing w:after="0" w:line="293" w:lineRule="auto"/>
        <w:tabs>
          <w:tab w:leader="none" w:pos="1412" w:val="left"/>
        </w:tabs>
        <w:numPr>
          <w:ilvl w:val="2"/>
          <w:numId w:val="148"/>
        </w:numPr>
        <w:rPr>
          <w:rFonts w:ascii="Arial" w:cs="Arial" w:eastAsia="Arial" w:hAnsi="Arial"/>
          <w:sz w:val="22"/>
          <w:szCs w:val="22"/>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If the distribution is made as a result of the Participant’s death, the Valuation Date will be a date that is as</w:t>
      </w:r>
      <w:r>
        <w:rPr>
          <w:rFonts w:ascii="Arial" w:cs="Arial" w:eastAsia="Arial" w:hAnsi="Arial"/>
          <w:sz w:val="20"/>
          <w:szCs w:val="20"/>
          <w:i w:val="1"/>
          <w:iCs w:val="1"/>
          <w:color w:val="auto"/>
        </w:rPr>
        <w:t xml:space="preserve"> </w:t>
      </w:r>
      <w:r>
        <w:rPr>
          <w:rFonts w:ascii="Arial" w:cs="Arial" w:eastAsia="Arial" w:hAnsi="Arial"/>
          <w:sz w:val="20"/>
          <w:szCs w:val="20"/>
          <w:color w:val="auto"/>
        </w:rPr>
        <w:t>soon as practicable prior to the date the distribution is to be made on account of the death.</w:t>
      </w:r>
    </w:p>
    <w:p>
      <w:pPr>
        <w:spacing w:after="0" w:line="220" w:lineRule="exact"/>
        <w:rPr>
          <w:rFonts w:ascii="Arial" w:cs="Arial" w:eastAsia="Arial" w:hAnsi="Arial"/>
          <w:sz w:val="22"/>
          <w:szCs w:val="22"/>
          <w:color w:val="auto"/>
        </w:rPr>
      </w:pPr>
    </w:p>
    <w:p>
      <w:pPr>
        <w:ind w:left="398" w:hanging="398"/>
        <w:spacing w:after="0"/>
        <w:tabs>
          <w:tab w:leader="none" w:pos="398" w:val="left"/>
        </w:tabs>
        <w:numPr>
          <w:ilvl w:val="0"/>
          <w:numId w:val="149"/>
        </w:numPr>
        <w:rPr>
          <w:rFonts w:ascii="Arial" w:cs="Arial" w:eastAsia="Arial" w:hAnsi="Arial"/>
          <w:sz w:val="21"/>
          <w:szCs w:val="21"/>
          <w:color w:val="auto"/>
        </w:rPr>
      </w:pPr>
      <w:r>
        <w:rPr>
          <w:rFonts w:ascii="Arial" w:cs="Arial" w:eastAsia="Arial" w:hAnsi="Arial"/>
          <w:sz w:val="19"/>
          <w:szCs w:val="19"/>
          <w:color w:val="auto"/>
        </w:rPr>
        <w:t>For PSUs granted prior to January 1, 2008, the following rules apply for purposes of determining the Valuation Date:</w:t>
      </w:r>
    </w:p>
    <w:p>
      <w:pPr>
        <w:spacing w:after="0" w:line="312" w:lineRule="exact"/>
        <w:rPr>
          <w:rFonts w:ascii="Arial" w:cs="Arial" w:eastAsia="Arial" w:hAnsi="Arial"/>
          <w:sz w:val="21"/>
          <w:szCs w:val="21"/>
          <w:color w:val="auto"/>
        </w:rPr>
      </w:pPr>
    </w:p>
    <w:p>
      <w:pPr>
        <w:ind w:left="1418" w:hanging="529"/>
        <w:spacing w:after="0"/>
        <w:tabs>
          <w:tab w:leader="none" w:pos="1418" w:val="left"/>
        </w:tabs>
        <w:numPr>
          <w:ilvl w:val="1"/>
          <w:numId w:val="149"/>
        </w:numPr>
        <w:rPr>
          <w:rFonts w:ascii="Arial" w:cs="Arial" w:eastAsia="Arial" w:hAnsi="Arial"/>
          <w:sz w:val="19"/>
          <w:szCs w:val="19"/>
          <w:color w:val="auto"/>
        </w:rPr>
      </w:pPr>
      <w:r>
        <w:rPr>
          <w:rFonts w:ascii="Arial" w:cs="Arial" w:eastAsia="Arial" w:hAnsi="Arial"/>
          <w:sz w:val="18"/>
          <w:szCs w:val="18"/>
          <w:i w:val="1"/>
          <w:iCs w:val="1"/>
          <w:color w:val="auto"/>
        </w:rPr>
        <w:t xml:space="preserve">Separation from Service prior to age 50. </w:t>
      </w:r>
      <w:r>
        <w:rPr>
          <w:rFonts w:ascii="Arial" w:cs="Arial" w:eastAsia="Arial" w:hAnsi="Arial"/>
          <w:sz w:val="18"/>
          <w:szCs w:val="18"/>
          <w:color w:val="auto"/>
        </w:rPr>
        <w:t>If the distribution is made because of the Participant’s Separation from</w:t>
      </w:r>
    </w:p>
    <w:p>
      <w:pPr>
        <w:spacing w:after="0" w:line="65" w:lineRule="exact"/>
        <w:rPr>
          <w:rFonts w:ascii="Arial" w:cs="Arial" w:eastAsia="Arial" w:hAnsi="Arial"/>
          <w:sz w:val="19"/>
          <w:szCs w:val="19"/>
          <w:color w:val="auto"/>
        </w:rPr>
      </w:pPr>
    </w:p>
    <w:p>
      <w:pPr>
        <w:jc w:val="both"/>
        <w:ind w:left="398"/>
        <w:spacing w:after="0" w:line="261" w:lineRule="auto"/>
        <w:rPr>
          <w:rFonts w:ascii="Arial" w:cs="Arial" w:eastAsia="Arial" w:hAnsi="Arial"/>
          <w:sz w:val="19"/>
          <w:szCs w:val="19"/>
          <w:color w:val="auto"/>
        </w:rPr>
      </w:pPr>
      <w:r>
        <w:rPr>
          <w:rFonts w:ascii="Arial" w:cs="Arial" w:eastAsia="Arial" w:hAnsi="Arial"/>
          <w:sz w:val="20"/>
          <w:szCs w:val="20"/>
          <w:color w:val="auto"/>
        </w:rPr>
        <w:t>Service prior to attaining age fifty (50), the Valuation Date will be determined by reference to the date upon which the Participant’s Separation from Service occurs. For Separations of Service that occur in a year (1) prior to July 21</w:t>
      </w:r>
      <w:r>
        <w:rPr>
          <w:rFonts w:ascii="Arial" w:cs="Arial" w:eastAsia="Arial" w:hAnsi="Arial"/>
          <w:sz w:val="25"/>
          <w:szCs w:val="25"/>
          <w:color w:val="auto"/>
          <w:vertAlign w:val="superscript"/>
        </w:rPr>
        <w:t>st</w:t>
      </w:r>
      <w:r>
        <w:rPr>
          <w:rFonts w:ascii="Arial" w:cs="Arial" w:eastAsia="Arial" w:hAnsi="Arial"/>
          <w:sz w:val="20"/>
          <w:szCs w:val="20"/>
          <w:color w:val="auto"/>
        </w:rPr>
        <w:t>, the Valuation Date will be July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that year, (2) on or after July 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and prior to October 21</w:t>
      </w:r>
      <w:r>
        <w:rPr>
          <w:rFonts w:ascii="Arial" w:cs="Arial" w:eastAsia="Arial" w:hAnsi="Arial"/>
          <w:sz w:val="25"/>
          <w:szCs w:val="25"/>
          <w:color w:val="auto"/>
          <w:vertAlign w:val="superscript"/>
        </w:rPr>
        <w:t>st</w:t>
      </w:r>
      <w:r>
        <w:rPr>
          <w:rFonts w:ascii="Arial" w:cs="Arial" w:eastAsia="Arial" w:hAnsi="Arial"/>
          <w:sz w:val="20"/>
          <w:szCs w:val="20"/>
          <w:color w:val="auto"/>
        </w:rPr>
        <w:t>, the Valuation Date will be October 31</w:t>
      </w:r>
      <w:r>
        <w:rPr>
          <w:rFonts w:ascii="Arial" w:cs="Arial" w:eastAsia="Arial" w:hAnsi="Arial"/>
          <w:sz w:val="25"/>
          <w:szCs w:val="25"/>
          <w:color w:val="auto"/>
          <w:vertAlign w:val="superscript"/>
        </w:rPr>
        <w:t>st</w:t>
      </w:r>
      <w:r>
        <w:rPr>
          <w:rFonts w:ascii="Arial" w:cs="Arial" w:eastAsia="Arial" w:hAnsi="Arial"/>
          <w:sz w:val="20"/>
          <w:szCs w:val="20"/>
          <w:color w:val="auto"/>
        </w:rPr>
        <w:t>, (3) on or after October 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and prior to December 1</w:t>
      </w:r>
      <w:r>
        <w:rPr>
          <w:rFonts w:ascii="Arial" w:cs="Arial" w:eastAsia="Arial" w:hAnsi="Arial"/>
          <w:sz w:val="25"/>
          <w:szCs w:val="25"/>
          <w:color w:val="auto"/>
          <w:vertAlign w:val="superscript"/>
        </w:rPr>
        <w:t>st</w:t>
      </w:r>
      <w:r>
        <w:rPr>
          <w:rFonts w:ascii="Arial" w:cs="Arial" w:eastAsia="Arial" w:hAnsi="Arial"/>
          <w:sz w:val="20"/>
          <w:szCs w:val="20"/>
          <w:color w:val="auto"/>
        </w:rPr>
        <w:t>, the Valuation Date will be December 15</w:t>
      </w:r>
      <w:r>
        <w:rPr>
          <w:rFonts w:ascii="Arial" w:cs="Arial" w:eastAsia="Arial" w:hAnsi="Arial"/>
          <w:sz w:val="25"/>
          <w:szCs w:val="25"/>
          <w:color w:val="auto"/>
          <w:vertAlign w:val="superscript"/>
        </w:rPr>
        <w:t>th</w:t>
      </w:r>
      <w:r>
        <w:rPr>
          <w:rFonts w:ascii="Arial" w:cs="Arial" w:eastAsia="Arial" w:hAnsi="Arial"/>
          <w:sz w:val="20"/>
          <w:szCs w:val="20"/>
          <w:color w:val="auto"/>
        </w:rPr>
        <w:t>, and (4) in the month of December, the Valuation Date will be January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following year.</w:t>
      </w:r>
    </w:p>
    <w:p>
      <w:pPr>
        <w:spacing w:after="0" w:line="168" w:lineRule="exact"/>
        <w:rPr>
          <w:rFonts w:ascii="Arial" w:cs="Arial" w:eastAsia="Arial" w:hAnsi="Arial"/>
          <w:sz w:val="19"/>
          <w:szCs w:val="19"/>
          <w:color w:val="auto"/>
        </w:rPr>
      </w:pPr>
    </w:p>
    <w:p>
      <w:pPr>
        <w:jc w:val="both"/>
        <w:ind w:left="398" w:firstLine="491"/>
        <w:spacing w:after="0" w:line="271" w:lineRule="auto"/>
        <w:tabs>
          <w:tab w:leader="none" w:pos="1415" w:val="left"/>
        </w:tabs>
        <w:numPr>
          <w:ilvl w:val="1"/>
          <w:numId w:val="149"/>
        </w:numPr>
        <w:rPr>
          <w:rFonts w:ascii="Arial" w:cs="Arial" w:eastAsia="Arial" w:hAnsi="Arial"/>
          <w:sz w:val="20"/>
          <w:szCs w:val="20"/>
          <w:color w:val="auto"/>
        </w:rPr>
      </w:pPr>
      <w:r>
        <w:rPr>
          <w:rFonts w:ascii="Arial" w:cs="Arial" w:eastAsia="Arial" w:hAnsi="Arial"/>
          <w:sz w:val="18"/>
          <w:szCs w:val="18"/>
          <w:i w:val="1"/>
          <w:iCs w:val="1"/>
          <w:color w:val="auto"/>
        </w:rPr>
        <w:t>Retirement</w:t>
      </w:r>
      <w:r>
        <w:rPr>
          <w:rFonts w:ascii="Arial" w:cs="Arial" w:eastAsia="Arial" w:hAnsi="Arial"/>
          <w:sz w:val="18"/>
          <w:szCs w:val="18"/>
          <w:color w:val="auto"/>
        </w:rPr>
        <w:t>. If the distribution is made because of the Participant’s Retirement and the distribution is a lump sum,</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Valuation Date will be determined by reference to the date upon which the Participant’s Retirement Date occurs (or, if later, the vesting date for the PSUs). For Retirement Dates that occur in a year (1) prior to July 21</w:t>
      </w:r>
      <w:r>
        <w:rPr>
          <w:rFonts w:ascii="Arial" w:cs="Arial" w:eastAsia="Arial" w:hAnsi="Arial"/>
          <w:sz w:val="23"/>
          <w:szCs w:val="23"/>
          <w:color w:val="auto"/>
          <w:vertAlign w:val="superscript"/>
        </w:rPr>
        <w:t>st</w:t>
      </w:r>
      <w:r>
        <w:rPr>
          <w:rFonts w:ascii="Arial" w:cs="Arial" w:eastAsia="Arial" w:hAnsi="Arial"/>
          <w:sz w:val="18"/>
          <w:szCs w:val="18"/>
          <w:color w:val="auto"/>
        </w:rPr>
        <w:t>, the Valuation Date will be July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that year, (2) on or after July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prior to October 21</w:t>
      </w:r>
      <w:r>
        <w:rPr>
          <w:rFonts w:ascii="Arial" w:cs="Arial" w:eastAsia="Arial" w:hAnsi="Arial"/>
          <w:sz w:val="23"/>
          <w:szCs w:val="23"/>
          <w:color w:val="auto"/>
          <w:vertAlign w:val="superscript"/>
        </w:rPr>
        <w:t>st</w:t>
      </w:r>
      <w:r>
        <w:rPr>
          <w:rFonts w:ascii="Arial" w:cs="Arial" w:eastAsia="Arial" w:hAnsi="Arial"/>
          <w:sz w:val="18"/>
          <w:szCs w:val="18"/>
          <w:color w:val="auto"/>
        </w:rPr>
        <w:t>, the Valuation Date will be October 31</w:t>
      </w:r>
      <w:r>
        <w:rPr>
          <w:rFonts w:ascii="Arial" w:cs="Arial" w:eastAsia="Arial" w:hAnsi="Arial"/>
          <w:sz w:val="23"/>
          <w:szCs w:val="23"/>
          <w:color w:val="auto"/>
          <w:vertAlign w:val="superscript"/>
        </w:rPr>
        <w:t>st</w:t>
      </w:r>
      <w:r>
        <w:rPr>
          <w:rFonts w:ascii="Arial" w:cs="Arial" w:eastAsia="Arial" w:hAnsi="Arial"/>
          <w:sz w:val="18"/>
          <w:szCs w:val="18"/>
          <w:color w:val="auto"/>
        </w:rPr>
        <w:t>, (3) on or after October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prior to December 1</w:t>
      </w:r>
      <w:r>
        <w:rPr>
          <w:rFonts w:ascii="Arial" w:cs="Arial" w:eastAsia="Arial" w:hAnsi="Arial"/>
          <w:sz w:val="23"/>
          <w:szCs w:val="23"/>
          <w:color w:val="auto"/>
          <w:vertAlign w:val="superscript"/>
        </w:rPr>
        <w:t>st</w:t>
      </w:r>
      <w:r>
        <w:rPr>
          <w:rFonts w:ascii="Arial" w:cs="Arial" w:eastAsia="Arial" w:hAnsi="Arial"/>
          <w:sz w:val="18"/>
          <w:szCs w:val="18"/>
          <w:color w:val="auto"/>
        </w:rPr>
        <w:t>, the Valuation Date will be December 15</w:t>
      </w:r>
      <w:r>
        <w:rPr>
          <w:rFonts w:ascii="Arial" w:cs="Arial" w:eastAsia="Arial" w:hAnsi="Arial"/>
          <w:sz w:val="23"/>
          <w:szCs w:val="23"/>
          <w:color w:val="auto"/>
          <w:vertAlign w:val="superscript"/>
        </w:rPr>
        <w:t>th</w:t>
      </w:r>
      <w:r>
        <w:rPr>
          <w:rFonts w:ascii="Arial" w:cs="Arial" w:eastAsia="Arial" w:hAnsi="Arial"/>
          <w:sz w:val="18"/>
          <w:szCs w:val="18"/>
          <w:color w:val="auto"/>
        </w:rPr>
        <w:t>, and (4) in the month of December, the Valuation Date will be January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following year. If the distribution is made because of the Participant’s Retirement and the distribution is in the form of installments, the Valuation Date will be the July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next following the Retirement Date (or if later the vesting date of the PSUs) and each subsequent July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thereafter for the remaining installments.</w:t>
      </w:r>
    </w:p>
    <w:p>
      <w:pPr>
        <w:spacing w:after="0" w:line="158" w:lineRule="exact"/>
        <w:rPr>
          <w:rFonts w:ascii="Arial" w:cs="Arial" w:eastAsia="Arial" w:hAnsi="Arial"/>
          <w:sz w:val="20"/>
          <w:szCs w:val="20"/>
          <w:color w:val="auto"/>
        </w:rPr>
      </w:pPr>
    </w:p>
    <w:p>
      <w:pPr>
        <w:ind w:left="1418" w:hanging="529"/>
        <w:spacing w:after="0"/>
        <w:tabs>
          <w:tab w:leader="none" w:pos="1418" w:val="left"/>
        </w:tabs>
        <w:numPr>
          <w:ilvl w:val="1"/>
          <w:numId w:val="149"/>
        </w:numPr>
        <w:rPr>
          <w:rFonts w:ascii="Arial" w:cs="Arial" w:eastAsia="Arial" w:hAnsi="Arial"/>
          <w:sz w:val="19"/>
          <w:szCs w:val="19"/>
          <w:color w:val="auto"/>
        </w:rPr>
      </w:pPr>
      <w:r>
        <w:rPr>
          <w:rFonts w:ascii="Arial" w:cs="Arial" w:eastAsia="Arial" w:hAnsi="Arial"/>
          <w:sz w:val="18"/>
          <w:szCs w:val="18"/>
          <w:i w:val="1"/>
          <w:iCs w:val="1"/>
          <w:color w:val="auto"/>
        </w:rPr>
        <w:t>Specific Deferral Date</w:t>
      </w:r>
      <w:r>
        <w:rPr>
          <w:rFonts w:ascii="Arial" w:cs="Arial" w:eastAsia="Arial" w:hAnsi="Arial"/>
          <w:sz w:val="18"/>
          <w:szCs w:val="18"/>
          <w:color w:val="auto"/>
        </w:rPr>
        <w:t>. If the distribution is made because the Deferral Period has ended on a Specific Deferral</w:t>
      </w:r>
    </w:p>
    <w:p>
      <w:pPr>
        <w:spacing w:after="0" w:line="65" w:lineRule="exact"/>
        <w:rPr>
          <w:rFonts w:ascii="Arial" w:cs="Arial" w:eastAsia="Arial" w:hAnsi="Arial"/>
          <w:sz w:val="19"/>
          <w:szCs w:val="19"/>
          <w:color w:val="auto"/>
        </w:rPr>
      </w:pPr>
    </w:p>
    <w:p>
      <w:pPr>
        <w:ind w:left="398"/>
        <w:spacing w:after="0" w:line="264" w:lineRule="auto"/>
        <w:rPr>
          <w:rFonts w:ascii="Arial" w:cs="Arial" w:eastAsia="Arial" w:hAnsi="Arial"/>
          <w:sz w:val="19"/>
          <w:szCs w:val="19"/>
          <w:color w:val="auto"/>
        </w:rPr>
      </w:pPr>
      <w:r>
        <w:rPr>
          <w:rFonts w:ascii="Arial" w:cs="Arial" w:eastAsia="Arial" w:hAnsi="Arial"/>
          <w:sz w:val="20"/>
          <w:szCs w:val="20"/>
          <w:color w:val="auto"/>
        </w:rPr>
        <w:t>Date, the Valuation Date for the lump sum or initial installment distribution will be the July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Specific Deferral Date and each subsequent July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thereafter for any remaining installments.</w:t>
      </w:r>
    </w:p>
    <w:p>
      <w:pPr>
        <w:spacing w:after="0" w:line="177" w:lineRule="exact"/>
        <w:rPr>
          <w:rFonts w:ascii="Arial" w:cs="Arial" w:eastAsia="Arial" w:hAnsi="Arial"/>
          <w:sz w:val="19"/>
          <w:szCs w:val="19"/>
          <w:color w:val="auto"/>
        </w:rPr>
      </w:pPr>
    </w:p>
    <w:p>
      <w:pPr>
        <w:ind w:left="398" w:firstLine="491"/>
        <w:spacing w:after="0" w:line="279" w:lineRule="auto"/>
        <w:tabs>
          <w:tab w:leader="none" w:pos="1412" w:val="left"/>
        </w:tabs>
        <w:numPr>
          <w:ilvl w:val="1"/>
          <w:numId w:val="149"/>
        </w:numPr>
        <w:rPr>
          <w:rFonts w:ascii="Arial" w:cs="Arial" w:eastAsia="Arial" w:hAnsi="Arial"/>
          <w:sz w:val="22"/>
          <w:szCs w:val="22"/>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If the distribution is made as a result of the Participant’s death, the Valuation Date will be a date that is as</w:t>
      </w:r>
      <w:r>
        <w:rPr>
          <w:rFonts w:ascii="Arial" w:cs="Arial" w:eastAsia="Arial" w:hAnsi="Arial"/>
          <w:sz w:val="20"/>
          <w:szCs w:val="20"/>
          <w:i w:val="1"/>
          <w:iCs w:val="1"/>
          <w:color w:val="auto"/>
        </w:rPr>
        <w:t xml:space="preserve"> </w:t>
      </w:r>
      <w:r>
        <w:rPr>
          <w:rFonts w:ascii="Arial" w:cs="Arial" w:eastAsia="Arial" w:hAnsi="Arial"/>
          <w:sz w:val="20"/>
          <w:szCs w:val="20"/>
          <w:color w:val="auto"/>
        </w:rPr>
        <w:t>soon as practicable prior to the date the distribution is to be made on account of the death.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98"/>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5</w:t>
      </w:r>
      <w:r>
        <w:rPr>
          <w:rFonts w:ascii="Arial" w:cs="Arial" w:eastAsia="Arial" w:hAnsi="Arial"/>
          <w:sz w:val="22"/>
          <w:szCs w:val="22"/>
          <w:color w:val="auto"/>
        </w:rPr>
        <w:t>-</w:t>
      </w:r>
    </w:p>
    <w:p>
      <w:pPr>
        <w:sectPr>
          <w:pgSz w:w="11900" w:h="16838" w:orient="portrait"/>
          <w:cols w:equalWidth="0" w:num="1">
            <w:col w:w="10618"/>
          </w:cols>
          <w:pgMar w:left="842" w:top="1440" w:right="43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b w:val="1"/>
          <w:bCs w:val="1"/>
          <w:u w:val="single" w:color="auto"/>
          <w:color w:val="auto"/>
        </w:rPr>
        <w:t>ARTICLE III - ELIGIBILITY AND PARTICIPATION</w:t>
      </w:r>
    </w:p>
    <w:p>
      <w:pPr>
        <w:spacing w:after="0" w:line="324"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3.1 </w:t>
      </w:r>
      <w:r>
        <w:rPr>
          <w:rFonts w:ascii="Arial" w:cs="Arial" w:eastAsia="Arial" w:hAnsi="Arial"/>
          <w:sz w:val="20"/>
          <w:szCs w:val="20"/>
          <w:color w:val="auto"/>
        </w:rPr>
        <w:t>–</w:t>
      </w:r>
      <w:r>
        <w:rPr>
          <w:rFonts w:ascii="Arial" w:cs="Arial" w:eastAsia="Arial" w:hAnsi="Arial"/>
          <w:sz w:val="20"/>
          <w:szCs w:val="20"/>
          <w:b w:val="1"/>
          <w:bCs w:val="1"/>
          <w:color w:val="auto"/>
        </w:rPr>
        <w:t xml:space="preserve"> Eligibility</w:t>
      </w:r>
    </w:p>
    <w:p>
      <w:pPr>
        <w:spacing w:after="0" w:line="262" w:lineRule="exact"/>
        <w:rPr>
          <w:sz w:val="20"/>
          <w:szCs w:val="20"/>
          <w:color w:val="auto"/>
        </w:rPr>
      </w:pPr>
    </w:p>
    <w:p>
      <w:pPr>
        <w:ind w:left="40" w:right="160" w:firstLine="486"/>
        <w:spacing w:after="0" w:line="293" w:lineRule="auto"/>
        <w:rPr>
          <w:sz w:val="20"/>
          <w:szCs w:val="20"/>
          <w:color w:val="auto"/>
        </w:rPr>
      </w:pPr>
      <w:r>
        <w:rPr>
          <w:rFonts w:ascii="Arial" w:cs="Arial" w:eastAsia="Arial" w:hAnsi="Arial"/>
          <w:sz w:val="20"/>
          <w:szCs w:val="20"/>
          <w:color w:val="auto"/>
        </w:rPr>
        <w:t>Each employee of an RTX Company, who is an Eligible Employee at the time of the deferral election, will be eligible to participate in the Plan in respect of the Performance Cycle to which such deferral election relates in accordance with the terms of the Plan. The decision to allow for a deferral election into the Plan for a particular PSU Performance Cycle shall be made by the Committee, at its sole discretion.</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3.2 </w:t>
      </w:r>
      <w:r>
        <w:rPr>
          <w:rFonts w:ascii="Arial" w:cs="Arial" w:eastAsia="Arial" w:hAnsi="Arial"/>
          <w:sz w:val="20"/>
          <w:szCs w:val="20"/>
          <w:color w:val="auto"/>
        </w:rPr>
        <w:t>–</w:t>
      </w:r>
      <w:r>
        <w:rPr>
          <w:rFonts w:ascii="Arial" w:cs="Arial" w:eastAsia="Arial" w:hAnsi="Arial"/>
          <w:sz w:val="20"/>
          <w:szCs w:val="20"/>
          <w:b w:val="1"/>
          <w:bCs w:val="1"/>
          <w:color w:val="auto"/>
        </w:rPr>
        <w:t xml:space="preserve"> Participation</w:t>
      </w:r>
    </w:p>
    <w:p>
      <w:pPr>
        <w:spacing w:after="0" w:line="262" w:lineRule="exact"/>
        <w:rPr>
          <w:sz w:val="20"/>
          <w:szCs w:val="20"/>
          <w:color w:val="auto"/>
        </w:rPr>
      </w:pPr>
    </w:p>
    <w:p>
      <w:pPr>
        <w:ind w:left="40" w:right="200" w:firstLine="486"/>
        <w:spacing w:after="0" w:line="299" w:lineRule="auto"/>
        <w:rPr>
          <w:sz w:val="20"/>
          <w:szCs w:val="20"/>
          <w:color w:val="auto"/>
        </w:rPr>
      </w:pPr>
      <w:r>
        <w:rPr>
          <w:rFonts w:ascii="Arial" w:cs="Arial" w:eastAsia="Arial" w:hAnsi="Arial"/>
          <w:sz w:val="20"/>
          <w:szCs w:val="20"/>
          <w:color w:val="auto"/>
        </w:rPr>
        <w:t>Each Eligible Employee may elect to participate in the Plan with respect to any Performance Cycle for which he or she receives an award of PSUs, and for which the opportunity to defer PSUs is offered, by timely filing an Election Form, properly completed in accordance with Section 4.1. Participation in the Plan is entirely voluntary.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ARTICLE IV - PARTICIPANT ELECTIONS AND DESIGNATIONS</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4.1 </w:t>
      </w:r>
      <w:r>
        <w:rPr>
          <w:rFonts w:ascii="Arial" w:cs="Arial" w:eastAsia="Arial" w:hAnsi="Arial"/>
          <w:sz w:val="20"/>
          <w:szCs w:val="20"/>
          <w:color w:val="auto"/>
        </w:rPr>
        <w:t>–</w:t>
      </w:r>
      <w:r>
        <w:rPr>
          <w:rFonts w:ascii="Arial" w:cs="Arial" w:eastAsia="Arial" w:hAnsi="Arial"/>
          <w:sz w:val="20"/>
          <w:szCs w:val="20"/>
          <w:b w:val="1"/>
          <w:bCs w:val="1"/>
          <w:color w:val="auto"/>
        </w:rPr>
        <w:t xml:space="preserve"> Election</w:t>
      </w:r>
    </w:p>
    <w:p>
      <w:pPr>
        <w:spacing w:after="0" w:line="262" w:lineRule="exact"/>
        <w:rPr>
          <w:sz w:val="20"/>
          <w:szCs w:val="20"/>
          <w:color w:val="auto"/>
        </w:rPr>
      </w:pPr>
    </w:p>
    <w:p>
      <w:pPr>
        <w:ind w:left="40" w:right="120" w:firstLine="648"/>
        <w:spacing w:after="0" w:line="378" w:lineRule="auto"/>
        <w:rPr>
          <w:sz w:val="20"/>
          <w:szCs w:val="20"/>
          <w:color w:val="auto"/>
        </w:rPr>
      </w:pPr>
      <w:r>
        <w:rPr>
          <w:rFonts w:ascii="Arial" w:cs="Arial" w:eastAsia="Arial" w:hAnsi="Arial"/>
          <w:sz w:val="18"/>
          <w:szCs w:val="18"/>
          <w:color w:val="auto"/>
        </w:rPr>
        <w:t>An Eligible Employee who has been awarded PSUs for which an opportunity to defer under the Plan is offered, may, on or before the election deadline established by the Committee, file an Election Form to defer the Participant’s PSUs, subject to their future vesting.</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4.2 </w:t>
      </w:r>
      <w:r>
        <w:rPr>
          <w:rFonts w:ascii="Arial" w:cs="Arial" w:eastAsia="Arial" w:hAnsi="Arial"/>
          <w:sz w:val="20"/>
          <w:szCs w:val="20"/>
          <w:color w:val="auto"/>
        </w:rPr>
        <w:t>–</w:t>
      </w:r>
      <w:r>
        <w:rPr>
          <w:rFonts w:ascii="Arial" w:cs="Arial" w:eastAsia="Arial" w:hAnsi="Arial"/>
          <w:sz w:val="20"/>
          <w:szCs w:val="20"/>
          <w:b w:val="1"/>
          <w:bCs w:val="1"/>
          <w:color w:val="auto"/>
        </w:rPr>
        <w:t xml:space="preserve"> Election Amount</w:t>
      </w:r>
    </w:p>
    <w:p>
      <w:pPr>
        <w:spacing w:after="0" w:line="276" w:lineRule="exact"/>
        <w:rPr>
          <w:sz w:val="20"/>
          <w:szCs w:val="20"/>
          <w:color w:val="auto"/>
        </w:rPr>
      </w:pPr>
    </w:p>
    <w:p>
      <w:pPr>
        <w:ind w:left="40" w:firstLine="648"/>
        <w:spacing w:after="0" w:line="288" w:lineRule="auto"/>
        <w:rPr>
          <w:sz w:val="20"/>
          <w:szCs w:val="20"/>
          <w:color w:val="auto"/>
        </w:rPr>
      </w:pPr>
      <w:r>
        <w:rPr>
          <w:rFonts w:ascii="Arial" w:cs="Arial" w:eastAsia="Arial" w:hAnsi="Arial"/>
          <w:sz w:val="20"/>
          <w:szCs w:val="20"/>
          <w:color w:val="auto"/>
        </w:rPr>
        <w:t>An eligible Participant must designate in the Election Form the percentage of vested PSUs, net of FICA, (rounded down to the nearest whole number of shares) that will be deferred under the Plan for the Performance Cycle. The minimum percentage of vested PSUs (net of FICA) that a Participant may defer under the Plan for any Performance Cycle is ten percent (10%) and the maximum is one hundred percent (100%).</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4.3 </w:t>
      </w:r>
      <w:r>
        <w:rPr>
          <w:rFonts w:ascii="Arial" w:cs="Arial" w:eastAsia="Arial" w:hAnsi="Arial"/>
          <w:sz w:val="20"/>
          <w:szCs w:val="20"/>
          <w:color w:val="auto"/>
        </w:rPr>
        <w:t>–</w:t>
      </w:r>
      <w:r>
        <w:rPr>
          <w:rFonts w:ascii="Arial" w:cs="Arial" w:eastAsia="Arial" w:hAnsi="Arial"/>
          <w:sz w:val="20"/>
          <w:szCs w:val="20"/>
          <w:b w:val="1"/>
          <w:bCs w:val="1"/>
          <w:color w:val="auto"/>
        </w:rPr>
        <w:t xml:space="preserve"> Election Date</w:t>
      </w:r>
    </w:p>
    <w:p>
      <w:pPr>
        <w:spacing w:after="0" w:line="262" w:lineRule="exact"/>
        <w:rPr>
          <w:sz w:val="20"/>
          <w:szCs w:val="20"/>
          <w:color w:val="auto"/>
        </w:rPr>
      </w:pPr>
    </w:p>
    <w:p>
      <w:pPr>
        <w:ind w:left="40" w:right="100" w:firstLine="648"/>
        <w:spacing w:after="0" w:line="312" w:lineRule="auto"/>
        <w:rPr>
          <w:sz w:val="20"/>
          <w:szCs w:val="20"/>
          <w:color w:val="auto"/>
        </w:rPr>
      </w:pPr>
      <w:r>
        <w:rPr>
          <w:rFonts w:ascii="Arial" w:cs="Arial" w:eastAsia="Arial" w:hAnsi="Arial"/>
          <w:sz w:val="18"/>
          <w:szCs w:val="18"/>
          <w:color w:val="auto"/>
        </w:rPr>
        <w:t>To defer PSUs under the Plan, an Election Form must be completed and submitted in the required manner to the Committee no later than the election deadline for that Performance Cycle, as determined by the Committee. If the PSUs qualify as “performance-based compensation” for purposes of Section 409A, the election deadline shall be no later than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second year of the Performance Cycle; provided that the compensation provided under the PSUs has not become reasonably ascertainable by the election deadline, and provided, further, that the Participant has performed services continuously from the beginning of the Performance Cycle (or, if later, the date when the performance criteria were established if the award is granted after the beginning of the Performance Cycle) until the election deadline. If the PSUs do not qualify as “performance-based compensation” for purposes of Section 409A, the election deadline shall be no later than December 31st immediately preceding the year in which the PSUs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6</w:t>
      </w:r>
      <w:r>
        <w:rPr>
          <w:rFonts w:ascii="Arial" w:cs="Arial" w:eastAsia="Arial" w:hAnsi="Arial"/>
          <w:sz w:val="22"/>
          <w:szCs w:val="22"/>
          <w:color w:val="auto"/>
        </w:rPr>
        <w:t>-</w:t>
      </w:r>
    </w:p>
    <w:p>
      <w:pPr>
        <w:sectPr>
          <w:pgSz w:w="11900" w:h="16838" w:orient="portrait"/>
          <w:cols w:equalWidth="0" w:num="1">
            <w:col w:w="11080"/>
          </w:cols>
          <w:pgMar w:left="400" w:top="1426" w:right="419" w:bottom="1440" w:gutter="0" w:footer="0" w:header="0"/>
        </w:sectPr>
      </w:pPr>
    </w:p>
    <w:bookmarkStart w:id="166" w:name="page167"/>
    <w:bookmarkEnd w:id="166"/>
    <w:p>
      <w:pPr>
        <w:spacing w:after="0" w:line="290" w:lineRule="exact"/>
        <w:rPr>
          <w:sz w:val="20"/>
          <w:szCs w:val="20"/>
          <w:color w:val="auto"/>
        </w:rPr>
      </w:pPr>
    </w:p>
    <w:p>
      <w:pPr>
        <w:spacing w:after="0" w:line="291" w:lineRule="auto"/>
        <w:rPr>
          <w:sz w:val="20"/>
          <w:szCs w:val="20"/>
          <w:color w:val="auto"/>
        </w:rPr>
      </w:pPr>
      <w:r>
        <w:rPr>
          <w:rFonts w:ascii="Arial" w:cs="Arial" w:eastAsia="Arial" w:hAnsi="Arial"/>
          <w:sz w:val="20"/>
          <w:szCs w:val="20"/>
          <w:color w:val="auto"/>
        </w:rPr>
        <w:t>granted. The Committee may specify an election deadline for any Performance Cycle that is earlier than the latest permissible deadline described in this paragraph or may specify before the election deadline that particular PSUs are not eligible for deferral. Except as provided below in Section 4.6 (Change in Distribution Election) and Section 5.8 (Accelerated Distribution in the Case of an Unforeseeable Emergency), the choices reflected in the Participant’s submitted Election Form shall become irrevocable on the election deadline. If an eligible Participant fails to submit a properly completed Election Form by the election deadline, he or she will be ineligible to participate in the Plan for the applicable Performance Cycle.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4.4 </w:t>
      </w:r>
      <w:r>
        <w:rPr>
          <w:rFonts w:ascii="Arial" w:cs="Arial" w:eastAsia="Arial" w:hAnsi="Arial"/>
          <w:sz w:val="20"/>
          <w:szCs w:val="20"/>
          <w:color w:val="auto"/>
        </w:rPr>
        <w:t>–</w:t>
      </w:r>
      <w:r>
        <w:rPr>
          <w:rFonts w:ascii="Arial" w:cs="Arial" w:eastAsia="Arial" w:hAnsi="Arial"/>
          <w:sz w:val="20"/>
          <w:szCs w:val="20"/>
          <w:b w:val="1"/>
          <w:bCs w:val="1"/>
          <w:color w:val="auto"/>
        </w:rPr>
        <w:t xml:space="preserve"> Deferral Period</w:t>
      </w:r>
    </w:p>
    <w:p>
      <w:pPr>
        <w:spacing w:after="0" w:line="262" w:lineRule="exact"/>
        <w:rPr>
          <w:sz w:val="20"/>
          <w:szCs w:val="20"/>
          <w:color w:val="auto"/>
        </w:rPr>
      </w:pPr>
    </w:p>
    <w:p>
      <w:pPr>
        <w:ind w:right="60" w:firstLine="648"/>
        <w:spacing w:after="0" w:line="290" w:lineRule="auto"/>
        <w:rPr>
          <w:sz w:val="20"/>
          <w:szCs w:val="20"/>
          <w:color w:val="auto"/>
        </w:rPr>
      </w:pPr>
      <w:r>
        <w:rPr>
          <w:rFonts w:ascii="Arial" w:cs="Arial" w:eastAsia="Arial" w:hAnsi="Arial"/>
          <w:sz w:val="20"/>
          <w:szCs w:val="20"/>
          <w:color w:val="auto"/>
        </w:rPr>
        <w:t>Each Participant shall specify in the Election Form the Deferral Period for PSUs to be deferred. Failure to specify a deferral period shall result in a deferral for a Specified Deferral Date that is the third (3rd) anniversary of the date on which the Performance Cycle Account is established. A Participant may elect a Deferral Period that ends either on: (1) a Specific Deferral Date that is at least three (3) years but no more than fifteen (15) years following the date on which the Performance Cycle Account is established; or (2) the Participant’s Separation from Service Date.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4.5 </w:t>
      </w:r>
      <w:r>
        <w:rPr>
          <w:rFonts w:ascii="Arial" w:cs="Arial" w:eastAsia="Arial" w:hAnsi="Arial"/>
          <w:sz w:val="20"/>
          <w:szCs w:val="20"/>
          <w:color w:val="auto"/>
        </w:rPr>
        <w:t>–</w:t>
      </w:r>
      <w:r>
        <w:rPr>
          <w:rFonts w:ascii="Arial" w:cs="Arial" w:eastAsia="Arial" w:hAnsi="Arial"/>
          <w:sz w:val="20"/>
          <w:szCs w:val="20"/>
          <w:b w:val="1"/>
          <w:bCs w:val="1"/>
          <w:color w:val="auto"/>
        </w:rPr>
        <w:t xml:space="preserve"> Distribution Election</w:t>
      </w:r>
    </w:p>
    <w:p>
      <w:pPr>
        <w:spacing w:after="0" w:line="262" w:lineRule="exact"/>
        <w:rPr>
          <w:sz w:val="20"/>
          <w:szCs w:val="20"/>
          <w:color w:val="auto"/>
        </w:rPr>
      </w:pPr>
    </w:p>
    <w:p>
      <w:pPr>
        <w:ind w:right="300" w:firstLine="648"/>
        <w:spacing w:after="0" w:line="306" w:lineRule="auto"/>
        <w:rPr>
          <w:sz w:val="20"/>
          <w:szCs w:val="20"/>
          <w:color w:val="auto"/>
        </w:rPr>
      </w:pPr>
      <w:r>
        <w:rPr>
          <w:rFonts w:ascii="Arial" w:cs="Arial" w:eastAsia="Arial" w:hAnsi="Arial"/>
          <w:sz w:val="19"/>
          <w:szCs w:val="19"/>
          <w:color w:val="auto"/>
        </w:rPr>
        <w:t>At the time the Participant first elects to defer his or her vested PSUs under Section 4.1, the Participant must further make an election to have the Performance Cycle Account distributed in a lump sum or in two (2) to fifteen (15) annual installments. If no distribution election is made for the Participant’s Performance Cycle Account, then such account will be distributed in a lump sum. If a Participant elects to receive the Performance Cycle Account in installments, the amount of each installment shall be determined by dividing the total Performance Cycle Account balance on each Valuation Date by the number of installments remaining, and rounding down to the nearest whole number of shares.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4.6 </w:t>
      </w:r>
      <w:r>
        <w:rPr>
          <w:rFonts w:ascii="Arial" w:cs="Arial" w:eastAsia="Arial" w:hAnsi="Arial"/>
          <w:sz w:val="20"/>
          <w:szCs w:val="20"/>
          <w:color w:val="auto"/>
        </w:rPr>
        <w:t>–</w:t>
      </w:r>
      <w:r>
        <w:rPr>
          <w:rFonts w:ascii="Arial" w:cs="Arial" w:eastAsia="Arial" w:hAnsi="Arial"/>
          <w:sz w:val="20"/>
          <w:szCs w:val="20"/>
          <w:b w:val="1"/>
          <w:bCs w:val="1"/>
          <w:color w:val="auto"/>
        </w:rPr>
        <w:t xml:space="preserve"> Change in Distribution Election</w:t>
      </w:r>
    </w:p>
    <w:p>
      <w:pPr>
        <w:spacing w:after="0" w:line="262" w:lineRule="exact"/>
        <w:rPr>
          <w:sz w:val="20"/>
          <w:szCs w:val="20"/>
          <w:color w:val="auto"/>
        </w:rPr>
      </w:pPr>
    </w:p>
    <w:p>
      <w:pPr>
        <w:ind w:right="20"/>
        <w:spacing w:after="0" w:line="329" w:lineRule="auto"/>
        <w:rPr>
          <w:sz w:val="20"/>
          <w:szCs w:val="20"/>
          <w:color w:val="auto"/>
        </w:rPr>
      </w:pPr>
      <w:r>
        <w:rPr>
          <w:rFonts w:ascii="Arial" w:cs="Arial" w:eastAsia="Arial" w:hAnsi="Arial"/>
          <w:sz w:val="18"/>
          <w:szCs w:val="18"/>
          <w:color w:val="auto"/>
        </w:rPr>
        <w:t>Solely to the extent provided in this Section 4.6, a Participant may make an irrevocable election to extend the Deferral Period and/or change the form of distribution for a Performance Cycle Account. A Participant may change his or her election, as provided in this Section 4.6, for some Performance Cycle Accounts and not for others. For each Performance Cycle Account, the extended Deferral Period shall not be less than five (5) years following the date on which distribution would otherwise have occurred absent the deferral extension election. A deferral extension election and/or change to the form of distribution must meet all of the following requirements:</w:t>
      </w:r>
    </w:p>
    <w:p>
      <w:pPr>
        <w:spacing w:after="0" w:line="161" w:lineRule="exact"/>
        <w:rPr>
          <w:sz w:val="20"/>
          <w:szCs w:val="20"/>
          <w:color w:val="auto"/>
        </w:rPr>
      </w:pPr>
    </w:p>
    <w:p>
      <w:pPr>
        <w:ind w:left="480" w:right="300" w:firstLine="649"/>
        <w:spacing w:after="0" w:line="278" w:lineRule="auto"/>
        <w:tabs>
          <w:tab w:leader="none" w:pos="1827" w:val="left"/>
        </w:tabs>
        <w:numPr>
          <w:ilvl w:val="0"/>
          <w:numId w:val="150"/>
        </w:numPr>
        <w:rPr>
          <w:rFonts w:ascii="Arial" w:cs="Arial" w:eastAsia="Arial" w:hAnsi="Arial"/>
          <w:sz w:val="22"/>
          <w:szCs w:val="22"/>
          <w:color w:val="auto"/>
        </w:rPr>
      </w:pPr>
      <w:r>
        <w:rPr>
          <w:rFonts w:ascii="Arial" w:cs="Arial" w:eastAsia="Arial" w:hAnsi="Arial"/>
          <w:sz w:val="20"/>
          <w:szCs w:val="20"/>
          <w:color w:val="auto"/>
        </w:rPr>
        <w:t>The new election must be made at least twelve (12) months prior to the date on which payments will commence under the current election (and the new election shall be ineffective if the Participant incurs a Separation from Service within twelve (12) months after the date of the new election);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7</w:t>
      </w:r>
      <w:r>
        <w:rPr>
          <w:rFonts w:ascii="Arial" w:cs="Arial" w:eastAsia="Arial" w:hAnsi="Arial"/>
          <w:sz w:val="22"/>
          <w:szCs w:val="22"/>
          <w:color w:val="auto"/>
        </w:rPr>
        <w:t>-</w:t>
      </w:r>
    </w:p>
    <w:p>
      <w:pPr>
        <w:sectPr>
          <w:pgSz w:w="11900" w:h="16838" w:orient="portrait"/>
          <w:cols w:equalWidth="0" w:num="1">
            <w:col w:w="11000"/>
          </w:cols>
          <w:pgMar w:left="440" w:top="1440" w:right="459" w:bottom="1440" w:gutter="0" w:footer="0" w:header="0"/>
        </w:sectPr>
      </w:pPr>
    </w:p>
    <w:bookmarkStart w:id="167" w:name="page168"/>
    <w:bookmarkEnd w:id="167"/>
    <w:p>
      <w:pPr>
        <w:spacing w:after="0" w:line="47" w:lineRule="exact"/>
        <w:rPr>
          <w:sz w:val="20"/>
          <w:szCs w:val="20"/>
          <w:color w:val="auto"/>
        </w:rPr>
      </w:pPr>
    </w:p>
    <w:p>
      <w:pPr>
        <w:ind w:left="480" w:right="440" w:firstLine="649"/>
        <w:spacing w:after="0" w:line="264" w:lineRule="auto"/>
        <w:tabs>
          <w:tab w:leader="none" w:pos="1825" w:val="left"/>
        </w:tabs>
        <w:numPr>
          <w:ilvl w:val="0"/>
          <w:numId w:val="151"/>
        </w:numPr>
        <w:rPr>
          <w:rFonts w:ascii="Arial" w:cs="Arial" w:eastAsia="Arial" w:hAnsi="Arial"/>
          <w:sz w:val="22"/>
          <w:szCs w:val="22"/>
          <w:color w:val="auto"/>
        </w:rPr>
      </w:pPr>
      <w:r>
        <w:rPr>
          <w:rFonts w:ascii="Arial" w:cs="Arial" w:eastAsia="Arial" w:hAnsi="Arial"/>
          <w:sz w:val="20"/>
          <w:szCs w:val="20"/>
          <w:color w:val="auto"/>
        </w:rPr>
        <w:t>The new election shall not take effect until at least twelve (12) months after the date when the new election is submitted in a manner acceptable to the Committee; and</w:t>
      </w:r>
    </w:p>
    <w:p>
      <w:pPr>
        <w:spacing w:after="0" w:line="265" w:lineRule="exact"/>
        <w:rPr>
          <w:rFonts w:ascii="Arial" w:cs="Arial" w:eastAsia="Arial" w:hAnsi="Arial"/>
          <w:sz w:val="22"/>
          <w:szCs w:val="22"/>
          <w:color w:val="auto"/>
        </w:rPr>
      </w:pPr>
    </w:p>
    <w:p>
      <w:pPr>
        <w:ind w:left="480" w:right="560" w:firstLine="649"/>
        <w:spacing w:after="0" w:line="279" w:lineRule="auto"/>
        <w:tabs>
          <w:tab w:leader="none" w:pos="1827" w:val="left"/>
        </w:tabs>
        <w:numPr>
          <w:ilvl w:val="0"/>
          <w:numId w:val="151"/>
        </w:numPr>
        <w:rPr>
          <w:rFonts w:ascii="Arial" w:cs="Arial" w:eastAsia="Arial" w:hAnsi="Arial"/>
          <w:sz w:val="22"/>
          <w:szCs w:val="22"/>
          <w:color w:val="auto"/>
        </w:rPr>
      </w:pPr>
      <w:r>
        <w:rPr>
          <w:rFonts w:ascii="Arial" w:cs="Arial" w:eastAsia="Arial" w:hAnsi="Arial"/>
          <w:sz w:val="20"/>
          <w:szCs w:val="20"/>
          <w:color w:val="auto"/>
        </w:rPr>
        <w:t>The new payment commencement date must be at least five (5) years later than the date on which payments would commence under the current election.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 maximum of three (3) change elections for each Performance Cycle Account shall be allowed under the Plan.</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Section 4.7 </w:t>
      </w:r>
      <w:r>
        <w:rPr>
          <w:rFonts w:ascii="Arial" w:cs="Arial" w:eastAsia="Arial" w:hAnsi="Arial"/>
          <w:sz w:val="20"/>
          <w:szCs w:val="20"/>
          <w:color w:val="auto"/>
        </w:rPr>
        <w:t>–</w:t>
      </w:r>
      <w:r>
        <w:rPr>
          <w:rFonts w:ascii="Arial" w:cs="Arial" w:eastAsia="Arial" w:hAnsi="Arial"/>
          <w:sz w:val="20"/>
          <w:szCs w:val="20"/>
          <w:b w:val="1"/>
          <w:bCs w:val="1"/>
          <w:color w:val="auto"/>
        </w:rPr>
        <w:t xml:space="preserve"> Designation of Beneficiary</w:t>
      </w:r>
    </w:p>
    <w:p>
      <w:pPr>
        <w:spacing w:after="0" w:line="262"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Each Participant shall designate a Beneficiary for his or her Plan Account on an electronic or written form provided by the Committee. A Participant may change such designation on an electronic or written form acceptable to the Committee and any change will be effective on the date received by the Committee. Designations received after the date of the Participant’s death shall not be effective. If a Beneficiary designation is not filed with the Committee before the Participant’s death, or if the Beneficiary (and any contingent Beneficiary) does not survive the Participant, the value of the Participant’s Plan Account shall be paid to the Participant’s estate. If a Participant designates the Participant’s spouse as the Participant’s Beneficiary, that designation shall not be revoked or otherwise altered or affected by any: (a) change in the marital status of the Participant; (b) agreement between the Participant and such spouse; or (c) judicial decree (such as a divorce decree) affecting any rights that the Participant and such spouse might have as a result of their marriage, separation, or divorce; it being the intent of the Plan that any change in the designation of a Beneficiary hereunder may be made by the Participant only in accordance with the procedures set forth in this Section 4.7. In the event of the death of a Participant, distributions shall be made in accordance with Section 5.5.</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V - VALUATION &amp; DISTRIBUTION OF ACCOUNTS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20"/>
          <w:szCs w:val="20"/>
          <w:color w:val="auto"/>
        </w:rPr>
        <w:t>–</w:t>
      </w:r>
      <w:r>
        <w:rPr>
          <w:rFonts w:ascii="Arial" w:cs="Arial" w:eastAsia="Arial" w:hAnsi="Arial"/>
          <w:sz w:val="20"/>
          <w:szCs w:val="20"/>
          <w:b w:val="1"/>
          <w:bCs w:val="1"/>
          <w:color w:val="auto"/>
        </w:rPr>
        <w:t xml:space="preserve"> Valuation of Performance Cycle Accounts</w:t>
      </w:r>
    </w:p>
    <w:p>
      <w:pPr>
        <w:spacing w:after="0" w:line="262"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Deferred Share Units included in a Participant’s Performance Cycle Accounts are valued prior to distribution on the applicable Valuation Date. Except in the case of distributions made after Deferred Share Units have been converted to cash as a result of a Change in Control (as defined in Section 5.7 below), one share of RTX Common Stock will be distributed for each Deferred Share Unit. If the distribution includes a fractional Unit, the number of Units will be rounded down to the next whole number of Units for purposes of calculating the number of shares of Common Stock to be delivered in the distribution, and the value of the fractional Unit will be paid in cash. The Deferred Share Unit shall be valued based on the closing price of RTX Common Stock as reported on the composite tape of the New York Stock Exchange on the Valuation Date, or if the Stock is not traded on that day, on the next trading day.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0"/>
          <w:szCs w:val="20"/>
          <w:color w:val="auto"/>
        </w:rPr>
        <w:t>–</w:t>
      </w:r>
      <w:r>
        <w:rPr>
          <w:rFonts w:ascii="Arial" w:cs="Arial" w:eastAsia="Arial" w:hAnsi="Arial"/>
          <w:sz w:val="20"/>
          <w:szCs w:val="20"/>
          <w:b w:val="1"/>
          <w:bCs w:val="1"/>
          <w:color w:val="auto"/>
        </w:rPr>
        <w:t xml:space="preserve"> Timing of Plan Distributions</w:t>
      </w:r>
    </w:p>
    <w:p>
      <w:pPr>
        <w:spacing w:after="0" w:line="262" w:lineRule="exact"/>
        <w:rPr>
          <w:sz w:val="20"/>
          <w:szCs w:val="20"/>
          <w:color w:val="auto"/>
        </w:rPr>
      </w:pPr>
    </w:p>
    <w:p>
      <w:pPr>
        <w:ind w:right="160" w:firstLine="648"/>
        <w:spacing w:after="0" w:line="303" w:lineRule="auto"/>
        <w:rPr>
          <w:sz w:val="20"/>
          <w:szCs w:val="20"/>
          <w:color w:val="auto"/>
        </w:rPr>
      </w:pPr>
      <w:r>
        <w:rPr>
          <w:rFonts w:ascii="Arial" w:cs="Arial" w:eastAsia="Arial" w:hAnsi="Arial"/>
          <w:sz w:val="20"/>
          <w:szCs w:val="20"/>
          <w:color w:val="auto"/>
        </w:rPr>
        <w:t>Except as provided in Section 4.6 (Change in Distribution Election), Section 5.3 (Separation from Service before Attaining Age 50), Section 5.4 ( Separation from Service of Specified Employees),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8</w:t>
      </w:r>
      <w:r>
        <w:rPr>
          <w:rFonts w:ascii="Arial" w:cs="Arial" w:eastAsia="Arial" w:hAnsi="Arial"/>
          <w:sz w:val="22"/>
          <w:szCs w:val="22"/>
          <w:color w:val="auto"/>
        </w:rPr>
        <w:t>-</w:t>
      </w:r>
    </w:p>
    <w:p>
      <w:pPr>
        <w:sectPr>
          <w:pgSz w:w="11900" w:h="16838" w:orient="portrait"/>
          <w:cols w:equalWidth="0" w:num="1">
            <w:col w:w="10920"/>
          </w:cols>
          <w:pgMar w:left="440" w:top="1440" w:right="539" w:bottom="1440" w:gutter="0" w:footer="0" w:header="0"/>
        </w:sectPr>
      </w:pPr>
    </w:p>
    <w:bookmarkStart w:id="168" w:name="page169"/>
    <w:bookmarkEnd w:id="168"/>
    <w:p>
      <w:pPr>
        <w:spacing w:after="0" w:line="47"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Section 5.5 (Distribution in the Event of Death), the value of a Participant’s Performance Cycle Account will be distributed (or begin to be distributed), in accordance with the distribution election on file, to the Participant within thirty (30) calendar days following the Valuation Date associated with (a) the Participant’s Separation from Service (if the Participant’s Deferral Period ends on the Separation from Service Date) or (b) the Specific Deferral Date (if the Participant’s Deferral Period ends on a Specific Deferral Date).</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5.3 </w:t>
      </w:r>
      <w:r>
        <w:rPr>
          <w:rFonts w:ascii="Arial" w:cs="Arial" w:eastAsia="Arial" w:hAnsi="Arial"/>
          <w:sz w:val="20"/>
          <w:szCs w:val="20"/>
          <w:color w:val="auto"/>
        </w:rPr>
        <w:t>–</w:t>
      </w:r>
      <w:r>
        <w:rPr>
          <w:rFonts w:ascii="Arial" w:cs="Arial" w:eastAsia="Arial" w:hAnsi="Arial"/>
          <w:sz w:val="20"/>
          <w:szCs w:val="20"/>
          <w:b w:val="1"/>
          <w:bCs w:val="1"/>
          <w:color w:val="auto"/>
        </w:rPr>
        <w:t xml:space="preserve"> Separation from Service before Attaining Age 50</w:t>
      </w:r>
    </w:p>
    <w:p>
      <w:pPr>
        <w:spacing w:after="0" w:line="276" w:lineRule="exact"/>
        <w:rPr>
          <w:sz w:val="20"/>
          <w:szCs w:val="20"/>
          <w:color w:val="auto"/>
        </w:rPr>
      </w:pPr>
    </w:p>
    <w:p>
      <w:pPr>
        <w:ind w:right="120" w:firstLine="643"/>
        <w:spacing w:after="0" w:line="312" w:lineRule="auto"/>
        <w:tabs>
          <w:tab w:leader="none" w:pos="1184" w:val="left"/>
        </w:tabs>
        <w:numPr>
          <w:ilvl w:val="0"/>
          <w:numId w:val="152"/>
        </w:numPr>
        <w:rPr>
          <w:rFonts w:ascii="Arial" w:cs="Arial" w:eastAsia="Arial" w:hAnsi="Arial"/>
          <w:sz w:val="19"/>
          <w:szCs w:val="19"/>
          <w:color w:val="auto"/>
        </w:rPr>
      </w:pPr>
      <w:r>
        <w:rPr>
          <w:rFonts w:ascii="Arial" w:cs="Arial" w:eastAsia="Arial" w:hAnsi="Arial"/>
          <w:sz w:val="18"/>
          <w:szCs w:val="18"/>
          <w:color w:val="auto"/>
        </w:rPr>
        <w:t>For PSUs deferrals made prior to June 1, 2022, if a Participant’s Separation from Service occurs before the Participant attains age fifty (50), the full value of the Participant’s Performance Cycle Accounts established by such elections will be distributed in a</w:t>
      </w:r>
    </w:p>
    <w:p>
      <w:pPr>
        <w:ind w:right="560"/>
        <w:spacing w:after="0" w:line="303" w:lineRule="auto"/>
        <w:rPr>
          <w:rFonts w:ascii="Arial" w:cs="Arial" w:eastAsia="Arial" w:hAnsi="Arial"/>
          <w:sz w:val="19"/>
          <w:szCs w:val="19"/>
          <w:color w:val="auto"/>
        </w:rPr>
      </w:pPr>
      <w:r>
        <w:rPr>
          <w:rFonts w:ascii="Arial" w:cs="Arial" w:eastAsia="Arial" w:hAnsi="Arial"/>
          <w:sz w:val="20"/>
          <w:szCs w:val="20"/>
          <w:color w:val="auto"/>
        </w:rPr>
        <w:t>lump sum, within thirty (30) calendar days following the applicable Valuation Date (subject to Section 5.4 below), regardless of the distribution election on file.</w:t>
      </w:r>
    </w:p>
    <w:p>
      <w:pPr>
        <w:spacing w:after="0" w:line="215" w:lineRule="exact"/>
        <w:rPr>
          <w:rFonts w:ascii="Arial" w:cs="Arial" w:eastAsia="Arial" w:hAnsi="Arial"/>
          <w:sz w:val="19"/>
          <w:szCs w:val="19"/>
          <w:color w:val="auto"/>
        </w:rPr>
      </w:pPr>
    </w:p>
    <w:p>
      <w:pPr>
        <w:ind w:right="160" w:firstLine="643"/>
        <w:spacing w:after="0" w:line="293" w:lineRule="auto"/>
        <w:tabs>
          <w:tab w:leader="none" w:pos="1183" w:val="left"/>
        </w:tabs>
        <w:numPr>
          <w:ilvl w:val="0"/>
          <w:numId w:val="152"/>
        </w:numPr>
        <w:rPr>
          <w:rFonts w:ascii="Arial" w:cs="Arial" w:eastAsia="Arial" w:hAnsi="Arial"/>
          <w:sz w:val="22"/>
          <w:szCs w:val="22"/>
          <w:color w:val="auto"/>
        </w:rPr>
      </w:pPr>
      <w:r>
        <w:rPr>
          <w:rFonts w:ascii="Arial" w:cs="Arial" w:eastAsia="Arial" w:hAnsi="Arial"/>
          <w:sz w:val="20"/>
          <w:szCs w:val="20"/>
          <w:color w:val="auto"/>
        </w:rPr>
        <w:t>This Section 5.3 shall not apply to PSU deferrals made on or after June 1, 2022. Performance Cycle Accounts established by such elections will be distributed as provided in Section 5.2, without regard to this Section 5.3.</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5.4 </w:t>
      </w:r>
      <w:r>
        <w:rPr>
          <w:rFonts w:ascii="Arial" w:cs="Arial" w:eastAsia="Arial" w:hAnsi="Arial"/>
          <w:sz w:val="20"/>
          <w:szCs w:val="20"/>
          <w:color w:val="auto"/>
        </w:rPr>
        <w:t>–</w:t>
      </w:r>
      <w:r>
        <w:rPr>
          <w:rFonts w:ascii="Arial" w:cs="Arial" w:eastAsia="Arial" w:hAnsi="Arial"/>
          <w:sz w:val="20"/>
          <w:szCs w:val="20"/>
          <w:b w:val="1"/>
          <w:bCs w:val="1"/>
          <w:color w:val="auto"/>
        </w:rPr>
        <w:t xml:space="preserve"> Separation from Service of Specified Employees</w:t>
      </w:r>
    </w:p>
    <w:p>
      <w:pPr>
        <w:spacing w:after="0" w:line="276" w:lineRule="exact"/>
        <w:rPr>
          <w:sz w:val="20"/>
          <w:szCs w:val="20"/>
          <w:color w:val="auto"/>
        </w:rPr>
      </w:pPr>
    </w:p>
    <w:p>
      <w:pPr>
        <w:ind w:firstLine="648"/>
        <w:spacing w:after="0" w:line="309" w:lineRule="auto"/>
        <w:rPr>
          <w:sz w:val="20"/>
          <w:szCs w:val="20"/>
          <w:color w:val="auto"/>
        </w:rPr>
      </w:pPr>
      <w:r>
        <w:rPr>
          <w:rFonts w:ascii="Arial" w:cs="Arial" w:eastAsia="Arial" w:hAnsi="Arial"/>
          <w:sz w:val="19"/>
          <w:szCs w:val="19"/>
          <w:color w:val="auto"/>
        </w:rPr>
        <w:t>If the Participant is a Specified Employee on the date of the Participant’s Separation from Service, any distribution of the Participant’s Plan Account that is made on account of the Participant’s Separation from Service will not be made or commence earlier than the first day of the seventh month following the date of Separation from Service. The Plan Account shall be valued as if the Valuation Date were the last business day of the month preceding the distribution date. In the case of a distribution in installments, the date of any subsequent installments shall not be affected by the delay of any installment hereunder.</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5.5 </w:t>
      </w:r>
      <w:r>
        <w:rPr>
          <w:rFonts w:ascii="Arial" w:cs="Arial" w:eastAsia="Arial" w:hAnsi="Arial"/>
          <w:sz w:val="20"/>
          <w:szCs w:val="20"/>
          <w:color w:val="auto"/>
        </w:rPr>
        <w:t>–</w:t>
      </w:r>
      <w:r>
        <w:rPr>
          <w:rFonts w:ascii="Arial" w:cs="Arial" w:eastAsia="Arial" w:hAnsi="Arial"/>
          <w:sz w:val="20"/>
          <w:szCs w:val="20"/>
          <w:b w:val="1"/>
          <w:bCs w:val="1"/>
          <w:color w:val="auto"/>
        </w:rPr>
        <w:t xml:space="preserve"> Distribution in the Event of Death</w:t>
      </w:r>
    </w:p>
    <w:p>
      <w:pPr>
        <w:spacing w:after="0" w:line="262" w:lineRule="exact"/>
        <w:rPr>
          <w:sz w:val="20"/>
          <w:szCs w:val="20"/>
          <w:color w:val="auto"/>
        </w:rPr>
      </w:pPr>
    </w:p>
    <w:p>
      <w:pPr>
        <w:ind w:right="80" w:firstLine="648"/>
        <w:spacing w:after="0" w:line="299" w:lineRule="auto"/>
        <w:rPr>
          <w:sz w:val="20"/>
          <w:szCs w:val="20"/>
          <w:color w:val="auto"/>
        </w:rPr>
      </w:pPr>
      <w:r>
        <w:rPr>
          <w:rFonts w:ascii="Arial" w:cs="Arial" w:eastAsia="Arial" w:hAnsi="Arial"/>
          <w:sz w:val="20"/>
          <w:szCs w:val="20"/>
          <w:color w:val="auto"/>
        </w:rPr>
        <w:t>In the event of the death of a Participant before the Participant’s Plan Account has been fully distributed, the full remaining value of the Participant’s Plan Account will be distributed to the designated Beneficiary or the Participant’s estate in a lump sum on the first business day of the third month following the Participant’s death.</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5.6 </w:t>
      </w:r>
      <w:r>
        <w:rPr>
          <w:rFonts w:ascii="Arial" w:cs="Arial" w:eastAsia="Arial" w:hAnsi="Arial"/>
          <w:sz w:val="20"/>
          <w:szCs w:val="20"/>
          <w:color w:val="auto"/>
        </w:rPr>
        <w:t>–</w:t>
      </w:r>
      <w:r>
        <w:rPr>
          <w:rFonts w:ascii="Arial" w:cs="Arial" w:eastAsia="Arial" w:hAnsi="Arial"/>
          <w:sz w:val="20"/>
          <w:szCs w:val="20"/>
          <w:b w:val="1"/>
          <w:bCs w:val="1"/>
          <w:color w:val="auto"/>
        </w:rPr>
        <w:t xml:space="preserve"> Disability</w:t>
      </w:r>
    </w:p>
    <w:p>
      <w:pPr>
        <w:spacing w:after="0" w:line="262" w:lineRule="exact"/>
        <w:rPr>
          <w:sz w:val="20"/>
          <w:szCs w:val="20"/>
          <w:color w:val="auto"/>
        </w:rPr>
      </w:pPr>
    </w:p>
    <w:p>
      <w:pPr>
        <w:ind w:right="20" w:firstLine="648"/>
        <w:spacing w:after="0" w:line="303" w:lineRule="auto"/>
        <w:rPr>
          <w:sz w:val="20"/>
          <w:szCs w:val="20"/>
          <w:color w:val="auto"/>
        </w:rPr>
      </w:pPr>
      <w:r>
        <w:rPr>
          <w:rFonts w:ascii="Arial" w:cs="Arial" w:eastAsia="Arial" w:hAnsi="Arial"/>
          <w:sz w:val="20"/>
          <w:szCs w:val="20"/>
          <w:color w:val="auto"/>
        </w:rPr>
        <w:t>In the event of the Disability of a Participant, the Participant’s Performance Cycle Accounts that are designated to be deferred to a Specific Deferral Date will be maintained and distributed in accordance with the Participant’s elections on file.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5.7 </w:t>
      </w:r>
      <w:r>
        <w:rPr>
          <w:rFonts w:ascii="Arial" w:cs="Arial" w:eastAsia="Arial" w:hAnsi="Arial"/>
          <w:sz w:val="20"/>
          <w:szCs w:val="20"/>
          <w:color w:val="auto"/>
        </w:rPr>
        <w:t>–</w:t>
      </w:r>
      <w:r>
        <w:rPr>
          <w:rFonts w:ascii="Arial" w:cs="Arial" w:eastAsia="Arial" w:hAnsi="Arial"/>
          <w:sz w:val="20"/>
          <w:szCs w:val="20"/>
          <w:b w:val="1"/>
          <w:bCs w:val="1"/>
          <w:color w:val="auto"/>
        </w:rPr>
        <w:t xml:space="preserve"> Distribution upon a Change in Control</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the event of a Change in Control of the Corporation, the Participant’s entire Plan Account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9</w:t>
      </w:r>
      <w:r>
        <w:rPr>
          <w:rFonts w:ascii="Arial" w:cs="Arial" w:eastAsia="Arial" w:hAnsi="Arial"/>
          <w:sz w:val="22"/>
          <w:szCs w:val="22"/>
          <w:color w:val="auto"/>
        </w:rPr>
        <w:t>-</w:t>
      </w:r>
    </w:p>
    <w:p>
      <w:pPr>
        <w:sectPr>
          <w:pgSz w:w="11900" w:h="16838" w:orient="portrait"/>
          <w:cols w:equalWidth="0" w:num="1">
            <w:col w:w="10960"/>
          </w:cols>
          <w:pgMar w:left="440" w:top="1440" w:right="499" w:bottom="1440" w:gutter="0" w:footer="0" w:header="0"/>
        </w:sectPr>
      </w:pPr>
    </w:p>
    <w:bookmarkStart w:id="169" w:name="page170"/>
    <w:bookmarkEnd w:id="169"/>
    <w:p>
      <w:pPr>
        <w:spacing w:after="0" w:line="290" w:lineRule="exact"/>
        <w:rPr>
          <w:sz w:val="20"/>
          <w:szCs w:val="20"/>
          <w:color w:val="auto"/>
        </w:rPr>
      </w:pPr>
    </w:p>
    <w:p>
      <w:pPr>
        <w:spacing w:after="0" w:line="321" w:lineRule="auto"/>
        <w:rPr>
          <w:sz w:val="20"/>
          <w:szCs w:val="20"/>
          <w:color w:val="auto"/>
        </w:rPr>
      </w:pPr>
      <w:r>
        <w:rPr>
          <w:rFonts w:ascii="Arial" w:cs="Arial" w:eastAsia="Arial" w:hAnsi="Arial"/>
          <w:sz w:val="18"/>
          <w:szCs w:val="18"/>
          <w:color w:val="auto"/>
        </w:rPr>
        <w:t>be converted to cash and distributed in a lump sum within ten (10) business days following the Change in Control event. The cash amount per Deferred Share Unit will equal the closing price of RTX Common Stock on the New York Stock Exchange on the date the Change in Control occurs or, if the Stock is not traded on that day, on the trading day immediately preceding the Change in Control. For purposes of the Plan, a “Change in Control” means (i) the acquisition by one person, or more than one person acting as a group, of stock possessing 30 percent or more of the total voting power of the Common stock of the Corporation during the twelve (12)-month period ending on the date of the most recent acquisition; (ii) the replacement of a majority of the members of the Corporation’s board of directors during any twelve (12)-month period by directors whose appointment or election is not endorsed by a majority of the members of the Corporation’s board of directors as constituted immediately prior to the date of such appointment or election; (iii) the acquisition by one person, or more than one person acting as a group, of more than fifty percent (50%) of the total fair market value or total voting power of the stock of the Corporation; and (iv) a change in the ownership of a substantial portion of the Corporation’s assets such that one person, or more than one person acting as a group, acquires assets of the Corporation with a total gross fair market value equal to or more than forty percent (40%) of the total gross fair market value of all of the assets of the Corporation determined immediately prior to such acquisition. The intention of the Plan is that Change in Control shall be a permissible payment event under Section 409A and, for the avoidance of doubt, only an event that constitutes a change in control event in accordance with Treas. Regs. § 1.409A-3(j)(4)(ix)(B) will be deemed to be a Change in Control for purposes of this Section 5.7.</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5.8 </w:t>
      </w:r>
      <w:r>
        <w:rPr>
          <w:rFonts w:ascii="Arial" w:cs="Arial" w:eastAsia="Arial" w:hAnsi="Arial"/>
          <w:sz w:val="20"/>
          <w:szCs w:val="20"/>
          <w:color w:val="auto"/>
        </w:rPr>
        <w:t>–</w:t>
      </w:r>
      <w:r>
        <w:rPr>
          <w:rFonts w:ascii="Arial" w:cs="Arial" w:eastAsia="Arial" w:hAnsi="Arial"/>
          <w:sz w:val="20"/>
          <w:szCs w:val="20"/>
          <w:b w:val="1"/>
          <w:bCs w:val="1"/>
          <w:color w:val="auto"/>
        </w:rPr>
        <w:t xml:space="preserve"> Accelerated Distribution in the Case of an Unforeseeable Emergency</w:t>
      </w:r>
    </w:p>
    <w:p>
      <w:pPr>
        <w:spacing w:after="0" w:line="276" w:lineRule="exact"/>
        <w:rPr>
          <w:sz w:val="20"/>
          <w:szCs w:val="20"/>
          <w:color w:val="auto"/>
        </w:rPr>
      </w:pPr>
    </w:p>
    <w:p>
      <w:pPr>
        <w:ind w:right="60" w:firstLine="643"/>
        <w:spacing w:after="0" w:line="298" w:lineRule="auto"/>
        <w:tabs>
          <w:tab w:leader="none" w:pos="1185" w:val="left"/>
        </w:tabs>
        <w:numPr>
          <w:ilvl w:val="0"/>
          <w:numId w:val="153"/>
        </w:numPr>
        <w:rPr>
          <w:rFonts w:ascii="Arial" w:cs="Arial" w:eastAsia="Arial" w:hAnsi="Arial"/>
          <w:sz w:val="21"/>
          <w:szCs w:val="21"/>
          <w:color w:val="auto"/>
        </w:rPr>
      </w:pPr>
      <w:r>
        <w:rPr>
          <w:rFonts w:ascii="Arial" w:cs="Arial" w:eastAsia="Arial" w:hAnsi="Arial"/>
          <w:sz w:val="19"/>
          <w:szCs w:val="19"/>
          <w:color w:val="auto"/>
        </w:rPr>
        <w:t>The Committee may, upon a Participant’s written application, agree to an accelerated distribution of some or all of the value of a Participant’s Plan Account upon the occurrence of an unforeseeable emergency. An “unforeseeable emergency” is a severe financial hardship to the Participant resulting from (i) an illness or accident of the Participant, the Participant’s spouse, the Participant’s Beneficiary, or the Participant’s dependent (as defined in IRC Section 152, without regard to Section 152(b)(1), (b)(2), and (d)(1)(B)); (ii) loss of the Participant’s property due to casualty; or (iii) other similar extraordinary and unforeseeable circumstances arising as a result of events beyond the control of the Participant. Whether a Participant is faced with an unforeseeable emergency permitting a distribution to be made under the Plan is to be determined based on the relevant facts and circumstances of each case. Acceleration will not be granted if the Committee determines that (a) the facts and circumstances do not meet the Plan’s requirements for an unforeseeable emergency or (b) the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240" w:lineRule="exact"/>
        <w:rPr>
          <w:rFonts w:ascii="Arial" w:cs="Arial" w:eastAsia="Arial" w:hAnsi="Arial"/>
          <w:sz w:val="21"/>
          <w:szCs w:val="21"/>
          <w:color w:val="auto"/>
        </w:rPr>
      </w:pPr>
    </w:p>
    <w:p>
      <w:pPr>
        <w:ind w:right="540" w:firstLine="643"/>
        <w:spacing w:after="0" w:line="330" w:lineRule="auto"/>
        <w:tabs>
          <w:tab w:leader="none" w:pos="1183" w:val="left"/>
        </w:tabs>
        <w:numPr>
          <w:ilvl w:val="0"/>
          <w:numId w:val="153"/>
        </w:numPr>
        <w:rPr>
          <w:rFonts w:ascii="Arial" w:cs="Arial" w:eastAsia="Arial" w:hAnsi="Arial"/>
          <w:sz w:val="18"/>
          <w:szCs w:val="18"/>
          <w:color w:val="auto"/>
        </w:rPr>
      </w:pPr>
      <w:r>
        <w:rPr>
          <w:rFonts w:ascii="Arial" w:cs="Arial" w:eastAsia="Arial" w:hAnsi="Arial"/>
          <w:sz w:val="17"/>
          <w:szCs w:val="17"/>
          <w:color w:val="auto"/>
        </w:rPr>
        <w:t>Distributions on account of an unforeseeable emergency, as defined in Section 5.8(a), shall be limited to the amount reasonably necessary to satisfy the emergency need, as supported by documentation submitted to the Committee. Such amount may</w:t>
      </w:r>
    </w:p>
    <w:p>
      <w:pPr>
        <w:ind w:right="540"/>
        <w:spacing w:after="0" w:line="303" w:lineRule="auto"/>
        <w:rPr>
          <w:rFonts w:ascii="Arial" w:cs="Arial" w:eastAsia="Arial" w:hAnsi="Arial"/>
          <w:sz w:val="18"/>
          <w:szCs w:val="18"/>
          <w:color w:val="auto"/>
        </w:rPr>
      </w:pPr>
      <w:r>
        <w:rPr>
          <w:rFonts w:ascii="Arial" w:cs="Arial" w:eastAsia="Arial" w:hAnsi="Arial"/>
          <w:sz w:val="20"/>
          <w:szCs w:val="20"/>
          <w:color w:val="auto"/>
        </w:rPr>
        <w:t>include amounts necessary to pay any federal, state, local, or foreign income taxes or penalties reasonably anticipated to result from the distribution.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10</w:t>
      </w:r>
      <w:r>
        <w:rPr>
          <w:rFonts w:ascii="Arial" w:cs="Arial" w:eastAsia="Arial" w:hAnsi="Arial"/>
          <w:sz w:val="22"/>
          <w:szCs w:val="22"/>
          <w:color w:val="auto"/>
        </w:rPr>
        <w:t>-</w:t>
      </w:r>
    </w:p>
    <w:p>
      <w:pPr>
        <w:sectPr>
          <w:pgSz w:w="11900" w:h="16838" w:orient="portrait"/>
          <w:cols w:equalWidth="0" w:num="1">
            <w:col w:w="10960"/>
          </w:cols>
          <w:pgMar w:left="440" w:top="1440" w:right="499" w:bottom="1440" w:gutter="0" w:footer="0" w:header="0"/>
        </w:sectPr>
      </w:pPr>
    </w:p>
    <w:bookmarkStart w:id="170" w:name="page171"/>
    <w:bookmarkEnd w:id="170"/>
    <w:p>
      <w:pPr>
        <w:spacing w:after="0" w:line="236" w:lineRule="exact"/>
        <w:rPr>
          <w:sz w:val="20"/>
          <w:szCs w:val="20"/>
          <w:color w:val="auto"/>
        </w:rPr>
      </w:pPr>
    </w:p>
    <w:p>
      <w:pPr>
        <w:ind w:right="40" w:firstLine="643"/>
        <w:spacing w:after="0" w:line="292" w:lineRule="auto"/>
        <w:tabs>
          <w:tab w:leader="none" w:pos="117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Committee will determine from which Performance Cycle Accounts hardship distributions will be made. Any Participant who is an officer or director of the Corporation within the meaning of Section 16 of the Securities Exchange Act of 1934 is not eligible for distributions on account of unforeseeable emergency.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5.9 </w:t>
      </w:r>
      <w:r>
        <w:rPr>
          <w:rFonts w:ascii="Arial" w:cs="Arial" w:eastAsia="Arial" w:hAnsi="Arial"/>
          <w:sz w:val="20"/>
          <w:szCs w:val="20"/>
          <w:color w:val="auto"/>
        </w:rPr>
        <w:t>–</w:t>
      </w:r>
      <w:r>
        <w:rPr>
          <w:rFonts w:ascii="Arial" w:cs="Arial" w:eastAsia="Arial" w:hAnsi="Arial"/>
          <w:sz w:val="20"/>
          <w:szCs w:val="20"/>
          <w:b w:val="1"/>
          <w:bCs w:val="1"/>
          <w:color w:val="auto"/>
        </w:rPr>
        <w:t xml:space="preserve"> Administrative Adjustments in Payment Date</w:t>
      </w:r>
    </w:p>
    <w:p>
      <w:pPr>
        <w:spacing w:after="0" w:line="262" w:lineRule="exact"/>
        <w:rPr>
          <w:sz w:val="20"/>
          <w:szCs w:val="20"/>
          <w:color w:val="auto"/>
        </w:rPr>
      </w:pPr>
    </w:p>
    <w:p>
      <w:pPr>
        <w:ind w:firstLine="648"/>
        <w:spacing w:after="0" w:line="296" w:lineRule="auto"/>
        <w:rPr>
          <w:sz w:val="20"/>
          <w:szCs w:val="20"/>
          <w:color w:val="auto"/>
        </w:rPr>
      </w:pPr>
      <w:r>
        <w:rPr>
          <w:rFonts w:ascii="Arial" w:cs="Arial" w:eastAsia="Arial" w:hAnsi="Arial"/>
          <w:sz w:val="19"/>
          <w:szCs w:val="19"/>
          <w:color w:val="auto"/>
        </w:rPr>
        <w:t>A distribution is treated as being made on the date when it is due under the Plan if the distribution is made on the due date specified by the Plan, or on a later date that is either (a) in the same calendar year (for a distribution whose specified due date is on or before September 30), or (b) by the fifteenth (15th) day of the third (3rd) calendar month following the date specified by the Plan (for a distribution whose specified due date is on or after October 1). A distribution also is treated as being made on the date when it is due under the Plan if the distribution is made not more than thirty (30) days before the due date specified by the Plan. In no event will a distribution to a Specified Employee on account of his or her Separation from Service be made or commence earlier than the first day of the seventh (7</w:t>
      </w:r>
      <w:r>
        <w:rPr>
          <w:rFonts w:ascii="Arial" w:cs="Arial" w:eastAsia="Arial" w:hAnsi="Arial"/>
          <w:sz w:val="24"/>
          <w:szCs w:val="24"/>
          <w:color w:val="auto"/>
          <w:vertAlign w:val="superscript"/>
        </w:rPr>
        <w:t>th</w:t>
      </w:r>
      <w:r>
        <w:rPr>
          <w:rFonts w:ascii="Arial" w:cs="Arial" w:eastAsia="Arial" w:hAnsi="Arial"/>
          <w:sz w:val="19"/>
          <w:szCs w:val="19"/>
          <w:color w:val="auto"/>
        </w:rPr>
        <w:t>) month following the date of Separation from Service. A Participant may not, directly or indirectly, designate the taxable year of a payment made in reliance on the administrative rules in this Section 5.9.</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5.10 </w:t>
      </w:r>
      <w:r>
        <w:rPr>
          <w:rFonts w:ascii="Arial" w:cs="Arial" w:eastAsia="Arial" w:hAnsi="Arial"/>
          <w:sz w:val="20"/>
          <w:szCs w:val="20"/>
          <w:color w:val="auto"/>
        </w:rPr>
        <w:t>–</w:t>
      </w:r>
      <w:r>
        <w:rPr>
          <w:rFonts w:ascii="Arial" w:cs="Arial" w:eastAsia="Arial" w:hAnsi="Arial"/>
          <w:sz w:val="20"/>
          <w:szCs w:val="20"/>
          <w:b w:val="1"/>
          <w:bCs w:val="1"/>
          <w:color w:val="auto"/>
        </w:rPr>
        <w:t xml:space="preserve"> Minimum Balance Payout Provision</w:t>
      </w:r>
    </w:p>
    <w:p>
      <w:pPr>
        <w:spacing w:after="0" w:line="262" w:lineRule="exact"/>
        <w:rPr>
          <w:sz w:val="20"/>
          <w:szCs w:val="20"/>
          <w:color w:val="auto"/>
        </w:rPr>
      </w:pPr>
    </w:p>
    <w:p>
      <w:pPr>
        <w:ind w:firstLine="648"/>
        <w:spacing w:after="0" w:line="305" w:lineRule="auto"/>
        <w:rPr>
          <w:sz w:val="20"/>
          <w:szCs w:val="20"/>
          <w:color w:val="auto"/>
        </w:rPr>
      </w:pPr>
      <w:r>
        <w:rPr>
          <w:rFonts w:ascii="Arial" w:cs="Arial" w:eastAsia="Arial" w:hAnsi="Arial"/>
          <w:sz w:val="19"/>
          <w:szCs w:val="19"/>
          <w:color w:val="auto"/>
        </w:rPr>
        <w:t>If a Participant’s Plan Account balance under this Plan (and under all other nonqualified deferred compensation plans of the Corporation that are required to be aggregated with this Plan under Section 409A), determined at the time of the Participant’s Separation From Service, is less than the amount set as the limit on elective deferrals under Section 402(g)(1)(B) of the Code in effect for the year in which the Participant’s Separation from Service occurs, the Committee retains discretion to distribute the Participant’s entire Plan Account (and the Participant’s entire interest in any other nonqualified deferred compensation plan that is required to be aggregated with this Plan) in a lump sum at the next scheduled Plan distribution date following the Participant’s Separation from Service, even if the Participant has elected to receive a different form of distribution. Any exercise of the Committee’s discretion taken pursuant to this Section 5.10 shall be evidenced in writing, no later than the payment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VI - AMENDMENT AND TERMINATION OF PLAN</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0"/>
          <w:szCs w:val="20"/>
          <w:color w:val="auto"/>
        </w:rPr>
        <w:t>–</w:t>
      </w:r>
      <w:r>
        <w:rPr>
          <w:rFonts w:ascii="Arial" w:cs="Arial" w:eastAsia="Arial" w:hAnsi="Arial"/>
          <w:sz w:val="20"/>
          <w:szCs w:val="20"/>
          <w:b w:val="1"/>
          <w:bCs w:val="1"/>
          <w:color w:val="auto"/>
        </w:rPr>
        <w:t xml:space="preserve"> Amendment</w:t>
      </w:r>
    </w:p>
    <w:p>
      <w:pPr>
        <w:spacing w:after="0" w:line="262"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The Committee may, at any time, amend the Plan in whole or in part, provided that no amendment may directly decrease the value of any Plan Accounts as of the date of such amendment. In the event of any change in law or regulation relating to the Plan or the tax treatment of Plan Accounts, the Plan shall, without further action by the Committee, be deemed to be amended to comply with any such change in law or regulation effective as of the first date necessary to prevent the taxation, constructive receipt or deemed distribution of Plan Accounts prior to the date Plan Accounts would be distributed under the provisions of Article V. To the extent that any rule or procedure adopted by the Committee is inconsistent with a provision of the Plan that is administrative, technical or ministerial in nature, the Plan shall be deemed amended to the extent of the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11</w:t>
      </w:r>
      <w:r>
        <w:rPr>
          <w:rFonts w:ascii="Arial" w:cs="Arial" w:eastAsia="Arial" w:hAnsi="Arial"/>
          <w:sz w:val="22"/>
          <w:szCs w:val="22"/>
          <w:color w:val="auto"/>
        </w:rPr>
        <w:t>-</w:t>
      </w:r>
    </w:p>
    <w:p>
      <w:pPr>
        <w:sectPr>
          <w:pgSz w:w="11900" w:h="16838" w:orient="portrait"/>
          <w:cols w:equalWidth="0" w:num="1">
            <w:col w:w="10980"/>
          </w:cols>
          <w:pgMar w:left="440" w:top="1440" w:right="479" w:bottom="1440" w:gutter="0" w:footer="0" w:header="0"/>
        </w:sectPr>
      </w:pPr>
    </w:p>
    <w:bookmarkStart w:id="171" w:name="page172"/>
    <w:bookmarkEnd w:id="171"/>
    <w:p>
      <w:pPr>
        <w:spacing w:after="0" w:line="25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6.2 </w:t>
      </w:r>
      <w:r>
        <w:rPr>
          <w:rFonts w:ascii="Arial" w:cs="Arial" w:eastAsia="Arial" w:hAnsi="Arial"/>
          <w:sz w:val="20"/>
          <w:szCs w:val="20"/>
          <w:color w:val="auto"/>
        </w:rPr>
        <w:t>–</w:t>
      </w:r>
      <w:r>
        <w:rPr>
          <w:rFonts w:ascii="Arial" w:cs="Arial" w:eastAsia="Arial" w:hAnsi="Arial"/>
          <w:sz w:val="20"/>
          <w:szCs w:val="20"/>
          <w:b w:val="1"/>
          <w:bCs w:val="1"/>
          <w:color w:val="auto"/>
        </w:rPr>
        <w:t xml:space="preserve"> Plan Suspension and Termination</w:t>
      </w:r>
    </w:p>
    <w:p>
      <w:pPr>
        <w:spacing w:after="0" w:line="262" w:lineRule="exact"/>
        <w:rPr>
          <w:sz w:val="20"/>
          <w:szCs w:val="20"/>
          <w:color w:val="auto"/>
        </w:rPr>
      </w:pPr>
    </w:p>
    <w:p>
      <w:pPr>
        <w:ind w:right="80" w:firstLine="643"/>
        <w:spacing w:after="0" w:line="285" w:lineRule="auto"/>
        <w:tabs>
          <w:tab w:leader="none" w:pos="1185" w:val="left"/>
        </w:tabs>
        <w:numPr>
          <w:ilvl w:val="0"/>
          <w:numId w:val="155"/>
        </w:numPr>
        <w:rPr>
          <w:rFonts w:ascii="Arial" w:cs="Arial" w:eastAsia="Arial" w:hAnsi="Arial"/>
          <w:sz w:val="22"/>
          <w:szCs w:val="22"/>
          <w:color w:val="auto"/>
        </w:rPr>
      </w:pPr>
      <w:r>
        <w:rPr>
          <w:rFonts w:ascii="Arial" w:cs="Arial" w:eastAsia="Arial" w:hAnsi="Arial"/>
          <w:sz w:val="20"/>
          <w:szCs w:val="20"/>
          <w:color w:val="auto"/>
        </w:rPr>
        <w:t>The Committee may, at any time, suspend or terminate the Plan with respect to new or existing Election Forms if, in its sole judgment, the continuance of the Plan, the tax, accounting, or other effects thereof, or potential payments thereunder would not be in the best interest of the Corporation or for any other reason.</w:t>
      </w:r>
    </w:p>
    <w:p>
      <w:pPr>
        <w:spacing w:after="0" w:line="233" w:lineRule="exact"/>
        <w:rPr>
          <w:rFonts w:ascii="Arial" w:cs="Arial" w:eastAsia="Arial" w:hAnsi="Arial"/>
          <w:sz w:val="22"/>
          <w:szCs w:val="22"/>
          <w:color w:val="auto"/>
        </w:rPr>
      </w:pPr>
    </w:p>
    <w:p>
      <w:pPr>
        <w:ind w:firstLine="643"/>
        <w:spacing w:after="0" w:line="401" w:lineRule="auto"/>
        <w:tabs>
          <w:tab w:leader="none" w:pos="1183" w:val="left"/>
        </w:tabs>
        <w:numPr>
          <w:ilvl w:val="0"/>
          <w:numId w:val="155"/>
        </w:numPr>
        <w:rPr>
          <w:rFonts w:ascii="Arial" w:cs="Arial" w:eastAsia="Arial" w:hAnsi="Arial"/>
          <w:sz w:val="18"/>
          <w:szCs w:val="18"/>
          <w:color w:val="auto"/>
        </w:rPr>
      </w:pPr>
      <w:r>
        <w:rPr>
          <w:rFonts w:ascii="Arial" w:cs="Arial" w:eastAsia="Arial" w:hAnsi="Arial"/>
          <w:sz w:val="17"/>
          <w:szCs w:val="17"/>
          <w:color w:val="auto"/>
        </w:rPr>
        <w:t>In the event of the suspension of the Plan, no additional deferrals shall be made under the Plan, but all previous deferrals shall accumulate and be distributed in accordance with the otherwise applicable provisions of the Plan and the applicable elections on file.</w:t>
      </w:r>
    </w:p>
    <w:p>
      <w:pPr>
        <w:spacing w:after="0" w:line="151" w:lineRule="exact"/>
        <w:rPr>
          <w:rFonts w:ascii="Arial" w:cs="Arial" w:eastAsia="Arial" w:hAnsi="Arial"/>
          <w:sz w:val="18"/>
          <w:szCs w:val="18"/>
          <w:color w:val="auto"/>
        </w:rPr>
      </w:pPr>
    </w:p>
    <w:p>
      <w:pPr>
        <w:ind w:right="20" w:firstLine="643"/>
        <w:spacing w:after="0" w:line="333" w:lineRule="auto"/>
        <w:tabs>
          <w:tab w:leader="none" w:pos="1185" w:val="left"/>
        </w:tabs>
        <w:numPr>
          <w:ilvl w:val="0"/>
          <w:numId w:val="155"/>
        </w:numPr>
        <w:rPr>
          <w:rFonts w:ascii="Arial" w:cs="Arial" w:eastAsia="Arial" w:hAnsi="Arial"/>
          <w:sz w:val="18"/>
          <w:szCs w:val="18"/>
          <w:color w:val="auto"/>
        </w:rPr>
      </w:pPr>
      <w:r>
        <w:rPr>
          <w:rFonts w:ascii="Arial" w:cs="Arial" w:eastAsia="Arial" w:hAnsi="Arial"/>
          <w:sz w:val="17"/>
          <w:szCs w:val="17"/>
          <w:color w:val="auto"/>
        </w:rPr>
        <w:t>Upon the termination of the Plan with respect to all Participants, and the termination of all arrangements sponsored by the Corporation and its affiliates that would be aggregated with the Plan under Section 409A, the Corporation shall have the right, in its sole discretion, and notwithstanding any elections made by the Participant, to pay the Participant’s Plan Account in a lump sum, to the extent permitted under Section 409A. All payments that may be made pursuant to this Section 6.2 shall be made no earlier than the thirteenth month and no later than the twenty-fourth month after the termination of the Plan. The Corporation may not accelerate payments pursuant to this Section 6.2 if the termination of the Plan is proximate to a downturn in the Corporation’s financial health within the meaning of Treas. Reg. section 1.409A-3(j)(4)(ix)(C)(1). If the Corporation exercises its discretion to accelerate payments under this Section 6.2, it shall not adopt any new arrangement that would have been aggregated with the Plan under Section 409A within three years following the</w:t>
      </w:r>
    </w:p>
    <w:p>
      <w:pPr>
        <w:spacing w:after="0" w:line="1" w:lineRule="exact"/>
        <w:rPr>
          <w:rFonts w:ascii="Arial" w:cs="Arial" w:eastAsia="Arial" w:hAnsi="Arial"/>
          <w:sz w:val="18"/>
          <w:szCs w:val="18"/>
          <w:color w:val="auto"/>
        </w:rPr>
      </w:pPr>
    </w:p>
    <w:p>
      <w:pPr>
        <w:ind w:right="140"/>
        <w:spacing w:after="0" w:line="292" w:lineRule="auto"/>
        <w:rPr>
          <w:rFonts w:ascii="Arial" w:cs="Arial" w:eastAsia="Arial" w:hAnsi="Arial"/>
          <w:sz w:val="18"/>
          <w:szCs w:val="18"/>
          <w:color w:val="auto"/>
        </w:rPr>
      </w:pPr>
      <w:r>
        <w:rPr>
          <w:rFonts w:ascii="Arial" w:cs="Arial" w:eastAsia="Arial" w:hAnsi="Arial"/>
          <w:sz w:val="20"/>
          <w:szCs w:val="20"/>
          <w:color w:val="auto"/>
        </w:rPr>
        <w:t>date of the Plan’s termination. The Committee may also provide for distribution of Plan Accounts following a termination of the Plan under any other circumstances permitted by Section 409A, including without limitation in connection with the occurrence of a change in control event in accordance with Treas. Regs. § 1.409A-3(j)(4)(ix)(B).</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6.3 </w:t>
      </w:r>
      <w:r>
        <w:rPr>
          <w:rFonts w:ascii="Arial" w:cs="Arial" w:eastAsia="Arial" w:hAnsi="Arial"/>
          <w:sz w:val="20"/>
          <w:szCs w:val="20"/>
          <w:color w:val="auto"/>
        </w:rPr>
        <w:t>–</w:t>
      </w:r>
      <w:r>
        <w:rPr>
          <w:rFonts w:ascii="Arial" w:cs="Arial" w:eastAsia="Arial" w:hAnsi="Arial"/>
          <w:sz w:val="20"/>
          <w:szCs w:val="20"/>
          <w:b w:val="1"/>
          <w:bCs w:val="1"/>
          <w:color w:val="auto"/>
        </w:rPr>
        <w:t xml:space="preserve"> No Consent Required</w:t>
      </w:r>
    </w:p>
    <w:p>
      <w:pPr>
        <w:spacing w:after="0" w:line="262" w:lineRule="exact"/>
        <w:rPr>
          <w:sz w:val="20"/>
          <w:szCs w:val="20"/>
          <w:color w:val="auto"/>
        </w:rPr>
      </w:pPr>
    </w:p>
    <w:p>
      <w:pPr>
        <w:ind w:right="160" w:firstLine="648"/>
        <w:spacing w:after="0" w:line="317" w:lineRule="auto"/>
        <w:rPr>
          <w:sz w:val="20"/>
          <w:szCs w:val="20"/>
          <w:color w:val="auto"/>
        </w:rPr>
      </w:pPr>
      <w:r>
        <w:rPr>
          <w:rFonts w:ascii="Arial" w:cs="Arial" w:eastAsia="Arial" w:hAnsi="Arial"/>
          <w:sz w:val="20"/>
          <w:szCs w:val="20"/>
          <w:color w:val="auto"/>
        </w:rPr>
        <w:t>The consent of any Participant, Beneficiary, or other person shall not be required with respect to any amendment, suspension, or termination of the Plan.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VII - MISCELLANEOUS PROVISIONS</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7.1 </w:t>
      </w:r>
      <w:r>
        <w:rPr>
          <w:rFonts w:ascii="Arial" w:cs="Arial" w:eastAsia="Arial" w:hAnsi="Arial"/>
          <w:sz w:val="20"/>
          <w:szCs w:val="20"/>
          <w:color w:val="auto"/>
        </w:rPr>
        <w:t>–</w:t>
      </w:r>
      <w:r>
        <w:rPr>
          <w:rFonts w:ascii="Arial" w:cs="Arial" w:eastAsia="Arial" w:hAnsi="Arial"/>
          <w:sz w:val="20"/>
          <w:szCs w:val="20"/>
          <w:b w:val="1"/>
          <w:bCs w:val="1"/>
          <w:color w:val="auto"/>
        </w:rPr>
        <w:t xml:space="preserve"> Reinvestment of Dividend Equivalents</w:t>
      </w:r>
    </w:p>
    <w:p>
      <w:pPr>
        <w:spacing w:after="0" w:line="262"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Deferred Share Units shall be credited with dividend equivalents at the same time and in the same amount that cash dividends would be paid with respect to an equal number of shares of RTX Common Stock during the period between the date that the applicable Performance Cycle Account is established and the applicable Valuation Date for such Performance Cycle Account. At the time the election under Section 4.1 is made, the Participant agrees to have dividend equivalents deferred and invested in additional Deferred Share Units based upon the number of whole and fractional Units that the dollar dividend amount would purchase, using the closing price of RTX Common Stock on the New York Stock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12</w:t>
      </w:r>
      <w:r>
        <w:rPr>
          <w:rFonts w:ascii="Arial" w:cs="Arial" w:eastAsia="Arial" w:hAnsi="Arial"/>
          <w:sz w:val="22"/>
          <w:szCs w:val="22"/>
          <w:color w:val="auto"/>
        </w:rPr>
        <w:t>-</w:t>
      </w:r>
    </w:p>
    <w:p>
      <w:pPr>
        <w:sectPr>
          <w:pgSz w:w="11900" w:h="16838" w:orient="portrait"/>
          <w:cols w:equalWidth="0" w:num="1">
            <w:col w:w="10940"/>
          </w:cols>
          <w:pgMar w:left="440" w:top="1440" w:right="519" w:bottom="1440" w:gutter="0" w:footer="0" w:header="0"/>
        </w:sectPr>
      </w:pPr>
    </w:p>
    <w:bookmarkStart w:id="172" w:name="page173"/>
    <w:bookmarkEnd w:id="172"/>
    <w:p>
      <w:pPr>
        <w:ind w:left="40" w:right="680"/>
        <w:spacing w:after="0" w:line="288" w:lineRule="auto"/>
        <w:rPr>
          <w:sz w:val="20"/>
          <w:szCs w:val="20"/>
          <w:color w:val="auto"/>
        </w:rPr>
      </w:pPr>
      <w:r>
        <w:rPr>
          <w:rFonts w:ascii="Arial" w:cs="Arial" w:eastAsia="Arial" w:hAnsi="Arial"/>
          <w:sz w:val="20"/>
          <w:szCs w:val="20"/>
          <w:color w:val="auto"/>
        </w:rPr>
        <w:t>Exchange on each dividend payment date. Dividend equivalents that are deferred and invested pursuant to this Section 7.1 shall be credited to the same Performance Cycle Account as the Deferred Share Units</w:t>
      </w:r>
    </w:p>
    <w:p>
      <w:pPr>
        <w:spacing w:after="0" w:line="2" w:lineRule="exact"/>
        <w:rPr>
          <w:sz w:val="20"/>
          <w:szCs w:val="20"/>
          <w:color w:val="auto"/>
        </w:rPr>
      </w:pPr>
    </w:p>
    <w:p>
      <w:pPr>
        <w:ind w:right="600"/>
        <w:spacing w:after="0" w:line="303" w:lineRule="auto"/>
        <w:rPr>
          <w:sz w:val="20"/>
          <w:szCs w:val="20"/>
          <w:color w:val="auto"/>
        </w:rPr>
      </w:pPr>
      <w:r>
        <w:rPr>
          <w:rFonts w:ascii="Arial" w:cs="Arial" w:eastAsia="Arial" w:hAnsi="Arial"/>
          <w:sz w:val="20"/>
          <w:szCs w:val="20"/>
          <w:color w:val="auto"/>
        </w:rPr>
        <w:t>for which the dividend equivalents are paid and shall be distributed at the time and in the form applicable to that Performance Cycle Account.</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7.2 </w:t>
      </w:r>
      <w:r>
        <w:rPr>
          <w:rFonts w:ascii="Arial" w:cs="Arial" w:eastAsia="Arial" w:hAnsi="Arial"/>
          <w:sz w:val="20"/>
          <w:szCs w:val="20"/>
          <w:color w:val="auto"/>
        </w:rPr>
        <w:t>–</w:t>
      </w:r>
      <w:r>
        <w:rPr>
          <w:rFonts w:ascii="Arial" w:cs="Arial" w:eastAsia="Arial" w:hAnsi="Arial"/>
          <w:sz w:val="20"/>
          <w:szCs w:val="20"/>
          <w:b w:val="1"/>
          <w:bCs w:val="1"/>
          <w:color w:val="auto"/>
        </w:rPr>
        <w:t xml:space="preserve"> Withholding Taxes</w:t>
      </w:r>
    </w:p>
    <w:p>
      <w:pPr>
        <w:spacing w:after="0" w:line="276" w:lineRule="exact"/>
        <w:rPr>
          <w:sz w:val="20"/>
          <w:szCs w:val="20"/>
          <w:color w:val="auto"/>
        </w:rPr>
      </w:pPr>
    </w:p>
    <w:p>
      <w:pPr>
        <w:ind w:left="40" w:right="200" w:firstLine="648"/>
        <w:spacing w:after="0" w:line="331" w:lineRule="auto"/>
        <w:rPr>
          <w:sz w:val="20"/>
          <w:szCs w:val="20"/>
          <w:color w:val="auto"/>
        </w:rPr>
      </w:pPr>
      <w:r>
        <w:rPr>
          <w:rFonts w:ascii="Arial" w:cs="Arial" w:eastAsia="Arial" w:hAnsi="Arial"/>
          <w:sz w:val="19"/>
          <w:szCs w:val="19"/>
          <w:color w:val="auto"/>
        </w:rPr>
        <w:t>The Committee may make any appropriate arrangements to deduct from all deferrals and payments under the Plan any taxes that the Committee reasonably determines to be required by law to be withheld from such credits and payments.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7.3 </w:t>
      </w:r>
      <w:r>
        <w:rPr>
          <w:rFonts w:ascii="Arial" w:cs="Arial" w:eastAsia="Arial" w:hAnsi="Arial"/>
          <w:sz w:val="20"/>
          <w:szCs w:val="20"/>
          <w:color w:val="auto"/>
        </w:rPr>
        <w:t>–</w:t>
      </w:r>
      <w:r>
        <w:rPr>
          <w:rFonts w:ascii="Arial" w:cs="Arial" w:eastAsia="Arial" w:hAnsi="Arial"/>
          <w:sz w:val="20"/>
          <w:szCs w:val="20"/>
          <w:b w:val="1"/>
          <w:bCs w:val="1"/>
          <w:color w:val="auto"/>
        </w:rPr>
        <w:t xml:space="preserve"> Adjustment of Deferred Share Units</w:t>
      </w:r>
    </w:p>
    <w:p>
      <w:pPr>
        <w:spacing w:after="0" w:line="262" w:lineRule="exact"/>
        <w:rPr>
          <w:sz w:val="20"/>
          <w:szCs w:val="20"/>
          <w:color w:val="auto"/>
        </w:rPr>
      </w:pPr>
    </w:p>
    <w:p>
      <w:pPr>
        <w:ind w:left="40" w:firstLine="648"/>
        <w:spacing w:after="0" w:line="293" w:lineRule="auto"/>
        <w:rPr>
          <w:sz w:val="20"/>
          <w:szCs w:val="20"/>
          <w:color w:val="auto"/>
        </w:rPr>
      </w:pPr>
      <w:r>
        <w:rPr>
          <w:rFonts w:ascii="Arial" w:cs="Arial" w:eastAsia="Arial" w:hAnsi="Arial"/>
          <w:sz w:val="20"/>
          <w:szCs w:val="20"/>
          <w:color w:val="auto"/>
        </w:rPr>
        <w:t>Deferred Share Units may be adjusted by the Committee in the event of any stock dividend or split, recapitalization, merger, consolidation, combination, exchange of shares, spin-off, or other corporate change or corporate event, in each case, to the same extent that the PSUs to which such Deferred Share Units relate could have been adjusted under the applicable long-term incentive plan of the Corporation under which such PSUs were granted.</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7.4 </w:t>
      </w:r>
      <w:r>
        <w:rPr>
          <w:rFonts w:ascii="Arial" w:cs="Arial" w:eastAsia="Arial" w:hAnsi="Arial"/>
          <w:sz w:val="20"/>
          <w:szCs w:val="20"/>
          <w:color w:val="auto"/>
        </w:rPr>
        <w:t>–</w:t>
      </w:r>
      <w:r>
        <w:rPr>
          <w:rFonts w:ascii="Arial" w:cs="Arial" w:eastAsia="Arial" w:hAnsi="Arial"/>
          <w:sz w:val="20"/>
          <w:szCs w:val="20"/>
          <w:b w:val="1"/>
          <w:bCs w:val="1"/>
          <w:color w:val="auto"/>
        </w:rPr>
        <w:t xml:space="preserve"> Section 409A Compliance</w:t>
      </w:r>
    </w:p>
    <w:p>
      <w:pPr>
        <w:spacing w:after="0" w:line="276" w:lineRule="exact"/>
        <w:rPr>
          <w:sz w:val="20"/>
          <w:szCs w:val="20"/>
          <w:color w:val="auto"/>
        </w:rPr>
      </w:pPr>
    </w:p>
    <w:p>
      <w:pPr>
        <w:jc w:val="both"/>
        <w:ind w:left="40" w:firstLine="648"/>
        <w:spacing w:after="0" w:line="302" w:lineRule="auto"/>
        <w:rPr>
          <w:sz w:val="20"/>
          <w:szCs w:val="20"/>
          <w:color w:val="auto"/>
        </w:rPr>
      </w:pPr>
      <w:r>
        <w:rPr>
          <w:rFonts w:ascii="Arial" w:cs="Arial" w:eastAsia="Arial" w:hAnsi="Arial"/>
          <w:sz w:val="19"/>
          <w:szCs w:val="19"/>
          <w:color w:val="auto"/>
        </w:rPr>
        <w:t>To the extent that rights or payments under this Plan are subject to Section 409A,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shall not be effective for purposes of this Plan. To the extent that a provision of this Plan does not comply with Section 409A, such provision shall be void and without effect. The Corporation does not warrant that the Plan will comply with Section 409A with respect to any Participant or Beneficiary or with respect to any payment. In no event shall any RTX Company; any director, officer, or employee of a RTX Company (other than the Participant); or any member of the Committee be liable for any additional tax, interest, or penalty incurred by a Participant or Beneficiary as a result of the Plan’s failure to satisfy the requirements of Section 409A, or as a result of the Plan’s failure to satisfy any other requirements of applicable tax laws.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ARTICLE VIII - GENERAL PROVISIONS</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8.1 </w:t>
      </w:r>
      <w:r>
        <w:rPr>
          <w:rFonts w:ascii="Arial" w:cs="Arial" w:eastAsia="Arial" w:hAnsi="Arial"/>
          <w:sz w:val="20"/>
          <w:szCs w:val="20"/>
          <w:color w:val="auto"/>
        </w:rPr>
        <w:t>–</w:t>
      </w:r>
      <w:r>
        <w:rPr>
          <w:rFonts w:ascii="Arial" w:cs="Arial" w:eastAsia="Arial" w:hAnsi="Arial"/>
          <w:sz w:val="20"/>
          <w:szCs w:val="20"/>
          <w:b w:val="1"/>
          <w:bCs w:val="1"/>
          <w:color w:val="auto"/>
        </w:rPr>
        <w:t xml:space="preserve"> Unsecured General Creditor</w:t>
      </w:r>
    </w:p>
    <w:p>
      <w:pPr>
        <w:spacing w:after="0" w:line="276" w:lineRule="exact"/>
        <w:rPr>
          <w:sz w:val="20"/>
          <w:szCs w:val="20"/>
          <w:color w:val="auto"/>
        </w:rPr>
      </w:pPr>
    </w:p>
    <w:p>
      <w:pPr>
        <w:ind w:left="40" w:right="100" w:firstLine="648"/>
        <w:spacing w:after="0" w:line="288" w:lineRule="auto"/>
        <w:rPr>
          <w:sz w:val="20"/>
          <w:szCs w:val="20"/>
          <w:color w:val="auto"/>
        </w:rPr>
      </w:pPr>
      <w:r>
        <w:rPr>
          <w:rFonts w:ascii="Arial" w:cs="Arial" w:eastAsia="Arial" w:hAnsi="Arial"/>
          <w:sz w:val="20"/>
          <w:szCs w:val="20"/>
          <w:color w:val="auto"/>
        </w:rPr>
        <w:t>The Corporation’s obligations under the Plan constitute an unfunded and unsecured promise to distribute shares in the future. Participants’ and Beneficiaries’ rights under the Plan are solely those of a general unsecured creditor of the Corporation. No assets will be required to be placed in trust, set aside or otherwise segregated to fund or offset liabilities in respect of the Plan or Participants’ Plan Accounts.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20"/>
          <w:szCs w:val="20"/>
          <w:color w:val="auto"/>
        </w:rPr>
        <w:t>–</w:t>
      </w:r>
      <w:r>
        <w:rPr>
          <w:rFonts w:ascii="Arial" w:cs="Arial" w:eastAsia="Arial" w:hAnsi="Arial"/>
          <w:sz w:val="20"/>
          <w:szCs w:val="20"/>
          <w:b w:val="1"/>
          <w:bCs w:val="1"/>
          <w:color w:val="auto"/>
        </w:rPr>
        <w:t xml:space="preserve"> Nonassignability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13</w:t>
      </w:r>
      <w:r>
        <w:rPr>
          <w:rFonts w:ascii="Arial" w:cs="Arial" w:eastAsia="Arial" w:hAnsi="Arial"/>
          <w:sz w:val="22"/>
          <w:szCs w:val="22"/>
          <w:color w:val="auto"/>
        </w:rPr>
        <w:t>-</w:t>
      </w:r>
    </w:p>
    <w:p>
      <w:pPr>
        <w:sectPr>
          <w:pgSz w:w="11900" w:h="16838" w:orient="portrait"/>
          <w:cols w:equalWidth="0" w:num="1">
            <w:col w:w="11060"/>
          </w:cols>
          <w:pgMar w:left="400" w:top="1432" w:right="439" w:bottom="1440" w:gutter="0" w:footer="0" w:header="0"/>
        </w:sectPr>
      </w:pPr>
    </w:p>
    <w:bookmarkStart w:id="173" w:name="page174"/>
    <w:bookmarkEnd w:id="173"/>
    <w:p>
      <w:pPr>
        <w:ind w:left="40" w:right="160" w:firstLine="643"/>
        <w:spacing w:after="0" w:line="320" w:lineRule="auto"/>
        <w:tabs>
          <w:tab w:leader="none" w:pos="12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provided in subsection (b) or (c) below, no Participant or Beneficiary or any other person shall have the right to sell, assign, transfer, pledge, or otherwise encumber any interest in the Plan and all Plan Accounts and the rights to all payments are</w:t>
      </w:r>
    </w:p>
    <w:p>
      <w:pPr>
        <w:spacing w:after="0" w:line="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20"/>
          <w:szCs w:val="20"/>
          <w:color w:val="auto"/>
        </w:rPr>
        <w:t>unassignable and non-transferable. Plan</w:t>
      </w:r>
    </w:p>
    <w:p>
      <w:pPr>
        <w:spacing w:after="0" w:line="40" w:lineRule="exact"/>
        <w:rPr>
          <w:rFonts w:ascii="Arial" w:cs="Arial" w:eastAsia="Arial" w:hAnsi="Arial"/>
          <w:sz w:val="18"/>
          <w:szCs w:val="18"/>
          <w:color w:val="auto"/>
        </w:rPr>
      </w:pPr>
    </w:p>
    <w:p>
      <w:pPr>
        <w:jc w:val="both"/>
        <w:ind w:right="520"/>
        <w:spacing w:after="0" w:line="292" w:lineRule="auto"/>
        <w:rPr>
          <w:rFonts w:ascii="Arial" w:cs="Arial" w:eastAsia="Arial" w:hAnsi="Arial"/>
          <w:sz w:val="18"/>
          <w:szCs w:val="18"/>
          <w:color w:val="auto"/>
        </w:rPr>
      </w:pPr>
      <w:r>
        <w:rPr>
          <w:rFonts w:ascii="Arial" w:cs="Arial" w:eastAsia="Arial" w:hAnsi="Arial"/>
          <w:sz w:val="20"/>
          <w:szCs w:val="20"/>
          <w:color w:val="auto"/>
        </w:rPr>
        <w:t>Accounts or payments hereunder, prior to actual payment, shall not be subject to attachment or seizure for the payment of any debts, judgments or other obligations. Plan Accounts or any other Plan benefit shall not be transferred by operation of law in the event of a Participant’s or any Beneficiary’s bankruptcy or insolvency.</w:t>
      </w:r>
    </w:p>
    <w:p>
      <w:pPr>
        <w:spacing w:after="0" w:line="227" w:lineRule="exact"/>
        <w:rPr>
          <w:rFonts w:ascii="Arial" w:cs="Arial" w:eastAsia="Arial" w:hAnsi="Arial"/>
          <w:sz w:val="18"/>
          <w:szCs w:val="18"/>
          <w:color w:val="auto"/>
        </w:rPr>
      </w:pPr>
    </w:p>
    <w:p>
      <w:pPr>
        <w:jc w:val="both"/>
        <w:ind w:left="40" w:right="40" w:firstLine="643"/>
        <w:spacing w:after="0" w:line="358" w:lineRule="auto"/>
        <w:tabs>
          <w:tab w:leader="none" w:pos="12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Plan shall comply with the terms of any valid domestic relations order submitted to the Committee. Any payment of a Participant’s Plan Account to a party other than the Participant pursuant to the terms of a domestic relations order shall be charged against and reduce the Participant’s Plan Account. Neither the Plan, the Corporation, the Committee, nor any other party shall be liable in any</w:t>
      </w:r>
    </w:p>
    <w:p>
      <w:pPr>
        <w:ind w:left="40" w:right="320"/>
        <w:spacing w:after="0" w:line="303" w:lineRule="auto"/>
        <w:rPr>
          <w:rFonts w:ascii="Arial" w:cs="Arial" w:eastAsia="Arial" w:hAnsi="Arial"/>
          <w:sz w:val="16"/>
          <w:szCs w:val="16"/>
          <w:color w:val="auto"/>
        </w:rPr>
      </w:pPr>
      <w:r>
        <w:rPr>
          <w:rFonts w:ascii="Arial" w:cs="Arial" w:eastAsia="Arial" w:hAnsi="Arial"/>
          <w:sz w:val="20"/>
          <w:szCs w:val="20"/>
          <w:color w:val="auto"/>
        </w:rPr>
        <w:t>manner to any person, including but not limited to any Participant or Beneficiary, for complying with the terms of a domestic relations order.</w:t>
      </w:r>
    </w:p>
    <w:p>
      <w:pPr>
        <w:spacing w:after="0" w:line="202" w:lineRule="exact"/>
        <w:rPr>
          <w:rFonts w:ascii="Arial" w:cs="Arial" w:eastAsia="Arial" w:hAnsi="Arial"/>
          <w:sz w:val="16"/>
          <w:szCs w:val="16"/>
          <w:color w:val="auto"/>
        </w:rPr>
      </w:pPr>
    </w:p>
    <w:p>
      <w:pPr>
        <w:ind w:left="1220" w:hanging="537"/>
        <w:spacing w:after="0"/>
        <w:tabs>
          <w:tab w:leader="none" w:pos="12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To the extent that any Participant, Beneficiary or other person receives an excess or erroneous payment under the Plan, the</w:t>
      </w:r>
    </w:p>
    <w:p>
      <w:pPr>
        <w:spacing w:after="0" w:line="99" w:lineRule="exact"/>
        <w:rPr>
          <w:rFonts w:ascii="Arial" w:cs="Arial" w:eastAsia="Arial" w:hAnsi="Arial"/>
          <w:sz w:val="16"/>
          <w:szCs w:val="16"/>
          <w:color w:val="auto"/>
        </w:rPr>
      </w:pPr>
    </w:p>
    <w:p>
      <w:pPr>
        <w:ind w:left="40" w:right="80"/>
        <w:spacing w:after="0" w:line="290" w:lineRule="auto"/>
        <w:rPr>
          <w:rFonts w:ascii="Arial" w:cs="Arial" w:eastAsia="Arial" w:hAnsi="Arial"/>
          <w:sz w:val="16"/>
          <w:szCs w:val="16"/>
          <w:color w:val="auto"/>
        </w:rPr>
      </w:pPr>
      <w:r>
        <w:rPr>
          <w:rFonts w:ascii="Arial" w:cs="Arial" w:eastAsia="Arial" w:hAnsi="Arial"/>
          <w:sz w:val="20"/>
          <w:szCs w:val="20"/>
          <w:color w:val="auto"/>
        </w:rPr>
        <w:t>amount of such excess or erroneous payment shall be held in a constructive trust for the benefit of the Corporation and the Plan, and shall be repaid by such person upon demand. The Committee may reduce any other benefit payable to such person or may pursue any remedy available at law or equity to recover the amount of such excess or erroneous payment or the proceeds thereof. Notwithstanding the foregoing, the amount payable to a Participant or Beneficiary may be offset by any amount owed to any RTX Company to the extent permitted by Section 409A.</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8.3 </w:t>
      </w:r>
      <w:r>
        <w:rPr>
          <w:rFonts w:ascii="Arial" w:cs="Arial" w:eastAsia="Arial" w:hAnsi="Arial"/>
          <w:sz w:val="20"/>
          <w:szCs w:val="20"/>
          <w:color w:val="auto"/>
        </w:rPr>
        <w:t>–</w:t>
      </w:r>
      <w:r>
        <w:rPr>
          <w:rFonts w:ascii="Arial" w:cs="Arial" w:eastAsia="Arial" w:hAnsi="Arial"/>
          <w:sz w:val="20"/>
          <w:szCs w:val="20"/>
          <w:b w:val="1"/>
          <w:bCs w:val="1"/>
          <w:color w:val="auto"/>
        </w:rPr>
        <w:t xml:space="preserve"> No Contract of Employment</w:t>
      </w:r>
    </w:p>
    <w:p>
      <w:pPr>
        <w:spacing w:after="0" w:line="262" w:lineRule="exact"/>
        <w:rPr>
          <w:sz w:val="20"/>
          <w:szCs w:val="20"/>
          <w:color w:val="auto"/>
        </w:rPr>
      </w:pPr>
    </w:p>
    <w:p>
      <w:pPr>
        <w:ind w:left="40" w:firstLine="648"/>
        <w:spacing w:after="0" w:line="290" w:lineRule="auto"/>
        <w:rPr>
          <w:sz w:val="20"/>
          <w:szCs w:val="20"/>
          <w:color w:val="auto"/>
        </w:rPr>
      </w:pPr>
      <w:r>
        <w:rPr>
          <w:rFonts w:ascii="Arial" w:cs="Arial" w:eastAsia="Arial" w:hAnsi="Arial"/>
          <w:sz w:val="20"/>
          <w:szCs w:val="20"/>
          <w:color w:val="auto"/>
        </w:rPr>
        <w:t>Participation in the Plan shall not be construed to constitute a direct or indirect contract of employment between any RTX Company and any Participant. Participants and Beneficiaries will have no rights against any RTX Company resulting from participation in the Plan other than as specifically provided herein. Nothing in the Plan shall be deemed to give a Participant the right to be retained in the service of any RTX Company for any length of time or to interfere with the right of any RTX Company to terminate a Participant’s employment.</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8.4 </w:t>
      </w:r>
      <w:r>
        <w:rPr>
          <w:rFonts w:ascii="Arial" w:cs="Arial" w:eastAsia="Arial" w:hAnsi="Arial"/>
          <w:sz w:val="20"/>
          <w:szCs w:val="20"/>
          <w:color w:val="auto"/>
        </w:rPr>
        <w:t>–</w:t>
      </w:r>
      <w:r>
        <w:rPr>
          <w:rFonts w:ascii="Arial" w:cs="Arial" w:eastAsia="Arial" w:hAnsi="Arial"/>
          <w:sz w:val="20"/>
          <w:szCs w:val="20"/>
          <w:b w:val="1"/>
          <w:bCs w:val="1"/>
          <w:color w:val="auto"/>
        </w:rPr>
        <w:t xml:space="preserve"> Governing Law</w:t>
      </w:r>
    </w:p>
    <w:p>
      <w:pPr>
        <w:spacing w:after="0" w:line="262" w:lineRule="exact"/>
        <w:rPr>
          <w:sz w:val="20"/>
          <w:szCs w:val="20"/>
          <w:color w:val="auto"/>
        </w:rPr>
      </w:pPr>
    </w:p>
    <w:p>
      <w:pPr>
        <w:ind w:left="40" w:right="480" w:firstLine="648"/>
        <w:spacing w:after="0" w:line="317" w:lineRule="auto"/>
        <w:rPr>
          <w:sz w:val="20"/>
          <w:szCs w:val="20"/>
          <w:color w:val="auto"/>
        </w:rPr>
      </w:pPr>
      <w:r>
        <w:rPr>
          <w:rFonts w:ascii="Arial" w:cs="Arial" w:eastAsia="Arial" w:hAnsi="Arial"/>
          <w:sz w:val="20"/>
          <w:szCs w:val="20"/>
          <w:color w:val="auto"/>
        </w:rPr>
        <w:t>The provisions of the Plan will be construed and interpreted according to the laws of the State of Delaware, to the extent not preempted by federal law.</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8.5 </w:t>
      </w:r>
      <w:r>
        <w:rPr>
          <w:rFonts w:ascii="Arial" w:cs="Arial" w:eastAsia="Arial" w:hAnsi="Arial"/>
          <w:sz w:val="20"/>
          <w:szCs w:val="20"/>
          <w:color w:val="auto"/>
        </w:rPr>
        <w:t>–</w:t>
      </w:r>
      <w:r>
        <w:rPr>
          <w:rFonts w:ascii="Arial" w:cs="Arial" w:eastAsia="Arial" w:hAnsi="Arial"/>
          <w:sz w:val="20"/>
          <w:szCs w:val="20"/>
          <w:b w:val="1"/>
          <w:bCs w:val="1"/>
          <w:color w:val="auto"/>
        </w:rPr>
        <w:t xml:space="preserve"> Validity</w:t>
      </w:r>
    </w:p>
    <w:p>
      <w:pPr>
        <w:spacing w:after="0" w:line="262" w:lineRule="exact"/>
        <w:rPr>
          <w:sz w:val="20"/>
          <w:szCs w:val="20"/>
          <w:color w:val="auto"/>
        </w:rPr>
      </w:pPr>
    </w:p>
    <w:p>
      <w:pPr>
        <w:ind w:left="40" w:right="220" w:firstLine="647"/>
        <w:spacing w:after="0" w:line="317" w:lineRule="auto"/>
        <w:rPr>
          <w:sz w:val="20"/>
          <w:szCs w:val="20"/>
          <w:color w:val="auto"/>
        </w:rPr>
      </w:pPr>
      <w:r>
        <w:rPr>
          <w:rFonts w:ascii="Arial" w:cs="Arial" w:eastAsia="Arial" w:hAnsi="Arial"/>
          <w:sz w:val="20"/>
          <w:szCs w:val="20"/>
          <w:color w:val="auto"/>
        </w:rPr>
        <w:t>If any provision of the Plan is held to be illegal or invalid for any reason, the remaining provisions of the Plan will be construed and enforced as if such illegal and invalid provision had never been inserted herein.</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 xml:space="preserve">Section 8.6 </w:t>
      </w:r>
      <w:r>
        <w:rPr>
          <w:rFonts w:ascii="Arial" w:cs="Arial" w:eastAsia="Arial" w:hAnsi="Arial"/>
          <w:sz w:val="20"/>
          <w:szCs w:val="20"/>
          <w:color w:val="auto"/>
        </w:rPr>
        <w:t>–</w:t>
      </w:r>
      <w:r>
        <w:rPr>
          <w:rFonts w:ascii="Arial" w:cs="Arial" w:eastAsia="Arial" w:hAnsi="Arial"/>
          <w:sz w:val="20"/>
          <w:szCs w:val="20"/>
          <w:b w:val="1"/>
          <w:bCs w:val="1"/>
          <w:color w:val="auto"/>
        </w:rPr>
        <w:t xml:space="preserve"> Notice</w:t>
      </w:r>
    </w:p>
    <w:p>
      <w:pPr>
        <w:spacing w:after="0" w:line="262" w:lineRule="exact"/>
        <w:rPr>
          <w:sz w:val="20"/>
          <w:szCs w:val="20"/>
          <w:color w:val="auto"/>
        </w:rPr>
      </w:pPr>
    </w:p>
    <w:p>
      <w:pPr>
        <w:ind w:left="40" w:firstLine="648"/>
        <w:spacing w:after="0" w:line="303" w:lineRule="auto"/>
        <w:rPr>
          <w:sz w:val="20"/>
          <w:szCs w:val="20"/>
          <w:color w:val="auto"/>
        </w:rPr>
      </w:pPr>
      <w:r>
        <w:rPr>
          <w:rFonts w:ascii="Arial" w:cs="Arial" w:eastAsia="Arial" w:hAnsi="Arial"/>
          <w:sz w:val="20"/>
          <w:szCs w:val="20"/>
          <w:color w:val="auto"/>
        </w:rPr>
        <w:t>Any notice or filing required or permitted to be given to the Committee under the Plan shall be sufficient if drafted to the attention of the Deferred Compensation Committee, and sent by first-class mail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14</w:t>
      </w:r>
      <w:r>
        <w:rPr>
          <w:rFonts w:ascii="Arial" w:cs="Arial" w:eastAsia="Arial" w:hAnsi="Arial"/>
          <w:sz w:val="22"/>
          <w:szCs w:val="22"/>
          <w:color w:val="auto"/>
        </w:rPr>
        <w:t>-</w:t>
      </w:r>
    </w:p>
    <w:p>
      <w:pPr>
        <w:sectPr>
          <w:pgSz w:w="11900" w:h="16838" w:orient="portrait"/>
          <w:cols w:equalWidth="0" w:num="1">
            <w:col w:w="11000"/>
          </w:cols>
          <w:pgMar w:left="400" w:top="1432" w:right="499" w:bottom="1440" w:gutter="0" w:footer="0" w:header="0"/>
        </w:sectPr>
      </w:pPr>
    </w:p>
    <w:bookmarkStart w:id="174" w:name="page175"/>
    <w:bookmarkEnd w:id="174"/>
    <w:p>
      <w:pPr>
        <w:ind w:right="180"/>
        <w:spacing w:after="0" w:line="290" w:lineRule="auto"/>
        <w:rPr>
          <w:sz w:val="20"/>
          <w:szCs w:val="20"/>
          <w:color w:val="auto"/>
        </w:rPr>
      </w:pPr>
      <w:r>
        <w:rPr>
          <w:rFonts w:ascii="Arial" w:cs="Arial" w:eastAsia="Arial" w:hAnsi="Arial"/>
          <w:sz w:val="20"/>
          <w:szCs w:val="20"/>
          <w:color w:val="auto"/>
        </w:rPr>
        <w:t>to RTX Corporation, c/o Vice President, Executive Compensation, 4 Farm Springs Road, Farmington, Connecticut 06032. Any notice or filing required or permitted to be given to any Participant or Beneficiary under the Plan shall be sufficient if provided either electronically, hand-delivered, or mailed to the address (or email address, as the case may be) of the Participant or Beneficiary then listed on the records of the Corporation. Any such notice will be deemed given as of the date of delivery or, if delivery is made by mail, as of the date shown on the postmark or email system.</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8.7 </w:t>
      </w:r>
      <w:r>
        <w:rPr>
          <w:rFonts w:ascii="Arial" w:cs="Arial" w:eastAsia="Arial" w:hAnsi="Arial"/>
          <w:sz w:val="20"/>
          <w:szCs w:val="20"/>
          <w:color w:val="auto"/>
        </w:rPr>
        <w:t>–</w:t>
      </w:r>
      <w:r>
        <w:rPr>
          <w:rFonts w:ascii="Arial" w:cs="Arial" w:eastAsia="Arial" w:hAnsi="Arial"/>
          <w:sz w:val="20"/>
          <w:szCs w:val="20"/>
          <w:b w:val="1"/>
          <w:bCs w:val="1"/>
          <w:color w:val="auto"/>
        </w:rPr>
        <w:t xml:space="preserve"> Successors</w:t>
      </w:r>
    </w:p>
    <w:p>
      <w:pPr>
        <w:spacing w:after="0" w:line="262" w:lineRule="exact"/>
        <w:rPr>
          <w:sz w:val="20"/>
          <w:szCs w:val="20"/>
          <w:color w:val="auto"/>
        </w:rPr>
      </w:pPr>
    </w:p>
    <w:p>
      <w:pPr>
        <w:ind w:firstLine="648"/>
        <w:spacing w:after="0" w:line="404" w:lineRule="auto"/>
        <w:rPr>
          <w:sz w:val="20"/>
          <w:szCs w:val="20"/>
          <w:color w:val="auto"/>
        </w:rPr>
      </w:pPr>
      <w:r>
        <w:rPr>
          <w:rFonts w:ascii="Arial" w:cs="Arial" w:eastAsia="Arial" w:hAnsi="Arial"/>
          <w:sz w:val="16"/>
          <w:szCs w:val="16"/>
          <w:color w:val="auto"/>
        </w:rPr>
        <w:t>The provisions of the Plan shall bind and inure to the benefit of the Corporation and its successors and assigns. The term “successors” as used herein shall include any corporate or other business entity, which by merger, consolidation, purchase or otherwise acquires all or substantially all of the business and assets of the Corporation, and successors of any such corporation or other business entity.</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8.8 </w:t>
      </w:r>
      <w:r>
        <w:rPr>
          <w:rFonts w:ascii="Arial" w:cs="Arial" w:eastAsia="Arial" w:hAnsi="Arial"/>
          <w:sz w:val="20"/>
          <w:szCs w:val="20"/>
          <w:color w:val="auto"/>
        </w:rPr>
        <w:t>–</w:t>
      </w:r>
      <w:r>
        <w:rPr>
          <w:rFonts w:ascii="Arial" w:cs="Arial" w:eastAsia="Arial" w:hAnsi="Arial"/>
          <w:sz w:val="20"/>
          <w:szCs w:val="20"/>
          <w:b w:val="1"/>
          <w:bCs w:val="1"/>
          <w:color w:val="auto"/>
        </w:rPr>
        <w:t xml:space="preserve"> Incompetence</w:t>
      </w:r>
    </w:p>
    <w:p>
      <w:pPr>
        <w:spacing w:after="0" w:line="276" w:lineRule="exact"/>
        <w:rPr>
          <w:sz w:val="20"/>
          <w:szCs w:val="20"/>
          <w:color w:val="auto"/>
        </w:rPr>
      </w:pPr>
    </w:p>
    <w:p>
      <w:pPr>
        <w:ind w:right="160" w:firstLine="648"/>
        <w:spacing w:after="0" w:line="306"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his or her affairs because of illness or accident, any payment due (unless prior claim therefore shall have been made by a duly authorized guardian or other legal representative) may be paid, upon appropriate indemnification of the Committee and the Corporation, to the spouse of the Participant or other person deemed by the Committee to have incurred expenses for the benefit of and on behalf of such Participant or Beneficiary. Any such payment from a Participant’s Plan Account shall be a complete discharge of any liability under the Plan with respect to the amount so paid.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IX - ADMINISTRATION AND CLAIMS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9.1 </w:t>
      </w:r>
      <w:r>
        <w:rPr>
          <w:rFonts w:ascii="Arial" w:cs="Arial" w:eastAsia="Arial" w:hAnsi="Arial"/>
          <w:sz w:val="20"/>
          <w:szCs w:val="20"/>
          <w:color w:val="auto"/>
        </w:rPr>
        <w:t>–</w:t>
      </w:r>
      <w:r>
        <w:rPr>
          <w:rFonts w:ascii="Arial" w:cs="Arial" w:eastAsia="Arial" w:hAnsi="Arial"/>
          <w:sz w:val="20"/>
          <w:szCs w:val="20"/>
          <w:b w:val="1"/>
          <w:bCs w:val="1"/>
          <w:color w:val="auto"/>
        </w:rPr>
        <w:t xml:space="preserve"> Plan Administration</w:t>
      </w:r>
    </w:p>
    <w:p>
      <w:pPr>
        <w:spacing w:after="0" w:line="2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9"/>
          <w:szCs w:val="19"/>
          <w:color w:val="auto"/>
        </w:rPr>
        <w:t>The Committee shall be solely responsible for the administration and operation of the Plan and shall be the “administrator” of the Plan for purposes of ERISA. The Committee shall have full and exclusive authority and discretion to interpret the provisions of the Plan and to establish such administrative procedures as it deems necessary and appropriate to carry out the purposes of the Plan. All decisions and interpretations of the Committee shall be final and binding on all parties.</w:t>
      </w:r>
    </w:p>
    <w:p>
      <w:pPr>
        <w:spacing w:after="0" w:line="197" w:lineRule="exact"/>
        <w:rPr>
          <w:sz w:val="20"/>
          <w:szCs w:val="20"/>
          <w:color w:val="auto"/>
        </w:rPr>
      </w:pPr>
    </w:p>
    <w:p>
      <w:pPr>
        <w:ind w:right="140" w:firstLine="648"/>
        <w:spacing w:after="0" w:line="290" w:lineRule="auto"/>
        <w:rPr>
          <w:sz w:val="20"/>
          <w:szCs w:val="20"/>
          <w:color w:val="auto"/>
        </w:rPr>
      </w:pPr>
      <w:r>
        <w:rPr>
          <w:rFonts w:ascii="Arial" w:cs="Arial" w:eastAsia="Arial" w:hAnsi="Arial"/>
          <w:sz w:val="20"/>
          <w:szCs w:val="20"/>
          <w:color w:val="auto"/>
        </w:rPr>
        <w:t>Any person claiming a benefit, requesting an interpretation or ruling under the Plan, or requesting information under the Plan shall present the request in writing to the attention of the Deferred Compensation Committee via email to: the RTX Total Rewards mailbox at RTXTotalRewards@rtx.com (preferred) or via postal mail to RTX Corporation, c/o Vice President, Executive Compensation, 4 Farm Springs Road, Farmington, CT 06032, Attn: Deferred Compensation Committee, MS 4FS-2. The Committee shall respond in writing as soon as practicable.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Section 9.2 </w:t>
      </w:r>
      <w:r>
        <w:rPr>
          <w:rFonts w:ascii="Arial" w:cs="Arial" w:eastAsia="Arial" w:hAnsi="Arial"/>
          <w:sz w:val="20"/>
          <w:szCs w:val="20"/>
          <w:color w:val="auto"/>
        </w:rPr>
        <w:t>–</w:t>
      </w:r>
      <w:r>
        <w:rPr>
          <w:rFonts w:ascii="Arial" w:cs="Arial" w:eastAsia="Arial" w:hAnsi="Arial"/>
          <w:sz w:val="20"/>
          <w:szCs w:val="20"/>
          <w:b w:val="1"/>
          <w:bCs w:val="1"/>
          <w:color w:val="auto"/>
        </w:rPr>
        <w:t xml:space="preserve"> Claim Procedures</w:t>
      </w:r>
    </w:p>
    <w:p>
      <w:pPr>
        <w:spacing w:after="0" w:line="262" w:lineRule="exact"/>
        <w:rPr>
          <w:sz w:val="20"/>
          <w:szCs w:val="20"/>
          <w:color w:val="auto"/>
        </w:rPr>
      </w:pPr>
    </w:p>
    <w:p>
      <w:pPr>
        <w:ind w:right="480" w:firstLine="648"/>
        <w:spacing w:after="0" w:line="303" w:lineRule="auto"/>
        <w:rPr>
          <w:sz w:val="20"/>
          <w:szCs w:val="20"/>
          <w:color w:val="auto"/>
        </w:rPr>
      </w:pPr>
      <w:r>
        <w:rPr>
          <w:rFonts w:ascii="Arial" w:cs="Arial" w:eastAsia="Arial" w:hAnsi="Arial"/>
          <w:sz w:val="20"/>
          <w:szCs w:val="20"/>
          <w:color w:val="auto"/>
        </w:rPr>
        <w:t>A Participant or Beneficiary who believes that he or she has been denied a benefit to which he or she is entitled under the Plan (referred to in this Section 9.2 as a “Claimant”) may file a written request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15</w:t>
      </w:r>
      <w:r>
        <w:rPr>
          <w:rFonts w:ascii="Arial" w:cs="Arial" w:eastAsia="Arial" w:hAnsi="Arial"/>
          <w:sz w:val="22"/>
          <w:szCs w:val="22"/>
          <w:color w:val="auto"/>
        </w:rPr>
        <w:t>-</w:t>
      </w:r>
    </w:p>
    <w:p>
      <w:pPr>
        <w:sectPr>
          <w:pgSz w:w="11900" w:h="16838" w:orient="portrait"/>
          <w:cols w:equalWidth="0" w:num="1">
            <w:col w:w="11120"/>
          </w:cols>
          <w:pgMar w:left="440" w:top="1432" w:right="3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color w:val="auto"/>
        </w:rPr>
        <w:t>with the Committee setting forth the claim. The Committee shall consider and resolve the claim as set forth below.</w:t>
      </w:r>
    </w:p>
    <w:p>
      <w:pPr>
        <w:spacing w:after="0" w:line="256" w:lineRule="exact"/>
        <w:rPr>
          <w:sz w:val="20"/>
          <w:szCs w:val="20"/>
          <w:color w:val="auto"/>
        </w:rPr>
      </w:pPr>
    </w:p>
    <w:p>
      <w:pPr>
        <w:jc w:val="both"/>
        <w:ind w:left="40" w:right="20" w:firstLine="643"/>
        <w:spacing w:after="0" w:line="312" w:lineRule="auto"/>
        <w:tabs>
          <w:tab w:leader="none" w:pos="1225" w:val="left"/>
        </w:tabs>
        <w:numPr>
          <w:ilvl w:val="1"/>
          <w:numId w:val="157"/>
        </w:numPr>
        <w:rPr>
          <w:rFonts w:ascii="Arial" w:cs="Arial" w:eastAsia="Arial" w:hAnsi="Arial"/>
          <w:sz w:val="19"/>
          <w:szCs w:val="19"/>
          <w:color w:val="auto"/>
        </w:rPr>
      </w:pPr>
      <w:r>
        <w:rPr>
          <w:rFonts w:ascii="Arial" w:cs="Arial" w:eastAsia="Arial" w:hAnsi="Arial"/>
          <w:sz w:val="18"/>
          <w:szCs w:val="18"/>
          <w:color w:val="auto"/>
        </w:rPr>
        <w:t>Upon receipt of a claim, the Committee shall advise the Claimant that a response will be forthcoming within ninety (90) days. The Committee may, however, extend the response period for up to an additional ninety (90) days for reasonable cause, and shall</w:t>
      </w:r>
    </w:p>
    <w:p>
      <w:pPr>
        <w:ind w:left="40" w:right="20"/>
        <w:spacing w:after="0" w:line="303" w:lineRule="auto"/>
        <w:rPr>
          <w:rFonts w:ascii="Arial" w:cs="Arial" w:eastAsia="Arial" w:hAnsi="Arial"/>
          <w:sz w:val="19"/>
          <w:szCs w:val="19"/>
          <w:color w:val="auto"/>
        </w:rPr>
      </w:pPr>
      <w:r>
        <w:rPr>
          <w:rFonts w:ascii="Arial" w:cs="Arial" w:eastAsia="Arial" w:hAnsi="Arial"/>
          <w:sz w:val="20"/>
          <w:szCs w:val="20"/>
          <w:color w:val="auto"/>
        </w:rPr>
        <w:t>notify the Claimant of the reason for the extension and the expected response date. The Committee shall respond to the claim within the specified period.</w:t>
      </w:r>
    </w:p>
    <w:p>
      <w:pPr>
        <w:spacing w:after="0" w:line="215" w:lineRule="exact"/>
        <w:rPr>
          <w:rFonts w:ascii="Arial" w:cs="Arial" w:eastAsia="Arial" w:hAnsi="Arial"/>
          <w:sz w:val="19"/>
          <w:szCs w:val="19"/>
          <w:color w:val="auto"/>
        </w:rPr>
      </w:pPr>
    </w:p>
    <w:p>
      <w:pPr>
        <w:jc w:val="both"/>
        <w:ind w:left="40" w:firstLine="643"/>
        <w:spacing w:after="0" w:line="293" w:lineRule="auto"/>
        <w:tabs>
          <w:tab w:leader="none" w:pos="1222" w:val="left"/>
        </w:tabs>
        <w:numPr>
          <w:ilvl w:val="1"/>
          <w:numId w:val="157"/>
        </w:numPr>
        <w:rPr>
          <w:rFonts w:ascii="Arial" w:cs="Arial" w:eastAsia="Arial" w:hAnsi="Arial"/>
          <w:sz w:val="21"/>
          <w:szCs w:val="21"/>
          <w:color w:val="auto"/>
        </w:rPr>
      </w:pPr>
      <w:r>
        <w:rPr>
          <w:rFonts w:ascii="Arial" w:cs="Arial" w:eastAsia="Arial" w:hAnsi="Arial"/>
          <w:sz w:val="19"/>
          <w:szCs w:val="19"/>
          <w:color w:val="auto"/>
        </w:rPr>
        <w:t>If the claim is denied in whole or in part, the Committee shall provide the Claimant with a written decision, using language calculated to be understood by the Claimant, setting forth (1) the specific reason or reasons for such denial; (2) the specific reference to relevant provisions of this Plan on which such denial is based; (3) a description of any additional material or information necessary for the Claimant to perfect his or her claim and an explanation why such material or such information is necessary; (4) appropriate information as to the steps to be taken if the Claimant wishes to submit the claim for review;</w:t>
      </w:r>
    </w:p>
    <w:p>
      <w:pPr>
        <w:spacing w:after="0" w:line="1" w:lineRule="exact"/>
        <w:rPr>
          <w:rFonts w:ascii="Arial" w:cs="Arial" w:eastAsia="Arial" w:hAnsi="Arial"/>
          <w:sz w:val="21"/>
          <w:szCs w:val="21"/>
          <w:color w:val="auto"/>
        </w:rPr>
      </w:pPr>
    </w:p>
    <w:p>
      <w:pPr>
        <w:ind w:left="320" w:hanging="284"/>
        <w:spacing w:after="0"/>
        <w:tabs>
          <w:tab w:leader="none" w:pos="3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time limits for requesting a review of the claim; and (6) the Claimant’s right to bring an action for benefits under Section 502(a) of</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20"/>
          <w:szCs w:val="20"/>
          <w:color w:val="auto"/>
        </w:rPr>
        <w:t>ERISA.</w:t>
      </w:r>
    </w:p>
    <w:p>
      <w:pPr>
        <w:spacing w:after="0" w:line="256" w:lineRule="exact"/>
        <w:rPr>
          <w:rFonts w:ascii="Arial" w:cs="Arial" w:eastAsia="Arial" w:hAnsi="Arial"/>
          <w:sz w:val="18"/>
          <w:szCs w:val="18"/>
          <w:color w:val="auto"/>
        </w:rPr>
      </w:pPr>
    </w:p>
    <w:p>
      <w:pPr>
        <w:jc w:val="both"/>
        <w:ind w:left="40" w:firstLine="643"/>
        <w:spacing w:after="0" w:line="283" w:lineRule="auto"/>
        <w:tabs>
          <w:tab w:leader="none" w:pos="1225" w:val="left"/>
        </w:tabs>
        <w:numPr>
          <w:ilvl w:val="1"/>
          <w:numId w:val="158"/>
        </w:numPr>
        <w:rPr>
          <w:rFonts w:ascii="Arial" w:cs="Arial" w:eastAsia="Arial" w:hAnsi="Arial"/>
          <w:sz w:val="22"/>
          <w:szCs w:val="22"/>
          <w:color w:val="auto"/>
        </w:rPr>
      </w:pPr>
      <w:r>
        <w:rPr>
          <w:rFonts w:ascii="Arial" w:cs="Arial" w:eastAsia="Arial" w:hAnsi="Arial"/>
          <w:sz w:val="20"/>
          <w:szCs w:val="20"/>
          <w:color w:val="auto"/>
        </w:rPr>
        <w:t>Within sixty (60) days after the Claimant’s receipt of the written decision denying the claim in whole or in part, the Claimant may request in writing that the Committee review the determination. The Claimant or his or her duly authorized representative may, but need not, review the relevant documents and submit issues and comments in writing for consideration by the Committee. If the Claimant does not request a review of the initial determination within such sixty (60)-day period, the Claimant shall be barred from challenging the determination.</w:t>
      </w:r>
    </w:p>
    <w:p>
      <w:pPr>
        <w:spacing w:after="0" w:line="250" w:lineRule="exact"/>
        <w:rPr>
          <w:rFonts w:ascii="Arial" w:cs="Arial" w:eastAsia="Arial" w:hAnsi="Arial"/>
          <w:sz w:val="22"/>
          <w:szCs w:val="22"/>
          <w:color w:val="auto"/>
        </w:rPr>
      </w:pPr>
    </w:p>
    <w:p>
      <w:pPr>
        <w:jc w:val="both"/>
        <w:ind w:left="40" w:firstLine="643"/>
        <w:spacing w:after="0" w:line="298" w:lineRule="auto"/>
        <w:tabs>
          <w:tab w:leader="none" w:pos="1223" w:val="left"/>
        </w:tabs>
        <w:numPr>
          <w:ilvl w:val="1"/>
          <w:numId w:val="158"/>
        </w:numPr>
        <w:rPr>
          <w:rFonts w:ascii="Arial" w:cs="Arial" w:eastAsia="Arial" w:hAnsi="Arial"/>
          <w:sz w:val="21"/>
          <w:szCs w:val="21"/>
          <w:color w:val="auto"/>
        </w:rPr>
      </w:pPr>
      <w:r>
        <w:rPr>
          <w:rFonts w:ascii="Arial" w:cs="Arial" w:eastAsia="Arial" w:hAnsi="Arial"/>
          <w:sz w:val="19"/>
          <w:szCs w:val="19"/>
          <w:color w:val="auto"/>
        </w:rPr>
        <w:t>Within sixty (60) days after the Committee receives a request for review, it will review the initial determination. If special circumstances require that the sixty (60)-day time period be extended, the Committee will so notify the Claimant and will render the decision as soon as possible, but no later than one hundred twenty (120) days after receipt of the request for review.</w:t>
      </w:r>
    </w:p>
    <w:p>
      <w:pPr>
        <w:spacing w:after="0" w:line="237" w:lineRule="exact"/>
        <w:rPr>
          <w:rFonts w:ascii="Arial" w:cs="Arial" w:eastAsia="Arial" w:hAnsi="Arial"/>
          <w:sz w:val="21"/>
          <w:szCs w:val="21"/>
          <w:color w:val="auto"/>
        </w:rPr>
      </w:pPr>
    </w:p>
    <w:p>
      <w:pPr>
        <w:jc w:val="both"/>
        <w:ind w:left="40" w:firstLine="643"/>
        <w:spacing w:after="0" w:line="283" w:lineRule="auto"/>
        <w:tabs>
          <w:tab w:leader="none" w:pos="1225" w:val="left"/>
        </w:tabs>
        <w:numPr>
          <w:ilvl w:val="1"/>
          <w:numId w:val="158"/>
        </w:numPr>
        <w:rPr>
          <w:rFonts w:ascii="Arial" w:cs="Arial" w:eastAsia="Arial" w:hAnsi="Arial"/>
          <w:sz w:val="22"/>
          <w:szCs w:val="22"/>
          <w:color w:val="auto"/>
        </w:rPr>
      </w:pPr>
      <w:r>
        <w:rPr>
          <w:rFonts w:ascii="Arial" w:cs="Arial" w:eastAsia="Arial" w:hAnsi="Arial"/>
          <w:sz w:val="20"/>
          <w:szCs w:val="20"/>
          <w:color w:val="auto"/>
        </w:rPr>
        <w:t>All decisions on review shall be final and binding with respect to all concerned parties. The decision on review shall set forth, in a manner calculated to be understood by the Claimant, (1) the specific reasons for the decision, including references to the relevant Plan provisions upon which the decision is based; (2) the Claimant’s right to receive, upon request and free of charge, reasonable access to and copies of all documents, records, and other information, relevant to his or her benefits; and (3) the Claimant’s right to bring an action for benefits under Section 502(a) of ERISA.</w:t>
      </w:r>
    </w:p>
    <w:p>
      <w:pPr>
        <w:spacing w:after="0" w:line="236" w:lineRule="exact"/>
        <w:rPr>
          <w:rFonts w:ascii="Arial" w:cs="Arial" w:eastAsia="Arial" w:hAnsi="Arial"/>
          <w:sz w:val="22"/>
          <w:szCs w:val="22"/>
          <w:color w:val="auto"/>
        </w:rPr>
      </w:pPr>
    </w:p>
    <w:p>
      <w:pPr>
        <w:ind w:left="40" w:right="20" w:firstLine="643"/>
        <w:spacing w:after="0" w:line="365" w:lineRule="auto"/>
        <w:tabs>
          <w:tab w:leader="none" w:pos="1228" w:val="left"/>
        </w:tabs>
        <w:numPr>
          <w:ilvl w:val="1"/>
          <w:numId w:val="158"/>
        </w:numPr>
        <w:rPr>
          <w:rFonts w:ascii="Arial" w:cs="Arial" w:eastAsia="Arial" w:hAnsi="Arial"/>
          <w:sz w:val="19"/>
          <w:szCs w:val="19"/>
          <w:color w:val="auto"/>
        </w:rPr>
      </w:pPr>
      <w:r>
        <w:rPr>
          <w:rFonts w:ascii="Arial" w:cs="Arial" w:eastAsia="Arial" w:hAnsi="Arial"/>
          <w:sz w:val="18"/>
          <w:szCs w:val="18"/>
          <w:color w:val="auto"/>
        </w:rPr>
        <w:t>No legal action or arbitration may be commenced by a Participant later than one hundred eighty (180) days subsequent to the date of the written response of the Committee to such Participant’s request for review pursuant to Section 9.2(e).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16</w:t>
      </w:r>
      <w:r>
        <w:rPr>
          <w:rFonts w:ascii="Arial" w:cs="Arial" w:eastAsia="Arial" w:hAnsi="Arial"/>
          <w:sz w:val="22"/>
          <w:szCs w:val="22"/>
          <w:color w:val="auto"/>
        </w:rPr>
        <w:t>-</w:t>
      </w:r>
    </w:p>
    <w:p>
      <w:pPr>
        <w:sectPr>
          <w:pgSz w:w="11900" w:h="16838" w:orient="portrait"/>
          <w:cols w:equalWidth="0" w:num="1">
            <w:col w:w="11060"/>
          </w:cols>
          <w:pgMar w:left="400" w:top="1432" w:right="4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b w:val="1"/>
          <w:bCs w:val="1"/>
          <w:color w:val="auto"/>
        </w:rPr>
        <w:t>CERTAIN REGULATORY MATTERS</w:t>
      </w:r>
    </w:p>
    <w:p>
      <w:pPr>
        <w:spacing w:after="0" w:line="303" w:lineRule="exact"/>
        <w:rPr>
          <w:sz w:val="20"/>
          <w:szCs w:val="20"/>
          <w:color w:val="auto"/>
        </w:rPr>
      </w:pPr>
    </w:p>
    <w:p>
      <w:pPr>
        <w:ind w:left="40" w:right="180"/>
        <w:spacing w:after="0" w:line="290" w:lineRule="auto"/>
        <w:rPr>
          <w:sz w:val="20"/>
          <w:szCs w:val="20"/>
          <w:color w:val="auto"/>
        </w:rPr>
      </w:pPr>
      <w:r>
        <w:rPr>
          <w:rFonts w:ascii="Arial" w:cs="Arial" w:eastAsia="Arial" w:hAnsi="Arial"/>
          <w:sz w:val="20"/>
          <w:szCs w:val="20"/>
          <w:color w:val="auto"/>
        </w:rPr>
        <w:t>The Plan is subject to ERISA. Because the Plan is an unfunded plan maintained by an employer primarily for the purpose of providing deferred compensation for a select group of management or highly compensated employees, the Plan is exempt from most of ERISA’s requirements. Although the Plan is subject to Part 1 (Reporting and Disclosure) and Part 5 (Administration and Enforcement) of Title I, Subtitle B of ERISA, the Department of Labor has issued a regulation that exempts the Plan from most of ERISA’s reporting and disclosure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TO WHOM SHOULD QUESTIONS CONCERNING THE PLAN BE DIRECTED?</w:t>
      </w:r>
    </w:p>
    <w:p>
      <w:pPr>
        <w:spacing w:after="0" w:line="262" w:lineRule="exact"/>
        <w:rPr>
          <w:sz w:val="20"/>
          <w:szCs w:val="20"/>
          <w:color w:val="auto"/>
        </w:rPr>
      </w:pPr>
    </w:p>
    <w:p>
      <w:pPr>
        <w:jc w:val="both"/>
        <w:ind w:left="40"/>
        <w:spacing w:after="0" w:line="299" w:lineRule="auto"/>
        <w:rPr>
          <w:sz w:val="20"/>
          <w:szCs w:val="20"/>
          <w:color w:val="auto"/>
        </w:rPr>
      </w:pPr>
      <w:r>
        <w:rPr>
          <w:rFonts w:ascii="Arial" w:cs="Arial" w:eastAsia="Arial" w:hAnsi="Arial"/>
          <w:sz w:val="20"/>
          <w:szCs w:val="20"/>
          <w:color w:val="auto"/>
        </w:rPr>
        <w:t xml:space="preserve">All questions concerning the operation of the Plan (including information concerning the administrators of the Plan) should be directed to the RTX Total Rewards mailbox to the attention of the Deferred Compensation Committee at </w:t>
      </w:r>
      <w:r>
        <w:rPr>
          <w:rFonts w:ascii="Arial" w:cs="Arial" w:eastAsia="Arial" w:hAnsi="Arial"/>
          <w:sz w:val="20"/>
          <w:szCs w:val="20"/>
          <w:u w:val="single" w:color="auto"/>
          <w:color w:val="0562C1"/>
        </w:rPr>
        <w:t>RTXTotalRewards@rtx.com</w:t>
      </w:r>
      <w:r>
        <w:rPr>
          <w:rFonts w:ascii="Arial" w:cs="Arial" w:eastAsia="Arial" w:hAnsi="Arial"/>
          <w:sz w:val="20"/>
          <w:szCs w:val="20"/>
          <w:color w:val="auto"/>
        </w:rPr>
        <w:t xml:space="preserve"> (preferred) or via postal mail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RTX Corporation</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4 Farm Springs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Farmington, CT 06032</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Vice President,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RTX CORPORATION</w:t>
      </w:r>
    </w:p>
    <w:p>
      <w:pPr>
        <w:spacing w:after="0" w:line="200" w:lineRule="exact"/>
        <w:rPr>
          <w:sz w:val="20"/>
          <w:szCs w:val="20"/>
          <w:color w:val="auto"/>
        </w:rPr>
      </w:pPr>
    </w:p>
    <w:p>
      <w:pPr>
        <w:spacing w:after="0" w:line="24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Jeffrey W. Kridler</w:t>
      </w:r>
    </w:p>
    <w:p>
      <w:pPr>
        <w:ind w:left="4220"/>
        <w:spacing w:after="0" w:line="197" w:lineRule="auto"/>
        <w:rPr>
          <w:sz w:val="20"/>
          <w:szCs w:val="20"/>
          <w:color w:val="auto"/>
        </w:rPr>
      </w:pPr>
      <w:r>
        <w:rPr>
          <w:rFonts w:ascii="Arial" w:cs="Arial" w:eastAsia="Arial" w:hAnsi="Arial"/>
          <w:sz w:val="20"/>
          <w:szCs w:val="20"/>
          <w:color w:val="auto"/>
        </w:rPr>
        <w:t>Jeffrey W. Kridler</w:t>
      </w:r>
    </w:p>
    <w:p>
      <w:pPr>
        <w:ind w:left="4240"/>
        <w:spacing w:after="0"/>
        <w:rPr>
          <w:sz w:val="20"/>
          <w:szCs w:val="20"/>
          <w:color w:val="auto"/>
        </w:rPr>
      </w:pPr>
      <w:r>
        <w:rPr>
          <w:rFonts w:ascii="Arial" w:cs="Arial" w:eastAsia="Arial" w:hAnsi="Arial"/>
          <w:sz w:val="20"/>
          <w:szCs w:val="20"/>
          <w:color w:val="auto"/>
        </w:rPr>
        <w:t>Corporate 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Attest: </w:t>
      </w:r>
      <w:r>
        <w:rPr>
          <w:rFonts w:ascii="Arial" w:cs="Arial" w:eastAsia="Arial" w:hAnsi="Arial"/>
          <w:sz w:val="20"/>
          <w:szCs w:val="20"/>
          <w:u w:val="single" w:color="auto"/>
          <w:color w:val="auto"/>
        </w:rPr>
        <w:t>/s/ Christine L. Hill</w:t>
      </w:r>
    </w:p>
    <w:p>
      <w:pPr>
        <w:ind w:left="580"/>
        <w:spacing w:after="0" w:line="211" w:lineRule="auto"/>
        <w:rPr>
          <w:sz w:val="20"/>
          <w:szCs w:val="20"/>
          <w:color w:val="auto"/>
        </w:rPr>
      </w:pPr>
      <w:r>
        <w:rPr>
          <w:rFonts w:ascii="Arial" w:cs="Arial" w:eastAsia="Arial" w:hAnsi="Arial"/>
          <w:sz w:val="20"/>
          <w:szCs w:val="20"/>
          <w:color w:val="auto"/>
        </w:rPr>
        <w:t>Christine L. Hill</w:t>
      </w:r>
    </w:p>
    <w:p>
      <w:pPr>
        <w:ind w:left="600"/>
        <w:spacing w:after="0"/>
        <w:rPr>
          <w:sz w:val="20"/>
          <w:szCs w:val="20"/>
          <w:color w:val="auto"/>
        </w:rPr>
      </w:pPr>
      <w:r>
        <w:rPr>
          <w:rFonts w:ascii="Arial" w:cs="Arial" w:eastAsia="Arial" w:hAnsi="Arial"/>
          <w:sz w:val="20"/>
          <w:szCs w:val="20"/>
          <w:color w:val="auto"/>
        </w:rPr>
        <w:t>VP &amp; AGC, Executive &amp; Global Compensation &amp; Benefits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17</w:t>
      </w:r>
      <w:r>
        <w:rPr>
          <w:rFonts w:ascii="Arial" w:cs="Arial" w:eastAsia="Arial" w:hAnsi="Arial"/>
          <w:sz w:val="22"/>
          <w:szCs w:val="22"/>
          <w:color w:val="auto"/>
        </w:rPr>
        <w:t>-</w:t>
      </w:r>
    </w:p>
    <w:p>
      <w:pPr>
        <w:sectPr>
          <w:pgSz w:w="11900" w:h="16838" w:orient="portrait"/>
          <w:cols w:equalWidth="0" w:num="1">
            <w:col w:w="10940"/>
          </w:cols>
          <w:pgMar w:left="400" w:top="1426" w:right="55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740"/>
        <w:spacing w:after="0" w:line="249" w:lineRule="auto"/>
        <w:rPr>
          <w:sz w:val="20"/>
          <w:szCs w:val="20"/>
          <w:color w:val="auto"/>
        </w:rPr>
      </w:pPr>
      <w:r>
        <w:rPr>
          <w:rFonts w:ascii="Arial" w:cs="Arial" w:eastAsia="Arial" w:hAnsi="Arial"/>
          <w:sz w:val="18"/>
          <w:szCs w:val="18"/>
          <w:color w:val="auto"/>
        </w:rPr>
        <w:t>We are aware that our report dated October 24, 2023 on our review of interim financial information of RTX Corporation, which appears in this Quarterly Report on Form 10-Q, is incorporated by reference in the Registration Statements on Form S-3 (No. 333-267564) and S-8 (Nos. 333-273420, 333-273414, 333-234085, 333-228649, 333-225839, 333-197704, 333-175781, 333-150643, 333-125293, 333-110020, and 333-100724) of RTX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240"/>
          </w:cols>
          <w:pgMar w:left="320" w:top="89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RTX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October 24, 2023</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J. HAYES</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Gregory J. Hayes</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RTX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October 24, 2023</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NEIL G. MITCHILL, JR.</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Neil G. Mitchill, Jr.</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RTX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Date:   October 24, 2023</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AMY L. JOHNSON</w:t>
            </w:r>
          </w:p>
        </w:tc>
      </w:tr>
      <w:tr>
        <w:trPr>
          <w:trHeight w:val="222"/>
        </w:trPr>
        <w:tc>
          <w:tcPr>
            <w:tcW w:w="626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Amy L. Johnson</w:t>
            </w:r>
          </w:p>
        </w:tc>
      </w:tr>
      <w:tr>
        <w:trPr>
          <w:trHeight w:val="230"/>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Corporate Vice President and Controller</w:t>
            </w:r>
          </w:p>
        </w:tc>
      </w:tr>
    </w:tbl>
    <w:p>
      <w:pPr>
        <w:sectPr>
          <w:pgSz w:w="11900" w:h="16838" w:orient="portrait"/>
          <w:cols w:equalWidth="0" w:num="1">
            <w:col w:w="11240"/>
          </w:cols>
          <w:pgMar w:left="320" w:top="89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that:</w:t>
      </w:r>
    </w:p>
    <w:p>
      <w:pPr>
        <w:spacing w:after="0" w:line="62"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The Quarterly Report on Form 10-Q for the quarter ended September 30, 2023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ectPr>
          <w:pgSz w:w="11900" w:h="16838" w:orient="portrait"/>
          <w:cols w:equalWidth="0" w:num="1">
            <w:col w:w="11240"/>
          </w:cols>
          <w:pgMar w:left="320" w:top="891" w:right="339" w:bottom="1440" w:gutter="0" w:footer="0" w:header="0"/>
        </w:sectPr>
      </w:pPr>
    </w:p>
    <w:p>
      <w:pPr>
        <w:spacing w:after="0" w:line="373"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6"/>
          <w:szCs w:val="16"/>
          <w:color w:val="auto"/>
        </w:rPr>
        <w:t>Date:</w:t>
        <w:tab/>
        <w:t>October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6"/>
          <w:szCs w:val="16"/>
          <w:color w:val="auto"/>
        </w:rPr>
        <w:t>Date:</w:t>
        <w:tab/>
        <w:t>October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6"/>
          <w:szCs w:val="16"/>
          <w:color w:val="auto"/>
        </w:rPr>
        <w:t>Date:</w:t>
        <w:tab/>
        <w:t>October 24, 2023</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8830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Gregory J.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8830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Neil G. Mitchill, Jr.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38830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Amy L. Johnson</w:t>
      </w:r>
    </w:p>
    <w:p>
      <w:pPr>
        <w:spacing w:after="0" w:line="23"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Corporate Vice President and Controller</w:t>
      </w:r>
    </w:p>
    <w:sectPr>
      <w:pgSz w:w="11900" w:h="16838" w:orient="portrait"/>
      <w:cols w:equalWidth="0" w:num="2">
        <w:col w:w="4380" w:space="720"/>
        <w:col w:w="6140"/>
      </w:cols>
      <w:pgMar w:left="320" w:top="89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decimal"/>
      <w:start w:val="1"/>
    </w:lvl>
  </w:abstractNum>
  <w:abstractNum w:abstractNumId="4">
    <w:nsid w:val="1A27709E"/>
    <w:multiLevelType w:val="hybridMultilevel"/>
    <w:lvl w:ilvl="0">
      <w:lvlJc w:val="left"/>
      <w:lvlText w:val="&amp;"/>
      <w:numFmt w:val="bullet"/>
      <w:start w:val="1"/>
    </w:lvl>
  </w:abstractNum>
  <w:abstractNum w:abstractNumId="5">
    <w:nsid w:val="71EA1109"/>
    <w:multiLevelType w:val="hybridMultilevel"/>
    <w:lvl w:ilvl="0">
      <w:lvlJc w:val="left"/>
      <w:lvlText w:val="&amp;"/>
      <w:numFmt w:val="bullet"/>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1)"/>
      <w:numFmt w:val="decimal"/>
      <w:start w:val="1"/>
    </w:lvl>
  </w:abstractNum>
  <w:abstractNum w:abstractNumId="11">
    <w:nsid w:val="885E1B"/>
    <w:multiLevelType w:val="hybridMultilevel"/>
    <w:lvl w:ilvl="0">
      <w:lvlJc w:val="left"/>
      <w:lvlText w:val="(%1)"/>
      <w:numFmt w:val="decimal"/>
      <w:start w:val="1"/>
    </w:lvl>
  </w:abstractNum>
  <w:abstractNum w:abstractNumId="12">
    <w:nsid w:val="76272110"/>
    <w:multiLevelType w:val="hybridMultilevel"/>
    <w:lvl w:ilvl="0">
      <w:lvlJc w:val="left"/>
      <w:lvlText w:val="(%1)"/>
      <w:numFmt w:val="decimal"/>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1)"/>
      <w:numFmt w:val="decimal"/>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1)"/>
      <w:numFmt w:val="lowerLetter"/>
      <w:start w:val="1"/>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decimal"/>
      <w:start w:val="3"/>
    </w:lvl>
  </w:abstractNum>
  <w:abstractNum w:abstractNumId="25">
    <w:nsid w:val="43F18422"/>
    <w:multiLevelType w:val="hybridMultilevel"/>
    <w:lvl w:ilvl="0">
      <w:lvlJc w:val="left"/>
      <w:lvlText w:val="(%1)"/>
      <w:numFmt w:val="lowerLetter"/>
      <w:start w:val="1"/>
    </w:lvl>
  </w:abstractNum>
  <w:abstractNum w:abstractNumId="26">
    <w:nsid w:val="60EF0119"/>
    <w:multiLevelType w:val="hybridMultilevel"/>
    <w:lvl w:ilvl="0">
      <w:lvlJc w:val="left"/>
      <w:lvlText w:val="%1"/>
      <w:numFmt w:val="lowerLetter"/>
      <w:start w:val="1"/>
    </w:lvl>
    <w:lvl w:ilvl="1">
      <w:lvlJc w:val="left"/>
      <w:lvlText w:val="(%2)"/>
      <w:numFmt w:val="lowerRoman"/>
      <w:start w:val="1"/>
    </w:lvl>
  </w:abstractNum>
  <w:abstractNum w:abstractNumId="27">
    <w:nsid w:val="26F324BA"/>
    <w:multiLevelType w:val="hybridMultilevel"/>
    <w:lvl w:ilvl="0">
      <w:lvlJc w:val="left"/>
      <w:lvlText w:val="(%1)"/>
      <w:numFmt w:val="lowerLetter"/>
      <w:start w:val="2"/>
    </w:lvl>
    <w:lvl w:ilvl="1">
      <w:lvlJc w:val="left"/>
      <w:lvlText w:val="(%2)"/>
      <w:numFmt w:val="lowerRoman"/>
      <w:start w:val="1"/>
    </w:lvl>
  </w:abstractNum>
  <w:abstractNum w:abstractNumId="28">
    <w:nsid w:val="7F01579B"/>
    <w:multiLevelType w:val="hybridMultilevel"/>
    <w:lvl w:ilvl="0">
      <w:lvlJc w:val="left"/>
      <w:lvlText w:val="(%1)"/>
      <w:numFmt w:val="lowerRoman"/>
      <w:start w:val="3"/>
    </w:lvl>
  </w:abstractNum>
  <w:abstractNum w:abstractNumId="29">
    <w:nsid w:val="49DA307D"/>
    <w:multiLevelType w:val="hybridMultilevel"/>
    <w:lvl w:ilvl="0">
      <w:lvlJc w:val="left"/>
      <w:lvlText w:val="(%1)"/>
      <w:numFmt w:val="lowerLetter"/>
      <w:start w:val="3"/>
    </w:lvl>
  </w:abstractNum>
  <w:abstractNum w:abstractNumId="30">
    <w:nsid w:val="7055A5F5"/>
    <w:multiLevelType w:val="hybridMultilevel"/>
    <w:lvl w:ilvl="0">
      <w:lvlJc w:val="left"/>
      <w:lvlText w:val="(%1)"/>
      <w:numFmt w:val="lowerLetter"/>
      <w:start w:val="4"/>
    </w:lvl>
  </w:abstractNum>
  <w:abstractNum w:abstractNumId="31">
    <w:nsid w:val="5FB8370B"/>
    <w:multiLevelType w:val="hybridMultilevel"/>
    <w:lvl w:ilvl="0">
      <w:lvlJc w:val="left"/>
      <w:lvlText w:val="%1"/>
      <w:numFmt w:val="lowerLetter"/>
      <w:start w:val="1"/>
    </w:lvl>
    <w:lvl w:ilvl="1">
      <w:lvlJc w:val="left"/>
      <w:lvlText w:val="(%2)"/>
      <w:numFmt w:val="lowerLetter"/>
      <w:start w:val="1"/>
    </w:lvl>
  </w:abstractNum>
  <w:abstractNum w:abstractNumId="32">
    <w:nsid w:val="50801EE1"/>
    <w:multiLevelType w:val="hybridMultilevel"/>
    <w:lvl w:ilvl="0">
      <w:lvlJc w:val="left"/>
      <w:lvlText w:val="(%1)"/>
      <w:numFmt w:val="lowerLetter"/>
      <w:start w:val="35"/>
    </w:lvl>
    <w:lvl w:ilvl="1">
      <w:lvlJc w:val="left"/>
      <w:lvlText w:val="(%2)"/>
      <w:numFmt w:val="lowerLetter"/>
      <w:start w:val="2"/>
    </w:lvl>
  </w:abstractNum>
  <w:abstractNum w:abstractNumId="33">
    <w:nsid w:val="488AC1A"/>
    <w:multiLevelType w:val="hybridMultilevel"/>
    <w:lvl w:ilvl="0">
      <w:lvlJc w:val="left"/>
      <w:lvlText w:val="(%1)"/>
      <w:numFmt w:val="lowerLetter"/>
      <w:start w:val="1"/>
    </w:lvl>
  </w:abstractNum>
  <w:abstractNum w:abstractNumId="34">
    <w:nsid w:val="5FB8011C"/>
    <w:multiLevelType w:val="hybridMultilevel"/>
    <w:lvl w:ilvl="0">
      <w:lvlJc w:val="left"/>
      <w:lvlText w:val="%1"/>
      <w:numFmt w:val="decimal"/>
      <w:start w:val="1"/>
    </w:lvl>
    <w:lvl w:ilvl="1">
      <w:lvlJc w:val="left"/>
      <w:lvlText w:val="(%2)"/>
      <w:numFmt w:val="lowerLetter"/>
      <w:start w:val="1"/>
    </w:lvl>
  </w:abstractNum>
  <w:abstractNum w:abstractNumId="35">
    <w:nsid w:val="6AA78F7F"/>
    <w:multiLevelType w:val="hybridMultilevel"/>
    <w:lvl w:ilvl="0">
      <w:lvlJc w:val="left"/>
      <w:lvlText w:val="(%1)"/>
      <w:numFmt w:val="decimal"/>
      <w:start w:val="1"/>
    </w:lvl>
    <w:lvl w:ilvl="1">
      <w:lvlJc w:val="left"/>
      <w:lvlText w:val="(%2)"/>
      <w:numFmt w:val="lowerLetter"/>
      <w:start w:val="4"/>
    </w:lvl>
  </w:abstractNum>
  <w:abstractNum w:abstractNumId="36">
    <w:nsid w:val="7672BD23"/>
    <w:multiLevelType w:val="hybridMultilevel"/>
    <w:lvl w:ilvl="0">
      <w:lvlJc w:val="left"/>
      <w:lvlText w:val="(%1)"/>
      <w:numFmt w:val="lowerLetter"/>
      <w:start w:val="1"/>
    </w:lvl>
  </w:abstractNum>
  <w:abstractNum w:abstractNumId="37">
    <w:nsid w:val="6FC75AF8"/>
    <w:multiLevelType w:val="hybridMultilevel"/>
    <w:lvl w:ilvl="0">
      <w:lvlJc w:val="left"/>
      <w:lvlText w:val="(%1)"/>
      <w:numFmt w:val="lowerLetter"/>
      <w:start w:val="2"/>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decimal"/>
      <w:start w:val="1"/>
    </w:lvl>
    <w:lvl w:ilvl="1">
      <w:lvlJc w:val="left"/>
      <w:lvlText w:val="(%2)"/>
      <w:numFmt w:val="lowerLetter"/>
      <w:start w:val="3"/>
    </w:lvl>
  </w:abstractNum>
  <w:abstractNum w:abstractNumId="40">
    <w:nsid w:val="5F3534A4"/>
    <w:multiLevelType w:val="hybridMultilevel"/>
    <w:lvl w:ilvl="0">
      <w:lvlJc w:val="left"/>
      <w:lvlText w:val="(%1)"/>
      <w:numFmt w:val="decimal"/>
      <w:start w:val="1"/>
    </w:lvl>
    <w:lvl w:ilvl="1">
      <w:lvlJc w:val="left"/>
      <w:lvlText w:val="%2"/>
      <w:numFmt w:val="lowerLetter"/>
      <w:start w:val="1"/>
    </w:lvl>
  </w:abstractNum>
  <w:abstractNum w:abstractNumId="41">
    <w:nsid w:val="73A1821B"/>
    <w:multiLevelType w:val="hybridMultilevel"/>
    <w:lvl w:ilvl="0">
      <w:lvlJc w:val="left"/>
      <w:lvlText w:val="(%1)"/>
      <w:numFmt w:val="lowerLetter"/>
      <w:start w:val="4"/>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1"/>
    </w:lvl>
  </w:abstractNum>
  <w:abstractNum w:abstractNumId="44">
    <w:nsid w:val="3FA62ACA"/>
    <w:multiLevelType w:val="hybridMultilevel"/>
    <w:lvl w:ilvl="0">
      <w:lvlJc w:val="left"/>
      <w:lvlText w:val="%1"/>
      <w:numFmt w:val="decimal"/>
      <w:start w:val="1"/>
    </w:lvl>
    <w:lvl w:ilvl="1">
      <w:lvlJc w:val="left"/>
      <w:lvlText w:val="(%2)"/>
      <w:numFmt w:val="lowerLetter"/>
      <w:start w:val="1"/>
    </w:lvl>
  </w:abstractNum>
  <w:abstractNum w:abstractNumId="45">
    <w:nsid w:val="14FCE74E"/>
    <w:multiLevelType w:val="hybridMultilevel"/>
    <w:lvl w:ilvl="0">
      <w:lvlJc w:val="left"/>
      <w:lvlText w:val="(%1)"/>
      <w:numFmt w:val="decimal"/>
      <w:start w:val="2"/>
    </w:lvl>
    <w:lvl w:ilvl="1">
      <w:lvlJc w:val="left"/>
      <w:lvlText w:val="(%2)"/>
      <w:numFmt w:val="lowerLetter"/>
      <w:start w:val="2"/>
    </w:lvl>
  </w:abstractNum>
  <w:abstractNum w:abstractNumId="46">
    <w:nsid w:val="6A3DD3E8"/>
    <w:multiLevelType w:val="hybridMultilevel"/>
    <w:lvl w:ilvl="0">
      <w:lvlJc w:val="left"/>
      <w:lvlText w:val="(%1)"/>
      <w:numFmt w:val="lowerLetter"/>
      <w:start w:val="2"/>
    </w:lvl>
  </w:abstractNum>
  <w:abstractNum w:abstractNumId="47">
    <w:nsid w:val="71C91298"/>
    <w:multiLevelType w:val="hybridMultilevel"/>
    <w:lvl w:ilvl="0">
      <w:lvlJc w:val="left"/>
      <w:lvlText w:val="(%1)"/>
      <w:numFmt w:val="lowerLetter"/>
      <w:start w:val="1"/>
    </w:lvl>
  </w:abstractNum>
  <w:abstractNum w:abstractNumId="48">
    <w:nsid w:val="9DAF632"/>
    <w:multiLevelType w:val="hybridMultilevel"/>
    <w:lvl w:ilvl="0">
      <w:lvlJc w:val="left"/>
      <w:lvlText w:val="(%1)"/>
      <w:numFmt w:val="lowerLetter"/>
      <w:start w:val="1"/>
    </w:lvl>
  </w:abstractNum>
  <w:abstractNum w:abstractNumId="49">
    <w:nsid w:val="53299938"/>
    <w:multiLevelType w:val="hybridMultilevel"/>
    <w:lvl w:ilvl="0">
      <w:lvlJc w:val="left"/>
      <w:lvlText w:val="%1"/>
      <w:numFmt w:val="lowerRoman"/>
      <w:start w:val="1"/>
    </w:lvl>
    <w:lvl w:ilvl="1">
      <w:lvlJc w:val="left"/>
      <w:lvlText w:val="(%2)"/>
      <w:numFmt w:val="lowerLetter"/>
      <w:start w:val="1"/>
    </w:lvl>
  </w:abstractNum>
  <w:abstractNum w:abstractNumId="50">
    <w:nsid w:val="1FBFE8E0"/>
    <w:multiLevelType w:val="hybridMultilevel"/>
    <w:lvl w:ilvl="0">
      <w:lvlJc w:val="left"/>
      <w:lvlText w:val="(%1)"/>
      <w:numFmt w:val="lowerRoman"/>
      <w:start w:val="1"/>
    </w:lvl>
    <w:lvl w:ilvl="1">
      <w:lvlJc w:val="left"/>
      <w:lvlText w:val="%2"/>
      <w:numFmt w:val="lowerLetter"/>
      <w:start w:val="1"/>
    </w:lvl>
  </w:abstractNum>
  <w:abstractNum w:abstractNumId="51">
    <w:nsid w:val="5092CA79"/>
    <w:multiLevelType w:val="hybridMultilevel"/>
    <w:lvl w:ilvl="0">
      <w:lvlJc w:val="left"/>
      <w:lvlText w:val="(%1)"/>
      <w:numFmt w:val="lowerRoman"/>
      <w:start w:val="6"/>
    </w:lvl>
    <w:lvl w:ilvl="1">
      <w:lvlJc w:val="left"/>
      <w:lvlText w:val="(%2)"/>
      <w:numFmt w:val="lowerLetter"/>
      <w:start w:val="3"/>
    </w:lvl>
  </w:abstractNum>
  <w:abstractNum w:abstractNumId="52">
    <w:nsid w:val="1D545C4D"/>
    <w:multiLevelType w:val="hybridMultilevel"/>
    <w:lvl w:ilvl="0">
      <w:lvlJc w:val="left"/>
      <w:lvlText w:val="%1."/>
      <w:numFmt w:val="lowerLetter"/>
      <w:start w:val="1"/>
    </w:lvl>
  </w:abstractNum>
  <w:abstractNum w:abstractNumId="53">
    <w:nsid w:val="59ADEA3D"/>
    <w:multiLevelType w:val="hybridMultilevel"/>
    <w:lvl w:ilvl="0">
      <w:lvlJc w:val="left"/>
      <w:lvlText w:val="%1."/>
      <w:numFmt w:val="lowerLetter"/>
      <w:start w:val="10"/>
    </w:lvl>
  </w:abstractNum>
  <w:abstractNum w:abstractNumId="54">
    <w:nsid w:val="288F1A34"/>
    <w:multiLevelType w:val="hybridMultilevel"/>
    <w:lvl w:ilvl="0">
      <w:lvlJc w:val="left"/>
      <w:lvlText w:val="%1."/>
      <w:numFmt w:val="lowerLetter"/>
      <w:start w:val="24"/>
    </w:lvl>
  </w:abstractNum>
  <w:abstractNum w:abstractNumId="55">
    <w:nsid w:val="2A155DBC"/>
    <w:multiLevelType w:val="hybridMultilevel"/>
    <w:lvl w:ilvl="0">
      <w:lvlJc w:val="left"/>
      <w:lvlText w:val="%1."/>
      <w:numFmt w:val="lowerLetter"/>
      <w:start w:val="27"/>
    </w:lvl>
  </w:abstractNum>
  <w:abstractNum w:abstractNumId="56">
    <w:nsid w:val="1D9F6E5F"/>
    <w:multiLevelType w:val="hybridMultilevel"/>
    <w:lvl w:ilvl="0">
      <w:lvlJc w:val="left"/>
      <w:lvlText w:val="%1."/>
      <w:numFmt w:val="lowerLetter"/>
      <w:start w:val="34"/>
    </w:lvl>
  </w:abstractNum>
  <w:abstractNum w:abstractNumId="57">
    <w:nsid w:val="97E1B4E"/>
    <w:multiLevelType w:val="hybridMultilevel"/>
    <w:lvl w:ilvl="0">
      <w:lvlJc w:val="left"/>
      <w:lvlText w:val="%1."/>
      <w:numFmt w:val="lowerLetter"/>
      <w:start w:val="1"/>
    </w:lvl>
  </w:abstractNum>
  <w:abstractNum w:abstractNumId="58">
    <w:nsid w:val="51088277"/>
    <w:multiLevelType w:val="hybridMultilevel"/>
    <w:lvl w:ilvl="0">
      <w:lvlJc w:val="left"/>
      <w:lvlText w:val="%1."/>
      <w:numFmt w:val="lowerRoman"/>
      <w:start w:val="1"/>
    </w:lvl>
  </w:abstractNum>
  <w:abstractNum w:abstractNumId="59">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60">
    <w:nsid w:val="53584BCB"/>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61">
    <w:nsid w:val="415E286C"/>
    <w:multiLevelType w:val="hybridMultilevel"/>
    <w:lvl w:ilvl="0">
      <w:lvlJc w:val="left"/>
      <w:lvlText w:val="%1."/>
      <w:numFmt w:val="lowerLetter"/>
      <w:start w:val="7"/>
    </w:lvl>
  </w:abstractNum>
  <w:abstractNum w:abstractNumId="62">
    <w:nsid w:val="7C58FD05"/>
    <w:multiLevelType w:val="hybridMultilevel"/>
    <w:lvl w:ilvl="0">
      <w:lvlJc w:val="left"/>
      <w:lvlText w:val="%1."/>
      <w:numFmt w:val="lowerLetter"/>
      <w:start w:val="1"/>
    </w:lvl>
    <w:lvl w:ilvl="1">
      <w:lvlJc w:val="left"/>
      <w:lvlText w:val="(%2)"/>
      <w:numFmt w:val="lowerRoman"/>
      <w:start w:val="1"/>
    </w:lvl>
  </w:abstractNum>
  <w:abstractNum w:abstractNumId="63">
    <w:nsid w:val="23D86AAC"/>
    <w:multiLevelType w:val="hybridMultilevel"/>
    <w:lvl w:ilvl="0">
      <w:lvlJc w:val="left"/>
      <w:lvlText w:val="%1"/>
      <w:numFmt w:val="lowerLetter"/>
      <w:start w:val="1"/>
    </w:lvl>
    <w:lvl w:ilvl="1">
      <w:lvlJc w:val="left"/>
      <w:lvlText w:val="(%2)"/>
      <w:numFmt w:val="lowerRoman"/>
      <w:start w:val="3"/>
    </w:lvl>
  </w:abstractNum>
  <w:abstractNum w:abstractNumId="64">
    <w:nsid w:val="45E6D486"/>
    <w:multiLevelType w:val="hybridMultilevel"/>
    <w:lvl w:ilvl="0">
      <w:lvlJc w:val="left"/>
      <w:lvlText w:val="%1."/>
      <w:numFmt w:val="lowerLetter"/>
      <w:start w:val="4"/>
    </w:lvl>
    <w:lvl w:ilvl="1">
      <w:lvlJc w:val="left"/>
      <w:lvlText w:val="%2"/>
      <w:numFmt w:val="lowerRoman"/>
      <w:start w:val="1"/>
    </w:lvl>
  </w:abstractNum>
  <w:abstractNum w:abstractNumId="65">
    <w:nsid w:val="5C10FE21"/>
    <w:multiLevelType w:val="hybridMultilevel"/>
    <w:lvl w:ilvl="0">
      <w:lvlJc w:val="left"/>
      <w:lvlText w:val="%1."/>
      <w:numFmt w:val="lowerLetter"/>
      <w:start w:val="5"/>
    </w:lvl>
    <w:lvl w:ilvl="1">
      <w:lvlJc w:val="left"/>
      <w:lvlText w:val="%2."/>
      <w:numFmt w:val="lowerRoman"/>
      <w:start w:val="1"/>
    </w:lvl>
  </w:abstractNum>
  <w:abstractNum w:abstractNumId="66">
    <w:nsid w:val="E7FFA2B"/>
    <w:multiLevelType w:val="hybridMultilevel"/>
    <w:lvl w:ilvl="0">
      <w:lvlJc w:val="left"/>
      <w:lvlText w:val="%1."/>
      <w:numFmt w:val="lowerRoman"/>
      <w:start w:val="5"/>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6"/>
    </w:lvl>
  </w:abstractNum>
  <w:abstractNum w:abstractNumId="69">
    <w:nsid w:val="78DF6A55"/>
    <w:multiLevelType w:val="hybridMultilevel"/>
    <w:lvl w:ilvl="0">
      <w:lvlJc w:val="left"/>
      <w:lvlText w:val="%1."/>
      <w:numFmt w:val="lowerLetter"/>
      <w:start w:val="1"/>
    </w:lvl>
    <w:lvl w:ilvl="1">
      <w:lvlJc w:val="left"/>
      <w:lvlText w:val="%2."/>
      <w:numFmt w:val="lowerRoman"/>
      <w:start w:val="1"/>
    </w:lvl>
  </w:abstractNum>
  <w:abstractNum w:abstractNumId="70">
    <w:nsid w:val="39B7AAA2"/>
    <w:multiLevelType w:val="hybridMultilevel"/>
    <w:lvl w:ilvl="0">
      <w:lvlJc w:val="left"/>
      <w:lvlText w:val="%1."/>
      <w:numFmt w:val="lowerLetter"/>
      <w:start w:val="1"/>
    </w:lvl>
  </w:abstractNum>
  <w:abstractNum w:abstractNumId="71">
    <w:nsid w:val="2B0D8DBE"/>
    <w:multiLevelType w:val="hybridMultilevel"/>
    <w:lvl w:ilvl="0">
      <w:lvlJc w:val="left"/>
      <w:lvlText w:val="%1"/>
      <w:numFmt w:val="lowerLetter"/>
      <w:start w:val="1"/>
    </w:lvl>
    <w:lvl w:ilvl="1">
      <w:lvlJc w:val="left"/>
      <w:lvlText w:val="%2."/>
      <w:numFmt w:val="lowerRoman"/>
      <w:start w:val="1"/>
    </w:lvl>
  </w:abstractNum>
  <w:abstractNum w:abstractNumId="72">
    <w:nsid w:val="6C80EC70"/>
    <w:multiLevelType w:val="hybridMultilevel"/>
    <w:lvl w:ilvl="0">
      <w:lvlJc w:val="left"/>
      <w:lvlText w:val="%1."/>
      <w:numFmt w:val="lowerLetter"/>
      <w:start w:val="3"/>
    </w:lvl>
    <w:lvl w:ilvl="1">
      <w:lvlJc w:val="left"/>
      <w:lvlText w:val="%2"/>
      <w:numFmt w:val="lowerRoman"/>
      <w:start w:val="1"/>
    </w:lvl>
  </w:abstractNum>
  <w:abstractNum w:abstractNumId="73">
    <w:nsid w:val="379E21B5"/>
    <w:multiLevelType w:val="hybridMultilevel"/>
    <w:lvl w:ilvl="0">
      <w:lvlJc w:val="left"/>
      <w:lvlText w:val="%1."/>
      <w:numFmt w:val="lowerLetter"/>
      <w:start w:val="1"/>
    </w:lvl>
  </w:abstractNum>
  <w:abstractNum w:abstractNumId="74">
    <w:nsid w:val="69E373"/>
    <w:multiLevelType w:val="hybridMultilevel"/>
    <w:lvl w:ilvl="0">
      <w:lvlJc w:val="left"/>
      <w:lvlText w:val="%1."/>
      <w:numFmt w:val="lowerLetter"/>
      <w:start w:val="3"/>
    </w:lvl>
  </w:abstractNum>
  <w:abstractNum w:abstractNumId="75">
    <w:nsid w:val="2C27173B"/>
    <w:multiLevelType w:val="hybridMultilevel"/>
    <w:lvl w:ilvl="0">
      <w:lvlJc w:val="left"/>
      <w:lvlText w:val="%1."/>
      <w:numFmt w:val="lowerRoman"/>
      <w:start w:val="1"/>
    </w:lvl>
  </w:abstractNum>
  <w:abstractNum w:abstractNumId="76">
    <w:nsid w:val="4C9B0904"/>
    <w:multiLevelType w:val="hybridMultilevel"/>
    <w:lvl w:ilvl="0">
      <w:lvlJc w:val="left"/>
      <w:lvlText w:val="%1."/>
      <w:numFmt w:val="lowerLetter"/>
      <w:start w:val="6"/>
    </w:lvl>
  </w:abstractNum>
  <w:abstractNum w:abstractNumId="77">
    <w:nsid w:val="6AA7B75C"/>
    <w:multiLevelType w:val="hybridMultilevel"/>
    <w:lvl w:ilvl="0">
      <w:lvlJc w:val="left"/>
      <w:lvlText w:val="%1."/>
      <w:numFmt w:val="lowerLetter"/>
      <w:start w:val="1"/>
    </w:lvl>
  </w:abstractNum>
  <w:abstractNum w:abstractNumId="78">
    <w:nsid w:val="1DF029D3"/>
    <w:multiLevelType w:val="hybridMultilevel"/>
    <w:lvl w:ilvl="0">
      <w:lvlJc w:val="left"/>
      <w:lvlText w:val="%1."/>
      <w:numFmt w:val="lowerLetter"/>
      <w:start w:val="1"/>
    </w:lvl>
    <w:lvl w:ilvl="1">
      <w:lvlJc w:val="left"/>
      <w:lvlText w:val="%2."/>
      <w:numFmt w:val="lowerRoman"/>
      <w:start w:val="1"/>
    </w:lvl>
  </w:abstractNum>
  <w:abstractNum w:abstractNumId="79">
    <w:nsid w:val="5675FF36"/>
    <w:multiLevelType w:val="hybridMultilevel"/>
    <w:lvl w:ilvl="0">
      <w:lvlJc w:val="left"/>
      <w:lvlText w:val="%1."/>
      <w:numFmt w:val="lowerLetter"/>
      <w:start w:val="1"/>
    </w:lvl>
  </w:abstractNum>
  <w:abstractNum w:abstractNumId="80">
    <w:nsid w:val="3DD15094"/>
    <w:multiLevelType w:val="hybridMultilevel"/>
    <w:lvl w:ilvl="0">
      <w:lvlJc w:val="left"/>
      <w:lvlText w:val="%1"/>
      <w:numFmt w:val="lowerLetter"/>
      <w:start w:val="1"/>
    </w:lvl>
    <w:lvl w:ilvl="1">
      <w:lvlJc w:val="left"/>
      <w:lvlText w:val="%2."/>
      <w:numFmt w:val="lowerRoman"/>
      <w:start w:val="1"/>
    </w:lvl>
  </w:abstractNum>
  <w:abstractNum w:abstractNumId="81">
    <w:nsid w:val="3DB012B3"/>
    <w:multiLevelType w:val="hybridMultilevel"/>
    <w:lvl w:ilvl="0">
      <w:lvlJc w:val="left"/>
      <w:lvlText w:val="%1."/>
      <w:numFmt w:val="lowerLetter"/>
      <w:start w:val="2"/>
    </w:lvl>
    <w:lvl w:ilvl="1">
      <w:lvlJc w:val="left"/>
      <w:lvlText w:val="%2"/>
      <w:numFmt w:val="lowerRoman"/>
      <w:start w:val="1"/>
    </w:lvl>
  </w:abstractNum>
  <w:abstractNum w:abstractNumId="82">
    <w:nsid w:val="2708C9AF"/>
    <w:multiLevelType w:val="hybridMultilevel"/>
    <w:lvl w:ilvl="0">
      <w:lvlJc w:val="left"/>
      <w:lvlText w:val="%1."/>
      <w:numFmt w:val="lowerLetter"/>
      <w:start w:val="7"/>
    </w:lvl>
    <w:lvl w:ilvl="1">
      <w:lvlJc w:val="left"/>
      <w:lvlText w:val="%2."/>
      <w:numFmt w:val="lowerRoman"/>
      <w:start w:val="1"/>
    </w:lvl>
  </w:abstractNum>
  <w:abstractNum w:abstractNumId="83">
    <w:nsid w:val="5B25ACE2"/>
    <w:multiLevelType w:val="hybridMultilevel"/>
    <w:lvl w:ilvl="0">
      <w:lvlJc w:val="left"/>
      <w:lvlText w:val="%1"/>
      <w:numFmt w:val="lowerLetter"/>
      <w:start w:val="1"/>
    </w:lvl>
    <w:lvl w:ilvl="1">
      <w:lvlJc w:val="left"/>
      <w:lvlText w:val="(%2)"/>
      <w:numFmt w:val="lowerLetter"/>
      <w:start w:val="1"/>
    </w:lvl>
  </w:abstractNum>
  <w:abstractNum w:abstractNumId="84">
    <w:nsid w:val="175DFCF0"/>
    <w:multiLevelType w:val="hybridMultilevel"/>
    <w:lvl w:ilvl="0">
      <w:lvlJc w:val="left"/>
      <w:lvlText w:val="(%1)"/>
      <w:numFmt w:val="lowerLetter"/>
      <w:start w:val="61"/>
    </w:lvl>
    <w:lvl w:ilvl="1">
      <w:lvlJc w:val="left"/>
      <w:lvlText w:val="(%2)"/>
      <w:numFmt w:val="lowerLetter"/>
      <w:start w:val="3"/>
    </w:lvl>
  </w:abstractNum>
  <w:abstractNum w:abstractNumId="85">
    <w:nsid w:val="4F97E3E4"/>
    <w:multiLevelType w:val="hybridMultilevel"/>
    <w:lvl w:ilvl="0">
      <w:lvlJc w:val="left"/>
      <w:lvlText w:val="%1)"/>
      <w:numFmt w:val="lowerLetter"/>
      <w:start w:val="5"/>
    </w:lvl>
  </w:abstractNum>
  <w:abstractNum w:abstractNumId="86">
    <w:nsid w:val="53B0A9E"/>
    <w:multiLevelType w:val="hybridMultilevel"/>
    <w:lvl w:ilvl="0">
      <w:lvlJc w:val="left"/>
      <w:lvlText w:val="%1)"/>
      <w:numFmt w:val="lowerLetter"/>
      <w:start w:val="6"/>
    </w:lvl>
  </w:abstractNum>
  <w:abstractNum w:abstractNumId="87">
    <w:nsid w:val="34FD6B4F"/>
    <w:multiLevelType w:val="hybridMultilevel"/>
    <w:lvl w:ilvl="0">
      <w:lvlJc w:val="left"/>
      <w:lvlText w:val="(%1)"/>
      <w:numFmt w:val="lowerLetter"/>
      <w:start w:val="1"/>
    </w:lvl>
  </w:abstractNum>
  <w:abstractNum w:abstractNumId="88">
    <w:nsid w:val="5915FF32"/>
    <w:multiLevelType w:val="hybridMultilevel"/>
    <w:lvl w:ilvl="0">
      <w:lvlJc w:val="left"/>
      <w:lvlText w:val="(%1)"/>
      <w:numFmt w:val="lowerLetter"/>
      <w:start w:val="1"/>
    </w:lvl>
  </w:abstractNum>
  <w:abstractNum w:abstractNumId="89">
    <w:nsid w:val="56438D15"/>
    <w:multiLevelType w:val="hybridMultilevel"/>
    <w:lvl w:ilvl="0">
      <w:lvlJc w:val="left"/>
      <w:lvlText w:val="(%1)"/>
      <w:numFmt w:val="lowerLetter"/>
      <w:start w:val="2"/>
    </w:lvl>
  </w:abstractNum>
  <w:abstractNum w:abstractNumId="90">
    <w:nsid w:val="519E3149"/>
    <w:multiLevelType w:val="hybridMultilevel"/>
    <w:lvl w:ilvl="0">
      <w:lvlJc w:val="left"/>
      <w:lvlText w:val="(%1)"/>
      <w:numFmt w:val="lowerLetter"/>
      <w:start w:val="1"/>
    </w:lvl>
  </w:abstractNum>
  <w:abstractNum w:abstractNumId="91">
    <w:nsid w:val="2C6E4AFD"/>
    <w:multiLevelType w:val="hybridMultilevel"/>
    <w:lvl w:ilvl="0">
      <w:lvlJc w:val="left"/>
      <w:lvlText w:val="(%1)"/>
      <w:numFmt w:val="lowerLetter"/>
      <w:start w:val="1"/>
    </w:lvl>
  </w:abstractNum>
  <w:abstractNum w:abstractNumId="92">
    <w:nsid w:val="17A1B582"/>
    <w:multiLevelType w:val="hybridMultilevel"/>
    <w:lvl w:ilvl="0">
      <w:lvlJc w:val="left"/>
      <w:lvlText w:val="(%1)"/>
      <w:numFmt w:val="lowerLetter"/>
      <w:start w:val="2"/>
    </w:lvl>
  </w:abstractNum>
  <w:abstractNum w:abstractNumId="93">
    <w:nsid w:val="4DF72E4E"/>
    <w:multiLevelType w:val="hybridMultilevel"/>
    <w:lvl w:ilvl="0">
      <w:lvlJc w:val="left"/>
      <w:lvlText w:val="(%1)"/>
      <w:numFmt w:val="lowerLetter"/>
      <w:start w:val="1"/>
    </w:lvl>
    <w:lvl w:ilvl="1">
      <w:lvlJc w:val="left"/>
      <w:lvlText w:val="(%2)"/>
      <w:numFmt w:val="lowerRoman"/>
      <w:start w:val="1"/>
    </w:lvl>
  </w:abstractNum>
  <w:abstractNum w:abstractNumId="94">
    <w:nsid w:val="5046B5A9"/>
    <w:multiLevelType w:val="hybridMultilevel"/>
    <w:lvl w:ilvl="0">
      <w:lvlJc w:val="left"/>
      <w:lvlText w:val="%1"/>
      <w:numFmt w:val="lowerRoman"/>
      <w:start w:val="1"/>
    </w:lvl>
    <w:lvl w:ilvl="1">
      <w:lvlJc w:val="left"/>
      <w:lvlText w:val="(%2)"/>
      <w:numFmt w:val="lowerRoman"/>
      <w:start w:val="3"/>
    </w:lvl>
  </w:abstractNum>
  <w:abstractNum w:abstractNumId="95">
    <w:nsid w:val="5D888A08"/>
    <w:multiLevelType w:val="hybridMultilevel"/>
    <w:lvl w:ilvl="0">
      <w:lvlJc w:val="left"/>
      <w:lvlText w:val="(%1)"/>
      <w:numFmt w:val="lowerRoman"/>
      <w:start w:val="3"/>
    </w:lvl>
    <w:lvl w:ilvl="1">
      <w:lvlJc w:val="left"/>
      <w:lvlText w:val="%2"/>
      <w:numFmt w:val="lowerRoman"/>
      <w:start w:val="1"/>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lowerLetter"/>
      <w:start w:val="1"/>
    </w:lvl>
  </w:abstractNum>
  <w:abstractNum w:abstractNumId="98">
    <w:nsid w:val="19E21BB2"/>
    <w:multiLevelType w:val="hybridMultilevel"/>
    <w:lvl w:ilvl="0">
      <w:lvlJc w:val="left"/>
      <w:lvlText w:val="(%1)"/>
      <w:numFmt w:val="lowerLetter"/>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2"/>
    </w:lvl>
  </w:abstractNum>
  <w:abstractNum w:abstractNumId="101">
    <w:nsid w:val="5399C654"/>
    <w:multiLevelType w:val="hybridMultilevel"/>
    <w:lvl w:ilvl="0">
      <w:lvlJc w:val="left"/>
      <w:lvlText w:val="(%1)"/>
      <w:numFmt w:val="lowerLetter"/>
      <w:start w:val="1"/>
    </w:lvl>
  </w:abstractNum>
  <w:abstractNum w:abstractNumId="102">
    <w:nsid w:val="20EE1348"/>
    <w:multiLevelType w:val="hybridMultilevel"/>
    <w:lvl w:ilvl="0">
      <w:lvlJc w:val="left"/>
      <w:lvlText w:val="(%1)"/>
      <w:numFmt w:val="lowerLetter"/>
      <w:start w:val="3"/>
    </w:lvl>
  </w:abstractNum>
  <w:abstractNum w:abstractNumId="103">
    <w:nsid w:val="4427069A"/>
    <w:multiLevelType w:val="hybridMultilevel"/>
    <w:lvl w:ilvl="0">
      <w:lvlJc w:val="left"/>
      <w:lvlText w:val="(%1)"/>
      <w:numFmt w:val="lowerLetter"/>
      <w:start w:val="1"/>
    </w:lvl>
    <w:lvl w:ilvl="1">
      <w:lvlJc w:val="left"/>
      <w:lvlText w:val="(%2)"/>
      <w:numFmt w:val="decimal"/>
      <w:start w:val="1"/>
    </w:lvl>
  </w:abstractNum>
  <w:abstractNum w:abstractNumId="104">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05">
    <w:nsid w:val="2157F6BC"/>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106">
    <w:nsid w:val="704E1DD5"/>
    <w:multiLevelType w:val="hybridMultilevel"/>
    <w:lvl w:ilvl="0">
      <w:lvlJc w:val="left"/>
      <w:lvlText w:val="(%1)"/>
      <w:numFmt w:val="lowerLetter"/>
      <w:start w:val="1"/>
    </w:lvl>
  </w:abstractNum>
  <w:abstractNum w:abstractNumId="107">
    <w:nsid w:val="57D2F10E"/>
    <w:multiLevelType w:val="hybridMultilevel"/>
    <w:lvl w:ilvl="0">
      <w:lvlJc w:val="left"/>
      <w:lvlText w:val="(%1)"/>
      <w:numFmt w:val="lowerLetter"/>
      <w:start w:val="2"/>
    </w:lvl>
  </w:abstractNum>
  <w:abstractNum w:abstractNumId="108">
    <w:nsid w:val="BFFAE18"/>
    <w:multiLevelType w:val="hybridMultilevel"/>
    <w:lvl w:ilvl="0">
      <w:lvlJc w:val="left"/>
      <w:lvlText w:val="(%1)"/>
      <w:numFmt w:val="lowerLetter"/>
      <w:start w:val="1"/>
    </w:lvl>
  </w:abstractNum>
  <w:abstractNum w:abstractNumId="109">
    <w:nsid w:val="E3E47A8"/>
    <w:multiLevelType w:val="hybridMultilevel"/>
    <w:lvl w:ilvl="0">
      <w:lvlJc w:val="left"/>
      <w:lvlText w:val="(%1)"/>
      <w:numFmt w:val="lowerLetter"/>
      <w:start w:val="2"/>
    </w:lvl>
  </w:abstractNum>
  <w:abstractNum w:abstractNumId="110">
    <w:nsid w:val="2E48F044"/>
    <w:multiLevelType w:val="hybridMultilevel"/>
    <w:lvl w:ilvl="0">
      <w:lvlJc w:val="left"/>
      <w:lvlText w:val="(%1)"/>
      <w:numFmt w:val="lowerLetter"/>
      <w:start w:val="2"/>
    </w:lvl>
  </w:abstractNum>
  <w:abstractNum w:abstractNumId="111">
    <w:nsid w:val="49D0FEAC"/>
    <w:multiLevelType w:val="hybridMultilevel"/>
    <w:lvl w:ilvl="0">
      <w:lvlJc w:val="left"/>
      <w:lvlText w:val="(%1)"/>
      <w:numFmt w:val="lowerLetter"/>
      <w:start w:val="1"/>
    </w:lvl>
    <w:lvl w:ilvl="1">
      <w:lvlJc w:val="left"/>
      <w:lvlText w:val="(%2)"/>
      <w:numFmt w:val="lowerLetter"/>
      <w:start w:val="9"/>
    </w:lvl>
  </w:abstractNum>
  <w:abstractNum w:abstractNumId="112">
    <w:nsid w:val="4BEE5A5B"/>
    <w:multiLevelType w:val="hybridMultilevel"/>
    <w:lvl w:ilvl="0">
      <w:lvlJc w:val="left"/>
      <w:lvlText w:val="%1"/>
      <w:numFmt w:val="lowerLetter"/>
      <w:start w:val="1"/>
    </w:lvl>
    <w:lvl w:ilvl="1">
      <w:lvlJc w:val="left"/>
      <w:lvlText w:val="(%2)"/>
      <w:numFmt w:val="lowerRoman"/>
      <w:start w:val="2"/>
    </w:lvl>
  </w:abstractNum>
  <w:abstractNum w:abstractNumId="113">
    <w:nsid w:val="5551B9F3"/>
    <w:multiLevelType w:val="hybridMultilevel"/>
    <w:lvl w:ilvl="0">
      <w:lvlJc w:val="left"/>
      <w:lvlText w:val="(%1)"/>
      <w:numFmt w:val="lowerLetter"/>
      <w:start w:val="2"/>
    </w:lvl>
    <w:lvl w:ilvl="1">
      <w:lvlJc w:val="left"/>
      <w:lvlText w:val="%2"/>
      <w:numFmt w:val="lowerRoman"/>
      <w:start w:val="1"/>
    </w:lvl>
  </w:abstractNum>
  <w:abstractNum w:abstractNumId="114">
    <w:nsid w:val="24F6AB8E"/>
    <w:multiLevelType w:val="hybridMultilevel"/>
    <w:lvl w:ilvl="0">
      <w:lvlJc w:val="left"/>
      <w:lvlText w:val="(%1)"/>
      <w:numFmt w:val="lowerLetter"/>
      <w:start w:val="4"/>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1"/>
    </w:lvl>
    <w:lvl w:ilvl="1">
      <w:lvlJc w:val="left"/>
      <w:lvlText w:val="(%2)"/>
      <w:numFmt w:val="lowerRoman"/>
      <w:start w:val="1"/>
    </w:lvl>
  </w:abstractNum>
  <w:abstractNum w:abstractNumId="117">
    <w:nsid w:val="2A31B62D"/>
    <w:multiLevelType w:val="hybridMultilevel"/>
    <w:lvl w:ilvl="0">
      <w:lvlJc w:val="left"/>
      <w:lvlText w:val="(%1)"/>
      <w:numFmt w:val="lowerLetter"/>
      <w:start w:val="2"/>
    </w:lvl>
    <w:lvl w:ilvl="1">
      <w:lvlJc w:val="left"/>
      <w:lvlText w:val="(%2)"/>
      <w:numFmt w:val="lowerRoman"/>
      <w:start w:val="1"/>
    </w:lvl>
  </w:abstractNum>
  <w:abstractNum w:abstractNumId="118">
    <w:nsid w:val="1849C29B"/>
    <w:multiLevelType w:val="hybridMultilevel"/>
    <w:lvl w:ilvl="0">
      <w:lvlJc w:val="left"/>
      <w:lvlText w:val="(%1)"/>
      <w:numFmt w:val="lowerLetter"/>
      <w:start w:val="4"/>
    </w:lvl>
  </w:abstractNum>
  <w:abstractNum w:abstractNumId="119">
    <w:nsid w:val="7DFF9D09"/>
    <w:multiLevelType w:val="hybridMultilevel"/>
    <w:lvl w:ilvl="0">
      <w:lvlJc w:val="left"/>
      <w:lvlText w:val="%1"/>
      <w:numFmt w:val="decimal"/>
      <w:start w:val="1"/>
    </w:lvl>
    <w:lvl w:ilvl="1">
      <w:lvlJc w:val="left"/>
      <w:lvlText w:val="(%2)"/>
      <w:numFmt w:val="lowerRoman"/>
      <w:start w:val="1"/>
    </w:lvl>
  </w:abstractNum>
  <w:abstractNum w:abstractNumId="120">
    <w:nsid w:val="754342"/>
    <w:multiLevelType w:val="hybridMultilevel"/>
    <w:lvl w:ilvl="0">
      <w:lvlJc w:val="left"/>
      <w:lvlText w:val="(%1)"/>
      <w:numFmt w:val="decimal"/>
      <w:start w:val="180"/>
    </w:lvl>
    <w:lvl w:ilvl="1">
      <w:lvlJc w:val="left"/>
      <w:lvlText w:val="%2"/>
      <w:numFmt w:val="lowerRoman"/>
      <w:start w:val="1"/>
    </w:lvl>
  </w:abstractNum>
  <w:abstractNum w:abstractNumId="121">
    <w:nsid w:val="69E7F3E5"/>
    <w:multiLevelType w:val="hybridMultilevel"/>
    <w:lvl w:ilvl="0">
      <w:lvlJc w:val="left"/>
      <w:lvlText w:val="%1."/>
      <w:numFmt w:val="decimal"/>
      <w:start w:val="1"/>
    </w:lvl>
    <w:lvl w:ilvl="1">
      <w:lvlJc w:val="left"/>
      <w:lvlText w:val="(%2)"/>
      <w:numFmt w:val="lowerLetter"/>
      <w:start w:val="1"/>
    </w:lvl>
  </w:abstractNum>
  <w:abstractNum w:abstractNumId="122">
    <w:nsid w:val="2A6DE806"/>
    <w:multiLevelType w:val="hybridMultilevel"/>
    <w:lvl w:ilvl="0">
      <w:lvlJc w:val="left"/>
      <w:lvlText w:val="(%1)"/>
      <w:numFmt w:val="lowerLetter"/>
      <w:start w:val="2"/>
    </w:lvl>
  </w:abstractNum>
  <w:abstractNum w:abstractNumId="123">
    <w:nsid w:val="1816F8C4"/>
    <w:multiLevelType w:val="hybridMultilevel"/>
    <w:lvl w:ilvl="0">
      <w:lvlJc w:val="left"/>
      <w:lvlText w:val="%1"/>
      <w:numFmt w:val="decimal"/>
      <w:start w:val="1"/>
    </w:lvl>
    <w:lvl w:ilvl="1">
      <w:lvlJc w:val="left"/>
      <w:lvlText w:val="(%2)"/>
      <w:numFmt w:val="lowerLetter"/>
      <w:start w:val="4"/>
    </w:lvl>
  </w:abstractNum>
  <w:abstractNum w:abstractNumId="124">
    <w:nsid w:val="37DF2233"/>
    <w:multiLevelType w:val="hybridMultilevel"/>
    <w:lvl w:ilvl="0">
      <w:lvlJc w:val="left"/>
      <w:lvlText w:val="%1."/>
      <w:numFmt w:val="decimal"/>
      <w:start w:val="2"/>
    </w:lvl>
    <w:lvl w:ilvl="1">
      <w:lvlJc w:val="left"/>
      <w:lvlText w:val="(%2)"/>
      <w:numFmt w:val="lowerLetter"/>
      <w:start w:val="1"/>
    </w:lvl>
  </w:abstractNum>
  <w:abstractNum w:abstractNumId="125">
    <w:nsid w:val="7AB49DAF"/>
    <w:multiLevelType w:val="hybridMultilevel"/>
    <w:lvl w:ilvl="0">
      <w:lvlJc w:val="left"/>
      <w:lvlText w:val="(%1)"/>
      <w:numFmt w:val="lowerLetter"/>
      <w:start w:val="2"/>
    </w:lvl>
    <w:lvl w:ilvl="1">
      <w:lvlJc w:val="left"/>
      <w:lvlText w:val="(%2)"/>
      <w:numFmt w:val="lowerRoman"/>
      <w:start w:val="1"/>
    </w:lvl>
  </w:abstractNum>
  <w:abstractNum w:abstractNumId="126">
    <w:nsid w:val="759F82CD"/>
    <w:multiLevelType w:val="hybridMultilevel"/>
    <w:lvl w:ilvl="0">
      <w:lvlJc w:val="left"/>
      <w:lvlText w:val="(%1)"/>
      <w:numFmt w:val="lowerLetter"/>
      <w:start w:val="5"/>
    </w:lvl>
  </w:abstractNum>
  <w:abstractNum w:abstractNumId="127">
    <w:nsid w:val="61E74EA3"/>
    <w:multiLevelType w:val="hybridMultilevel"/>
    <w:lvl w:ilvl="0">
      <w:lvlJc w:val="left"/>
      <w:lvlText w:val="(%1)"/>
      <w:numFmt w:val="lowerLetter"/>
      <w:start w:val="9"/>
    </w:lvl>
  </w:abstractNum>
  <w:abstractNum w:abstractNumId="128">
    <w:nsid w:val="597B4D84"/>
    <w:multiLevelType w:val="hybridMultilevel"/>
    <w:lvl w:ilvl="0">
      <w:lvlJc w:val="left"/>
      <w:lvlText w:val="%1."/>
      <w:numFmt w:val="decimal"/>
      <w:start w:val="3"/>
    </w:lvl>
  </w:abstractNum>
  <w:abstractNum w:abstractNumId="129">
    <w:nsid w:val="F819E7F"/>
    <w:multiLevelType w:val="hybridMultilevel"/>
    <w:lvl w:ilvl="0">
      <w:lvlJc w:val="left"/>
      <w:lvlText w:val="%1."/>
      <w:numFmt w:val="decimal"/>
      <w:start w:val="4"/>
    </w:lvl>
  </w:abstractNum>
  <w:abstractNum w:abstractNumId="130">
    <w:nsid w:val="57C7D42D"/>
    <w:multiLevelType w:val="hybridMultilevel"/>
    <w:lvl w:ilvl="0">
      <w:lvlJc w:val="left"/>
      <w:lvlText w:val="%1."/>
      <w:numFmt w:val="decimal"/>
      <w:start w:val="5"/>
    </w:lvl>
    <w:lvl w:ilvl="1">
      <w:lvlJc w:val="left"/>
      <w:lvlText w:val="(%2)"/>
      <w:numFmt w:val="lowerLetter"/>
      <w:start w:val="1"/>
    </w:lvl>
  </w:abstractNum>
  <w:abstractNum w:abstractNumId="131">
    <w:nsid w:val="312167AD"/>
    <w:multiLevelType w:val="hybridMultilevel"/>
    <w:lvl w:ilvl="0">
      <w:lvlJc w:val="left"/>
      <w:lvlText w:val="(%1)"/>
      <w:numFmt w:val="lowerLetter"/>
      <w:start w:val="3"/>
    </w:lvl>
  </w:abstractNum>
  <w:abstractNum w:abstractNumId="132">
    <w:nsid w:val="631B64D4"/>
    <w:multiLevelType w:val="hybridMultilevel"/>
    <w:lvl w:ilvl="0">
      <w:lvlJc w:val="left"/>
      <w:lvlText w:val="(%1)"/>
      <w:numFmt w:val="lowerLetter"/>
      <w:start w:val="6"/>
    </w:lvl>
  </w:abstractNum>
  <w:abstractNum w:abstractNumId="133">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4">
    <w:nsid w:val="75486E47"/>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135">
    <w:nsid w:val="6E534CD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6">
    <w:nsid w:val="1A0DDE32"/>
    <w:multiLevelType w:val="hybridMultilevel"/>
    <w:lvl w:ilvl="0">
      <w:lvlJc w:val="left"/>
      <w:lvlText w:val="(%1)"/>
      <w:numFmt w:val="lowerLetter"/>
      <w:start w:val="4"/>
    </w:lvl>
  </w:abstractNum>
  <w:abstractNum w:abstractNumId="137">
    <w:nsid w:val="65968C1C"/>
    <w:multiLevelType w:val="hybridMultilevel"/>
    <w:lvl w:ilvl="0">
      <w:lvlJc w:val="left"/>
      <w:lvlText w:val="%1."/>
      <w:numFmt w:val="decimal"/>
      <w:start w:val="4"/>
    </w:lvl>
  </w:abstractNum>
  <w:abstractNum w:abstractNumId="138">
    <w:nsid w:val="46263DEC"/>
    <w:multiLevelType w:val="hybridMultilevel"/>
    <w:lvl w:ilvl="0">
      <w:lvlJc w:val="left"/>
      <w:lvlText w:val="%1"/>
      <w:numFmt w:val="lowerLetter"/>
      <w:start w:val="1"/>
    </w:lvl>
    <w:lvl w:ilvl="1">
      <w:lvlJc w:val="left"/>
      <w:lvlText w:val="(%2)"/>
      <w:numFmt w:val="lowerLetter"/>
      <w:start w:val="1"/>
    </w:lvl>
  </w:abstractNum>
  <w:abstractNum w:abstractNumId="139">
    <w:nsid w:val="260D8C4A"/>
    <w:multiLevelType w:val="hybridMultilevel"/>
    <w:lvl w:ilvl="0">
      <w:lvlJc w:val="left"/>
      <w:lvlText w:val="(%1)"/>
      <w:numFmt w:val="lowerLetter"/>
      <w:start w:val="35"/>
    </w:lvl>
    <w:lvl w:ilvl="1">
      <w:lvlJc w:val="left"/>
      <w:lvlText w:val="(%2)"/>
      <w:numFmt w:val="lowerLetter"/>
      <w:start w:val="3"/>
    </w:lvl>
  </w:abstractNum>
  <w:abstractNum w:abstractNumId="140">
    <w:nsid w:val="73D4D3C4"/>
    <w:multiLevelType w:val="hybridMultilevel"/>
    <w:lvl w:ilvl="0">
      <w:lvlJc w:val="left"/>
      <w:lvlText w:val="(%1)"/>
      <w:numFmt w:val="lowerLetter"/>
      <w:start w:val="35"/>
    </w:lvl>
    <w:lvl w:ilvl="1">
      <w:lvlJc w:val="left"/>
      <w:lvlText w:val="(%2)"/>
      <w:numFmt w:val="lowerLetter"/>
      <w:start w:val="4"/>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3"/>
    </w:lvl>
  </w:abstractNum>
  <w:abstractNum w:abstractNumId="143">
    <w:nsid w:val="3FC32E20"/>
    <w:multiLevelType w:val="hybridMultilevel"/>
    <w:lvl w:ilvl="0">
      <w:lvlJc w:val="left"/>
      <w:lvlText w:val="(%1)"/>
      <w:numFmt w:val="lowerLetter"/>
      <w:start w:val="14"/>
    </w:lvl>
  </w:abstractNum>
  <w:abstractNum w:abstractNumId="144">
    <w:nsid w:val="49C0E823"/>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abstractNum>
  <w:abstractNum w:abstractNumId="145">
    <w:nsid w:val="14D53685"/>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46">
    <w:nsid w:val="230F856C"/>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147">
    <w:nsid w:val="6EAA85FB"/>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abstractNum>
  <w:abstractNum w:abstractNumId="148">
    <w:nsid w:val="3F06ECB2"/>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149">
    <w:nsid w:val="3B594807"/>
    <w:multiLevelType w:val="hybridMultilevel"/>
    <w:lvl w:ilvl="0">
      <w:lvlJc w:val="left"/>
      <w:lvlText w:val="(%1)"/>
      <w:numFmt w:val="lowerLetter"/>
      <w:start w:val="1"/>
    </w:lvl>
  </w:abstractNum>
  <w:abstractNum w:abstractNumId="150">
    <w:nsid w:val="6CAA2304"/>
    <w:multiLevelType w:val="hybridMultilevel"/>
    <w:lvl w:ilvl="0">
      <w:lvlJc w:val="left"/>
      <w:lvlText w:val="(%1)"/>
      <w:numFmt w:val="lowerLetter"/>
      <w:start w:val="2"/>
    </w:lvl>
  </w:abstractNum>
  <w:abstractNum w:abstractNumId="151">
    <w:nsid w:val="3F7C2FF4"/>
    <w:multiLevelType w:val="hybridMultilevel"/>
    <w:lvl w:ilvl="0">
      <w:lvlJc w:val="left"/>
      <w:lvlText w:val="(%1)"/>
      <w:numFmt w:val="lowerLetter"/>
      <w:start w:val="1"/>
    </w:lvl>
  </w:abstractNum>
  <w:abstractNum w:abstractNumId="152">
    <w:nsid w:val="25413BEC"/>
    <w:multiLevelType w:val="hybridMultilevel"/>
    <w:lvl w:ilvl="0">
      <w:lvlJc w:val="left"/>
      <w:lvlText w:val="(%1)"/>
      <w:numFmt w:val="lowerLetter"/>
      <w:start w:val="1"/>
    </w:lvl>
  </w:abstractNum>
  <w:abstractNum w:abstractNumId="153">
    <w:nsid w:val="17180B0B"/>
    <w:multiLevelType w:val="hybridMultilevel"/>
    <w:lvl w:ilvl="0">
      <w:lvlJc w:val="left"/>
      <w:lvlText w:val="(%1)"/>
      <w:numFmt w:val="lowerLetter"/>
      <w:start w:val="3"/>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lowerLetter"/>
      <w:start w:val="1"/>
    </w:lvl>
  </w:abstractNum>
  <w:abstractNum w:abstractNumId="156">
    <w:nsid w:val="11CCA8BA"/>
    <w:multiLevelType w:val="hybridMultilevel"/>
    <w:lvl w:ilvl="0">
      <w:lvlJc w:val="left"/>
      <w:lvlText w:val="%1"/>
      <w:numFmt w:val="decimal"/>
      <w:start w:val="1"/>
    </w:lvl>
    <w:lvl w:ilvl="1">
      <w:lvlJc w:val="left"/>
      <w:lvlText w:val="(%2)"/>
      <w:numFmt w:val="lowerLetter"/>
      <w:start w:val="1"/>
    </w:lvl>
  </w:abstractNum>
  <w:abstractNum w:abstractNumId="157">
    <w:nsid w:val="4D32AB86"/>
    <w:multiLevelType w:val="hybridMultilevel"/>
    <w:lvl w:ilvl="0">
      <w:lvlJc w:val="left"/>
      <w:lvlText w:val="(%1)"/>
      <w:numFmt w:val="decimal"/>
      <w:start w:val="5"/>
    </w:lvl>
    <w:lvl w:ilvl="1">
      <w:lvlJc w:val="left"/>
      <w:lvlText w:val="(%2)"/>
      <w:numFmt w:val="lowerLetter"/>
      <w:start w:val="3"/>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lvl w:ilvl="1">
      <w:lvlJc w:val="left"/>
      <w:lvlText w:val="%2."/>
      <w:numFmt w:val="lowerLetter"/>
      <w:start w:val="1"/>
    </w:lvl>
  </w:abstractNum>
  <w:abstractNum w:abstractNumId="160">
    <w:nsid w:val="5CB44A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2023-10-24T16:09:07Z</dcterms:created>
  <dcterms:modified xsi:type="dcterms:W3CDTF">2023-10-24T16:09:07Z</dcterms:modified>
</cp:coreProperties>
</file>