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June 30, 2015 there were 890,597,745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2015</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 of Operations for the quarters ended June 30, 2015 and 2014</w:t>
              </w:r>
            </w:hyperlink>
          </w:p>
        </w:tc>
        <w:tc>
          <w:tcPr>
            <w:tcW w:w="33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 of Operations for the six months ended June 30, 2015 and 2014</w:t>
              </w:r>
            </w:hyperlink>
          </w:p>
        </w:tc>
        <w:tc>
          <w:tcPr>
            <w:tcW w:w="31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Comprehensive Income for the quarters and six months ended June 30, 2015 and 2014</w:t>
              </w:r>
            </w:hyperlink>
          </w:p>
        </w:tc>
        <w:tc>
          <w:tcPr>
            <w:tcW w:w="1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 at June 30, 2015 and December 31, 2014</w:t>
              </w:r>
            </w:hyperlink>
          </w:p>
        </w:tc>
        <w:tc>
          <w:tcPr>
            <w:tcW w:w="45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for the six months ended June 30, 2015 and 2014</w:t>
              </w:r>
            </w:hyperlink>
          </w:p>
        </w:tc>
        <w:tc>
          <w:tcPr>
            <w:tcW w:w="3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Item 1. 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Item 2. 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6. 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EXHIBIT INDEX</w:t>
              </w:r>
            </w:hyperlink>
          </w:p>
        </w:tc>
        <w:tc>
          <w:tcPr>
            <w:tcW w:w="942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Quarter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13,017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17,191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10,182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15,220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1,542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1,680</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7"/>
        </w:trPr>
        <w:tc>
          <w:tcPr>
            <w:tcW w:w="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23,709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8,227</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31,936</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18,263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28,130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2,968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2,893</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80"/>
              <w:spacing w:after="0"/>
              <w:rPr>
                <w:sz w:val="20"/>
                <w:szCs w:val="20"/>
                <w:color w:val="auto"/>
              </w:rPr>
            </w:pPr>
            <w:r>
              <w:rPr>
                <w:rFonts w:ascii="Arial" w:cs="Arial" w:eastAsia="Arial" w:hAnsi="Arial"/>
                <w:sz w:val="14"/>
                <w:szCs w:val="14"/>
                <w:b w:val="1"/>
                <w:bCs w:val="1"/>
                <w:color w:val="auto"/>
              </w:rPr>
              <w:t>Quarter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loss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(loss) arising during period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(loss) arising during period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CCEEFF"/>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5,933</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5,235</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11,317</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10,295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9,865</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983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1,410</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29,758</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1,037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978</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1,494</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19,963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19,764</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(10,488)</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9,266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9,276</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27,796</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15,560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6,427</w:t>
            </w: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6"/>
          </w:tcPr>
          <w:p>
            <w:pPr>
              <w:ind w:left="340"/>
              <w:spacing w:after="0"/>
              <w:rPr>
                <w:sz w:val="20"/>
                <w:szCs w:val="20"/>
                <w:color w:val="auto"/>
              </w:rPr>
            </w:pPr>
            <w:r>
              <w:rPr>
                <w:rFonts w:ascii="Arial" w:cs="Arial" w:eastAsia="Arial" w:hAnsi="Arial"/>
                <w:sz w:val="17"/>
                <w:szCs w:val="17"/>
                <w:color w:val="auto"/>
              </w:rPr>
              <w:t>Total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92,773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91,289</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w w:val="94"/>
              </w:rPr>
              <w:t>Liabilities and Equity</w:t>
            </w:r>
          </w:p>
        </w:tc>
        <w:tc>
          <w:tcPr>
            <w:tcW w:w="3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Short-term borrowings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2,782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126</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6,967</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13,622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14,006</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1,796</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23,729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22,895</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17,872</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6,683</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11,135</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Liabilities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60,701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58,585</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Redeemable noncontrolling interest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15,141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15,300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(21,922)</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46,443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44,611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Unearned ESOP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(6,577)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(6,661)</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6"/>
            <w:shd w:val="clear" w:color="auto" w:fill="CCEEFF"/>
          </w:tcPr>
          <w:p>
            <w:pPr>
              <w:ind w:left="1100"/>
              <w:spacing w:after="0"/>
              <w:rPr>
                <w:sz w:val="20"/>
                <w:szCs w:val="20"/>
                <w:color w:val="auto"/>
              </w:rPr>
            </w:pPr>
            <w:r>
              <w:rPr>
                <w:rFonts w:ascii="Arial" w:cs="Arial" w:eastAsia="Arial" w:hAnsi="Arial"/>
                <w:sz w:val="17"/>
                <w:szCs w:val="17"/>
                <w:color w:val="auto"/>
              </w:rPr>
              <w:t>Total Shareowners'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31,213</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Noncontrolling interest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1,351</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32,564</w:t>
            </w:r>
          </w:p>
        </w:tc>
      </w:tr>
      <w:tr>
        <w:trPr>
          <w:trHeight w:val="244"/>
        </w:trPr>
        <w:tc>
          <w:tcPr>
            <w:tcW w:w="40" w:type="dxa"/>
            <w:vAlign w:val="bottom"/>
          </w:tcPr>
          <w:p>
            <w:pPr>
              <w:spacing w:after="0"/>
              <w:rPr>
                <w:sz w:val="21"/>
                <w:szCs w:val="21"/>
                <w:color w:val="auto"/>
              </w:rPr>
            </w:pPr>
          </w:p>
        </w:tc>
        <w:tc>
          <w:tcPr>
            <w:tcW w:w="8080" w:type="dxa"/>
            <w:vAlign w:val="bottom"/>
            <w:gridSpan w:val="6"/>
          </w:tcPr>
          <w:p>
            <w:pPr>
              <w:ind w:left="3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92,773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91,289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Receipts from settlements of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(repayment) of long-term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short-term borrowings,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4,619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Condensed Consolidated Financial Statements at June 30, 2015 and for the quarters and six months ended June 30, 2015 and 2014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(2014 Annual Report) incorporated by reference to our Annual Report on Form 10-K for calendar year 2014 (2014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six months ended June 30, 2015, our investment in business acquisitions was $273 million,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debt assumed of $17 million, and consisted of the acquisition of the majority interest in a UTC Climate, Controls &amp; Security business and a number of small acquisitions, primarily in our commercial businesses.</w:t>
      </w:r>
    </w:p>
    <w:p>
      <w:pPr>
        <w:spacing w:after="0" w:line="72"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On July 20, 2015, we announced an agreement to sell our Sikorsky Aircraft business (Sikorsky) to Lockheed Martin Corp. for $9 billion in cash, subject to a working capital and net indebtedness adjustment. The sale is expected to close by the end of 2015 or in the first quarter of 2016, and is subject to customary closing conditions, including regulatory approvals. As a result, Sikorsky will be reported in discontinued operations beginning in the third quarter of 2015.</w:t>
      </w:r>
    </w:p>
    <w:p>
      <w:pPr>
        <w:spacing w:after="0" w:line="79"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jet engine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as of June 30, 2015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81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2015 were as follows:</w:t>
            </w: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24"/>
                <w:szCs w:val="2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24"/>
                <w:szCs w:val="24"/>
                <w:color w:val="auto"/>
              </w:rPr>
            </w:pPr>
          </w:p>
        </w:tc>
        <w:tc>
          <w:tcPr>
            <w:tcW w:w="13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99"/>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2015</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60" w:type="dxa"/>
            <w:vAlign w:val="bottom"/>
          </w:tcPr>
          <w:p>
            <w:pPr>
              <w:spacing w:after="0"/>
              <w:rPr>
                <w:sz w:val="13"/>
                <w:szCs w:val="13"/>
                <w:color w:val="auto"/>
              </w:rPr>
            </w:pPr>
          </w:p>
        </w:tc>
        <w:tc>
          <w:tcPr>
            <w:tcW w:w="1340" w:type="dxa"/>
            <w:vAlign w:val="bottom"/>
          </w:tcPr>
          <w:p>
            <w:pPr>
              <w:jc w:val="right"/>
              <w:ind w:right="292"/>
              <w:spacing w:after="0" w:line="158" w:lineRule="exact"/>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27,792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38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20,077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Customer relationship intangible assets include payments made to our customers to secure certain contractual rights. We amortize these intangible assets based on the underlying pattern of economic benefit, which may result in an amortization method other than straight-line. We classify amortization of such payments as a reduction of sales. The IAE collaboration intangible asset is amortized based upon the economic pattern of benefits as represented by the underlying cash flows.</w:t>
      </w:r>
    </w:p>
    <w:p>
      <w:pPr>
        <w:spacing w:after="0" w:line="79"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Amortization of intangible assets for the quarter and six months ended June 30, 2015 was $179 million and $358 million, respectively, compared with $178 million and $357 million for the same periods of 2014. The following is the expected amortization of intangible assets for the years 2015 through 2020, which reflects an increase in expected amortization expense due to the pattern of economic benefit on certain aerospace intangible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Remaining 2015</w:t>
            </w:r>
          </w:p>
        </w:tc>
        <w:tc>
          <w:tcPr>
            <w:tcW w:w="34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5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745</w:t>
            </w:r>
          </w:p>
        </w:tc>
        <w:tc>
          <w:tcPr>
            <w:tcW w:w="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6"/>
              </w:rPr>
              <w:t>771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2: Earnings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w w:val="92"/>
              </w:rPr>
              <w:t>Quarter Ended June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6"/>
          </w:tcPr>
          <w:p>
            <w:pPr>
              <w:jc w:val="right"/>
              <w:ind w:right="454"/>
              <w:spacing w:after="0"/>
              <w:rPr>
                <w:sz w:val="20"/>
                <w:szCs w:val="20"/>
                <w:color w:val="auto"/>
              </w:rPr>
            </w:pPr>
            <w:r>
              <w:rPr>
                <w:rFonts w:ascii="Arial" w:cs="Arial" w:eastAsia="Arial" w:hAnsi="Arial"/>
                <w:sz w:val="14"/>
                <w:szCs w:val="14"/>
                <w:b w:val="1"/>
                <w:bCs w:val="1"/>
                <w:color w:val="auto"/>
                <w:w w:val="92"/>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1,680</w:t>
            </w:r>
          </w:p>
        </w:tc>
        <w:tc>
          <w:tcPr>
            <w:tcW w:w="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Basic weighted average number of shares outstanding</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w w:val="95"/>
              </w:rPr>
              <w:t>Diluted weighted average number of shares outstanding</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889.4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both the quarter and six months ended June 30, 2015, the number of stock awards excluded from the computation was approximately 0.4 million. There were no anti-dilutive stock awards excluded from the computation for the quarter and six months ended June 30, 2014.</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3,596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3,776</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8,189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(7,452)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Inventory also includes capitalized contract development costs related to certain aerospace programs at UTC Aerospace Systems. As of June 30, 2015 and December 31, 2014, these capitalized costs were $185 million and $141 million, respectively, which will be liquidated as production units are delivered to the customer.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color w:val="auto"/>
        </w:rPr>
        <w:t>At June 30, 2015, we had revolving credit agreements with various banks permitting aggregate borrowings of up to $4.35 billion pursuant to a $2.20 billion revolving credit agreement and a $2.15 billion multicurrency revolving credit agreement, both of which expire in May 2019. As of June 30, 2015, there were no borrowings under these revolving credit agreements. The undrawn portions of these revolving credit agreements are also available to serve as backup facilities for the issuance of commercial paper. Effective June 30, 2015 we terminated a $1.5 billion revolving credit agreement, which had been entered into on March 11, 2015. As of June 30, 2015, our maximum commercial paper borrowing limit was $4.35 billion. We use our commercial paper borrowings for general corporate purposes, including the funding of potential acquisitions, debt refinancing, and repurchases of our common stock. Commercial paper borrowings as of June 30, 2015 were largely used to initially finance the accelerated share repurchase agreements entered into on March 13, 2015. See Note 11 for further discussion of these accelerated share repurchase agreements.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 plus 0.500% floating rate notes due 2015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5.375% notes due 2017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2018 </w:t>
            </w:r>
            <w:r>
              <w:rPr>
                <w:rFonts w:ascii="Arial" w:cs="Arial" w:eastAsia="Arial" w:hAnsi="Arial"/>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6.125% notes due 2019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8.875% notes due 2019</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1.550% junior subordinated 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7.100% notes due 2027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7.000% notes due 2038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(including capitalized leases) </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19,504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19,500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(fair market value adjustments and discounts) </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19,668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w:t>
            </w: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19,489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17,872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line="256"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5" w:lineRule="exact"/>
        <w:rPr>
          <w:sz w:val="20"/>
          <w:szCs w:val="20"/>
          <w:color w:val="auto"/>
        </w:rPr>
      </w:pPr>
    </w:p>
    <w:p>
      <w:pPr>
        <w:ind w:left="340" w:right="140" w:hanging="332"/>
        <w:spacing w:after="0" w:line="25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6"/>
          <w:szCs w:val="16"/>
          <w:color w:val="auto"/>
        </w:rPr>
        <w:t>We may redeem these notes, in whole or in part, at our option at any time. If redeemed prior to February 22, 2023, the redemption price in Euro shall equal the greater of 100% of the principal amount of the notes to be redeemed or the sum of the present values of the remaining scheduled payments of principal and interest on the notes to be redeemed, discounted to the redemption date on an annual basis at a rate based upon a comparable German federal government bond whose maturity is closest to the maturity of the notes plus 15 basis points. In addition, the notes may be redeemed at our option in whole, but not in part, at any time in the event of certain developments affecting U.S. taxation.</w:t>
      </w:r>
    </w:p>
    <w:p>
      <w:pPr>
        <w:spacing w:after="0" w:line="30" w:lineRule="exact"/>
        <w:rPr>
          <w:sz w:val="20"/>
          <w:szCs w:val="20"/>
          <w:color w:val="auto"/>
        </w:rPr>
      </w:pPr>
    </w:p>
    <w:p>
      <w:pPr>
        <w:ind w:left="340" w:right="60" w:hanging="332"/>
        <w:spacing w:after="0" w:line="286"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5"/>
          <w:szCs w:val="15"/>
          <w:color w:val="auto"/>
        </w:rPr>
        <w:t>We may redeem these notes, in whole or in part, at our option at any time. If redeemed prior to November 16, 2044, the redemption price in U.S. Dollars shall equal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25 basis points.</w:t>
      </w:r>
    </w:p>
    <w:p>
      <w:pPr>
        <w:spacing w:after="0" w:line="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The 1.778% junior subordinated notes are effectively subordinated to existing or future preferred stock and indebtedness, guarantees and other liabilities, and are not redeemable prior to maturity. To date, we have not directly received any proceeds from the optional remarketing of the 1.550% junior subordinated notes. On August 3, 2015, we expect to receive approximately $1.1 billion from the proceeds of the remarketing, and issue approximately 11.3 million shares of Common Stock to settle the purchase obligation of the holders of the equity units under the purchase contract entered into at the time of the original issuance of the equity units.</w:t>
      </w:r>
    </w:p>
    <w:p>
      <w:pPr>
        <w:spacing w:after="0" w:line="189"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On May 1, 2015, we repaid all 4.875% notes due in 2015, representing $1.2 billion in aggregate principal. On June 1, 2015, we repaid all floating rate notes due in 2015, representing $500 million in aggregate principal. On May 4, 2015, we issued $850 million aggregate principal amount of 4.150% notes due May 15, 2045. On May 22, 2015 we issued €750 million aggregate principal amount of 1.250% notes due May 22, 2023. The net proceeds from these debt issuances were used primarily to repay the notes maturing during the quarter ended June 30, 2015.</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Singapore, South Korea, Spain, the United Kingdom and the United States. With few exceptions, we are no longer subject to U.S. federal, state and local, or non-U.S. income tax examinations for years before 2003.</w:t>
      </w:r>
    </w:p>
    <w:p>
      <w:pPr>
        <w:spacing w:after="0" w:line="188"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twelve months the amount of unrecognized tax benefits may change within a range of a net increase of $25 million to a net decrease of $460 million as a result of additional worldwide uncertain tax positions, the revaluation of current uncertain tax positions arising from developments in examinations, in appeals, or in the courts, or the closure of tax statutes. See Note 13, Contingent Liabilities, for discussion regarding uncertain tax positions, included in the above range, related to pending litigation with respect to certain deductions claimed in Germany.</w:t>
      </w:r>
    </w:p>
    <w:p>
      <w:pPr>
        <w:spacing w:after="0" w:line="16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UTC tax years 2011 and 2012 are currently under review by the Examination Division of the Internal Revenue Service (IRS), which is expected to continue beyond the next 12 months. Goodrich Corporation tax years 2011 and 2012 through the date of acquisition by UTC are currently under review by the Examination Division of the IRS, which is also expected to continue beyond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significant contributions to our domestic defined benefit pension plans in the quarters and six months ended June 30, 2015 and 2014.</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components of net periodic benefit cost for our defined pension and other postretirement benefit plans: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Quarter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4"/>
              </w:rPr>
              <w:t>Quarter Ended June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six months ended June 30, 2015, we recorded net pre-tax restructuring costs totaling $155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Restructuring charges incurred during the six months ended June 30, 2015 primarily relate to actions initiated during 2015 and 2014,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six months ended June 30, 2015, we recorded net pre-tax restructuring costs totaling $105 million, including $58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$47 million in selling, general and administrative expenses. The 2015 actions relate to ongoing cost reduction efforts, including workforce reductions and the consolidation of field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2015 and 2016. No specific plans for significant other actions have been finalized at this time. The following table summarizes the accrual balance and utilization by cost type for the 2015 restructuring actions: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7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April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Balance at June 30, 2015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2015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 Incurred</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 March</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Quarter Ended June</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gridSpan w:val="3"/>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1"/>
              </w:rPr>
              <w:t>30, 2015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72"/>
              <w:spacing w:after="0" w:line="158" w:lineRule="exact"/>
              <w:rPr>
                <w:sz w:val="20"/>
                <w:szCs w:val="20"/>
                <w:color w:val="auto"/>
              </w:rPr>
            </w:pPr>
            <w:r>
              <w:rPr>
                <w:rFonts w:ascii="Arial" w:cs="Arial" w:eastAsia="Arial" w:hAnsi="Arial"/>
                <w:sz w:val="14"/>
                <w:szCs w:val="14"/>
                <w:b w:val="1"/>
                <w:bCs w:val="1"/>
                <w:color w:val="auto"/>
                <w:w w:val="96"/>
              </w:rPr>
              <w:t>June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151</w:t>
            </w:r>
          </w:p>
        </w:tc>
        <w:tc>
          <w:tcPr>
            <w:tcW w:w="12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six months ended June 30, 2015, we recorded net pre-tax restructuring costs totaling $48 million for restructuring actions initiated</w:t>
      </w:r>
      <w:r>
        <w:rPr>
          <w:rFonts w:ascii="Arial" w:cs="Arial" w:eastAsia="Arial" w:hAnsi="Arial"/>
          <w:sz w:val="18"/>
          <w:szCs w:val="18"/>
          <w:b w:val="1"/>
          <w:bCs w:val="1"/>
          <w:color w:val="auto"/>
        </w:rPr>
        <w:t xml:space="preserve"> </w:t>
      </w:r>
      <w:r>
        <w:rPr>
          <w:rFonts w:ascii="Arial" w:cs="Arial" w:eastAsia="Arial" w:hAnsi="Arial"/>
          <w:sz w:val="18"/>
          <w:szCs w:val="18"/>
          <w:color w:val="auto"/>
        </w:rPr>
        <w:t>in 2014, including $27 million in cost of sales and $21 million in selling, general and administrative expenses. The 2014 actions relate to ongoing cost reduction efforts, including workforce reductions and the consolidation of field operations. The following table summarizes the accrual balances and utilization by cost type for the 2014 restructuring actions: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2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April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Balance at June 30, 2015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2014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 Incurred</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Costs Incurred in 2014</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 March</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Quarter Ended June</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gridSpan w:val="3"/>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1"/>
              </w:rPr>
              <w:t>30, 2015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72"/>
              <w:spacing w:after="0" w:line="158" w:lineRule="exact"/>
              <w:rPr>
                <w:sz w:val="20"/>
                <w:szCs w:val="20"/>
                <w:color w:val="auto"/>
              </w:rPr>
            </w:pPr>
            <w:r>
              <w:rPr>
                <w:rFonts w:ascii="Arial" w:cs="Arial" w:eastAsia="Arial" w:hAnsi="Arial"/>
                <w:sz w:val="14"/>
                <w:szCs w:val="14"/>
                <w:b w:val="1"/>
                <w:bCs w:val="1"/>
                <w:color w:val="auto"/>
                <w:w w:val="96"/>
              </w:rPr>
              <w:t>June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128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As of June 30, 2015, we have approximately $55 million of accrual balances remaining related to 2013 actions.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$15.0 billion and $13.9 billion at June 30, 2015 and December 31, 2014, respectively.</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June 30, 2015 and December 31, 2014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Asset Derivatives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71</w:t>
            </w:r>
          </w:p>
        </w:tc>
      </w:tr>
    </w:tbl>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 xml:space="preserve">As discussed in Note 4, on May 22, 2015 we issued approximately €750 million of Euro-denominated debt, which qualifies as a net investment hedge against our investments in European businesses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of June 30, 2015, the net investment hedge is deemed to be effective as defined under ASC 815.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w w:val="93"/>
              </w:rPr>
              <w:t>Loss reclassified from Accumulated other comprehensive loss into Product</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gridSpan w:val="3"/>
            <w:vMerge w:val="continue"/>
          </w:tcPr>
          <w:p>
            <w:pPr>
              <w:spacing w:after="0"/>
              <w:rPr>
                <w:sz w:val="16"/>
                <w:szCs w:val="16"/>
                <w:color w:val="auto"/>
              </w:rPr>
            </w:pPr>
          </w:p>
        </w:tc>
        <w:tc>
          <w:tcPr>
            <w:tcW w:w="960" w:type="dxa"/>
            <w:vAlign w:val="bottom"/>
            <w:vMerge w:val="restart"/>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6"/>
                <w:szCs w:val="16"/>
                <w:color w:val="auto"/>
              </w:rPr>
            </w:pPr>
          </w:p>
        </w:tc>
        <w:tc>
          <w:tcPr>
            <w:tcW w:w="900" w:type="dxa"/>
            <w:vAlign w:val="bottom"/>
            <w:vMerge w:val="restart"/>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9"/>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sales (effective portion)</w:t>
            </w:r>
          </w:p>
        </w:tc>
        <w:tc>
          <w:tcPr>
            <w:tcW w:w="9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Assuming current market conditions continue, a $153 million pre-tax loss is expected to be reclassified from Accumulated other comprehensive loss into Product sales to reflect the fixed prices obtained from foreign exchange hedging within the next 12 months. At June 30, 2015, all derivative contracts accounted for as cash flow hedges will mature by July 2017.</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0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Gain (loss) recognized in Other income, net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received $415 million and $37 million from settlements of derivative contracts during the six months ended June 30, 2015 and 2014,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Fair Value Measurements and Disclosure Topic of the FASB ASC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based on our own assumptions used to measure assets and liabilities at fair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and nonrecurring basis in our Condensed Consolidated Balance Sheet as of June 30, 2015 and December 31,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2015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2014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have recorded net gains of approximately $126 million during the six months ended June 30, 2015, as a result of a fair value adjustment related to the acquisition of a controlling interest in a UTC Climate, Controls &amp; Security joint venture investment.</w:t>
      </w:r>
    </w:p>
    <w:p>
      <w:pPr>
        <w:spacing w:after="0" w:line="6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recorded a charge of approximately $60 million during the six months ended June 30, 2014, to adjust the fair value of a Pratt &amp; Whitney joint venture investment. During the six months ended June 30, 2014, we also recorded a charge of approximately $28 million to adjust the fair value of a Sikorsky joint venture investment.</w:t>
      </w:r>
    </w:p>
    <w:p>
      <w:pPr>
        <w:spacing w:after="0" w:line="69"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June 30, 2015, there were no significant transfers in and out of Level 1 and Level 2.</w:t>
      </w:r>
    </w:p>
    <w:p>
      <w:pPr>
        <w:spacing w:after="0" w:line="15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June 30, 2015,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2015 and December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June 30,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6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had commercial aerospace financing and other contractual commitments totaling approximately $10.5 billion and $11.3 billion as of June 30, 2015 and December 31, 2014,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these commitments is not readily determinable.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Long-term trade accounts receivable, including unbilled receivables primarily related to long-term aftermarket contracts, are principally amounts arising from the sale of goods and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business-related long-term receivables as of June 30, 2015 and December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1,045</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7% of our total long-term receivables were considered to bear high credit risk as of both June 30, 2015 and December 31, 2014.</w:t>
      </w:r>
    </w:p>
    <w:p>
      <w:pPr>
        <w:spacing w:after="0" w:line="154" w:lineRule="exact"/>
        <w:rPr>
          <w:sz w:val="20"/>
          <w:szCs w:val="20"/>
          <w:color w:val="auto"/>
        </w:rPr>
      </w:pPr>
    </w:p>
    <w:p>
      <w:pPr>
        <w:ind w:right="26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included in the table above are individually evaluated for recoverability, and we had valuation reserves of $17 million as of June 30, 2015 and $10 million as of December 31, 2014. At June 30, 2015 and December 31, 2014, we did not have any significant balances that are considered to be delinquent, on non-accrual status, past due 90 days or more, or considered to be not recoverable.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six months ended June 30, 2015 and 2014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Quarter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30,377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31,938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Sale (purchase) of subsidiary shares from noncontrolling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30,377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31,938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On March 13, 2015, we entered into accelerated share repurchase (ASR) agreements with each of Goldman, Sachs &amp; Co. (Goldman Sachs) and Morgan Stanley &amp; Co. LLC (Morgan Stanley) to repurchase shares of our common stock for an aggregate purchase price of $2.65 billion. Each ASR agreement provides for the repurchase of our common stock based on the average of the daily volume-weighted average prices of our common stock during the term of such ASR agreement, less a discount and subject to adjustments pursuant to the terms and conditions of the ASR agreement.</w:t>
      </w:r>
    </w:p>
    <w:p>
      <w:pPr>
        <w:spacing w:after="0" w:line="171" w:lineRule="exact"/>
        <w:rPr>
          <w:sz w:val="20"/>
          <w:szCs w:val="20"/>
          <w:color w:val="auto"/>
        </w:rPr>
      </w:pPr>
    </w:p>
    <w:p>
      <w:pPr>
        <w:ind w:right="60" w:firstLine="392"/>
        <w:spacing w:after="0" w:line="272" w:lineRule="auto"/>
        <w:rPr>
          <w:sz w:val="20"/>
          <w:szCs w:val="20"/>
          <w:color w:val="auto"/>
        </w:rPr>
      </w:pPr>
      <w:r>
        <w:rPr>
          <w:rFonts w:ascii="Arial" w:cs="Arial" w:eastAsia="Arial" w:hAnsi="Arial"/>
          <w:sz w:val="17"/>
          <w:szCs w:val="17"/>
          <w:color w:val="auto"/>
        </w:rPr>
        <w:t>On March 13, 2015, we paid the aggregate purchase price and received an initial delivery of 18.6 million shares of common stock at a price of $121.24 per share, representing approximately 85% of the shares expected to be repurchased. The aggregate purchase price was recorded as a reduction to shareowners’ equity, consisting of a $2.25 billion increase in treasury stock and a $398 million decrease in additional paid-in capital. Upon final settlement of the ASR agreements, under certain circumstances, each of Goldman Sachs and Morgan Stanley may be required to deliver additional shares of common stock, or, under certain circumstances, we may be required to deliver shares of common stock or to make a cash payment, at our election, to Goldman Sachs and Morgan Stanley. The final settlement of the transactions under the ASR agreements is expected to occur no later than the fourth quarter of 2015 and may be accelerated at the option of Goldman Sachs or Morgan Stanley, as the case may be.</w:t>
      </w:r>
    </w:p>
    <w:p>
      <w:pPr>
        <w:spacing w:after="0" w:line="178" w:lineRule="exact"/>
        <w:rPr>
          <w:sz w:val="20"/>
          <w:szCs w:val="20"/>
          <w:color w:val="auto"/>
        </w:rPr>
      </w:pPr>
    </w:p>
    <w:p>
      <w:pPr>
        <w:ind w:right="200" w:firstLine="392"/>
        <w:spacing w:after="0" w:line="257" w:lineRule="auto"/>
        <w:rPr>
          <w:sz w:val="20"/>
          <w:szCs w:val="20"/>
          <w:color w:val="auto"/>
        </w:rPr>
      </w:pPr>
      <w:r>
        <w:rPr>
          <w:rFonts w:ascii="Arial" w:cs="Arial" w:eastAsia="Arial" w:hAnsi="Arial"/>
          <w:sz w:val="18"/>
          <w:szCs w:val="18"/>
          <w:color w:val="auto"/>
        </w:rPr>
        <w:t>Each of the ASR agreements contains customary terms for these types of transactions, including the mechanisms to determine the number of shares or the amount of cash that will be delivered at settlement, the required timing of delivery upon settlement, the specific circumstances under which adjustments may be made to the repurchase transactions, the specific circumstances under which the repurchase transactions may be canceled prior to the scheduled maturity and various acknowledgments, representations and warranties made by the Company and Goldman Sachs or Morgan Stanley, as applicable, to one another.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income (loss), net of tax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is provided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March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related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6 for additional details).</w:t>
      </w:r>
    </w:p>
    <w:p>
      <w:pPr>
        <w:spacing w:after="0" w:line="18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and six months ended June 30, 2015 and 2014 is provided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Purchase of subsidiary shares from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Redeemable noncontrolling interest fair value adjustment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Redeemable noncontrolling interest reclassification to noncontrolling</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pro-forma effect on Net income attributable to common shareowners had they been recorded through net income for the quarters and six months ended June 30, 2015 and 2014 is provided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common stock for sale of subsidiary shares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 after transfers to</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2014. The changes in the carrying amount of service and product warranties and product performance guarantees for the six months ended June 30,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2014 Annual Report, incorporated by reference in our 2014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2014 Annual Report, we have accrued for the costs of environmental remediation activities and periodically reassess these amounts. We believe that the likelihood of incurring losses materially in excess of amounts accrued is remote. Additional information pertaining to environmental matters is included in Note 1 to the Consolidated Financial Statements in our 2014 Annual Report.</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60" w:firstLine="540"/>
        <w:spacing w:after="0" w:line="302"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accrued based upon a range of estimates. Where no amount within a range of estimates is more likely, then we accrued the minimum amount.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11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In November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seeks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8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filed an appeal from the judgment to the United States Court of Appeals for the Sixth Circuit on August 26, 2013. On April 6, 2015, the Sixth Circuit reversed the trial court’s decision and vacated the prior damages award, noting that the government did not prove any damages. The Court rejected as a matter of law the evidence submitted by the government on damages and remanded the case to the trial court to decide in the first instance whether the government should have another opportunity to prove that it suffered any actual damages. We continue to believe that the government suffered no actual damages as a result of the inaccurate statements made in 1983, and continue not to accrue a reserve beyond the approximately $7 million of penalties referenced above and post-judgment interest on such penalties, which in the aggregate are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United States Defense Contract Management Agency asserted a claim and demand for payment of approximately $211 million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We believe this claim is without merit. On March 18, 2014, Pratt &amp; Whitney filed an appeal to the Armed Services Board of Contract Appeals.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approximately €215 million (approximately $241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$133 million). On August 3, 2012, we filed suit in the local German Tax Court (Berlin-Brandenburg). In 2008 the German Federal Tax Court (FTC) denied benefits to another taxpayer in a case involving a German tax law relevant to our reorganization. The determination of the FTC on this other matter was appealed to the European Court of Justice (ECJ)</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33" w:right="25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6"/>
          <w:szCs w:val="16"/>
          <w:color w:val="auto"/>
        </w:rPr>
        <w:t>to determine if the underlying German tax law is violative of European Union principles. On September 17, 2009, the ECJ issued an opinion in this case that is generally favorable to the other taxpayer and referred the case back to the FTC for further consideration of certain related issues. In May 2010, the FTC released its decision, in which it resolved certain tax issues that may be relevant to our suit and remanded the case to a lower court for further development. In 2012, the lower court decided in favor of the other taxpayer and the German Government again appealed the findings to the FTC. In November 2014, the FTC ruled in favor of the German Government, and against the other taxpayer. We believe that the FTC decision in the case involving the other taxpayer is not determinative of the outcome in our case, and we will continue vigorously to litigate the matter. However, in light of the FTC decision in the case involving the other taxpayer, we fully accrued for the matter during the quarter ended December 31, 2014. While we continue to litigate the matter at the local German Tax Court, UTC made tax and interest payments to German tax authorities of €20 million (approximately $22 million) in the quarter ended March 31, 2015 and €217 million (approximately $236 million) in the quarter ended June 30, 2015 to avoid additional interest accruals pending final resolution of this matter.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2014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2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June 30, 2015 and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Operating Profits</w:t>
            </w:r>
          </w:p>
        </w:tc>
        <w:tc>
          <w:tcPr>
            <w:tcW w:w="26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12.8 %</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six months ended June 30, 2015 and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Operating Profits</w:t>
            </w:r>
          </w:p>
        </w:tc>
        <w:tc>
          <w:tcPr>
            <w:tcW w:w="26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31,296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13.6 %</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420"/>
        <w:spacing w:after="0"/>
        <w:rPr>
          <w:sz w:val="20"/>
          <w:szCs w:val="20"/>
          <w:color w:val="auto"/>
        </w:rPr>
      </w:pPr>
      <w:r>
        <w:rPr>
          <w:rFonts w:ascii="Arial" w:cs="Arial" w:eastAsia="Arial" w:hAnsi="Arial"/>
          <w:sz w:val="17"/>
          <w:szCs w:val="17"/>
          <w:color w:val="auto"/>
        </w:rPr>
        <w:t>See Note 7 to the Condensed Consolidated Financial Statements for a discussion of restructuring costs included in segment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22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of this ASU.</w:t>
      </w:r>
    </w:p>
    <w:p>
      <w:pPr>
        <w:spacing w:after="0" w:line="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February 2015, the FASB issued ASU No. 2015-02, "Amendments to the Consolidation Analysis." This update is intended to improve targeted areas of consolidation guidance by simplifying the consolidation evaluation process, and by placing more emphasis on risk of loss when determining a controlling financial interest. The provisions of this ASU are effective for interim and annual periods beginning after December 15, 2015. We are currently evaluating the impact of this ASU.</w:t>
      </w:r>
    </w:p>
    <w:p>
      <w:pPr>
        <w:spacing w:after="0" w:line="7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April 2015, the FASB issued ASU No. 2015-03, "Simplifying the Presentation of Debt Issuance Costs." This ASU more closely aligns the treatment of debt issuance costs with debt discounts and premiums and requires debt issuance costs be presented as a direct deduction from the carrying amount of the related debt. The amendments in this ASU are effective for financial statements issued for fiscal years beginning after December 15, 2015 and interim periods within those fiscal years. This ASU is not expected to have a significant impact on our financial statements or disclosures.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2015 and 2014, PricewaterhouseCoopers LLP (PricewaterhouseCoopers) reported that it has applied limited procedures in accordance with professional standards for a review of such information. However, its report dated July 24, 2015,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reviewed the accompanying condensed consolidated balance sheet of United Technologies Corporation and its subsidiaries as of June 30, 2015 and the related condensed consolidated statements of operations and condensed consolidated statements of comprehensive income for the three-month and six-month periods ended June 30, 2015 and 2014 and the condensed consolidated statement of cash flows for the six-month periods ended June 30, 2015 and 2014. This interim financial information is the responsibility of the Corporation's management.</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previously audited, in accordance with the standards of the Public Company Accounting Oversight Board (United States), the consolidated balance sheet as of December 31, 2014, and the related consolidated statements of operations, of comprehensive income, of cash flows, and of changes in equity for the year then ended (not presented herein), and in our report dated February 5, 2015, we expressed an unqualified opinion on those consolidated financial statements. In our opinion, the information set forth in the accompanying condensed consolidated balance sheet as of December 31, 2014,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 UTC Building &amp; Industrial Systems is an organizational structure consisting of our commercial businesses. Otis and UTC Climate, Controls &amp; Security each continue to report their financial and operational results as separate segments, which is consistent with how we allocate resources and measure the financial performance of these businesses. On July 20, 2015, we announced an agreement to sell our Sikorsky Aircraft business (Sikorsky) to Lockheed Martin Corp. for $9 billion in cash, subject to a working capital and net indebtedness adjustment. The sale is expected to close by the end of 2015 or in the first quarter of 2016, and is subject to customary closing conditions, including regulatory approvals. As a result, Sikorsky will be reported in discontinued operations beginning in the third quarter of 2015. Proceeds from the sale are expected to be used to fund additional share repurchase of UTC stock.</w:t>
      </w:r>
    </w:p>
    <w:p>
      <w:pPr>
        <w:spacing w:after="0" w:line="17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2015 is discussed below. For additional discussion, refer to the "Business Overview" section in Management's Discussion and Analysis of Financial Condition and Results of Operations in our 2014 Annual Report, which is incorporated by reference in our 2014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global economy continues to expand in 2015 with world gross domestic product (GDP) growth projected to reach 2.6% with moderating growth in the U.S. and modest improvements in Western Europe. U.S. GDP is forecasted to be 2.2%, with harsh winter weather in early 2015 and port closures appearing to be a temporary setback for U.S. growth. Although emerging markets have historically led global growth relative to advanced and developing countries, slowing growth rates in China and forecasted contraction in Russia and Brazil have tempered growth expectations for emerging markets in 2015 to approximately 3.9%. In China, with lower manufacturing growth and a decline in the real estate sector, China GDP is forecasted to slow to approximately 6.5% in 2015 as China continues to use fiscal policy to support growth.</w:t>
      </w:r>
    </w:p>
    <w:p>
      <w:pPr>
        <w:spacing w:after="0" w:line="17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Total sales to the U.S. Government were $2.4 billion and $2.2 billion, or 15% and 13% of total UTC sales in the quarters ended June 30, 2015 and 2014,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six months ended June 30, 2015, our investment in business acquisitions was approximately $273 million, including debt assumed of $17 million, which includes the acquisition of a majority interest in a UTC Climate, Controls &amp; Security business and a number of other small acquisitions primarily in our commercial businesses. We expect cash investment in businesses to be approximately $1 billion in 2015. However, actual acquisition spending may vary depending upon the timing, availability and value of acquisition opportunities.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commercial businesses. Government and market-driven safety and performance regulations, restrictions on aircraft engine noise and emissions, and government procurement practices can impact our aerospace and defense businesses.</w:t>
      </w:r>
    </w:p>
    <w:p>
      <w:pPr>
        <w:spacing w:after="0" w:line="1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2015. See Part I, Item 1A, "Risk Factors" in our 2014 Form 10-K for further discussion.</w:t>
      </w:r>
    </w:p>
    <w:p>
      <w:pPr>
        <w:spacing w:after="0" w:line="18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Sikorsky is developing the CH-148 derivative of the H-92 helicopter (the Cyclone), a military variant of the S-92 helicopter, for the Canadian Government. The Cyclone is being developed under a fixed-price acquisition contract (the Acquisition Contract) that provides for a program to develop and produce 28 helicopters, and a related contract to provide in-service support (collectively, the Arrangements). Delivery of the final configuration aircraft, which was originally scheduled to begin in 2012, did not occur due to a number of disputes between the Canadian Government and Sikorsky related to contractual requirements and contract performance.</w:t>
      </w:r>
    </w:p>
    <w:p>
      <w:pPr>
        <w:spacing w:after="0" w:line="188"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On June 18, 2014, Sikorsky and the Canadian Government signed amendments to the Arrangements (the Amended Arrangements). The Amended Arrangements finalized the scope of the aircraft, changed the governance of the program, and established a phased approach to the delivery of interim and final configuration helicopters starting in 2015. The Amended Arrangements also extend the in-service support contract through approximately 2038. The contract value of the Amended Arrangements is estimated to be approximately $6.4 billion.</w:t>
      </w:r>
    </w:p>
    <w:p>
      <w:pPr>
        <w:spacing w:after="0" w:line="17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Prior to the amendments, sales and losses under the Acquisition Contract were recognized using an output-based method, consistent with the practices and policies the Company applies to other comparable production contracts. In light of the significant changes in program scope, governance and delivery, we re-assessed the method we utilize in estimating the extent of progress under the Acquisition Contract. The Acquisition Contract, as amended, now reflects the significant developmental nature of the program that has evolved over time. Under the Company's practices and policies, contracts that are comparable to the Amended Arrangements are accounted for utilizing a cost-to-cost percentage of completion method, as this best reflects the efforts expended and more appropriately aligns the sales and loss recognition with these efforts. Employing the cost-to-cost percentage of completion method, we recorded a cumulative adjustment to reflect the percentage of completion under the Amended Arrangements in the second quarter of 2014 as a change in estimate. This adjustment along with changes in the in-service support contract resulted in the recognition in the second quarter of 2014 of $830 million in sales and $438 million in losses. Remaining losses under the Amended Arrangements of approximately $220 million will be recognized as the costs are incurred. These losses will be partially offset by the in-service support aftermarket contract with the expectation of generating positive annual margin beginning in 2019.</w:t>
      </w:r>
    </w:p>
    <w:p>
      <w:pPr>
        <w:spacing w:after="0" w:line="16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following activities are disclosed as required by Section 13(r)(1)(D) of the Securities Exchange Act of 1934, as amended, as transactions or dealings with the government of Iran that have not been specifically authorized by a U.S. federal department or agency:</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part of UTC Building &amp; Industrial System’s on-going efforts to identify and terminate transactions with the government of Iran, it recently determined that in 2012, 2013, 2014 and 2015, Chubb Hong Kong Limited (Chubb Hong Kong) sold security alarm and monitoring equipment and services to the Hong Kong office of Melli Bank PLC (Melli Bank). Chubb Hong Kong is a non-U.S. subsidiary operating through the UTC Climate, Controls &amp; Security financial reporting segment. Melli Bank has been designated by the U.S. Treasury Department’s Office of Foreign Assets Control (OFAC) as an entity owned or controlled by the Government of Iran and as blocked pursuant to Executive Order No. 13382. A portion of the 2012 transactions and all of the 2013, 2014 and 2015 transactions took place after the President issued Executive Order 13628 on October 9, 2012, which implemented Section 218 of the Iran Threat Reduction and Syria Human Rights Act by prohibiting any entity owned or controlled by a U.S. person and established or maintained outside the U.S. from knowingly engaging in any transaction, directly or indirectly, with the Government of Iran. Accordingly, UTC Building &amp; Industrial Systems has filed an appropriate disclosure with OFAC. In 2012, Chubb Hong Kong sold approximately $1,548 in the aggregate in security alarm and monitoring equipment and services to Melli Bank, with a net profit of approximately $697. Approximately $1,161 of the 2012 payments were received before October 9, 2012 and were not prohibited by applicable law when received. In 2013, Chubb Hong Kong sold approximately $1,761 in the aggregate in security alarm and monitoring equipment and services to Melli Bank, with a net profit of approximately $792. In 2014, Chubb Hong Kong sold approximately $1,559 in the aggregate in security alarm and monitoring equipment and services to Melli Bank, with a net profit of approximately $702. In 2015, Chubb Hong Kong sold approximately $796 in the aggregate in security alarm and monitoring equipment and services to Melli Bank, with a net profit of approximately $358. Chubb Hong Kong has informed Melli Bank that it has terminated the relationship and will not provide further security alarm and monitoring equipment or services.</w:t>
      </w:r>
    </w:p>
    <w:p>
      <w:pPr>
        <w:spacing w:after="0" w:line="16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previously disclosed under Part II. Item 9A of our 2014 Form 10-K, Chubb Fire &amp; Security Limited (Chubb UK), a company organized under the laws of the United Kingdom, sold fire safety products and provided related maintenance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inspection services to Petrochemical Commercial Company (U.K.) Limited (Petrochemical) in 2012, 2013, and 2014. Also as previously disclosed, Chubb UK informed Petrochemical that it terminated the relationship and will not provide further fire safety equipment or maintenance inspection services. As part of the process of terminating such relationship, in 2015 Chubb UK sent a second termination notice to Petrochemical and, with respect to $1,367.23 of maintenance inspection services provided in December 2014, UK Chubb issued to Petrochemical a credit note for the amount of the services provided, thereby excusing Petrochemical from payment for those services. Chubb UK has received no payments or profit for the December 2014 services and has had no further contact with Petrochemical in 2015.</w:t>
      </w:r>
    </w:p>
    <w:p>
      <w:pPr>
        <w:spacing w:after="0" w:line="19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UTC Aerospace Systems discovered that Iran Air accessed a limited number of maintenance documents in a legacy Goodrich technical publications database during the period required for reporting by Section 13(r) of the Securities Exchange Act (15 U.S.C. Section 78m(r)). These documents are used by maintenance mechanics pertaining to parts manufactured by Goodrich Corporation for older commercial aircraft operated by Iran Air (mostly interior and exterior lighting components). OFAC has designated Iran Air as an entity owned or controlled by the Government of Iran and blocked pursuant to Executive Order No. 13382. No documents were accessed after December 2013 and UTC Aerospace Systems has taken appropriate action to prevent further access. Based on its preliminary review of this matter, UTC Aerospace Systems has not identified any revenues or profits attributable to Iran Air’s access to these documents. UTC Aerospace Systems has also filed the relevant disclosure with OFAC.</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2014 Annual Report, incorporated by reference in our 2014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16,333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17,191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30,874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31,936</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six months ended June 30, 2015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7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2015</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quarter ended June 30, 2015, all five segments experienced organic sales growth led by Sikorsky (6%), UTC Climate, Controls &amp; Security (5%), along with growth at Pratt &amp; Whitney and UTC Aerospace Systems (each 2%) and Otis (1%). Organic sales growth at Sikorsky was driven by development programs, U.S. Government aircraft sales volumes and commercial aircraft sales volume, driven by aircraft completion services. Organic sales growth at UTC Climate, Controls &amp; Security was driven by the U.S. commercial heating, ventilation, and air conditioning (HVAC) and transport refrigeration businesses.</w:t>
      </w:r>
    </w:p>
    <w:p>
      <w:pPr>
        <w:spacing w:after="0" w:line="18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All five segments also experienced organic sales growth during the six months ended June 30, 2015, led by UTC Climate, Controls &amp; Security (6%) and UTC Aerospace Systems (4%), along with growth Otis (2%) and at Pratt &amp; Whitney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Sikorsky (each 1%). Organic sales growth at UTC Climate, Controls &amp; Security was driven by the U.S. commercial HVAC and transport refrigeration businesses, while organic growth at UTC Aerospace Systems was due to growth in commercial OEM sales.</w:t>
      </w:r>
    </w:p>
    <w:p>
      <w:pPr>
        <w:spacing w:after="0" w:line="17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sales increase from net acquisitions and divestitures for the quarter and six months ended June 30, 2015 was primarily a result of the acquisition of majority interests in a UTC Climate, Controls &amp; Security business and joint venture. The decline in "Other" in the quarter and six months ended June 30, 2015 is attributable to the absence of the cumulative adjustment to record sales of $830 million based upon the change in estimate arising out of the Amended Arrangements signed with the Canadian Government for the Cyclone helicopter program in the second quarter of 2014.</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18,263</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5,358</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12,931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22,348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23,621</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six months ended June 30, 2015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7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2015</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color w:val="auto"/>
        </w:rPr>
        <w:t>The organic increase in total cost of products and services sold in the quarter and six months ended June 30, 2015 was driven by the organic sales increase noted above as well as by a higher proportion of OEM sales mix and the related negative engine margin in 2015 relative to 2014, within Pratt &amp; Whitney. Foreign exchange fluctuations provided a benefit through lower cost of sales of approximately 5% driven by Otis and UTC Climate, Controls &amp; Security.</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decrease in "Other" in the quarter and six months ended June 30, 2015 is attributable to the absence of the cumulative adjustment to record costs of $1,268 million based upon the change in estimate arising out of the Amended Arrangements signed with the Canadian Government for the Cyclone helicopter program in the second quarter of 2014.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8,315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r>
    </w:tbl>
    <w:p>
      <w:pPr>
        <w:spacing w:after="0" w:line="121" w:lineRule="exact"/>
        <w:rPr>
          <w:sz w:val="20"/>
          <w:szCs w:val="20"/>
          <w:color w:val="auto"/>
        </w:rPr>
      </w:pPr>
    </w:p>
    <w:p>
      <w:pPr>
        <w:ind w:right="460" w:firstLine="432"/>
        <w:spacing w:after="0" w:line="257" w:lineRule="auto"/>
        <w:rPr>
          <w:sz w:val="20"/>
          <w:szCs w:val="20"/>
          <w:color w:val="auto"/>
        </w:rPr>
      </w:pPr>
      <w:r>
        <w:rPr>
          <w:rFonts w:ascii="Arial" w:cs="Arial" w:eastAsia="Arial" w:hAnsi="Arial"/>
          <w:sz w:val="18"/>
          <w:szCs w:val="18"/>
          <w:color w:val="auto"/>
        </w:rPr>
        <w:t>The 280 basis point increase in gross margin as a percentage of sales for the quarter ended June 30, 2015 is primarily due to the absence of the cumulative adjustment to record $830 million in sales and $1,268 million in cost of sales based upon the change in estimate arising out of the Amended Arrangements signed with the Canadian Government for the Cyclone helicopter program (390 basis points). This was partially offset by higher negative engine margin at Pratt &amp; Whitney (50 basis points) and higher restructuring costs (20 basis points). The remaining decline is primarily driven by higher pension expense in 2015.</w:t>
      </w:r>
    </w:p>
    <w:p>
      <w:pPr>
        <w:spacing w:after="0" w:line="188" w:lineRule="exact"/>
        <w:rPr>
          <w:sz w:val="20"/>
          <w:szCs w:val="20"/>
          <w:color w:val="auto"/>
        </w:rPr>
      </w:pPr>
    </w:p>
    <w:p>
      <w:pPr>
        <w:ind w:right="460" w:firstLine="432"/>
        <w:spacing w:after="0" w:line="302" w:lineRule="auto"/>
        <w:rPr>
          <w:sz w:val="20"/>
          <w:szCs w:val="20"/>
          <w:color w:val="auto"/>
        </w:rPr>
      </w:pPr>
      <w:r>
        <w:rPr>
          <w:rFonts w:ascii="Arial" w:cs="Arial" w:eastAsia="Arial" w:hAnsi="Arial"/>
          <w:sz w:val="16"/>
          <w:szCs w:val="16"/>
          <w:color w:val="auto"/>
        </w:rPr>
        <w:t>The 160 basis point increase in gross margin as a percentage of sales for six months ended June 30, 2015 is primarily due to the absence of the cumulative adjustment to record $830 million in sales and $1,268 million in cost of sales based upon the change in estimate arising out of the Amended Arrangements signed with the Canadian Government for the Cyclone helicopter program (210 basis points). This was partially offset by higher negative engine margin at Pratt &amp; Whitney (50 basis points). Lower restructuring costs (10 basis points) were offset by higher pension expense in 2015.</w:t>
      </w:r>
    </w:p>
    <w:p>
      <w:pPr>
        <w:sectPr>
          <w:pgSz w:w="11900" w:h="16838" w:orient="portrait"/>
          <w:cols w:equalWidth="0" w:num="1">
            <w:col w:w="11420"/>
          </w:cols>
          <w:pgMar w:left="240" w:top="12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1,208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1,290</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1,124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1,164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2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in company-funded research and development (9%) for the quarter ended June 30, 2015 is primarily related to lower research and development within UTC Aerospace Systems and Pratt &amp; Whitney resulting principally from the wind down of development activities on certain key programs such as the A320neo. Customer-funded research and development declined 9%, led principally by Pratt &amp; Whitney (17%) and UTC Aerospace Systems (6%). These declines reflect the latter stages of development on various U.S. Government and commercial programs, and were partially offset by higher spending on U.S. Government development programs at Sikorsky (15%).</w:t>
      </w:r>
    </w:p>
    <w:p>
      <w:pPr>
        <w:spacing w:after="0" w:line="17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year-over-year decrease in company-funded research and development (6%) for the six months ended June 30, 2015 is primarily due to lower research and development within Pratt &amp; Whitney related to the development of multiple geared turbo-fan platforms (3%) and within UTC Aerospace Systems related to several commercial aerospace programs (4%). Customer-funded research and development declined (3%) due primarily to lower spending on U.S. Government and commercial engine programs at Pratt &amp; Whitney (16%), partially offset by higher spending on U.S. Government development programs at Sikorsky (13%).</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2015 to decline more than $100 million from 2014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3,219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2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Selling, general and administrative expenses declined 5% in the quarter ended June 30, 2015 due to the benefit of foreign exchange (6%), particularly within the commercial businesses, and lower restructuring costs (2%), partially offset by transaction and separation costs related to the planned sale of Sikorsky (2%) and higher pension costs (1%).</w:t>
      </w:r>
    </w:p>
    <w:p>
      <w:pPr>
        <w:spacing w:after="0" w:line="18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Selling, general and administrative expenses declined 4% in the six months ended June 30, 2015 due to the benefit of foreign exchange (5%), particularly within the commercial businesses, partially offset by transaction and separation costs related to the planned sale of Sikorsky (1%) and higher pension costs (1%).</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decrease in other income, net (50%) in the quarter ended June 30, 2015 reflects the absence of a prior year gain on an agreement with a state taxing authority for the monetization of tax credits (58%) and lower joint venture income (5%), offset by the absence of a prior year charge to adjust the fair value of a Pratt &amp; Whitney joint venture (16%) and the absence of an impairment loss on a Sikorsky joint venture investment (7%). The remaining difference is attributable to miscellaneous asset sales at Pratt &amp; Whitney and UTC Climate, Controls &amp; Security and other normal recurring operational activity.</w:t>
      </w:r>
    </w:p>
    <w:p>
      <w:pPr>
        <w:spacing w:after="0" w:line="19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year-over-year decrease in other income, net (5%) in the six months ended June 30, 2015 reflects the absence of a prior year gain on an agreement with a state taxing authority for the monetization of tax credits (34%) and lower joint venture</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income (5%), offset by gain on the re-measurement to fair value of previously held equity interests in UTC Climate, Controls &amp; Security joint venture investments (24%) by obtaining controlling interests in the ventures, the absence of a prior year charge to adjust the fair value of a Pratt &amp; Whitney joint venture (9%) and the absence of an impairment loss on a Sikorsky joint venture investment (4%). The remaining difference is attributable to miscellaneous asset sales at Pratt &amp; Whitney and UTC Climate, Controls &amp; Security and other normal recurring operational activity.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488</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431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2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decline in interest income in the quarter and six months ended June 30, 2015 is primarily due to the absence of $21 million of favorable pre-tax interest adjustments, primarily related to the conclusion of the IRS's examination of the Company's 2009 and 2010 tax years, recorded during the quarter ended June 30, 2014.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r>
      <w:tr>
        <w:trPr>
          <w:trHeight w:val="243"/>
        </w:trPr>
        <w:tc>
          <w:tcPr>
            <w:tcW w:w="6320" w:type="dxa"/>
            <w:vAlign w:val="bottom"/>
            <w:gridSpan w:val="2"/>
            <w:shd w:val="clear" w:color="auto" w:fill="CCEEFF"/>
          </w:tcPr>
          <w:p>
            <w:pPr>
              <w:jc w:val="right"/>
              <w:ind w:right="496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The increase in the effective tax rate for the quarter ended June 30, 2015, primarily reflects the absence of the favorable non-cash income tax impacts recorded in the second quarter of 2014, comprised of $213 million related to the conclusion of the IRS examination of the Company’s 2009 - 2010 tax years and $40 million related to the conclusion of the State of Connecticut's review of the Company’s 2010 - 2012 tax years.</w:t>
      </w:r>
    </w:p>
    <w:p>
      <w:pPr>
        <w:spacing w:after="0" w:line="16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increase in the effective tax rate for the six months ended June 30, 2015 reflects the absence of the items noted above, partially offset by the non-taxable gain recognized on the re-measurement to fair value of a previously held equity interest in a UTC Climate, Controls &amp; Security joint venture that was recorded in the first quarter of 2015.</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estimate our full year annual effective income tax rate in 2015 to be approximately 29%, absent nonrecurring items and unadjusted for the impacts of the planned sale of Sikorsky.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attributable to common shareowners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3.16</w:t>
            </w:r>
          </w:p>
        </w:tc>
      </w:tr>
    </w:tbl>
    <w:p>
      <w:pPr>
        <w:spacing w:after="0" w:line="12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Net income attributable to common shareowners for the quarter ended June 30, 2015 includes restructuring charges, net of tax benefit, of $40 million as well as costs, net of tax benefit, related to the planned sale of Sikorsky of $27 million. The effect of nonrecurring items and restructuring charges on diluted earnings per share for the quarter ended June 30, 2015 was $0.08 per share. The impact of foreign currency translation and hedging generated an unfavorable effect of $0.06 per diluted share on our operational performance in the quarter ended June 30, 2015.</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Net income attributable to common shareowners for the quarter ended June 30, 2014 includes restructuring charges, net of tax benefit, of $38 million as well as a net benefit from non-recurring items, net of tax expense of $37 million. The effect on diluted earnings per share for the quarter ended June 30, 2014 of restructuring charges was $0.04 per share, offset by a net $0.04 benefit from non-recurring items. The impact of foreign currency translation and hedging generated a favorable effect of $0.03 per diluted share on our operational performance in the quarter ended June 30, 2014.</w:t>
      </w:r>
    </w:p>
    <w:p>
      <w:pPr>
        <w:spacing w:after="0" w:line="15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income attributable to common shareowners for the six months ended June 30, 2015 includes restructuring charges, net of tax benefit, of $105 million as well as a net benefit from nonrecurring items, net of tax expense of $100 million. The effect of nonrecurring items on diluted earnings per share for the six months ended June 30, 2015 was a net benefit of $0.12,</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which was offset by $0.12 of restructuring charges. The impact of foreign currency translation and hedging generated an unfavorable effect of $0.13 per diluted share on our operational performance in the six months ended June 30, 2015.</w:t>
      </w:r>
    </w:p>
    <w:p>
      <w:pPr>
        <w:spacing w:after="0" w:line="17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Net income attributable to common shareowners for the six months ended June 30, 2014 includes restructuring charges, net of tax benefit, of $121 million as well as a net benefit from non-recurring items, net of tax expense of $37 million. The effect on diluted earnings per share for the six months ended June 30, 2014 of restructuring charges was $0.13 per share, offset by a net $0.04 benefit from non-recurring items. The impact of foreign currency translation and hedging generated a favorable effect of $0.03 per diluted share on our operational performance in the six months ended June 30,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those recently acquired. Charges generally arise from severance related to workforce reductions, accelerated depreciation on assets and facility exit and lease termination costs associated with the consolidation of field and manufacturing operations. We expect to incur restructuring costs in 2015 of approximately $300 million, including trailing costs related to prior actions associated with our continuing cost reduction efforts and the integration of acquisitions. The expected adverse impact on earnings in 2015 from anticipated additional restructuring costs is expected to be offset by the beneficial impact from gains and other items that are outside the normal operating activities of the business. Although no specific plans for significant actions have been finalized at this time, we continue to closely monitor the economic environment and may undertake further restructuring actions to keep our cost structure aligned with the demands of the prevailing market conditions.</w:t>
      </w:r>
    </w:p>
    <w:p>
      <w:pPr>
        <w:spacing w:after="0" w:line="17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described below, the charges incurred in the six months ended June 30, 2015 primarily relate to actions initiated during 2015 and 2014, while the charges incurred in the six months ended June 30, 2014 primarily relate to actions initiated during 2014 and 2013.</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2015 Actions. </w:t>
      </w:r>
      <w:r>
        <w:rPr>
          <w:rFonts w:ascii="Arial" w:cs="Arial" w:eastAsia="Arial" w:hAnsi="Arial"/>
          <w:sz w:val="18"/>
          <w:szCs w:val="18"/>
          <w:color w:val="auto"/>
        </w:rPr>
        <w:t>During the six months ended June 30, 2015, we recorded net pre-tax restructuring charges of $105 million relating to ongoing cost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2015.</w:t>
      </w:r>
    </w:p>
    <w:p>
      <w:pPr>
        <w:spacing w:after="0" w:line="16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are targeting to complete in 2015 and 2016 the majority of the remaining workforce and facility related cost reduction actions initiated in 2015. Approximately 90% of the total pre-tax charge will require cash payments, which we have funded and expect to continue to fund with cash generated from operations. During the six months ended June 30, 2015, we had cash outflows of approximately $15 million related to the 2015 actions. We expect to incur additional restructuring charges of $46 million to complete these actions. We expect recurring pre-tax savings to increase over the two-year period subsequent to initiating the actions to approximately $200 million annually.</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six months ended June 30, 2015 and 2014, we recorded net pre-tax restructuring charges of $48 million and $151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actions initiated in 2014. The 2014 actions relate to ongoing cost reduction efforts, including severance related to workforce reductions and facility exit and lease termination costs related to the consolidation of field and manufacturing operations.</w:t>
      </w:r>
    </w:p>
    <w:p>
      <w:pPr>
        <w:spacing w:after="0" w:line="18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targeting to complete in 2015 the majority of the remaining workforce and facility related cost reduction actions initiated in 2014. Approximately 90% of the total pre-tax charge will require cash payments, which we have and expect to continue to fund with cash generated from operations. During the six months ended June 30, 2015, we had cash outflows of approximately $78 million related to the 2014 actions. We expect to incur additional restructuring charges of $56 million to complete these actions. We expect recurring pre-tax savings to increase over the two-year period subsequent to initiating the actions to approximately $310 million annually, of which, approximately $112 million was realized during the six months ended June 30, 2015.</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7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2015 and 2014 are included in "Eliminations and other" below, which also includes certain smaller subsidiaries. We attempt to quantify material cited factors within our discussion of the results of each segment whenever those factors are determinable. However, in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At constant currency and excluding the effect of acquisitions and divestitures, orders within the UTC Climate, Controls &amp; Security segment increased (29%) within transport refrigeration on order strength within Europe and North American truck and trailer businesses and within the container business. Global commercial HVAC orders declined (5%) as HVAC equipment order growth in the Americas (10%) was more than offset by a decline in Asia (23%). Within the Otis segment, new equipment orders increased (5%) in the quarter ended June 30, 2015 with growth in Europe and the Middle East (32%) led by a landmark project in the Middle East. New equipment order growth in North America (10%) was offset by a decline in China (10%) in the quarter ended June 30, 2015.</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June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7"/>
          </w:tcPr>
          <w:p>
            <w:pPr>
              <w:jc w:val="right"/>
              <w:ind w:right="69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20.6%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18.4%</w:t>
            </w:r>
          </w:p>
        </w:tc>
        <w:tc>
          <w:tcPr>
            <w:tcW w:w="106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six months ended June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20.0%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16.3%</w:t>
            </w:r>
          </w:p>
        </w:tc>
        <w:tc>
          <w:tcPr>
            <w:tcW w:w="10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2015 Compared with Quarter Ended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90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Organic sales increased (1%) due to higher new equipment sales primarily in North America (2%) offset by lower service sales in Europe (1%), which are expected to continue for the remainder of 2015. Lower new equipment sales in China (1%) were offset by higher new equipment sales in other areas of Asia (1%).</w:t>
      </w:r>
    </w:p>
    <w:p>
      <w:pPr>
        <w:spacing w:after="0" w:line="18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Operational profit decreased (2%) due to lower service contribution (2%) primarily in Europe and higher selling, general and administrative expenses (2%), partially offset by higher new equipment contribution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9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90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Organic sales increased (2%) due to higher new equipment sales primarily in North America (1%) and Asia (1%). Lower service sales in Europe (1%) were offset by higher service sales in Asia (1%).</w:t>
      </w:r>
    </w:p>
    <w:p>
      <w:pPr>
        <w:spacing w:after="0" w:line="170"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Operational profit remained unchanged in the first six months of 2015 as higher new equipment contribution (6%) was offset by lower service contribution (3%) due to continued pricing pressure, and higher selling, general and administrative expenses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2015 Compared with Quarter Ended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68"/>
              <w:spacing w:after="0" w:line="153" w:lineRule="exact"/>
              <w:rPr>
                <w:sz w:val="20"/>
                <w:szCs w:val="20"/>
                <w:color w:val="auto"/>
              </w:rPr>
            </w:pPr>
            <w:r>
              <w:rPr>
                <w:rFonts w:ascii="Arial" w:cs="Arial" w:eastAsia="Arial" w:hAnsi="Arial"/>
                <w:sz w:val="14"/>
                <w:szCs w:val="14"/>
                <w:b w:val="1"/>
                <w:bCs w:val="1"/>
                <w:color w:val="auto"/>
              </w:rPr>
              <w:t>FX</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7"/>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5"/>
              </w:rPr>
              <w:t>Translation</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Organic sales increased by 5% primarily reflecting growth in Americas (3%) driven by the U.S. commercial and residential HVAC businesses, and growth in refrigeration (2%) driven by the transport refrigeration businesses.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6% operational profit increase was driven by favorable volume and price (combined 5%) and lower commodity costs (1%).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7"/>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0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Organic sales increased by 6% primarily reflecting growth in Americas (3%) driven by the U.S. commercial and residential HVAC businesses, and growth in refrigeration (2%) driven by the transport refrigeration businesses.</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7% operational profit increase was primarily driven by favorable volume and price (combined 6%) and lower commodity costs (1%). The 12% increase in "Other" is driven by a gain as a result of a fair value adjustment related to the acquisition of a controlling interest in a joint venture investment (9%), a gain as a result of a fair value adjustment related to a separate acquisition of a controlling interest in another joint venture investment (1%), and a gain on a property sale (1%).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continue to see growth in our commercial OEM business based on a strong airline industry which is benefiting from traffic growth and lower fuel costs. Airline traffic, as measured by RPMs, grew over 6% in the first five months of 2015, while jet fuel costs have declined approximately 40% relative to prices one year ago in all geographic regions.</w:t>
      </w:r>
    </w:p>
    <w:p>
      <w:pPr>
        <w:spacing w:after="0" w:line="18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commercial aftermarket businesses continue to evolve as an increasing proportion of our aerospace businesses' customers are covered under Fleet Management Programs (FMP). FMP are comprehensive long-term spare part and service agreements with our customers. We expect a continued shift to FMP in lieu of transactional spare part sales as new engines enter our customers' fleets on FMP, and legacy fleets are retired. Overall shop visits for engines under FMP were lower in the quarter reflecting our ongoing efforts to improve the engine time on wing. Other aftermarket activity was mixed with engine transactional services up at Pratt &amp; Whitney, including Pratt &amp; Whitney Canada, provisioning and repair down at UTC Aerospace Systems, while part sales continued to be strong at UTC Aerospace Systems. The UTC Aerospace Systems provisioning, repair and part sales volumes are expected to remain relatively consistent through the remainder of 2015. Military aftermarket across the aerospace businesses was generally flat.</w:t>
      </w:r>
    </w:p>
    <w:p>
      <w:pPr>
        <w:spacing w:after="0" w:line="17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record changes in contract estimates using the cumulative catch-up method in accordance with the Revenue Recognition Topic of the FASB ASC. Operating profit included significant net favorable changes in aerospace contract estimates of $91 million and $145 million in the quarter and six months ended June 30, 2015, respectively, primarily representing favorable contract adjustments recorded at Pratt &amp; Whitney.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June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Pratt &amp; Whitney</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593"/>
              <w:spacing w:after="0"/>
              <w:rPr>
                <w:sz w:val="20"/>
                <w:szCs w:val="20"/>
                <w:color w:val="auto"/>
              </w:rPr>
            </w:pPr>
            <w:r>
              <w:rPr>
                <w:rFonts w:ascii="Arial" w:cs="Arial" w:eastAsia="Arial" w:hAnsi="Arial"/>
                <w:sz w:val="14"/>
                <w:szCs w:val="14"/>
                <w:b w:val="1"/>
                <w:bCs w:val="1"/>
                <w:color w:val="auto"/>
              </w:rPr>
              <w:t>UTC Aerospace Systems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Sikorsky</w:t>
            </w:r>
          </w:p>
        </w:tc>
        <w:tc>
          <w:tcPr>
            <w:tcW w:w="820" w:type="dxa"/>
            <w:vAlign w:val="bottom"/>
            <w:tcBorders>
              <w:bottom w:val="single" w:sz="8" w:color="auto"/>
            </w:tcBorders>
          </w:tcPr>
          <w:p>
            <w:pPr>
              <w:spacing w:after="0"/>
              <w:rPr>
                <w:sz w:val="16"/>
                <w:szCs w:val="16"/>
                <w:color w:val="auto"/>
              </w:rPr>
            </w:pPr>
          </w:p>
        </w:tc>
      </w:tr>
      <w:tr>
        <w:trPr>
          <w:trHeight w:val="229"/>
        </w:trPr>
        <w:tc>
          <w:tcPr>
            <w:tcW w:w="2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w w:val="99"/>
              </w:rPr>
              <w:t>Operating Expenses &amp; Other</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65"/>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00" w:type="dxa"/>
            <w:vAlign w:val="bottom"/>
          </w:tcPr>
          <w:p>
            <w:pPr>
              <w:spacing w:after="0"/>
              <w:rPr>
                <w:sz w:val="24"/>
                <w:szCs w:val="24"/>
                <w:color w:val="auto"/>
              </w:rPr>
            </w:pPr>
          </w:p>
        </w:tc>
        <w:tc>
          <w:tcPr>
            <w:tcW w:w="1000" w:type="dxa"/>
            <w:vAlign w:val="bottom"/>
            <w:gridSpan w:val="3"/>
          </w:tcPr>
          <w:p>
            <w:pPr>
              <w:jc w:val="right"/>
              <w:ind w:right="90"/>
              <w:spacing w:after="0"/>
              <w:rPr>
                <w:sz w:val="20"/>
                <w:szCs w:val="20"/>
                <w:color w:val="auto"/>
              </w:rPr>
            </w:pPr>
            <w:r>
              <w:rPr>
                <w:rFonts w:ascii="Arial" w:cs="Arial" w:eastAsia="Arial" w:hAnsi="Arial"/>
                <w:sz w:val="18"/>
                <w:szCs w:val="18"/>
                <w:color w:val="auto"/>
              </w:rPr>
              <w:t>13.2%</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16.6%</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(13.3)%</w:t>
            </w:r>
          </w:p>
        </w:tc>
        <w:tc>
          <w:tcPr>
            <w:tcW w:w="82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six months ended June 30, 2015 and 2014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Pratt &amp; Whitney</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jc w:val="right"/>
              <w:ind w:right="593"/>
              <w:spacing w:after="0"/>
              <w:rPr>
                <w:sz w:val="20"/>
                <w:szCs w:val="20"/>
                <w:color w:val="auto"/>
              </w:rPr>
            </w:pPr>
            <w:r>
              <w:rPr>
                <w:rFonts w:ascii="Arial" w:cs="Arial" w:eastAsia="Arial" w:hAnsi="Arial"/>
                <w:sz w:val="14"/>
                <w:szCs w:val="14"/>
                <w:b w:val="1"/>
                <w:bCs w:val="1"/>
                <w:color w:val="auto"/>
              </w:rPr>
              <w:t>UTC Aerospace Systems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Sikorsky</w:t>
            </w:r>
          </w:p>
        </w:tc>
        <w:tc>
          <w:tcPr>
            <w:tcW w:w="820" w:type="dxa"/>
            <w:vAlign w:val="bottom"/>
            <w:tcBorders>
              <w:bottom w:val="single" w:sz="8" w:color="auto"/>
            </w:tcBorders>
          </w:tcPr>
          <w:p>
            <w:pPr>
              <w:spacing w:after="0"/>
              <w:rPr>
                <w:sz w:val="16"/>
                <w:szCs w:val="16"/>
                <w:color w:val="auto"/>
              </w:rPr>
            </w:pPr>
          </w:p>
        </w:tc>
      </w:tr>
      <w:tr>
        <w:trPr>
          <w:trHeight w:val="229"/>
        </w:trPr>
        <w:tc>
          <w:tcPr>
            <w:tcW w:w="2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w w:val="99"/>
              </w:rPr>
              <w:t>Operating Expenses &amp; Other</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65"/>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00" w:type="dxa"/>
            <w:vAlign w:val="bottom"/>
          </w:tcPr>
          <w:p>
            <w:pPr>
              <w:spacing w:after="0"/>
              <w:rPr>
                <w:sz w:val="24"/>
                <w:szCs w:val="24"/>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8"/>
                <w:szCs w:val="18"/>
                <w:color w:val="auto"/>
              </w:rPr>
              <w:t>12.9%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16.8%</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82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37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2015 Compared with Quarter Ended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w w:val="92"/>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8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940" w:type="dxa"/>
            <w:vAlign w:val="bottom"/>
            <w:gridSpan w:val="3"/>
          </w:tcPr>
          <w:p>
            <w:pPr>
              <w:ind w:left="340"/>
              <w:spacing w:after="0" w:line="153" w:lineRule="exact"/>
              <w:rPr>
                <w:sz w:val="20"/>
                <w:szCs w:val="20"/>
                <w:color w:val="auto"/>
              </w:rPr>
            </w:pPr>
            <w:r>
              <w:rPr>
                <w:rFonts w:ascii="Arial" w:cs="Arial" w:eastAsia="Arial" w:hAnsi="Arial"/>
                <w:sz w:val="14"/>
                <w:szCs w:val="14"/>
                <w:b w:val="1"/>
                <w:bCs w:val="1"/>
                <w:color w:val="auto"/>
              </w:rPr>
              <w:t>Acquisitions /</w:t>
            </w: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organic sales increase (2%) primarily reflects higher military engine sales (4%), offset by lower commercial engine sales (2%). Sales increased 1% as a result of the acquisition of a majority interest in a joint venture in July 2014.</w:t>
      </w:r>
    </w:p>
    <w:p>
      <w:pPr>
        <w:spacing w:after="0" w:line="170"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Pratt &amp; Whitney's operating profit reflects higher pension costs partially offset by restructuring savings across its businesses. The operational profit decrease (19%) was due to unfavorable aftermarket volume and mix (25%), higher negative engine margin (19%), and repayments of government research and development support in the form of royalties at Pratt &amp; Whitney Canada (2%), offset by an increase in favorable contract performance (17%), favorable military engine margin and volume mix (6%) and lower research and development spending (5%). Operating profit increased (4%) as a result of the acquisition of a majority interest in a joint venture in July 2014. "Other" reflects the absence of a loss to adjust the fair value of a joint venture investment (14%), the absence of an impairment of assets related to a joint venture (5%), a favorable fair value adjustment of contingent consideration related to a 2013 Pratt &amp; Whitney divestiture (3%), higher gains from intellectual property sales (2%) and non-core product lines sales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6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organic sales increase (1%) primarily reflects higher military engine sales (2%) offset by lower commercial engine sales (1%). Sales increased 1% as a result of the acquisition of a majority interest in a joint venture in July 2014.</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Pratt &amp; Whitney's operating profit includes higher pension cost partially offset by restructuring savings across its business. The operational profit decrease (12%) was due to higher negative engine margin (20%), lower aftermarket profits (4%), repayments of government research and development support in the form of royalties at Pratt &amp; Whitney Canada (3%), and lower industrial engines development sales (2%), offset by favorable contract performance (8%), lower research and development spending (5%), favorable military engine volume and mix (3%), and favorable contract termination benefits (2%). Operating profit increased (3%) as a result of the acquisition of a majority interest in a joint venture in July 2014. "Other" reflects the absence of a loss to adjust the fair value of a joint venture investment (7%), the absence of an impairment of assets related to a joint venture (3%), favorable fair value adjustment of contingent consideration related to a 2013 Pratt &amp; Whitney divestiture (2%), higher gains from intellectual property sales (1%) and non-core product lines sales (1%).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2015 Compared with Quarter Ended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Factors contributing to total % Change</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organic sales growth (2%) primarily reflects an increase in commercial aerospace OEM sales volume (3%) and a benefit from a change in a customer arrangement (2%), partially offset by the absence of the favorable impact of a prior year customer contract settlement (2%) and lower military OEM sales volume (1%).</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organic decrease in operational profit (8%) reflects lower commercial aerospace OEM profit contribution (9%) primarily due to adverse mix, the absence of the favorable impact of a prior year customer contract settlement (6%), higher warranty costs (3%), higher pension costs (3%), and lower military profit contribution (2%), partially offset by lower research and development costs (7%), benefits from customer contract dispute resolutions and other settlements (5%), and lower selling, general and administrative expenses (4%) partially driven by lower employee related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1"/>
                <w:szCs w:val="21"/>
                <w:color w:val="auto"/>
              </w:rPr>
            </w:pP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organic sales growth (4%) primarily reflects an increase in commercial aerospace OEM sales volume (4%) and a benefit from a change in a customer arrangement (2%), partially offset by the absence of the favorable impact of a prior year customer contract settlement (1%) and lower military OEM sales volume (1%).</w:t>
      </w:r>
    </w:p>
    <w:p>
      <w:pPr>
        <w:spacing w:after="0" w:line="181"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The organic decrease in operational profit (2%) reflects higher warranty costs (4%), lower commercial aerospace OEM profit contribution (3%) primarily due to adverse mix, the absence of the favorable impact of a prior year customer contract settlement (3%), higher pension costs (3%), and lower military profit contribution (3%), partially offset by benefits from favorable customer contract negotiations, dispute resolutions and other settlements (5%), lower research and development costs (4%), lower selling, general and administrative expenses (3%) partially driven by lower employee related costs, and higher commercial aerospace aftermarket profit contribution (1%).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2015 Compared with Quarter Ended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rPr>
              <w:t>FX</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organic sales increase (6%) reflects increased development program sales volume (5%), commercial aircraft volume (4%) driven by aircraft completion services, and U.S. Government aircraft sales volume (3%). These increases were partially offset by decreases in international military sales (4%) and aftermarket sales (3%). "Other" reflects the absence of a cumulative adjustment to record $830 million in sales and $1,268 million in cost of sales in 2014 based upon the change in estimate for the Amended Arrangements signed with the Canadian Government for the Cyclone Helicopter program.</w:t>
      </w:r>
    </w:p>
    <w:p>
      <w:pPr>
        <w:spacing w:after="0" w:line="15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operational profit increase (12%) is driven by increased profitability in U.S. Government aircraft (11%) due to increased volume and the absence of prior year unfavorable contract performance adjustments, increased development programs volume (5%) inclusive of year-over-year favorable contract performance adjustments, increased commercial profitability (3%) due to aircraft completion services volume, and increased profitability from international military aircraft</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(1%). These increases were partially offset by lower aftermarket profitability (8%). "Other" reflects the absence of a cumulative adjustment to record losses of $438 million in 2014 based upon the change in estimate for the Amended Arrangements signed with the Canadian Government for the Cyclone Helicopter program and the absence of an approximately $28 million charge for the impairment of a Sikorsky joint venture investment in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468"/>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40" w:type="dxa"/>
            <w:vAlign w:val="bottom"/>
            <w:gridSpan w:val="3"/>
          </w:tcPr>
          <w:p>
            <w:pPr>
              <w:jc w:val="right"/>
              <w:ind w:right="1368"/>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ind w:right="1468"/>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organic sales increase (1%) reflects increased development program sales volume (6%) and U.S. Government aircraft sales volume (1%). These increases were partially offset by decreases in aftermarket sales (4%) and international military sales (2%). "Other" reflects a cumulative adjustment to record $830 million in sales and $1,268 million in cost of sales in 2014 based upon the change in estimate for the Amended Arrangements signed with the Canadian Government for the Cyclone Helicopter program.</w:t>
      </w:r>
    </w:p>
    <w:p>
      <w:pPr>
        <w:spacing w:after="0" w:line="187" w:lineRule="exact"/>
        <w:rPr>
          <w:sz w:val="20"/>
          <w:szCs w:val="20"/>
          <w:color w:val="auto"/>
        </w:rPr>
      </w:pPr>
    </w:p>
    <w:p>
      <w:pPr>
        <w:ind w:right="220" w:firstLine="432"/>
        <w:spacing w:after="0" w:line="272" w:lineRule="auto"/>
        <w:rPr>
          <w:sz w:val="20"/>
          <w:szCs w:val="20"/>
          <w:color w:val="auto"/>
        </w:rPr>
      </w:pPr>
      <w:r>
        <w:rPr>
          <w:rFonts w:ascii="Arial" w:cs="Arial" w:eastAsia="Arial" w:hAnsi="Arial"/>
          <w:sz w:val="17"/>
          <w:szCs w:val="17"/>
          <w:color w:val="auto"/>
        </w:rPr>
        <w:t>The operational profit increase (11%) is driven by increased profitability in U.S. Government aircraft (23%) due to increased sales volume and the absence of unfavorable contract performance adjustments, increased development programs volume (5%) inclusive of year-over-year favorable contract performance adjustments, increased profitability from international aircraft (5%), and additional joint venture income (4%). These increases were partially offset by lower aftermarket profitability (26%) primarily due to a decline in year-over-year favorable military contract performance adjustments. "Other" reflects the absence of a cumulative adjustment to record losses of $438 million in 2014 based upon the change in estimate for the Amended Arrangements signed with the Canadian Government for the Cyclone Helicopter program and the absence of an approximately $28 million charge for the impairment of a Sikorsky joint venture investment in 2014.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4"/>
              </w:rPr>
              <w:t>Quarter Ended June 30,</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tcBorders>
              <w:bottom w:val="single" w:sz="8" w:color="auto"/>
            </w:tcBorders>
            <w:gridSpan w:val="4"/>
          </w:tcPr>
          <w:p>
            <w:pPr>
              <w:jc w:val="center"/>
              <w:ind w:left="482"/>
              <w:spacing w:after="0"/>
              <w:rPr>
                <w:sz w:val="20"/>
                <w:szCs w:val="20"/>
                <w:color w:val="auto"/>
              </w:rPr>
            </w:pPr>
            <w:r>
              <w:rPr>
                <w:rFonts w:ascii="Arial" w:cs="Arial" w:eastAsia="Arial" w:hAnsi="Arial"/>
                <w:sz w:val="14"/>
                <w:szCs w:val="14"/>
                <w:b w:val="1"/>
                <w:bCs w:val="1"/>
                <w:color w:val="auto"/>
                <w:w w:val="95"/>
              </w:rPr>
              <w:t>Quarter Ended June 30,</w:t>
            </w:r>
          </w:p>
        </w:tc>
        <w:tc>
          <w:tcPr>
            <w:tcW w:w="520" w:type="dxa"/>
            <w:vAlign w:val="bottom"/>
            <w:tcBorders>
              <w:bottom w:val="single" w:sz="8" w:color="auto"/>
            </w:tcBorders>
          </w:tcPr>
          <w:p>
            <w:pPr>
              <w:spacing w:after="0"/>
              <w:rPr>
                <w:sz w:val="22"/>
                <w:szCs w:val="22"/>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decline in operating profit for the quarter and six months ended June 30, 2015, as compared with the same period of 2014, reflects the absence of an approximately $220 million gain on an agreement with a state taxing authority for the monetization of tax credits that was recorded in the second quarter of 2014.</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4"/>
                <w:szCs w:val="14"/>
                <w:color w:val="auto"/>
              </w:rPr>
            </w:pPr>
          </w:p>
        </w:tc>
        <w:tc>
          <w:tcPr>
            <w:tcW w:w="140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6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4,962</w:t>
            </w:r>
          </w:p>
        </w:tc>
      </w:tr>
      <w:tr>
        <w:trPr>
          <w:trHeight w:val="243"/>
        </w:trPr>
        <w:tc>
          <w:tcPr>
            <w:tcW w:w="624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22,443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19,794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20,072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15,110</w:t>
            </w:r>
          </w:p>
        </w:tc>
      </w:tr>
      <w:tr>
        <w:trPr>
          <w:trHeight w:val="243"/>
        </w:trPr>
        <w:tc>
          <w:tcPr>
            <w:tcW w:w="624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31,938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35,193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55,265</w:t>
            </w:r>
          </w:p>
        </w:tc>
      </w:tr>
      <w:tr>
        <w:trPr>
          <w:trHeight w:val="243"/>
        </w:trPr>
        <w:tc>
          <w:tcPr>
            <w:tcW w:w="624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48,448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47,123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50,303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24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operating cash flows, which, after netting out capital expenditures, we generally target to approximate net income attributable to common shareowners. For 2015, we expect this to approximate 90% to 100% of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7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As a matter of practice, we continually assess our current business and closely monitor the impact on our customers and suppliers, and have determined that overall there was not a significant adverse impact on our financial position, results of operations or liquidity during the first six months of 2015.</w:t>
      </w:r>
    </w:p>
    <w:p>
      <w:pPr>
        <w:spacing w:after="0" w:line="12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domestic pension funds experienced a positive return on assets of 1.31% during the first six months of 2015.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impact of lower discount rates and the adoption of new mortality tables in the U.S. and Canada, partially offset by the positive asset experience from 2010 - 2013 and positive returns experienced during 2014, are expected to result in increased pension expense in 2015 of approximately $300 million as compared to 2014.</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Our ability to obtain debt financing at comparable risk-based interest rates is partly a function of our existing debt-to-total-capitalization level as well as our credit standing. Our debt-to-total-capitalization increased 3 points from 38% at December 31, 2014 to 41% at June 30, 2015 due to the use of short-term borrowings to initially fund the accelerated share repurchase executed during the quarter ended March 31, 2015.</w:t>
      </w:r>
    </w:p>
    <w:p>
      <w:pPr>
        <w:spacing w:after="0" w:line="18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To date, we have not directly received any proceeds from the optional remarketing of the 1.550% junior subordinated notes. On August 3, 2015, we expect to receive approximately $1.1 billion from the proceeds of the remarketing, and issue approximately 11.3 million shares of Common Stock to settle the purchase obligation of the holders of the equity units under the purchase contract entered into at the time of the original issuance of the equity units.</w:t>
      </w:r>
    </w:p>
    <w:p>
      <w:pPr>
        <w:spacing w:after="0" w:line="15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quarter ended June 30, 2015, we repaid at maturity all 4.875% notes due in 2015 and all floating rate notes due in 2015, representing $1.7 billion in aggregate principal. On May 4, 2015, we issued $850 million aggregate principal amount of 4.150% notes due May 15, 2045. On May 22, 2015 we issued €750 million aggregate principal amount of 1.250% notes due May 22, 2023. The net proceeds from these debt issuances were used primarily to repay the notes maturing during the quarter ended June 30, 2015.</w:t>
      </w:r>
    </w:p>
    <w:p>
      <w:pPr>
        <w:spacing w:after="0" w:line="187"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On April 1, 2014, we redeemed all remaining outstanding 2016 Goodrich 6.290% notes, representing approximately $188 million in aggregate principal, under our redemption notice issued on February 28, 2014.</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At June 30, 2015, we had revolving credit agreements with various banks permitting aggregate borrowings of up to $4.35 billion pursuant to a $2.20 billion revolving credit agreement and a $2.15 billion multicurrency revolving credit agreement, both of which expire in May 2019. Effective June 30, 2015 we terminated a $1.5 billion revolving credit agreement, which had been entered into on March 11, 2015. As of June 30, 2015, there were no borrowings under these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revolving credit agreements. The undrawn portions of these revolving credit agreements are also available to serve as backup facilities for the issuance of commercial paper. As of June 30, 2015, our maximum commercial paper borrowing limit was $4.35 billion. We use our commercial paper borrowings for general corporate purposes, including the funding of potential acquisitions, debt refinancing, and repurchases of our common stock. Commercial paper borrowings as of June 30, 2015 were largely used to finance the accelerated share repurchase agreements entered into on March 13, 2015. See Note 11 for further discussion of these accelerated share repurchase agreements.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color w:val="auto"/>
        </w:rPr>
        <w:t>At June 30, 2015, approximately 97%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70"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color w:val="auto"/>
        </w:rPr>
        <w:t>We continue to be involved in litigation with the German Tax Office in the German Tax Court with respect to certain tax benefits that we have claimed related to a 1998 reorganization of the corporate structure of Otis operations in Germany. We expect to make tax and interest payments of approximately $305 million in 2015, including approximately $258 million paid during the six months ended June 30, 2015, to avoid additional interest accruals while we continue to litigate this matter. See Note 13 for a further discussion of this German tax litigation.</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June 30, 2015 and December 31, 2014, the amount of such restricted cash was approximately $35 million and $255 million, respectively.</w:t>
      </w:r>
    </w:p>
    <w:p>
      <w:pPr>
        <w:spacing w:after="0" w:line="18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2,848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3,077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Cash generated from operating activities in the six months ended June 30, 2015 was $229 million lower than the same period in 2014. Higher net income of $54 million and noncash deferred income tax provision, stock compensation cost and depreciation and amortization charges of $296 million were more than offset by an increase in cash outflow for working capital investments of $45 million in the six months ended June 30, 2015 over the prior year period, noncash earnings on investments of $265 million, including an approximately $126 million net gain as a result of a fair value adjustment related to the acquisition of a controlling interest in a UTC Climate, Controls &amp; Security joint venture investment, and an increase in other net operating assets of approximately $300 million.</w:t>
      </w:r>
    </w:p>
    <w:p>
      <w:pPr>
        <w:spacing w:after="0" w:line="19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cash outflows in the six months ended June 30, 2015 for working capital were driven by increases in inventories and accounts receivable, as well as net liquidations of customer advances primarily in Pratt &amp; Whitney's military programs and Sikorsky's commercial programs, partially offset by increases in accounts payable. Inventories increased at UTC Climate, Controls &amp; Security, primarily supporting demand for the peak cooling season and to meet other contractual deliveries, and at Pratt &amp; Whitney and UTC Aerospace Systems supporting an increase in customers' platform deliveries and related aftermarket demand. Accounts receivable increased approximately $359 million, primarily in our commercial businesses, driven by the U.S. commercial and residential HVAC business at UTC Climate, Controls &amp; Security and Otis new equipment sales primarily in North America. Factoring activity in the quarter ended June 30, 2015 was consistent with the prior quarter, excluding approximately $500 million of customer funded factoring at Pratt &amp; Whitney related to certain extensions of contractual payment terms. Increases in accounts payable and accrued liabilities primarily relate to seasonal volumes and program activities in our commercial businesses, and were partially offset by payments of approximately $258 million related to tax and interest accruals on the German tax matter discussed further in Note 13 to the Condensed Consolidated Financial Statements.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For the six months ended June 30, 2014, cash outflows for working capital were primarily driven by increases in inventory to support deliveries and other contractual commitments across all businesses. Reductions in accounts receivable in our aerospace businesses, driven primarily by accelerated customer collections and selected factoring primarily at Pratt &amp; Whitney, were partially offset by increases in accounts receivable in our commercial businesses. Increases in accounts payable and accrued liabilities were more than offset by liquidations of customer advances, primarily in Pratt &amp; Whitney's military business.</w:t>
      </w:r>
    </w:p>
    <w:p>
      <w:pPr>
        <w:spacing w:after="0" w:line="18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six months ended June 30, 2015 and 2014 were $70 million and $144 million, respectively. Although our domestic pension plans are approximately 92% funded on a projected benefit obligation basis as of June 30, 2015, and we are not required to make additional contributions through the end of 2019, we may elect to make discretionary contributions in 2015. We expect to make total cash contributions of approximately $150 million to our global defined benefit pension plans in 2015. Contributions to our global defined benefit pension plans in 2015 are expected to meet or exceed the current funding requirements.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97" w:lineRule="auto"/>
        <w:rPr>
          <w:sz w:val="20"/>
          <w:szCs w:val="20"/>
          <w:color w:val="auto"/>
        </w:rPr>
      </w:pPr>
      <w:r>
        <w:rPr>
          <w:rFonts w:ascii="Arial" w:cs="Arial" w:eastAsia="Arial" w:hAnsi="Arial"/>
          <w:sz w:val="16"/>
          <w:szCs w:val="16"/>
          <w:color w:val="auto"/>
        </w:rPr>
        <w:t>Cash flows used in investing activities for the six months ended June 30, 2015 primarily reflect capital expenditures of approximately $706 million and payments related to our collaboration intangible assets and contractual rights to provide product on new aircraft platforms of approximately $377 million, partially offset by net cash proceeds of approximately $415 million from the settlement of derivative instruments and $166 million from business dispositions. Cash flows used in investing activities for the six months ended June 30, 2014 primarily reflect capital expenditures of approximately $739 million and payments related to our collaboration intangible assets and contractual rights to provide product on new aircraft platforms of approximately $421 million.</w:t>
      </w:r>
    </w:p>
    <w:p>
      <w:pPr>
        <w:spacing w:after="0" w:line="158" w:lineRule="exact"/>
        <w:rPr>
          <w:sz w:val="20"/>
          <w:szCs w:val="20"/>
          <w:color w:val="auto"/>
        </w:rPr>
      </w:pPr>
    </w:p>
    <w:p>
      <w:pPr>
        <w:jc w:val="both"/>
        <w:ind w:right="160" w:firstLine="540"/>
        <w:spacing w:after="0" w:line="286" w:lineRule="auto"/>
        <w:rPr>
          <w:sz w:val="20"/>
          <w:szCs w:val="20"/>
          <w:color w:val="auto"/>
        </w:rPr>
      </w:pPr>
      <w:r>
        <w:rPr>
          <w:rFonts w:ascii="Arial" w:cs="Arial" w:eastAsia="Arial" w:hAnsi="Arial"/>
          <w:sz w:val="17"/>
          <w:szCs w:val="17"/>
          <w:color w:val="auto"/>
        </w:rPr>
        <w:t>During the six months ended June 30, 2015, we increased our collaboration intangible assets by approximately $247 million, of which $155 million represented payments made under our 2012 agreement to acquire Rolls-Royce's collaboration interest in IAE. Capital expenditures for the six months ended June 30, 2015 primarily relate to investments in new programs at Pratt &amp; Whitney and UTC Aerospace Systems.</w:t>
      </w:r>
    </w:p>
    <w:p>
      <w:pPr>
        <w:spacing w:after="0" w:line="166"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color w:val="auto"/>
        </w:rPr>
        <w:t>Cash investments in businesses in the six months ended June 30, 2015 were approximately $256 million, and consisted of the acquisition of the majority interest in a UTC Climate, Controls &amp; Security business and a number of small acquisitions, primarily in our commercial businesses. Approximately $210 million of our restricted cash balance as of December 31, 2014 was utilized in the cash investments in businesses in the six months ended June 30, 2015. We expect total cash investments for acquisitions in 2015 to be approximately $1 billion, including acquisitions completed during the six months ended June 30, 2015. However, actual acquisition spending may vary depending upon the timing, availability and appropriate value of acquisition opportunities.</w:t>
      </w:r>
    </w:p>
    <w:p>
      <w:pPr>
        <w:spacing w:after="0" w:line="158"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color w:val="auto"/>
        </w:rPr>
        <w:t>As discussed in Note 8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six months ended June 30, 2015 and 2014, we had net cash receipts of approximately $415 million and $37 million, respectively, from the settlement of these derivative instruments, primarily related to the strengthening of the U.S. Dollar.</w:t>
      </w:r>
    </w:p>
    <w:p>
      <w:pPr>
        <w:spacing w:after="0" w:line="189"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Customer financing activities were a net use of cash of $95 million for the six months ended June 30, 2015 and a source of cash of $73 million for the six months ended June 30, 2014. While we expect that 2015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$10.5 billion at June 30, 2015 related to commercial aircraft and certain contractual rights to provide product on new aircraft platforms, of which up to $0.7 billion may be required to be disbursed during the remainder of 2015. We had commercial aerospace financing and other contractual commitments of approximately $11.3 billion at December 31, 2014.</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approximately $2.5 billion of outstanding commercial paper at June 30, 2015.</w:t>
      </w:r>
    </w:p>
    <w:p>
      <w:pPr>
        <w:spacing w:after="0" w:line="18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To date, we have not directly received any proceeds from the optional remarketing of the 1.550% junior subordinated notes. On August 3, 2015, we expect to receive approximately $1.1 billion from the proceeds of the remarketing, and issue approximately 11.3 million shares of Common Stock to settle the purchase obligation of the holders of the equity units under the purchase contract entered into at the time of the original issuance of the equity units.</w:t>
      </w:r>
    </w:p>
    <w:p>
      <w:pPr>
        <w:spacing w:after="0" w:line="15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March 13, 2015, as part of our previously disclosed share repurchase target of $3 billion for 2015, we entered into accelerated share repurchase (ASR) agreements to repurchase an aggregate of $2.65 billion of our common stock, which was largely funded initially by our commercial paper borrowings. Under the terms of the ASR agreements, we made the aggregate payments and received an initial delivery of approximately 18.6 million shares of our common stock, representing approximately 85% of the shares expected to be repurchased. As of June 30, 2015, the shares associated with the remaining portion of the aggregate purchase price have not yet been settled. We anticipate that all repurchases under the ASR agreements will be completed no later than the fourth quarter of 2015, at which time we may be entitled to receive additional common shares or, under certain limited circumstances, be required to deliver shares or make additional payments to the counterparties. See Note 11 to the Condensed Consolidated Financial Statements for further discussion.</w:t>
      </w:r>
    </w:p>
    <w:p>
      <w:pPr>
        <w:spacing w:after="0" w:line="167"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addition to transactions under the ASR agreements discussed above, we repurchased approximately 3 million shares of our common stock for approximately $350 million during the six months ended June 30, 2015. At June 30, 2015, management had authority to repurchase approximately 16.2 million shares under the share repurchase program announced on February 4, 2013.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On July 19, 2015, our Board of Directors authorized a share repurchase program for up to 75 million shares of our common stock, replacing the program announced on February 4, 2013. Our share repurchase levels are influenced by various factors, including the level of other investing activities.</w:t>
      </w:r>
    </w:p>
    <w:p>
      <w:pPr>
        <w:spacing w:after="0" w:line="192"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paid dividends on common stock of $0.64 per share in the first quarter of 2015 totaling $553 million in the aggregate and $0.64 per share in the second quarter of 2015 totaling $543 million in the aggregate. On June 10, 2015, the Board of Directors declared, effective as of July 6, 2015, a dividend of $0.64 per share payable September 10, 2015 to shareowners of record at the close of business on August 14, 2015.</w:t>
      </w:r>
    </w:p>
    <w:p>
      <w:pPr>
        <w:spacing w:after="0" w:line="166"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our 2014 Annual Report, incorporated by reference in our 2014 Form 10-K, we disclosed our off-balance sheet arrangements and contractual obligations. As of June 30, 2015,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2015. For discussion of our exposure to market risk, refer to Part II, Item 7A, "Quantitative and Qualitative Disclosures About Market Risk," contained in our 2014 Form 10-K.</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 required by Rule 13a-15 under the Exchange Act, we carried out an evaluation under the supervision and with the participation of our management, including the President and Chief Executive Officer (CEO), the Senior Vice President and Chief Financial Officer (CFO) and the Vice President and Controller (Controller), of the effectiveness of the design and operation of our disclosure controls and procedures as of June 30, 2015.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2015,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9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or six months ended June 30,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9" w:lineRule="exact"/>
        <w:rPr>
          <w:sz w:val="20"/>
          <w:szCs w:val="20"/>
          <w:color w:val="auto"/>
        </w:rPr>
      </w:pPr>
    </w:p>
    <w:p>
      <w:pPr>
        <w:ind w:left="740" w:right="220" w:hanging="327"/>
        <w:spacing w:after="0" w:line="30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right="1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jc w:val="both"/>
        <w:ind w:left="740" w:hanging="327"/>
        <w:spacing w:after="0" w:line="31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of the parties to satisfy the conditions precedent and consummate the recently announced agreement to sell Sikorsky to Lockheed Martin, the timing of consummation of the transaction, the ability of the parties to secure regulatory approvals in a timely manner or on the terms desired or anticipated, and the ability to implement the anticipated business plans following closing and achieve anticipated benefits and savings;</w:t>
      </w:r>
    </w:p>
    <w:p>
      <w:pPr>
        <w:spacing w:after="0" w:line="92" w:lineRule="exact"/>
        <w:rPr>
          <w:rFonts w:ascii="Arial" w:cs="Arial" w:eastAsia="Arial" w:hAnsi="Arial"/>
          <w:sz w:val="16"/>
          <w:szCs w:val="16"/>
          <w:color w:val="auto"/>
        </w:rPr>
      </w:pPr>
    </w:p>
    <w:p>
      <w:pPr>
        <w:ind w:left="740" w:right="12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and</w:t>
      </w:r>
    </w:p>
    <w:p>
      <w:pPr>
        <w:spacing w:after="0" w:line="171"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2014 Annual Report. This Form 10-Q also includes important information as to these factors in the "Legal Proceedings" section. Additional important information as to these factors is included in our 2014 Annual Report in the section titled "Management's Discussion and Analysis of Financial Condition and Results of Operations" under the headings "Restructuring Costs," "Environmental Matters" and "Governmental Matters" and in our 2014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Sikorsky Government Contract Claim</w:t>
      </w:r>
    </w:p>
    <w:p>
      <w:pPr>
        <w:spacing w:after="0" w:line="225"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As previously disclosed, in October 2014, the United States Government filed a complaint in the United States District Court for the Eastern District of Wisconsin alleging that Sikorsky and two of its wholly-owned subsidiaries, Derco Aerospace (Derco) and Sikorsky Support Services, Inc. (SSSI), violated the False Claims Act in connection with a contract that the U.S. Navy awarded to SSSI in June 2006 to support the Navy’s T-34 and T-44 fixed-wing turboprop training aircraft. SSSI subcontracted with Derco primarily to procure and manage the spare parts for the training aircraft. The Government alleges that SSSI overbilled the Navy on the contract because Derco added profit and overhead costs to the price of the spare parts that Derco procured and then sold to SSSI. The Government also claims that SSSI submitted false Certificates of Final Indirect Costs in the years 2006 through 2012. We believe that Derco was lawfully permitted to add profit and overhead to the cost of the parts, and maintain that SSSI did not submit any false certificates. We also believe that we have other substantial legal and factual defenses to the government’s claims.</w:t>
      </w:r>
    </w:p>
    <w:p>
      <w:pPr>
        <w:spacing w:after="0" w:line="179" w:lineRule="exact"/>
        <w:rPr>
          <w:sz w:val="20"/>
          <w:szCs w:val="20"/>
          <w:color w:val="auto"/>
        </w:rPr>
      </w:pPr>
    </w:p>
    <w:p>
      <w:pPr>
        <w:ind w:right="140" w:firstLine="392"/>
        <w:spacing w:after="0" w:line="273" w:lineRule="auto"/>
        <w:rPr>
          <w:sz w:val="20"/>
          <w:szCs w:val="20"/>
          <w:color w:val="auto"/>
        </w:rPr>
      </w:pPr>
      <w:r>
        <w:rPr>
          <w:rFonts w:ascii="Arial" w:cs="Arial" w:eastAsia="Arial" w:hAnsi="Arial"/>
          <w:sz w:val="17"/>
          <w:szCs w:val="17"/>
          <w:color w:val="auto"/>
        </w:rPr>
        <w:t>The government’s complaint asserts numerous claims for violations of the False Claims Act, for breach of contract and for unjust enrichment. Pursuant to a court filing made by the Government in late April 2015, the Government disclosed that it seeks damages of approximately $45 million, subject to trebling, plus statutory penalties of approximately $13 million, all totaling approximately $148 million. Although we continue to evaluate liability and exposure, we do not currently believe that it is probable that we will incur a material loss. If, contrary to our expectations, the Government prevails in this matter and proves damages in a material amount, the outcome could have a material adverse effect on our results of operations in the period in which a liability would be recognized and on our cash flows for the period in which any damages would be paid.</w:t>
      </w:r>
    </w:p>
    <w:p>
      <w:pPr>
        <w:spacing w:after="0" w:line="7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By letter dated July 13, 2015, the United States Department of Justice notified Sikorsky that it has opened a criminal investigation with respect to this matter, and requested that Sikorsky and its two subsidiaries voluntarily produce documents. Sikorsky and its subsidiaries intend to cooperate fully in the investigation. We cannot predict the outcome or consequences of this investigation at this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UTC Aerospace Systems Environmental Proceeding</w:t>
      </w:r>
    </w:p>
    <w:p>
      <w:pPr>
        <w:spacing w:after="0" w:line="225"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October 6, 2014, UTC Aerospace Systems had an air emissions release at its Spokane, Washington facility. UTC Aerospace Systems provided notifications of the release to various governmental agencies. On January 14, 2015, the Spokane Regional Clean Air Agency (SRCAA) issued a notice of violation to UTC Aerospace Systems in connection with the release, and on March 20, 2015, SRCAA issued a notice and order to UTC Aerospace Systems imposing a penalty of $39,507. On March 20, 2015, the United States Environmental Protection Agency (US EPA) issued a notice of intent to file an administrative complaint proposing a penalty of $92,900. In June 2015, UTC Aerospace Systems settled these matters with the SRCAA and US EPA for penalties of $23,878 and $52,000, respectively.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13, Contingent Liabilities, for discussion regarding other legal proceedings.</w:t>
      </w:r>
    </w:p>
    <w:p>
      <w:pPr>
        <w:spacing w:after="0" w:line="225"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Except as otherwise noted above, there have been no material developments in legal proceedings. For previously reported information about legal proceedings refer to Part I, Item 3, "Legal Proceedings," of our 2014 Form 10-K and Part II, Item 1, "Legal Proceedings" of our 2015 Form 10-Q(Q1).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2014 Form 10-K.</w:t>
      </w:r>
    </w:p>
    <w:p>
      <w:pPr>
        <w:spacing w:after="0" w:line="3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quarter ended June 30, 2015, we had no purchases of equity securities that are registered by us pursuant to Section 12 of the Exchange Act.</w:t>
      </w:r>
    </w:p>
    <w:p>
      <w:pPr>
        <w:spacing w:after="0" w:line="289"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On February 4, 2013, we announced a share repurchase program which authorized the repurchase of up to 60 million shares of our common stock. At June 30, 2015, the maximum number of remaining shares that could be purchased under this program was approximately 16.2 million shares. Under this current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June 30, 2015.</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19, 2015, our Board of Directors authorized a share repurchase program for up to 75 million shares of our common stock, replacing the program announced on February 4, 2013.</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connection with ASR agreements entered into on March 13, 2015, we received an initial delivery of approximately 18.6 million shares at a price of $121.24 per share, representing approximately 85% of the shares expected to be repurchased. As of June 30, 2015, the shares associated with the remaining portion of the aggregate purchase price have not yet been settled. We anticipate that all repurchases under the ASR agreements will be completed no later than the fourth quarter of 2015, at which time we may be entitled to receive additional common shares or, under certain limited circumstances, be required to deliver shares or make additional payments to the counterparties.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center"/>
              <w:ind w:right="417"/>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utx-20150630_pre.xml)</w:t>
            </w:r>
          </w:p>
        </w:tc>
      </w:tr>
      <w:tr>
        <w:trPr>
          <w:trHeight w:val="486"/>
        </w:trPr>
        <w:tc>
          <w:tcPr>
            <w:tcW w:w="900" w:type="dxa"/>
            <w:vAlign w:val="bottom"/>
          </w:tcPr>
          <w:p>
            <w:pPr>
              <w:spacing w:after="0"/>
              <w:rPr>
                <w:sz w:val="24"/>
                <w:szCs w:val="24"/>
                <w:color w:val="auto"/>
              </w:rPr>
            </w:pPr>
          </w:p>
        </w:tc>
        <w:tc>
          <w:tcPr>
            <w:tcW w:w="4860" w:type="dxa"/>
            <w:vAlign w:val="bottom"/>
          </w:tcPr>
          <w:p>
            <w:pPr>
              <w:ind w:left="4680"/>
              <w:spacing w:after="0"/>
              <w:rPr>
                <w:sz w:val="20"/>
                <w:szCs w:val="20"/>
                <w:color w:val="auto"/>
              </w:rPr>
            </w:pPr>
            <w:r>
              <w:rPr>
                <w:rFonts w:ascii="Arial" w:cs="Arial" w:eastAsia="Arial" w:hAnsi="Arial"/>
                <w:sz w:val="18"/>
                <w:szCs w:val="18"/>
                <w:color w:val="auto"/>
                <w:w w:val="79"/>
              </w:rPr>
              <w:t>46</w:t>
            </w: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six months ended June 30, 2015 and 2014, (ii) Condensed Consolidated Statements of Comprehensive Income for the quarters and six months ended June 30, 2015 and 2014, (iii) Condensed Consolidated Balance Sheets as of June 30, 2015 and December 31, 2014,</w:t>
      </w:r>
    </w:p>
    <w:p>
      <w:pPr>
        <w:ind w:right="580" w:firstLine="8"/>
        <w:spacing w:after="0" w:line="261"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2015 and 2014, and (v)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122" w:right="3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Neil G. Mitchill, Jr.</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Vice President and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122" w:right="3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utx-20150630_pre.xml)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six months ended June 30, 2015 and 2014, (ii) Condensed Consolidated Statements of Comprehensive Income for the quarters and six months ended June 30, 2015 and 2014, (iii) Condensed Consolidated Balance Sheets as of June 30, 2015 and December 31, 2014,</w:t>
      </w:r>
    </w:p>
    <w:p>
      <w:pPr>
        <w:ind w:right="700" w:firstLine="8"/>
        <w:spacing w:after="0" w:line="261"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2015 and 2014,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40" w:hanging="332"/>
        <w:spacing w:after="0" w:line="232"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$20 million for each of the six months ended June 30, 2015 and 2014. The ratio of earnings to fixed charges would have been 9.02 and 8.26 for the six months ended June 30, 2015 and 2014,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July 24,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are aware that our report dated July 24, 2015 on our review of interim financial information of United Technologies Corporation (the "Corporation") for the three-month and six-month periods ended June 30, 2015 and 2014 and included in the Corporation's quarterly report on Form 10-Q for the quarter ended June 30, 2015 is incorporated by reference in its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333-188957) and in the Registration Statements on Form S-8 (Nos. 333-197704, 333-183123, 333-177520, 333-177517, 333-175781, 333-150643, 333-125293, 333-110020, 333-100724, 333-100723, 333-100718, 333-77817, and 033-51385).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July 24, 2015</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July 24,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July 24, 2015</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and Controller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Quarterly Report on Form 10-Q for the quarter ended June 30, 2015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2015</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2015</w:t>
      </w:r>
      <w:r>
        <w:rPr>
          <w:sz w:val="20"/>
          <w:szCs w:val="20"/>
          <w:color w:val="auto"/>
        </w:rPr>
        <w:tab/>
      </w:r>
      <w:r>
        <w:rPr>
          <w:rFonts w:ascii="Arial" w:cs="Arial" w:eastAsia="Arial" w:hAnsi="Arial"/>
          <w:sz w:val="17"/>
          <w:szCs w:val="17"/>
          <w:color w:val="auto"/>
        </w:rPr>
        <w:t>/s/ N</w:t>
      </w:r>
      <w:r>
        <w:rPr>
          <w:rFonts w:ascii="Arial" w:cs="Arial" w:eastAsia="Arial" w:hAnsi="Arial"/>
          <w:sz w:val="13"/>
          <w:szCs w:val="13"/>
          <w:color w:val="auto"/>
        </w:rPr>
        <w:t>EIL</w:t>
      </w:r>
      <w:r>
        <w:rPr>
          <w:rFonts w:ascii="Arial" w:cs="Arial" w:eastAsia="Arial" w:hAnsi="Arial"/>
          <w:sz w:val="17"/>
          <w:szCs w:val="17"/>
          <w:color w:val="auto"/>
        </w:rPr>
        <w:t xml:space="preserve"> G. M</w:t>
      </w:r>
      <w:r>
        <w:rPr>
          <w:rFonts w:ascii="Arial" w:cs="Arial" w:eastAsia="Arial" w:hAnsi="Arial"/>
          <w:sz w:val="13"/>
          <w:szCs w:val="13"/>
          <w:color w:val="auto"/>
        </w:rPr>
        <w:t>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Neil G. Mitchill, Jr.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3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4"/>
    </w:lvl>
  </w:abstractNum>
  <w:abstractNum w:abstractNumId="12">
    <w:nsid w:val="4E6AFB66"/>
    <w:multiLevelType w:val="hybridMultilevel"/>
    <w:lvl w:ilvl="0">
      <w:lvlJc w:val="left"/>
      <w:lvlText w:val="%1"/>
      <w:numFmt w:val="decimal"/>
      <w:start w:val="3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4"/>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2"/>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2019-12-29T16:25:18Z</dcterms:created>
  <dcterms:modified xsi:type="dcterms:W3CDTF">2019-12-29T16:25:18Z</dcterms:modified>
</cp:coreProperties>
</file>