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4"/>
          <w:szCs w:val="24"/>
          <w:color w:val="auto"/>
        </w:rPr>
      </w:pPr>
    </w:p>
    <w:p>
      <w:pPr>
        <w:ind w:left="680" w:right="2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36"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001-00812</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RAYTHEON TECHNOLOGIES CORPORATION</w:t>
      </w:r>
    </w:p>
    <w:p>
      <w:pPr>
        <w:spacing w:after="0" w:line="1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43"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380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20" w:type="dxa"/>
            <w:vAlign w:val="bottom"/>
          </w:tcPr>
          <w:p>
            <w:pPr>
              <w:jc w:val="right"/>
              <w:ind w:right="577"/>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190"/>
        </w:trPr>
        <w:tc>
          <w:tcPr>
            <w:tcW w:w="38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2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71"/>
        </w:trPr>
        <w:tc>
          <w:tcPr>
            <w:tcW w:w="380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1000 Wilson Boulevard,</w:t>
            </w:r>
          </w:p>
        </w:tc>
        <w:tc>
          <w:tcPr>
            <w:tcW w:w="15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320" w:type="dxa"/>
            <w:vAlign w:val="bottom"/>
          </w:tcPr>
          <w:p>
            <w:pPr>
              <w:jc w:val="right"/>
              <w:ind w:right="1617"/>
              <w:spacing w:after="0"/>
              <w:rPr>
                <w:sz w:val="20"/>
                <w:szCs w:val="20"/>
                <w:color w:val="auto"/>
              </w:rPr>
            </w:pPr>
            <w:r>
              <w:rPr>
                <w:rFonts w:ascii="Times New Roman" w:cs="Times New Roman" w:eastAsia="Times New Roman" w:hAnsi="Times New Roman"/>
                <w:sz w:val="18"/>
                <w:szCs w:val="18"/>
                <w:b w:val="1"/>
                <w:bCs w:val="1"/>
                <w:color w:val="auto"/>
              </w:rPr>
              <w:t>22209</w:t>
            </w:r>
          </w:p>
        </w:tc>
      </w:tr>
      <w:tr>
        <w:trPr>
          <w:trHeight w:val="190"/>
        </w:trPr>
        <w:tc>
          <w:tcPr>
            <w:tcW w:w="5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040" w:type="dxa"/>
            <w:vAlign w:val="bottom"/>
          </w:tcPr>
          <w:p>
            <w:pPr>
              <w:spacing w:after="0"/>
              <w:rPr>
                <w:sz w:val="16"/>
                <w:szCs w:val="16"/>
                <w:color w:val="auto"/>
              </w:rPr>
            </w:pPr>
          </w:p>
        </w:tc>
        <w:tc>
          <w:tcPr>
            <w:tcW w:w="2320" w:type="dxa"/>
            <w:vAlign w:val="bottom"/>
          </w:tcPr>
          <w:p>
            <w:pPr>
              <w:jc w:val="center"/>
              <w:ind w:right="139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28"/>
        </w:trPr>
        <w:tc>
          <w:tcPr>
            <w:tcW w:w="3800" w:type="dxa"/>
            <w:vAlign w:val="bottom"/>
          </w:tcPr>
          <w:p>
            <w:pPr>
              <w:spacing w:after="0"/>
              <w:rPr>
                <w:sz w:val="24"/>
                <w:szCs w:val="24"/>
                <w:color w:val="auto"/>
              </w:rPr>
            </w:pP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(781) 522-3000</w:t>
            </w:r>
          </w:p>
        </w:tc>
        <w:tc>
          <w:tcPr>
            <w:tcW w:w="10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60"/>
        </w:trPr>
        <w:tc>
          <w:tcPr>
            <w:tcW w:w="6400" w:type="dxa"/>
            <w:vAlign w:val="bottom"/>
            <w:gridSpan w:val="4"/>
          </w:tcPr>
          <w:p>
            <w:pPr>
              <w:jc w:val="center"/>
              <w:ind w:left="28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320" w:type="dxa"/>
            <w:vAlign w:val="bottom"/>
          </w:tcPr>
          <w:p>
            <w:pPr>
              <w:spacing w:after="0"/>
              <w:rPr>
                <w:sz w:val="22"/>
                <w:szCs w:val="22"/>
                <w:color w:val="auto"/>
              </w:rPr>
            </w:pPr>
          </w:p>
        </w:tc>
      </w:tr>
      <w:tr>
        <w:trPr>
          <w:trHeight w:val="253"/>
        </w:trPr>
        <w:tc>
          <w:tcPr>
            <w:tcW w:w="380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870 Winter Street,</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Waltham,</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2320" w:type="dxa"/>
            <w:vAlign w:val="bottom"/>
          </w:tcPr>
          <w:p>
            <w:pPr>
              <w:jc w:val="right"/>
              <w:ind w:right="1517"/>
              <w:spacing w:after="0"/>
              <w:rPr>
                <w:sz w:val="20"/>
                <w:szCs w:val="20"/>
                <w:color w:val="auto"/>
              </w:rPr>
            </w:pPr>
            <w:r>
              <w:rPr>
                <w:rFonts w:ascii="Times New Roman" w:cs="Times New Roman" w:eastAsia="Times New Roman" w:hAnsi="Times New Roman"/>
                <w:sz w:val="18"/>
                <w:szCs w:val="18"/>
                <w:b w:val="1"/>
                <w:bCs w:val="1"/>
                <w:color w:val="auto"/>
              </w:rPr>
              <w:t>02451</w:t>
            </w:r>
          </w:p>
        </w:tc>
      </w:tr>
    </w:tbl>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0"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9"/>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42"/>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2.150% Notes due 2030</w:t>
            </w:r>
          </w:p>
        </w:tc>
        <w:tc>
          <w:tcPr>
            <w:tcW w:w="660" w:type="dxa"/>
            <w:vAlign w:val="bottom"/>
          </w:tcPr>
          <w:p>
            <w:pPr>
              <w:spacing w:after="0"/>
              <w:rPr>
                <w:sz w:val="21"/>
                <w:szCs w:val="21"/>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4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4" w:lineRule="exact"/>
        <w:rPr>
          <w:sz w:val="24"/>
          <w:szCs w:val="24"/>
          <w:color w:val="auto"/>
        </w:rPr>
      </w:pPr>
    </w:p>
    <w:p>
      <w:pPr>
        <w:ind w:right="60"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firstLine="445"/>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84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Large Accelerated Filer</w:t>
            </w:r>
          </w:p>
        </w:tc>
        <w:tc>
          <w:tcPr>
            <w:tcW w:w="10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584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Non-accelerated Filer</w:t>
            </w:r>
          </w:p>
        </w:tc>
        <w:tc>
          <w:tcPr>
            <w:tcW w:w="10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c>
        <w:tc>
          <w:tcPr>
            <w:tcW w:w="1040" w:type="dxa"/>
            <w:vAlign w:val="bottom"/>
          </w:tcPr>
          <w:p>
            <w:pPr>
              <w:spacing w:after="0"/>
              <w:rPr>
                <w:sz w:val="24"/>
                <w:szCs w:val="24"/>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584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2022 there were 1,476,514,046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11"/>
          </w:tcPr>
          <w:p>
            <w:pPr>
              <w:ind w:left="92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20" w:type="dxa"/>
            <w:vAlign w:val="bottom"/>
            <w:gridSpan w:val="9"/>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gridSpan w:val="11"/>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CONTENTS OF QUARTERLY REPORT ON FORM 10-Q</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40" w:type="dxa"/>
            <w:vAlign w:val="bottom"/>
            <w:gridSpan w:val="10"/>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Quarter Ended June 30, 2022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580" w:type="dxa"/>
            <w:vAlign w:val="bottom"/>
            <w:gridSpan w:val="12"/>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9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7520" w:type="dxa"/>
            <w:vAlign w:val="bottom"/>
            <w:gridSpan w:val="11"/>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1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Operations for the quarters and six months ended June 30, 2022 and 2021</w:t>
            </w:r>
          </w:p>
        </w:tc>
        <w:tc>
          <w:tcPr>
            <w:tcW w:w="2120" w:type="dxa"/>
            <w:vAlign w:val="bottom"/>
            <w:gridSpan w:val="3"/>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quarters and six months ended June 30, 2022 and 2021</w:t>
            </w:r>
          </w:p>
        </w:tc>
        <w:tc>
          <w:tcPr>
            <w:tcW w:w="1200" w:type="dxa"/>
            <w:vAlign w:val="bottom"/>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 at June 30, 2022 and December 31, 2021</w:t>
            </w:r>
          </w:p>
        </w:tc>
        <w:tc>
          <w:tcPr>
            <w:tcW w:w="1200" w:type="dxa"/>
            <w:vAlign w:val="bottom"/>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six months ended June 30, 2022 and 2021</w:t>
            </w:r>
          </w:p>
        </w:tc>
        <w:tc>
          <w:tcPr>
            <w:tcW w:w="3000" w:type="dxa"/>
            <w:vAlign w:val="bottom"/>
            <w:gridSpan w:val="4"/>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Changes in Equity for the quarters and six months ended June 30, 2022 and 2021</w:t>
            </w:r>
          </w:p>
        </w:tc>
        <w:tc>
          <w:tcPr>
            <w:tcW w:w="1580" w:type="dxa"/>
            <w:vAlign w:val="bottom"/>
            <w:gridSpan w:val="2"/>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580" w:type="dxa"/>
            <w:vAlign w:val="bottom"/>
            <w:gridSpan w:val="2"/>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49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gridSpan w:val="2"/>
          </w:tcPr>
          <w:p>
            <w:pPr>
              <w:spacing w:after="0"/>
              <w:rPr>
                <w:sz w:val="22"/>
                <w:szCs w:val="22"/>
                <w:color w:val="auto"/>
              </w:rPr>
            </w:pPr>
          </w:p>
        </w:tc>
        <w:tc>
          <w:tcPr>
            <w:tcW w:w="3420" w:type="dxa"/>
            <w:vAlign w:val="bottom"/>
            <w:gridSpan w:val="5"/>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100" w:type="dxa"/>
            <w:vAlign w:val="bottom"/>
            <w:gridSpan w:val="14"/>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22"/>
                <w:szCs w:val="22"/>
                <w:color w:val="auto"/>
              </w:rPr>
            </w:pPr>
          </w:p>
        </w:tc>
      </w:tr>
      <w:tr>
        <w:trPr>
          <w:trHeight w:val="264"/>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2"/>
                <w:szCs w:val="22"/>
                <w:color w:val="auto"/>
              </w:rPr>
            </w:pPr>
          </w:p>
        </w:tc>
      </w:tr>
      <w:tr>
        <w:trPr>
          <w:trHeight w:val="263"/>
        </w:trPr>
        <w:tc>
          <w:tcPr>
            <w:tcW w:w="120" w:type="dxa"/>
            <w:vAlign w:val="bottom"/>
            <w:tcBorders>
              <w:top w:val="single" w:sz="8" w:color="0000FF"/>
            </w:tcBorders>
          </w:tcPr>
          <w:p>
            <w:pPr>
              <w:spacing w:after="0"/>
              <w:rPr>
                <w:sz w:val="22"/>
                <w:szCs w:val="22"/>
                <w:color w:val="auto"/>
              </w:rPr>
            </w:pP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40" w:type="dxa"/>
            <w:vAlign w:val="bottom"/>
            <w:tcBorders>
              <w:top w:val="single" w:sz="8" w:color="0000FF"/>
            </w:tcBorders>
            <w:gridSpan w:val="2"/>
          </w:tcPr>
          <w:p>
            <w:pPr>
              <w:spacing w:after="0"/>
              <w:rPr>
                <w:sz w:val="22"/>
                <w:szCs w:val="22"/>
                <w:color w:val="auto"/>
              </w:rPr>
            </w:pPr>
          </w:p>
        </w:tc>
        <w:tc>
          <w:tcPr>
            <w:tcW w:w="7900" w:type="dxa"/>
            <w:vAlign w:val="bottom"/>
            <w:gridSpan w:val="13"/>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840" w:type="dxa"/>
            <w:vAlign w:val="bottom"/>
            <w:gridSpan w:val="16"/>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49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5540" w:type="dxa"/>
            <w:vAlign w:val="bottom"/>
            <w:gridSpan w:val="8"/>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80" w:type="dxa"/>
            <w:vAlign w:val="bottom"/>
            <w:gridSpan w:val="1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2"/>
                <w:szCs w:val="22"/>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Raytheon Technologies Corporation and its subsidiaries’ names, abbreviations thereof, logos, and products and services designators are all either the registered or unregistered trademarks or tradenames of Raytheon Technologies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00" w:type="dxa"/>
            <w:vAlign w:val="bottom"/>
          </w:tcPr>
          <w:p>
            <w:pPr>
              <w:spacing w:after="0"/>
              <w:rPr>
                <w:sz w:val="16"/>
                <w:szCs w:val="16"/>
                <w:color w:val="auto"/>
              </w:rPr>
            </w:pPr>
          </w:p>
        </w:tc>
        <w:tc>
          <w:tcPr>
            <w:tcW w:w="212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Products sales</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12,258</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12,179</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24,120</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23,843</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Services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4,056</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3,701</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7,910</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7,288</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16,314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15,880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32,030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31,131</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Cost of sales - products</w:t>
            </w:r>
          </w:p>
        </w:tc>
        <w:tc>
          <w:tcPr>
            <w:tcW w:w="26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10,040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19,860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19,971</w:t>
            </w: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Cost of sales - services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2,816</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5,556</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5,221</w:t>
            </w: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698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1,333</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1,424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2,893</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6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14,978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29,642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29,026</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45</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26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1,353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2,433</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w:t>
            </w: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expense (income), net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Non-service pension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(954)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329</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647</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non-operating expense (income),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(307)</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continuing operations before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1,498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2,740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w:t>
            </w:r>
          </w:p>
        </w:tc>
        <w:tc>
          <w:tcPr>
            <w:tcW w:w="0" w:type="dxa"/>
            <w:vAlign w:val="bottom"/>
          </w:tcPr>
          <w:p>
            <w:pPr>
              <w:spacing w:after="0"/>
              <w:rPr>
                <w:sz w:val="1"/>
                <w:szCs w:val="1"/>
                <w:color w:val="auto"/>
              </w:rPr>
            </w:pPr>
          </w:p>
        </w:tc>
      </w:tr>
      <w:tr>
        <w:trPr>
          <w:trHeight w:val="228"/>
        </w:trPr>
        <w:tc>
          <w:tcPr>
            <w:tcW w:w="6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160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276</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1,338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2,464</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0" w:type="dxa"/>
            <w:vAlign w:val="bottom"/>
          </w:tcPr>
          <w:p>
            <w:pPr>
              <w:spacing w:after="0"/>
              <w:rPr>
                <w:sz w:val="1"/>
                <w:szCs w:val="1"/>
                <w:color w:val="auto"/>
              </w:rPr>
            </w:pPr>
          </w:p>
        </w:tc>
      </w:tr>
      <w:tr>
        <w:trPr>
          <w:trHeight w:val="228"/>
        </w:trPr>
        <w:tc>
          <w:tcPr>
            <w:tcW w:w="6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Less: Noncontrolling interest in subsidiaries’ earnings from continuing operations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57</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continuing operations attributable to common shareowners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1,304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2,407</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0" w:type="dxa"/>
            <w:vAlign w:val="bottom"/>
          </w:tcPr>
          <w:p>
            <w:pPr>
              <w:spacing w:after="0"/>
              <w:rPr>
                <w:sz w:val="1"/>
                <w:szCs w:val="1"/>
                <w:color w:val="auto"/>
              </w:rPr>
            </w:pPr>
          </w:p>
        </w:tc>
      </w:tr>
      <w:tr>
        <w:trPr>
          <w:trHeight w:val="228"/>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attributable to common shareowners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32"/>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1,304</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2,388</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Per Share attributable to common shareowners - Basic: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from continuing operations</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0.88</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0.69</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1.62</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Loss from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32"/>
        </w:trPr>
        <w:tc>
          <w:tcPr>
            <w:tcW w:w="6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0.88</w:t>
            </w:r>
          </w:p>
        </w:tc>
        <w:tc>
          <w:tcPr>
            <w:tcW w:w="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0.69</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1.61</w:t>
            </w: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Per Share attributable to common shareowners - Diluted: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from continuing operations</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0.88</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0.69</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1.61</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Loss from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32"/>
        </w:trPr>
        <w:tc>
          <w:tcPr>
            <w:tcW w:w="6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0.88</w:t>
            </w:r>
          </w:p>
        </w:tc>
        <w:tc>
          <w:tcPr>
            <w:tcW w:w="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1.60</w:t>
            </w: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20" w:type="dxa"/>
            <w:vAlign w:val="bottom"/>
          </w:tcPr>
          <w:p>
            <w:pPr>
              <w:spacing w:after="0"/>
              <w:rPr>
                <w:sz w:val="16"/>
                <w:szCs w:val="16"/>
                <w:color w:val="auto"/>
              </w:rPr>
            </w:pPr>
          </w:p>
        </w:tc>
        <w:tc>
          <w:tcPr>
            <w:tcW w:w="210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and discontinued operations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1,338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2,445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related to items of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522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1,429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57</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shareowners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488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1,372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780" w:type="dxa"/>
            <w:vAlign w:val="bottom"/>
          </w:tcPr>
          <w:p>
            <w:pPr>
              <w:spacing w:after="0"/>
              <w:rPr>
                <w:sz w:val="16"/>
                <w:szCs w:val="16"/>
                <w:color w:val="auto"/>
              </w:rPr>
            </w:pPr>
          </w:p>
        </w:tc>
        <w:tc>
          <w:tcPr>
            <w:tcW w:w="14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7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6"/>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4,767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7,832</w:t>
            </w: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7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10,394</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9,661</w:t>
            </w:r>
          </w:p>
        </w:tc>
      </w:tr>
      <w:tr>
        <w:trPr>
          <w:trHeight w:val="231"/>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Contract assets</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11,836</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11,361</w:t>
            </w: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Inventory, net</w:t>
            </w:r>
          </w:p>
        </w:tc>
        <w:tc>
          <w:tcPr>
            <w:tcW w:w="17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10,142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9,178</w:t>
            </w:r>
          </w:p>
        </w:tc>
      </w:tr>
      <w:tr>
        <w:trPr>
          <w:trHeight w:val="230"/>
        </w:trPr>
        <w:tc>
          <w:tcPr>
            <w:tcW w:w="6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 current</w:t>
            </w:r>
          </w:p>
        </w:tc>
        <w:tc>
          <w:tcPr>
            <w:tcW w:w="17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4,323</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w:t>
            </w:r>
          </w:p>
        </w:tc>
      </w:tr>
      <w:tr>
        <w:trPr>
          <w:trHeight w:val="223"/>
        </w:trPr>
        <w:tc>
          <w:tcPr>
            <w:tcW w:w="6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17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41,462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42,050</w:t>
            </w: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2,675</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w:t>
            </w: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17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27,990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27,637</w:t>
            </w:r>
          </w:p>
        </w:tc>
      </w:tr>
      <w:tr>
        <w:trPr>
          <w:trHeight w:val="229"/>
        </w:trPr>
        <w:tc>
          <w:tcPr>
            <w:tcW w:w="63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7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(13,249)</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(12,665)</w:t>
            </w:r>
          </w:p>
        </w:tc>
      </w:tr>
      <w:tr>
        <w:trPr>
          <w:trHeight w:val="223"/>
        </w:trPr>
        <w:tc>
          <w:tcPr>
            <w:tcW w:w="6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Fixed assets, net</w:t>
            </w:r>
          </w:p>
        </w:tc>
        <w:tc>
          <w:tcPr>
            <w:tcW w:w="17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14,741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14,972</w:t>
            </w: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1,866</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7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53,806</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54,436</w:t>
            </w: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37,562</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38,516</w:t>
            </w:r>
          </w:p>
        </w:tc>
      </w:tr>
      <w:tr>
        <w:trPr>
          <w:trHeight w:val="228"/>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7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6,905</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6,624</w:t>
            </w:r>
          </w:p>
        </w:tc>
      </w:tr>
      <w:tr>
        <w:trPr>
          <w:trHeight w:val="232"/>
        </w:trPr>
        <w:tc>
          <w:tcPr>
            <w:tcW w:w="63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Assets</w:t>
            </w:r>
          </w:p>
        </w:tc>
        <w:tc>
          <w:tcPr>
            <w:tcW w:w="17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159,017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161,404</w:t>
            </w: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Equity</w:t>
            </w:r>
          </w:p>
        </w:tc>
        <w:tc>
          <w:tcPr>
            <w:tcW w:w="1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borrowings</w:t>
            </w:r>
          </w:p>
        </w:tc>
        <w:tc>
          <w:tcPr>
            <w:tcW w:w="17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113</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31"/>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9,732</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8,751</w:t>
            </w: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employee compensation</w:t>
            </w:r>
          </w:p>
        </w:tc>
        <w:tc>
          <w:tcPr>
            <w:tcW w:w="17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w:t>
            </w:r>
          </w:p>
        </w:tc>
      </w:tr>
      <w:tr>
        <w:trPr>
          <w:trHeight w:val="231"/>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12,459</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10,162</w:t>
            </w: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Contract liabilities</w:t>
            </w:r>
          </w:p>
        </w:tc>
        <w:tc>
          <w:tcPr>
            <w:tcW w:w="17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13,430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13,720</w:t>
            </w:r>
          </w:p>
        </w:tc>
      </w:tr>
      <w:tr>
        <w:trPr>
          <w:trHeight w:val="230"/>
        </w:trPr>
        <w:tc>
          <w:tcPr>
            <w:tcW w:w="6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7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26</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3"/>
        </w:trPr>
        <w:tc>
          <w:tcPr>
            <w:tcW w:w="6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7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37,788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35,449</w:t>
            </w: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31,274</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31,327</w:t>
            </w: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7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1,593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w:t>
            </w: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7,543</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7,855</w:t>
            </w:r>
          </w:p>
        </w:tc>
      </w:tr>
      <w:tr>
        <w:trPr>
          <w:trHeight w:val="228"/>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7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8,791</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10,417</w:t>
            </w:r>
          </w:p>
        </w:tc>
      </w:tr>
      <w:tr>
        <w:trPr>
          <w:trHeight w:val="223"/>
        </w:trPr>
        <w:tc>
          <w:tcPr>
            <w:tcW w:w="63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86,989</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86,705</w:t>
            </w:r>
          </w:p>
        </w:tc>
      </w:tr>
      <w:tr>
        <w:trPr>
          <w:trHeight w:val="221"/>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1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6"/>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Shareowners’ Equity:</w:t>
            </w:r>
          </w:p>
        </w:tc>
        <w:tc>
          <w:tcPr>
            <w:tcW w:w="1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Common Stock</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37,673</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37,483</w:t>
            </w:r>
          </w:p>
        </w:tc>
      </w:tr>
      <w:tr>
        <w:trPr>
          <w:trHeight w:val="228"/>
        </w:trPr>
        <w:tc>
          <w:tcPr>
            <w:tcW w:w="6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Treasury Stock</w:t>
            </w:r>
          </w:p>
        </w:tc>
        <w:tc>
          <w:tcPr>
            <w:tcW w:w="17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(14,539)</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(12,727)</w:t>
            </w:r>
          </w:p>
        </w:tc>
      </w:tr>
      <w:tr>
        <w:trPr>
          <w:trHeight w:val="231"/>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Retained earnings</w:t>
            </w:r>
          </w:p>
        </w:tc>
        <w:tc>
          <w:tcPr>
            <w:tcW w:w="17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50,271</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50,265</w:t>
            </w:r>
          </w:p>
        </w:tc>
      </w:tr>
      <w:tr>
        <w:trPr>
          <w:trHeight w:val="228"/>
        </w:trPr>
        <w:tc>
          <w:tcPr>
            <w:tcW w:w="6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Unearned ESOP shares</w:t>
            </w:r>
          </w:p>
        </w:tc>
        <w:tc>
          <w:tcPr>
            <w:tcW w:w="17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9"/>
        </w:trPr>
        <w:tc>
          <w:tcPr>
            <w:tcW w:w="63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7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(2,931)</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w:t>
            </w:r>
          </w:p>
        </w:tc>
      </w:tr>
      <w:tr>
        <w:trPr>
          <w:trHeight w:val="223"/>
        </w:trPr>
        <w:tc>
          <w:tcPr>
            <w:tcW w:w="6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7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70,441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73,068</w:t>
            </w:r>
          </w:p>
        </w:tc>
      </w:tr>
      <w:tr>
        <w:trPr>
          <w:trHeight w:val="229"/>
        </w:trPr>
        <w:tc>
          <w:tcPr>
            <w:tcW w:w="6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7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1,549</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w:t>
            </w:r>
          </w:p>
        </w:tc>
      </w:tr>
      <w:tr>
        <w:trPr>
          <w:trHeight w:val="223"/>
        </w:trPr>
        <w:tc>
          <w:tcPr>
            <w:tcW w:w="6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Total Equity</w:t>
            </w:r>
          </w:p>
        </w:tc>
        <w:tc>
          <w:tcPr>
            <w:tcW w:w="17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71,990</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74,664</w:t>
            </w:r>
          </w:p>
        </w:tc>
      </w:tr>
      <w:tr>
        <w:trPr>
          <w:trHeight w:val="232"/>
        </w:trPr>
        <w:tc>
          <w:tcPr>
            <w:tcW w:w="63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Equity</w:t>
            </w:r>
          </w:p>
        </w:tc>
        <w:tc>
          <w:tcPr>
            <w:tcW w:w="17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159,017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161,404</w:t>
            </w: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2,464</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from continuing operations to net cash flows provided by operating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Deferred income tax (benefit) provision</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 compensation cost</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periodic pension and other postretirement income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(714)</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0" w:type="dxa"/>
            <w:vAlign w:val="bottom"/>
          </w:tcPr>
          <w:p>
            <w:pPr>
              <w:spacing w:after="0"/>
              <w:rPr>
                <w:sz w:val="1"/>
                <w:szCs w:val="1"/>
                <w:color w:val="auto"/>
              </w:rPr>
            </w:pPr>
          </w:p>
        </w:tc>
      </w:tr>
      <w:tr>
        <w:trPr>
          <w:trHeight w:val="226"/>
        </w:trPr>
        <w:tc>
          <w:tcPr>
            <w:tcW w:w="8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Change in: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(790)</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Inventory</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(1,033)</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2,109</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(165)</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Net cash flows provided by operating activities from continuing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1,762</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Investments in businesses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Dispositions of businesses, net of cash transferred (Note 2)</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Customer financing assets payments,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in collaboration intangible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receipts from settlements of derivative contracts,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provided by investing activities from continuing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(1,136)</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short-term borrowings,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(1,543)</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transfers to discontinued operations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financing activities from continuing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(3,627)</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Discontinued Operations: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cash used in discontinued operations</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(3,021)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7,853</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8,832</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4,832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8,080</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Less: Restricted cash, included in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65</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32"/>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4,767</w:t>
            </w:r>
          </w:p>
        </w:tc>
        <w:tc>
          <w:tcPr>
            <w:tcW w:w="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20" w:type="dxa"/>
            <w:vAlign w:val="bottom"/>
          </w:tcPr>
          <w:p>
            <w:pPr>
              <w:spacing w:after="0"/>
              <w:rPr>
                <w:sz w:val="16"/>
                <w:szCs w:val="16"/>
                <w:color w:val="auto"/>
              </w:rPr>
            </w:pPr>
          </w:p>
        </w:tc>
        <w:tc>
          <w:tcPr>
            <w:tcW w:w="242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beginning balance</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73,986</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73,308</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74,664</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73,852</w:t>
            </w:r>
          </w:p>
        </w:tc>
        <w:tc>
          <w:tcPr>
            <w:tcW w:w="0" w:type="dxa"/>
            <w:vAlign w:val="bottom"/>
          </w:tcPr>
          <w:p>
            <w:pPr>
              <w:spacing w:after="0"/>
              <w:rPr>
                <w:sz w:val="1"/>
                <w:szCs w:val="1"/>
                <w:color w:val="auto"/>
              </w:rPr>
            </w:pPr>
          </w:p>
        </w:tc>
      </w:tr>
      <w:tr>
        <w:trPr>
          <w:trHeight w:val="223"/>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37,504</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37,483</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36,930</w:t>
            </w: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169</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37,673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37,183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37,673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37,183</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(13,483)</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(12,727)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(10,407)</w:t>
            </w:r>
          </w:p>
        </w:tc>
        <w:tc>
          <w:tcPr>
            <w:tcW w:w="0" w:type="dxa"/>
            <w:vAlign w:val="bottom"/>
          </w:tcPr>
          <w:p>
            <w:pPr>
              <w:spacing w:after="0"/>
              <w:rPr>
                <w:sz w:val="1"/>
                <w:szCs w:val="1"/>
                <w:color w:val="auto"/>
              </w:rPr>
            </w:pPr>
          </w:p>
        </w:tc>
      </w:tr>
      <w:tr>
        <w:trPr>
          <w:trHeight w:val="231"/>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repurchased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(1,056)</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(1,812)</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0" w:type="dxa"/>
            <w:vAlign w:val="bottom"/>
          </w:tcPr>
          <w:p>
            <w:pPr>
              <w:spacing w:after="0"/>
              <w:rPr>
                <w:sz w:val="1"/>
                <w:szCs w:val="1"/>
                <w:color w:val="auto"/>
              </w:rPr>
            </w:pPr>
          </w:p>
        </w:tc>
      </w:tr>
      <w:tr>
        <w:trPr>
          <w:trHeight w:val="228"/>
        </w:trPr>
        <w:tc>
          <w:tcPr>
            <w:tcW w:w="5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(14,539)</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(14,539)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(11,424)</w:t>
            </w:r>
          </w:p>
        </w:tc>
        <w:tc>
          <w:tcPr>
            <w:tcW w:w="0" w:type="dxa"/>
            <w:vAlign w:val="bottom"/>
          </w:tcPr>
          <w:p>
            <w:pPr>
              <w:spacing w:after="0"/>
              <w:rPr>
                <w:sz w:val="1"/>
                <w:szCs w:val="1"/>
                <w:color w:val="auto"/>
              </w:rPr>
            </w:pPr>
          </w:p>
        </w:tc>
      </w:tr>
      <w:tr>
        <w:trPr>
          <w:trHeight w:val="223"/>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50,592</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49,460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50,265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49,423</w:t>
            </w: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1,304</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2,388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0" w:type="dxa"/>
            <w:vAlign w:val="bottom"/>
          </w:tcPr>
          <w:p>
            <w:pPr>
              <w:spacing w:after="0"/>
              <w:rPr>
                <w:sz w:val="1"/>
                <w:szCs w:val="1"/>
                <w:color w:val="auto"/>
              </w:rPr>
            </w:pPr>
          </w:p>
        </w:tc>
      </w:tr>
      <w:tr>
        <w:trPr>
          <w:trHeight w:val="231"/>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(1,597)</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(2,342)</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w:t>
            </w: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on ESOP Common Stock</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50,271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48,954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50,271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48,954</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Unearned ESOP Shares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(2,115)</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(1,915)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(816)</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(2,931)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(2,931)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(3,555)</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1,524</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1,596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0" w:type="dxa"/>
            <w:vAlign w:val="bottom"/>
          </w:tcPr>
          <w:p>
            <w:pPr>
              <w:spacing w:after="0"/>
              <w:rPr>
                <w:sz w:val="1"/>
                <w:szCs w:val="1"/>
                <w:color w:val="auto"/>
              </w:rPr>
            </w:pPr>
          </w:p>
        </w:tc>
      </w:tr>
      <w:tr>
        <w:trPr>
          <w:trHeight w:val="231"/>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57</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Redeemable noncontrolling interest net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1"/>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attributable to noncontrolling interest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Disposition of noncontrolling interest, net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3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5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Capital contributions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1,549</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1,549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w:t>
            </w:r>
          </w:p>
        </w:tc>
        <w:tc>
          <w:tcPr>
            <w:tcW w:w="0" w:type="dxa"/>
            <w:vAlign w:val="bottom"/>
          </w:tcPr>
          <w:p>
            <w:pPr>
              <w:spacing w:after="0"/>
              <w:rPr>
                <w:sz w:val="1"/>
                <w:szCs w:val="1"/>
                <w:color w:val="auto"/>
              </w:rPr>
            </w:pPr>
          </w:p>
        </w:tc>
      </w:tr>
      <w:tr>
        <w:trPr>
          <w:trHeight w:val="232"/>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Equity at June 30</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71,990</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71,990</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72,721</w:t>
            </w:r>
          </w:p>
        </w:tc>
        <w:tc>
          <w:tcPr>
            <w:tcW w:w="0" w:type="dxa"/>
            <w:vAlign w:val="bottom"/>
          </w:tcPr>
          <w:p>
            <w:pPr>
              <w:spacing w:after="0"/>
              <w:rPr>
                <w:sz w:val="1"/>
                <w:szCs w:val="1"/>
                <w:color w:val="auto"/>
              </w:rPr>
            </w:pPr>
          </w:p>
        </w:tc>
      </w:tr>
      <w:tr>
        <w:trPr>
          <w:trHeight w:val="228"/>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share information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under employee plans, net</w:t>
            </w: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463</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2,280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0" w:type="dxa"/>
            <w:vAlign w:val="bottom"/>
          </w:tcPr>
          <w:p>
            <w:pPr>
              <w:spacing w:after="0"/>
              <w:rPr>
                <w:sz w:val="1"/>
                <w:szCs w:val="1"/>
                <w:color w:val="auto"/>
              </w:rPr>
            </w:pPr>
          </w:p>
        </w:tc>
      </w:tr>
      <w:tr>
        <w:trPr>
          <w:trHeight w:val="23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repurchased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11,163</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19,046</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12,642</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Dividends declared per share of Common Stock</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1.100</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1.610</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0" w:type="dxa"/>
            <w:vAlign w:val="bottom"/>
          </w:tcPr>
          <w:p>
            <w:pPr>
              <w:spacing w:after="0"/>
              <w:rPr>
                <w:sz w:val="1"/>
                <w:szCs w:val="1"/>
                <w:color w:val="auto"/>
              </w:rPr>
            </w:pPr>
          </w:p>
        </w:tc>
      </w:tr>
    </w:tbl>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at June 30, 2022 and for the quarters and six months ended June 30, 2022 and 2021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2021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Raytheon Intelligence &amp; Space (RIS) and Raytheon Missiles &amp; Defense (RMD) follow a 4-4-5 fiscal calendar while Collins Aerospace (Collins) and Pratt</w:t>
      </w:r>
    </w:p>
    <w:p>
      <w:pPr>
        <w:spacing w:after="0" w:line="27" w:lineRule="exact"/>
        <w:rPr>
          <w:sz w:val="20"/>
          <w:szCs w:val="20"/>
          <w:color w:val="auto"/>
        </w:rPr>
      </w:pPr>
    </w:p>
    <w:p>
      <w:pPr>
        <w:ind w:firstLine="8"/>
        <w:spacing w:after="0" w:line="260" w:lineRule="auto"/>
        <w:tabs>
          <w:tab w:leader="none" w:pos="1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use a quarter calendar end. Throughout this Quarterly Report on Form 10-Q, when we refer to the quarters ended June 30, 2022 and June 30, 2021 with respect to RIS or RMD, we are referring to their July 3, 2022 and July 4, 2021 fiscal quarter ends, respectively.</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“Raytheon Technologies,” and “RTC” mean Raytheon Technologies Corporation and its subsidiaries.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Russia Sanctions. </w:t>
      </w:r>
      <w:r>
        <w:rPr>
          <w:rFonts w:ascii="Times New Roman" w:cs="Times New Roman" w:eastAsia="Times New Roman" w:hAnsi="Times New Roman"/>
          <w:sz w:val="18"/>
          <w:szCs w:val="18"/>
          <w:color w:val="auto"/>
        </w:rPr>
        <w:t>In response to the Russian military’s invasion of Ukraine on February 24, 2022, the U.S. government and the governments of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As a result of these sanctions on Russia and export controls, in the first quarter of 2022, we recorded pretax charges of $290 million, $210 million net of tax and the impact of noncontrolling interest, within our Collins and Pratt &amp; Whitney businesses primarily related to increased estimates for credit losses on both our accounts receivables and contract assets, inventory reserves and purchase order obligations, impairment of customer financing assets for products under lease, impairment of contract fulfillment costs that are no longer recoverable, and a loss on the exit of our investment in a Russia-based joint venture. Additionally, we reversed approximately $1.3 billion of remaining performance obligations (RPO) in the quarter ended March 31, 2022 related to our sales contracts in Russia at Pratt &amp; Whitney and Collins. We will continue to monitor future developments, including additional sanctions and other measures, that could adversely affect the Company and/or our supply chain, business partners or customers.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COVID-19 Pandemic. </w:t>
      </w:r>
      <w:r>
        <w:rPr>
          <w:rFonts w:ascii="Times New Roman" w:cs="Times New Roman" w:eastAsia="Times New Roman" w:hAnsi="Times New Roman"/>
          <w:sz w:val="18"/>
          <w:szCs w:val="18"/>
          <w:color w:val="auto"/>
        </w:rPr>
        <w:t>The coronavirus disease 2019 (COVID-19) pandemic continues to negatively affect the global economy, our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supply chains, and the industries in which we operate. However, we continue to see that commercial air travel is recovering in certain areas of demand. While we believe that the long-term outlook for the aerospace industry remains positive due to the fundamental drivers of air travel demand, there continues to be uncertainty with respect to when commercial air traffic capacity will fully return to and/or exceed pre-COVID-19 levels. Our expectations regarding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Dispositions,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and 2021, cash inflows related to dispositions were $88 million and $1.1 billion,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dispositions of businesses in the six months ended June 30, 2022, consisted of immaterial dispositions in our aerospace businesses.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Dispositions of businesses in the six months ended June 30, 2021 reflect the January 8, 2021 sale of our Forcepoint business, for proceeds of $1.1 billion, net of cash transferred. We did not recognize a pre-tax gain or loss within the Condensed Consolidated Statement of Operations related to the sale of Forcepoint.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six months ended June 30, 2022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40" w:type="dxa"/>
            <w:vAlign w:val="bottom"/>
          </w:tcPr>
          <w:p>
            <w:pPr>
              <w:spacing w:after="0"/>
              <w:rPr>
                <w:sz w:val="13"/>
                <w:szCs w:val="13"/>
                <w:color w:val="auto"/>
              </w:rPr>
            </w:pPr>
          </w:p>
        </w:tc>
        <w:tc>
          <w:tcPr>
            <w:tcW w:w="1260" w:type="dxa"/>
            <w:vAlign w:val="bottom"/>
            <w:gridSpan w:val="2"/>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80" w:type="dxa"/>
            <w:vAlign w:val="bottom"/>
          </w:tcPr>
          <w:p>
            <w:pPr>
              <w:spacing w:after="0"/>
              <w:rPr>
                <w:sz w:val="13"/>
                <w:szCs w:val="13"/>
                <w:color w:val="auto"/>
              </w:rPr>
            </w:pP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20" w:type="dxa"/>
            <w:vAlign w:val="bottom"/>
          </w:tcPr>
          <w:p>
            <w:pPr>
              <w:spacing w:after="0"/>
              <w:rPr>
                <w:sz w:val="13"/>
                <w:szCs w:val="13"/>
                <w:color w:val="auto"/>
              </w:rPr>
            </w:pPr>
          </w:p>
        </w:tc>
        <w:tc>
          <w:tcPr>
            <w:tcW w:w="15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Balance as of June 30,</w:t>
            </w:r>
          </w:p>
        </w:tc>
        <w:tc>
          <w:tcPr>
            <w:tcW w:w="0" w:type="dxa"/>
            <w:vAlign w:val="bottom"/>
          </w:tcPr>
          <w:p>
            <w:pPr>
              <w:spacing w:after="0"/>
              <w:rPr>
                <w:sz w:val="1"/>
                <w:szCs w:val="1"/>
                <w:color w:val="auto"/>
              </w:rPr>
            </w:pPr>
          </w:p>
        </w:tc>
      </w:tr>
      <w:tr>
        <w:trPr>
          <w:trHeight w:val="195"/>
        </w:trPr>
        <w:tc>
          <w:tcPr>
            <w:tcW w:w="3380" w:type="dxa"/>
            <w:vAlign w:val="bottom"/>
            <w:tcBorders>
              <w:bottom w:val="single" w:sz="8" w:color="auto"/>
            </w:tcBorders>
            <w:vMerge w:val="continue"/>
          </w:tcPr>
          <w:p>
            <w:pPr>
              <w:spacing w:after="0"/>
              <w:rPr>
                <w:sz w:val="16"/>
                <w:szCs w:val="16"/>
                <w:color w:val="auto"/>
              </w:rPr>
            </w:pPr>
          </w:p>
        </w:tc>
        <w:tc>
          <w:tcPr>
            <w:tcW w:w="230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10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31,384</w:t>
            </w: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99"/>
              </w:rPr>
              <w:t>(36)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30,734</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9,835</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11,657</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53,789</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54,436</w:t>
            </w:r>
          </w:p>
        </w:tc>
        <w:tc>
          <w:tcPr>
            <w:tcW w:w="3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53,806</w:t>
            </w:r>
          </w:p>
        </w:tc>
        <w:tc>
          <w:tcPr>
            <w:tcW w:w="0" w:type="dxa"/>
            <w:vAlign w:val="bottom"/>
          </w:tcPr>
          <w:p>
            <w:pPr>
              <w:spacing w:after="0"/>
              <w:rPr>
                <w:sz w:val="1"/>
                <w:szCs w:val="1"/>
                <w:color w:val="auto"/>
              </w:rPr>
            </w:pPr>
          </w:p>
        </w:tc>
      </w:tr>
      <w:tr>
        <w:trPr>
          <w:trHeight w:val="418"/>
        </w:trPr>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20" w:type="dxa"/>
            <w:vAlign w:val="bottom"/>
          </w:tcPr>
          <w:p>
            <w:pPr>
              <w:spacing w:after="0"/>
              <w:rPr>
                <w:sz w:val="11"/>
                <w:szCs w:val="11"/>
                <w:color w:val="auto"/>
              </w:rPr>
            </w:pPr>
          </w:p>
        </w:tc>
        <w:tc>
          <w:tcPr>
            <w:tcW w:w="1520" w:type="dxa"/>
            <w:vAlign w:val="bottom"/>
          </w:tcPr>
          <w:p>
            <w:pPr>
              <w:jc w:val="right"/>
              <w:ind w:right="314"/>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assets</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Exclusivity assets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2,772</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1,194</w:t>
            </w:r>
          </w:p>
        </w:tc>
        <w:tc>
          <w:tcPr>
            <w:tcW w:w="2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29,798</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29,982</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39,178</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(10,263)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39,188</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Trademarks and other</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8,647</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(10,263)</w:t>
            </w:r>
          </w:p>
        </w:tc>
        <w:tc>
          <w:tcPr>
            <w:tcW w:w="340" w:type="dxa"/>
            <w:vAlign w:val="bottom"/>
            <w:tcBorders>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quarters and six months ended June 30, 2022 and 2021 were $467 million and $954 million and $602 million and $1,198 million, respectively. The following is the expected amortization of intangible assets for the remainder of 2022 through 2027.</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2022</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
        </w:trPr>
        <w:tc>
          <w:tcPr>
            <w:tcW w:w="28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2,096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2,219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2,101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2,013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20" w:type="dxa"/>
            <w:vAlign w:val="bottom"/>
          </w:tcPr>
          <w:p>
            <w:pPr>
              <w:spacing w:after="0"/>
              <w:rPr>
                <w:sz w:val="16"/>
                <w:szCs w:val="16"/>
                <w:color w:val="auto"/>
              </w:rPr>
            </w:pPr>
          </w:p>
        </w:tc>
        <w:tc>
          <w:tcPr>
            <w:tcW w:w="252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and shares in millions, except per share amounts)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1,304</w:t>
            </w:r>
          </w:p>
        </w:tc>
        <w:tc>
          <w:tcPr>
            <w:tcW w:w="4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2,407</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1,304</w:t>
            </w:r>
          </w:p>
        </w:tc>
        <w:tc>
          <w:tcPr>
            <w:tcW w:w="4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2,388</w:t>
            </w:r>
          </w:p>
        </w:tc>
        <w:tc>
          <w:tcPr>
            <w:tcW w:w="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1,479.2</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1,482.9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10.4</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10.8</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1,489.6</w:t>
            </w: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1,493.7</w:t>
            </w: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Basic:</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0.88</w:t>
            </w:r>
          </w:p>
        </w:tc>
        <w:tc>
          <w:tcPr>
            <w:tcW w:w="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1.62</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0.88</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0.69</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w:t>
            </w:r>
          </w:p>
        </w:tc>
        <w:tc>
          <w:tcPr>
            <w:tcW w:w="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Diluted: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0.88</w:t>
            </w:r>
          </w:p>
        </w:tc>
        <w:tc>
          <w:tcPr>
            <w:tcW w:w="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0.88</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1.60</w:t>
            </w:r>
          </w:p>
        </w:tc>
        <w:tc>
          <w:tcPr>
            <w:tcW w:w="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exercise of stock awards when the awards’ assumed proceeds exceed the average market price of the common shares during the period. For the quarter and six months ended June 30, 2022, the number of stock awards excluded from the computation was 3.4 million and 5.4 million, respectively. For the quarter and six months ended June 30, 2021, the number of stock awards excluded from the computation was 11.2 million and 19.0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Changes in Contract Estimates at Completion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 and costs, including estimates of labor productivity and availability, the complexity and scope of the work to be performed, the availability and cost of materials,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 of completion basis.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20" w:type="dxa"/>
            <w:vAlign w:val="bottom"/>
          </w:tcPr>
          <w:p>
            <w:pPr>
              <w:spacing w:after="0"/>
              <w:rPr>
                <w:sz w:val="16"/>
                <w:szCs w:val="16"/>
                <w:color w:val="auto"/>
              </w:rPr>
            </w:pPr>
          </w:p>
        </w:tc>
        <w:tc>
          <w:tcPr>
            <w:tcW w:w="2080" w:type="dxa"/>
            <w:vAlign w:val="bottom"/>
            <w:gridSpan w:val="3"/>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78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continuing operations attributable to common shareowners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earnings per share from continuing operations attributable to common</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shareholders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U.S. statutory tax rate of 21%, which approximates our tax rate on our EAC adjustments.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80" w:type="dxa"/>
            <w:vAlign w:val="bottom"/>
          </w:tcPr>
          <w:p>
            <w:pPr>
              <w:spacing w:after="0"/>
              <w:rPr>
                <w:sz w:val="16"/>
                <w:szCs w:val="16"/>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10,897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10,136</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10,394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Contract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reflect revenue recognized and performance obligations satisfied in advance of customer billing. Contract liabilities relate to payments received in advance of the satisfaction of performance under the contract. We receive payments from customers based on the terms established in our contracts. Total contract assets and contract liabilities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40" w:type="dxa"/>
            <w:vAlign w:val="bottom"/>
          </w:tcPr>
          <w:p>
            <w:pPr>
              <w:spacing w:after="0"/>
              <w:rPr>
                <w:sz w:val="16"/>
                <w:szCs w:val="16"/>
                <w:color w:val="auto"/>
              </w:rPr>
            </w:pPr>
          </w:p>
        </w:tc>
        <w:tc>
          <w:tcPr>
            <w:tcW w:w="14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11,836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(13,430)</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(13,720)</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3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assets increased $475 million during the six months ended June 30, 2022 primarily due to sales in excess of billings at RIS and Pratt &amp; Whitney. Contract liabilities decreased $290 million during the six months ended June 30, 2022 compared to December 31, 2021 primarily due to revenue recognized on certain contracts with milestone and performance based payments at RMD. We recognized revenue of $1.2 billion and $3.0 billion during the quarter and six months ended June 30, 2022, related to contract liabilities as of January 1, 2022 and $1.0 billion and $2.7 billion during the quarter and six months ended June 30, 2021, related to contract liabilities as of January 1, 2021.</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our Contract liabilities include approximately $380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 In addition, as of June 30, 2022, our Contract liabilities include advance payments, in immaterial amounts, received from Russian customers on contracts we are currently unable to perform on due to global sanctions on Russia and export controls. Depending on the contractual terms and as allowed by sanctions, certain of these advance payments may become refundable.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include an allowance for credit losses of $318 million and $251 million as of June 30, 2022 and December 31,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6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3,210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6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3,628</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3,304</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3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10,142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Borrowings and Lines of Credit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90 days from the date of issuance. As of June 30, 2022, our maximum commercial paper borrowing limit was $5.0 billion as the commercial paper is backed by our $5.0 billion revolving credit agreement. We had no commercial paper outstanding at June 30, 2022 or December 31, 2021.</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we had revolving credit agreements with various banks permitting aggregate borrowings of up to $7.0 billion, consisting of a $5.0 billion revolving credit agreement, which expires in April 2025, and a $2.0 billion revolving credit agreement, which was renewed in May 2022 and expires in May 2023. As of June 30, 2022, there were no borrowings outstanding under these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issuances of long-term debt during the six months ended June 30,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the following repayments of long-term debt during the six months ended June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4860" w:type="dxa"/>
            <w:vAlign w:val="bottom"/>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020" w:type="dxa"/>
            <w:vAlign w:val="bottom"/>
          </w:tcPr>
          <w:p>
            <w:pPr>
              <w:spacing w:after="0"/>
              <w:rPr>
                <w:sz w:val="13"/>
                <w:szCs w:val="13"/>
                <w:color w:val="auto"/>
              </w:rPr>
            </w:pPr>
          </w:p>
        </w:tc>
        <w:tc>
          <w:tcPr>
            <w:tcW w:w="312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5"/>
        </w:trPr>
        <w:tc>
          <w:tcPr>
            <w:tcW w:w="2240" w:type="dxa"/>
            <w:vAlign w:val="bottom"/>
            <w:tcBorders>
              <w:bottom w:val="single" w:sz="8" w:color="auto"/>
            </w:tcBorders>
            <w:vMerge w:val="continue"/>
          </w:tcPr>
          <w:p>
            <w:pPr>
              <w:spacing w:after="0"/>
              <w:rPr>
                <w:sz w:val="16"/>
                <w:szCs w:val="16"/>
                <w:color w:val="auto"/>
              </w:rPr>
            </w:pPr>
          </w:p>
        </w:tc>
        <w:tc>
          <w:tcPr>
            <w:tcW w:w="48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35"/>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2021</w:t>
            </w:r>
          </w:p>
        </w:tc>
        <w:tc>
          <w:tcPr>
            <w:tcW w:w="4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8.750% notes due 2021</w:t>
            </w:r>
          </w:p>
        </w:tc>
        <w:tc>
          <w:tcPr>
            <w:tcW w:w="10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405"/>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7"/>
                <w:szCs w:val="17"/>
                <w:color w:val="auto"/>
              </w:rPr>
            </w:pP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2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3.650% notes due 2023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3.700% notes due 2023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3.200% notes due 2024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950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3.150% notes due 2024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719</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3.500% notes due 2027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7.200%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382</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7.100% notes due 2027</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135</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6.700% notes due 2028</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7.000% notes due 2028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185</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414</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2.150% notes due 2030 (€500 million principal value)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526</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2.250% notes due 2030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1.900% notes due 2031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2.375% notes due 2032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446</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410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117</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notes due 2038</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148</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575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750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553</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4.875% notes due 2040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4.700% notes due 2041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425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4.800% notes due 2043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4.200% notes due 2044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850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1,100</w:t>
            </w:r>
          </w:p>
        </w:tc>
        <w:tc>
          <w:tcPr>
            <w:tcW w:w="6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4.350% notes due 2047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2050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2.820% notes due 2051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3.030% notes due 2052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1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263</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31,254</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31,300</w:t>
            </w:r>
          </w:p>
        </w:tc>
      </w:tr>
      <w:tr>
        <w:trPr>
          <w:trHeight w:val="22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(fair value adjustments, (discounts)/premiums, and debt issuance costs)</w:t>
            </w:r>
          </w:p>
        </w:tc>
        <w:tc>
          <w:tcPr>
            <w:tcW w:w="1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31,300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31,351</w:t>
            </w:r>
          </w:p>
        </w:tc>
      </w:tr>
      <w:tr>
        <w:trPr>
          <w:trHeight w:val="22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31,274</w:t>
            </w:r>
          </w:p>
        </w:tc>
        <w:tc>
          <w:tcPr>
            <w:tcW w:w="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31,327</w:t>
            </w:r>
          </w:p>
        </w:tc>
      </w:tr>
    </w:tbl>
    <w:p>
      <w:pPr>
        <w:spacing w:after="0" w:line="16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these notes, in whole or in part, at our option pursuant to their terms prior to the applicable maturity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maturity of our Long-term debt at June 30, 2022 is approximately 15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benefit pension and postretirement benefit (PRB)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and defined contribution plans.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our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qualified defined benefit plans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defined benefit plans</w:t>
            </w: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18</w:t>
            </w: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30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PRB plans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251</w:t>
            </w: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562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405"/>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amounts recognized in the Condensed Consolidated Balance Sheet consist of:</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pension assets (included in Other assets)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3,869</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pension and PRB liabilities (included in Accrued employee compensation)</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309</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7,543</w:t>
            </w:r>
          </w:p>
        </w:tc>
        <w:tc>
          <w:tcPr>
            <w:tcW w:w="7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0" w:type="dxa"/>
            <w:vAlign w:val="bottom"/>
          </w:tcPr>
          <w:p>
            <w:pPr>
              <w:spacing w:after="0"/>
              <w:rPr>
                <w:sz w:val="1"/>
                <w:szCs w:val="1"/>
                <w:color w:val="auto"/>
              </w:rPr>
            </w:pPr>
          </w:p>
        </w:tc>
      </w:tr>
      <w:tr>
        <w:trPr>
          <w:trHeight w:val="418"/>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amounts recognized in Future pension and postretirement benefit obligations consist of:</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pension liabilities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6,596</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PRB liabilities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876</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56"/>
        </w:trPr>
        <w:tc>
          <w:tcPr>
            <w:tcW w:w="6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pension and PRB related items</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71</w:t>
            </w:r>
          </w:p>
        </w:tc>
        <w:tc>
          <w:tcPr>
            <w:tcW w:w="7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7,543</w:t>
            </w:r>
          </w:p>
        </w:tc>
        <w:tc>
          <w:tcPr>
            <w:tcW w:w="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(income) expense for our defined pension and PRB plans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PRB</w:t>
            </w: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4"/>
        </w:trPr>
        <w:tc>
          <w:tcPr>
            <w:tcW w:w="5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r>
      <w:tr>
        <w:trPr>
          <w:trHeight w:val="196"/>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5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118</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tcPr>
          <w:p>
            <w:pPr>
              <w:spacing w:after="0"/>
              <w:rPr>
                <w:sz w:val="19"/>
                <w:szCs w:val="19"/>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380</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5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77</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(gain) loss</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benefit (income) expense</w:t>
            </w:r>
          </w:p>
        </w:tc>
        <w:tc>
          <w:tcPr>
            <w:tcW w:w="3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4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5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PRB</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5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7"/>
                <w:szCs w:val="17"/>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236</w:t>
            </w:r>
          </w:p>
        </w:tc>
        <w:tc>
          <w:tcPr>
            <w:tcW w:w="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4</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762</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14</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9"/>
                <w:szCs w:val="19"/>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154</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r>
      <w:tr>
        <w:trPr>
          <w:trHeight w:val="230"/>
        </w:trPr>
        <w:tc>
          <w:tcPr>
            <w:tcW w:w="5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(gain) loss</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3"/>
        </w:trPr>
        <w:tc>
          <w:tcPr>
            <w:tcW w:w="55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benefit (income) expense</w:t>
            </w:r>
          </w:p>
        </w:tc>
        <w:tc>
          <w:tcPr>
            <w:tcW w:w="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26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9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788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effective tax rate was 10.7% and 23.9% in the quarters ended June 30, 2022 and 2021, respectively. The effective tax rate in the quarter ended June 30, 2022 includes a benefit of approximately 4 percentage points primarily related to an incremental Foreign Derived Intangible Income (FDII) benefit and other effects created by the capitalization of research or experimental expenditures for tax-purposes, which was enacted as part of the Tax Cuts and Jobs Act of 2017 and became effective on January 1, 2022. Tax expense in the quarter ended June 30, 2021 includes tax charges of $73 million incremental to the U.S. statutory rate associated with the revaluation of deferred taxes resulting from the increase in the United Kingdom (U.K.) corporate tax rate to 25% enacted in 2021 and effective in 2023.</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was 10.1% and 26.5% in the six months ended June 30, 2022 and 2021, respectively. The effective tax rate in the six months ended June 30, 2022 includes a benefit of approximately 5 percentage points primarily related to an incremental FDII benefit and other effects created by the capitalization of research or experimental expenditures for tax-purposes, which was enacted as part of the Tax Cuts and Jobs Act of 2017 and became effective on January 1, 2022. Tax expense in the six months ended June 30, 2021 includes tax charges incremental to the U.S. statutory rate of $148 million associated with the sale of the Forcepoint business, as described in “Note 2: Acquisitions, Dispositions, Goodwill and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and $73 million associated with the enactment of the U.K. corporate tax rate change discussed above. Subsequently, in the fourth quarter of 2021, we recognized an incremental $104 million tax benefit due to the revaluation of the Forcepoint tax benefit as a result of completing the divestiture of RIS’s global training and services business.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business globally and, as a result, Raytheon Technologies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2012.</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$20 million to $400 million of unrecognized tax benefits may occur within the next 12 months as a result of the revaluation of uncertain tax positions arising from developments in examinations, in appeals, or in the courts, the closure of tax statutes, or the issuance of legislation, regulatory or other guidance.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has determined that the distributions of Carrier and Otis on April 3, 2020, and certain 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in each case, or certain internal business separation transactions, were to fail to qualify for tax-free treatment, the Company could be subject to significant liabilities, and there could be material adverse impacts on the Company’s business, financial condition, results of operations and cash flows in future reporting periods.</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Examination Division of the Internal Revenue Service (IRS) is currently auditing Raytheon Technologies tax years 2017 and 2018 and pre-merger Raytheon Company tax periods 2017, 2018 and 2019 as well as certain refund claims of Raytheon Company for tax years 2014, 2015 and 2016 filed prior to the Raytheon merger. The audit of each of these tax years is expected to continue into 2023.</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Examination Division of the IRS is currently auditing pre-acquisition Rockwell Collins fiscal tax years 2016 and 2017. During the second quarter of 2022, the IRS added fiscal tax year 2018 to their review. The audit of 2016, 2017, and 2018 is projected to close during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notional amount of our outstanding foreign currency hedges was $10.0 billion and $8.5 billion at June 30, 2022 and December 31, 2021, respectively. At June 30, 2022, all derivative contracts accounted for as cash flow hedges will mature by February 2030.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Condensed Consolidated Balance Sheet for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600" w:type="dxa"/>
            <w:vAlign w:val="bottom"/>
          </w:tcPr>
          <w:p>
            <w:pPr>
              <w:spacing w:after="0"/>
              <w:rPr>
                <w:sz w:val="16"/>
                <w:szCs w:val="16"/>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344</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6"/>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23</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cash flow hedging relationships on Accumulated other comprehensive income (loss) and on the Condensed Consolidated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the quarters and six months ended June 30, 2022 and 2021 are presented in “Note 16: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The amounts of gain or loss are attributable to foreign exchange contract activity and are primarily recorded as a component of Products sales when reclassified from Accumulated other comprehensive loss.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30, 2022, we have €500 million of euro-denominated long-term debt outstanding, which qualifies as a net investment hedge against our investments in European businesses, which is deemed to be effective.</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is included within Other income, net, on the Condensed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carried at fair value and measured on a recurring basis in our Condensed Consolidated Balance Sheet: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vMerge w:val="continue"/>
          </w:tcPr>
          <w:p>
            <w:pPr>
              <w:spacing w:after="0"/>
              <w:rPr>
                <w:sz w:val="15"/>
                <w:szCs w:val="15"/>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788</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725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58</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367</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367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95"/>
        </w:trPr>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gridSpan w:val="3"/>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derivative assets and liabilities include foreign exchange contracts that are measured at fair value using internal models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observable market inputs such as forward rates, interest rates, our own credit risk and our counterparties’ credit risks.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00" w:type="dxa"/>
            <w:vAlign w:val="bottom"/>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Pr>
          <w:p>
            <w:pPr>
              <w:spacing w:after="0"/>
              <w:rPr>
                <w:sz w:val="11"/>
                <w:szCs w:val="11"/>
                <w:color w:val="auto"/>
              </w:rPr>
            </w:pPr>
          </w:p>
        </w:tc>
        <w:tc>
          <w:tcPr>
            <w:tcW w:w="900" w:type="dxa"/>
            <w:vAlign w:val="bottom"/>
          </w:tcPr>
          <w:p>
            <w:pPr>
              <w:jc w:val="center"/>
              <w:ind w:right="35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right"/>
              <w:ind w:right="43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198</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31,204</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29,505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31,250</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provides the valuation hierarchy classification of assets and liabilities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187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187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29,505</w:t>
            </w: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29,457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972"/>
        </w:trPr>
        <w:tc>
          <w:tcPr>
            <w:tcW w:w="430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gridSpan w:val="2"/>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35,828</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35,778</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Short-term borrowings approximates the carrying value due to their short-term nature, with commercial paper classified as level 2 and other short-term borrowings classified as level 3 within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Variable Interest Entities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The carrying amounts and classification of assets and liabilities for variable interest entities in our Condensed Consolidated Balance Sheet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0" w:type="dxa"/>
            <w:vAlign w:val="bottom"/>
          </w:tcPr>
          <w:p>
            <w:pPr>
              <w:spacing w:after="0"/>
              <w:rPr>
                <w:sz w:val="16"/>
                <w:szCs w:val="16"/>
                <w:color w:val="auto"/>
              </w:rPr>
            </w:pP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8,130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795</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4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8,925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9,185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22</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4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9,207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Guarantees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These instruments expire on various dates through 2028. Additional guarantees of project performance for which there is no stated value also remain outstanding. A portion of our third party guarantees are subject to indemnification for our benefit for any liabilities that could arise. As of June 30, 2022 and December 31, 2021, the following financial guarantees were outstanding: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4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1"/>
              <w:spacing w:after="0" w:line="131"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aerospace financing arrangements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304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Third party guarantees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486</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residual value and other guarantees related to various commercial aerospace customer financing arrangements. The estimated fair values of the guaranteed assets equal or exceed the value of the related guarantees, net of existing reserves. Collaboration partners’ share of these financing guarantees is $140 million and $141 million at June 30, 2022 and December 31, 2021,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$110 million and $120 million at June 30, 2022 and December 31, 2021, respectively. These primarily relate to environmental liabilities, which are included in our total environmental liabilities as further discussed in “Note 15: Commitments and Contingencies.”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 The changes in the carrying amount of service and product warranties and product performance guarantees for the six months ended June 30, 2022 and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0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128</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1,143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regulatory authorities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June 30, 2022 and December 31, 2021, we had $824 million and $834 million, respectively, reserved for environmental remediation.</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Commercial Aerospace Financing and Other Commitments. </w:t>
      </w:r>
      <w:r>
        <w:rPr>
          <w:rFonts w:ascii="Times New Roman" w:cs="Times New Roman" w:eastAsia="Times New Roman" w:hAnsi="Times New Roman"/>
          <w:sz w:val="18"/>
          <w:szCs w:val="18"/>
          <w:color w:val="auto"/>
        </w:rPr>
        <w:t>We had commercial aerospace financing commitments and other contractual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approximately $15.4 billion and $15.6 billion as of June 30, 2022 and December 31, 2021,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the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the customers. As a result, the fair value of these financing commitments is expected to equal the amounts funded.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which are considered in other contractual commitments, are capitalized as collaboration intangible assets as payments are made.</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Financing Arrangements. </w:t>
      </w:r>
      <w:r>
        <w:rPr>
          <w:rFonts w:ascii="Times New Roman" w:cs="Times New Roman" w:eastAsia="Times New Roman" w:hAnsi="Times New Roman"/>
          <w:sz w:val="18"/>
          <w:szCs w:val="18"/>
          <w:color w:val="auto"/>
        </w:rPr>
        <w:t>We have entered into standby letters of credit and surety bonds with financial institutions to meet various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$3.4 billion as of June 30,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Offset Obligations. </w:t>
      </w:r>
      <w:r>
        <w:rPr>
          <w:rFonts w:ascii="Times New Roman" w:cs="Times New Roman" w:eastAsia="Times New Roman" w:hAnsi="Times New Roman"/>
          <w:sz w:val="18"/>
          <w:szCs w:val="18"/>
          <w:color w:val="auto"/>
        </w:rPr>
        <w:t>We have entered into industrial cooperation agreements, sometimes in the form of either offset agreements or ICIP agreements,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to obtaining orders for our products and services from certain customers in foreign countries. At June 30, 2022, the aggregate amount of our offset agreements, both agreed to and anticipated to be agreed to, had an outstanding notional value of approximately $11.7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Government Oversight. </w:t>
      </w:r>
      <w:r>
        <w:rPr>
          <w:rFonts w:ascii="Times New Roman" w:cs="Times New Roman" w:eastAsia="Times New Roman" w:hAnsi="Times New Roman"/>
          <w:sz w:val="18"/>
          <w:szCs w:val="18"/>
          <w:color w:val="auto"/>
        </w:rPr>
        <w:t>In the ordinary course of business, the Company and its subsidiaries and our properties are subject to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The U.S. government also reserves the right to debar a contractor from receiving new government contracts for fraudulent, criminal or other seriously improper conduct. The U.S. government could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The Company and its subsidiaries are subject to various contract pricing disputes, government investigations and litigation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jurisdictions, updates to certain of which are set forth 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in April 2019, a Divisional Administrative Contracting Officer (DACO) of the United States DCMA asserted a claim against Pratt</w:t>
      </w:r>
    </w:p>
    <w:p>
      <w:pPr>
        <w:spacing w:after="0" w:line="27"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to recover alleged overpayments of approximately $1.73 billion plus interest ($773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million at June 30, 2022).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alleged overpayments of approximately $177 million plus interest ($124 million at June 30, 2022).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Although the ASBCA decision may also be subject to further appellate review, we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recent decision, demands payment of $269 million plus interest ($86 million at June 30, 2022). Pratt &amp; Whitney appealed this second claim to the ASBCA in January 2019. Although subject to further litigation at the ASBCA and potentially further appellate proceedings, we believe that the November 22, 2021 decision in the first claim will apply with equal legal effect to the second claim. Accordingly, we believe that the amounts demanded by the DCMA as set forth in the two claims are without legal basis and that any damages owed to the U.S. government for the two claims will not have a material adverse effect on our results of operations, financial condition or liquidity.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Thales-Raytheon Systems Matter</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2019, Raytheon Company received a subpoena from the Securities and Exchange Commission (SEC) seeking information in connection with an investigation into whether there were improper payments made by Thales-Raytheon Systems (TRS)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 additional subpoena from the SEC, seeking information and documents as part of its ongoing investigation. The Company maintains a rigorous anti-corruption compliance program, is cooperating fully with the SEC’s and DOJ’s inquiry, and is examining whether there has been any conduct that is in violation of Raytheon Company policy. At this time, the Company is unable to predict the outcome of the SEC’s or DOJ’s inquiry. Based on the information available to date, however, we do not believe the results of this inquiry will have a material adverse effect on our results of operations, financial condition or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Investigation, Contract Pricing Disputes and Related Civil Litigation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Company’s Missiles</w:t>
      </w:r>
    </w:p>
    <w:p>
      <w:pPr>
        <w:jc w:val="both"/>
        <w:ind w:firstLine="8"/>
        <w:spacing w:after="0" w:line="251" w:lineRule="auto"/>
        <w:tabs>
          <w:tab w:leader="none" w:pos="2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Defense (RMD) business since 2009. The investigation involves multi-year contracts subject to governmental regulation, including potential civil defective pricing claims for three RMD contracts entered into between 2011 and 2013. As part of the same investigation, on March 24, 2021, the Company received a second criminal subpoena from the DOJ seeking documents relating to a different RMD contract entered into in 2017. We are cooperating fully with, and will continue to review the issues raised by, the DOJ’s ongoing investigation. We have made substantial progress in our internal review of the issues raised by the DOJ investigation. Although we continue to believe we have defenses to the potential claims, the Company has determined that there is a probable risk of liability for damages, interest and potential penalties and has accrued approximately $290 million for this matter. We are currently unable to estimate an incremental loss, if any, which may result following the completion of our internal review and resolution of the DOJ investigation. Based on the information available to date, we do not believe the results of the investigation or of any potential civil litigation will have a material adverse effect on our results of operations, financial condition or liquidity.</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Four shareholder lawsuits were filed against the Company after the DOJ investigation was first disclosed. A putative securities class action lawsuit was filed in the United States District Court for the District of Arizona against the Company and certain of its executives alleging that the defendants violated federal securities laws by making material misstatements in regulatory filings regarding internal controls over financial reporting in RMD. Three shareholder derivative lawsuits were filed in the United States District Court for the District of Delaware against the former Raytheon Company Board of Directors,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and certain of its executives, each alleging that defendants violated federal securities laws and breached their fiduciary duties by engaging in improper accounting practices, failing to implement sufficient internal financial and compliance controls, and making a series of false and misleading statements in regulatory filings. We believe that each of these lawsuits lacks merit.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Darnis, et al.</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previously disclosed, on August 12, 2020, several former employees of United Technologies Corporation (UTC) or its subsidiaries filed a putative class action complaint in the United States District Court for the District of Connecticut against the Company, Otis, Carrier, the former members of the UTC Board of Directors, and the members of the Carrier and Otis Boards of Directors (Geraud Darnis, et al. v. Raytheon Technologies Corporation, et al.). The complaint challenged the method by which UTC equity awards were converted to Company, Otis, and Carrier equity awards following the separation of UTC into three independent, publicly-traded companies on April 3, 2020. The complaint also claimed that the defendants are liable for breach of certain equity compensation plans and also asserted claims under certain provisions of the Employee Retirement Income Security Act of 1974 (ERISA). On September 13, 2021, Plaintiffs filed an amended complaint which supersedes the initial complaint and continues to assert claims for breach of the equity compensation plans against the Company, Otis and Carrier, but no longer asserts ERISA claims. Further, no claim is made in the amended complaint against any current or former director of any of the three companies. Plaintiffs seek money damages, attorneys’ fees and other relief. We continue to believe that the Company has meritorious defenses to these claims. At this time, the Company is unable to predict the outcome; however, based on the information available to date, we do not believe that this matter will have a material adverse effect on our results of operations, financial condition or liquidity.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Grand Jury Investigation and Related Civil Litigation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received a grand jury subpoena in late 2019, as part of a DOJ criminal investigation into purported agreements not to solicit or hire employees in violation of the federal antitrust laws. While the investigation has focused on alleged hiring restrictions between and among Pratt &amp; Whitney and certain of its suppliers of outsourced engineering services, the subpoena also included requests regarding Collins. Since receipt of the subpoena, the Company has been cooperating with the DOJ investigation. On December 15, 2021, a criminal indictment was filed in the United States District Court for the District of Connecticut, against a former Pratt &amp; Whitney employee and other employees of certain outsourced engineering suppliers charging each of them with one count of violating the federal antitrust laws. No current or former Collins employees were named in the indictment. We have been advised that the Company is a target of the DOJ investigation, and we continue to cooperate with the investigation. No criminal charge has been filed against the Company or its affiliates.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criminal charges against the individuals were filed, numerous civil class action antitrust lawsuits have been filed against Pratt &amp; Whitney and other corporate and individual defendants in the United States District Court for the District of Connecticut. The allegations in each of the civil lawsuits track the factual assertions in the criminal indictment and generally allege that Pratt &amp; Whitney and the other defendants agreed to restrict the hiring and recruiting of certain engineers and skilled laborers in a manner that violated federal antitrust laws. Plaintiffs in each of the civil lawsuits seek to represent different purported classes of engineers and skilled laborers employed by Pratt &amp; Whitney and other supplier-defendants since 2011. Plaintiffs in each of the lawsuits seek treble damages in an undetermined amount, plus attorneys’ fees and costs of suit. All of the lawsuits have been consolidated, and a single amended class action complaint was filed. We believe that the claims asserted lack merit. Based on the information available to date, we do not believe that this matter will have a material adverse effect on our results of operations, financial condition or liquidity.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appropriate, we have recorded loss contingency accruals for the above-referenced matters, and the amounts individually, or in the aggregate, are not material.</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As described in “Note 14: Guarantees,” we extend performance and operating cost guarantees beyond our normal warranty and service policies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Loss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changes in each component of Accumulated other comprehensive loss, net of tax for the quarters and six months ended June 30, 2022 and 2021 is provided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200" w:type="dxa"/>
            <w:vAlign w:val="bottom"/>
          </w:tcPr>
          <w:p>
            <w:pPr>
              <w:spacing w:after="0"/>
              <w:rPr>
                <w:sz w:val="13"/>
                <w:szCs w:val="13"/>
                <w:color w:val="auto"/>
              </w:rPr>
            </w:pPr>
          </w:p>
        </w:tc>
        <w:tc>
          <w:tcPr>
            <w:tcW w:w="14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8"/>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June 30, 2022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(2,931)</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1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(1,115)</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(2,931)</w:t>
            </w:r>
          </w:p>
        </w:tc>
        <w:tc>
          <w:tcPr>
            <w:tcW w:w="0" w:type="dxa"/>
            <w:vAlign w:val="bottom"/>
          </w:tcPr>
          <w:p>
            <w:pPr>
              <w:spacing w:after="0"/>
              <w:rPr>
                <w:sz w:val="1"/>
                <w:szCs w:val="1"/>
                <w:color w:val="auto"/>
              </w:rPr>
            </w:pPr>
          </w:p>
        </w:tc>
      </w:tr>
      <w:tr>
        <w:trPr>
          <w:trHeight w:val="365"/>
        </w:trPr>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24"/>
                <w:szCs w:val="24"/>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200" w:type="dxa"/>
            <w:vAlign w:val="bottom"/>
          </w:tcPr>
          <w:p>
            <w:pPr>
              <w:spacing w:after="0"/>
              <w:rPr>
                <w:sz w:val="24"/>
                <w:szCs w:val="24"/>
                <w:color w:val="auto"/>
              </w:rPr>
            </w:pPr>
          </w:p>
        </w:tc>
        <w:tc>
          <w:tcPr>
            <w:tcW w:w="14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June 30, 2021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56"/>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four principal segments: Collins, Pratt &amp; Whitney, RIS and RMD. The segments are generally based on the management structure of the businesses and the grouping of similar operating companies, where each management organization has general operating autonomy over diversified products and services.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Standards (CAS) primarily related to our RIS and RMD segments. While the ultimate liability for pension and PRB costs under FAS and CAS is similar, the pattern of cost recognition is different. Over time, we generally expect to recover the related RIS and RMD pension and PRB liabilities through the pricing of our products and services to the U.S. government. Collins and Pratt &amp; Whitney generally record pension and PRB expense on a FAS basis.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 These adjustments are not considered part of management’s evaluation of segment results.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 Results for the quarters ended June 30, 2022 and 2021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400" w:type="dxa"/>
            <w:vAlign w:val="bottom"/>
            <w:gridSpan w:val="2"/>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c>
          <w:tcPr>
            <w:tcW w:w="0" w:type="dxa"/>
            <w:vAlign w:val="bottom"/>
          </w:tcPr>
          <w:p>
            <w:pPr>
              <w:spacing w:after="0"/>
              <w:rPr>
                <w:sz w:val="1"/>
                <w:szCs w:val="1"/>
                <w:color w:val="auto"/>
              </w:rPr>
            </w:pPr>
          </w:p>
        </w:tc>
      </w:tr>
      <w:tr>
        <w:trPr>
          <w:trHeight w:val="23"/>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5,011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4,545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506</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10.9 %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4,969</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4,280</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302</w:t>
            </w:r>
          </w:p>
        </w:tc>
        <w:tc>
          <w:tcPr>
            <w:tcW w:w="30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112</w:t>
            </w: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6.1 %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3,570</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3,805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415</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8.8 %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3,558</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3,985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348</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532</w:t>
            </w:r>
          </w:p>
        </w:tc>
        <w:tc>
          <w:tcPr>
            <w:tcW w:w="13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9.8 %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17,108</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16,615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1,511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1,565</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8.8 %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 and other</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(149)</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379</w:t>
            </w:r>
          </w:p>
        </w:tc>
        <w:tc>
          <w:tcPr>
            <w:tcW w:w="30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425</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(519)</w:t>
            </w:r>
          </w:p>
        </w:tc>
        <w:tc>
          <w:tcPr>
            <w:tcW w:w="1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16,314</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15,880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1,353</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1,282</w:t>
            </w:r>
          </w:p>
        </w:tc>
        <w:tc>
          <w:tcPr>
            <w:tcW w:w="13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8.3 %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non-reportable business segments.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net expenses related to the U.S. Army’s Lower Tier Air and Missile Defense Sensor (LTAMDS) project.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six months ended June 30, 2022 and 2021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440" w:type="dxa"/>
            <w:vAlign w:val="bottom"/>
            <w:gridSpan w:val="2"/>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c>
          <w:tcPr>
            <w:tcW w:w="0" w:type="dxa"/>
            <w:vAlign w:val="bottom"/>
          </w:tcPr>
          <w:p>
            <w:pPr>
              <w:spacing w:after="0"/>
              <w:rPr>
                <w:sz w:val="1"/>
                <w:szCs w:val="1"/>
                <w:color w:val="auto"/>
              </w:rPr>
            </w:pPr>
          </w:p>
        </w:tc>
      </w:tr>
      <w:tr>
        <w:trPr>
          <w:trHeight w:val="23"/>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9,835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8,915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986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820</w:t>
            </w:r>
          </w:p>
        </w:tc>
        <w:tc>
          <w:tcPr>
            <w:tcW w:w="1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9,498</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8,310</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453</w:t>
            </w:r>
          </w:p>
        </w:tc>
        <w:tc>
          <w:tcPr>
            <w:tcW w:w="32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132</w:t>
            </w: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4.8 %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7,142</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7,570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693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803</w:t>
            </w:r>
          </w:p>
        </w:tc>
        <w:tc>
          <w:tcPr>
            <w:tcW w:w="1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9.7 %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7,085</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7,778</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735</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1,028</w:t>
            </w:r>
          </w:p>
        </w:tc>
        <w:tc>
          <w:tcPr>
            <w:tcW w:w="1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10.4 %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33,560</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32,573</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2,867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2,783</w:t>
            </w:r>
          </w:p>
        </w:tc>
        <w:tc>
          <w:tcPr>
            <w:tcW w:w="1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320" w:type="dxa"/>
            <w:vAlign w:val="bottom"/>
          </w:tcPr>
          <w:p>
            <w:pPr>
              <w:spacing w:after="0"/>
              <w:rPr>
                <w:sz w:val="19"/>
                <w:szCs w:val="19"/>
                <w:color w:val="auto"/>
              </w:rPr>
            </w:pP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(71)</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(230)</w:t>
            </w:r>
          </w:p>
        </w:tc>
        <w:tc>
          <w:tcPr>
            <w:tcW w:w="1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757</w:t>
            </w:r>
          </w:p>
        </w:tc>
        <w:tc>
          <w:tcPr>
            <w:tcW w:w="32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848</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(1,035)</w:t>
            </w:r>
          </w:p>
        </w:tc>
        <w:tc>
          <w:tcPr>
            <w:tcW w:w="1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32,030</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31,131</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2,433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2,295</w:t>
            </w:r>
          </w:p>
        </w:tc>
        <w:tc>
          <w:tcPr>
            <w:tcW w:w="1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7.6 %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non-reportable business segments.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net expenses related to the U.S. Army’s LTAMDS project.</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disaggregate our contracts from customers by geographic region based on customer location, by customer and by sales type. Our geographic region based on customer location uses end user customer location where known or practical to determine, or in instances where the end user customer is not known or not practical to determine, we utilize “ship to” location as the customer location. In addition, for our RIS and RMD segments, we disaggregate our contracts from customers by contract type. We believe these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for the quarters ended June 30,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2,852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10,185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9,871</w:t>
            </w: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1,057</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w:t>
            </w:r>
          </w:p>
        </w:tc>
        <w:tc>
          <w:tcPr>
            <w:tcW w:w="14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2,678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0" w:type="dxa"/>
            <w:vAlign w:val="bottom"/>
          </w:tcPr>
          <w:p>
            <w:pPr>
              <w:spacing w:after="0"/>
              <w:rPr>
                <w:sz w:val="1"/>
                <w:szCs w:val="1"/>
                <w:color w:val="auto"/>
              </w:rPr>
            </w:pPr>
          </w:p>
        </w:tc>
      </w:tr>
      <w:tr>
        <w:trPr>
          <w:trHeight w:val="219"/>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190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Middle East and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Africa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576</w:t>
            </w:r>
          </w:p>
        </w:tc>
        <w:tc>
          <w:tcPr>
            <w:tcW w:w="14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Canada and All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413</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38</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774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58"/>
        </w:trPr>
        <w:tc>
          <w:tcPr>
            <w:tcW w:w="14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4,607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4,969</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3,245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3,493</w:t>
            </w:r>
          </w:p>
        </w:tc>
        <w:tc>
          <w:tcPr>
            <w:tcW w:w="14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16,314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325</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(794)</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5,011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4,969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3,570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3,558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(794)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16,314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3,805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for the six months ended June 30,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5,718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19,601</w:t>
            </w: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2,584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1,936</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210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0" w:type="dxa"/>
            <w:vAlign w:val="bottom"/>
          </w:tcPr>
          <w:p>
            <w:pPr>
              <w:spacing w:after="0"/>
              <w:rPr>
                <w:sz w:val="1"/>
                <w:szCs w:val="1"/>
                <w:color w:val="auto"/>
              </w:rPr>
            </w:pPr>
          </w:p>
        </w:tc>
      </w:tr>
      <w:tr>
        <w:trPr>
          <w:trHeight w:val="219"/>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353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Middle East and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Africa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190</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Canada and All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598</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800</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74</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1,502</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0" w:type="dxa"/>
            <w:vAlign w:val="bottom"/>
          </w:tcPr>
          <w:p>
            <w:pPr>
              <w:spacing w:after="0"/>
              <w:rPr>
                <w:sz w:val="1"/>
                <w:szCs w:val="1"/>
                <w:color w:val="auto"/>
              </w:rPr>
            </w:pPr>
          </w:p>
        </w:tc>
      </w:tr>
      <w:tr>
        <w:trPr>
          <w:trHeight w:val="158"/>
        </w:trPr>
        <w:tc>
          <w:tcPr>
            <w:tcW w:w="14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9,072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9,498</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6,498</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6,958</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32,030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8,310</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6,946</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7,648</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0" w:type="dxa"/>
            <w:vAlign w:val="bottom"/>
          </w:tcPr>
          <w:p>
            <w:pPr>
              <w:spacing w:after="0"/>
              <w:rPr>
                <w:sz w:val="1"/>
                <w:szCs w:val="1"/>
                <w:color w:val="auto"/>
              </w:rPr>
            </w:pPr>
          </w:p>
        </w:tc>
      </w:tr>
      <w:tr>
        <w:trPr>
          <w:trHeight w:val="210"/>
        </w:trPr>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763</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644</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(1,534)</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9,835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9,498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7,142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7,085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(1,530)</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32,030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7,570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quarters ended June 30,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U.S. government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2,805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7,559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military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sales through the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675</w:t>
            </w:r>
          </w:p>
        </w:tc>
        <w:tc>
          <w:tcPr>
            <w:tcW w:w="14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 government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direct commercial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Commercial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aerospace and other</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3,268</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3,132</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79</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6,479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4,607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3,245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16,314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404</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325</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(794)</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3,570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(794)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16,314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3,805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six months ended June 30,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80" w:type="dxa"/>
            <w:vAlign w:val="bottom"/>
          </w:tcPr>
          <w:p>
            <w:pPr>
              <w:spacing w:after="0"/>
              <w:rPr>
                <w:sz w:val="11"/>
                <w:szCs w:val="11"/>
                <w:color w:val="auto"/>
              </w:rPr>
            </w:pPr>
          </w:p>
        </w:tc>
        <w:tc>
          <w:tcPr>
            <w:tcW w:w="78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6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30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U.S. government</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15,418</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military</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sales through the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0" w:type="dxa"/>
            <w:vAlign w:val="bottom"/>
          </w:tcPr>
          <w:p>
            <w:pPr>
              <w:spacing w:after="0"/>
              <w:rPr>
                <w:sz w:val="1"/>
                <w:szCs w:val="1"/>
                <w:color w:val="auto"/>
              </w:rPr>
            </w:pPr>
          </w:p>
        </w:tc>
      </w:tr>
      <w:tr>
        <w:trPr>
          <w:trHeight w:val="165"/>
        </w:trPr>
        <w:tc>
          <w:tcPr>
            <w:tcW w:w="13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government direct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Commercial</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aerospace and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commercial</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6,377</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6,187</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12,722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5,231</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10,428</w:t>
            </w:r>
          </w:p>
        </w:tc>
        <w:tc>
          <w:tcPr>
            <w:tcW w:w="0" w:type="dxa"/>
            <w:vAlign w:val="bottom"/>
          </w:tcPr>
          <w:p>
            <w:pPr>
              <w:spacing w:after="0"/>
              <w:rPr>
                <w:sz w:val="1"/>
                <w:szCs w:val="1"/>
                <w:color w:val="auto"/>
              </w:rPr>
            </w:pPr>
          </w:p>
        </w:tc>
      </w:tr>
      <w:tr>
        <w:trPr>
          <w:trHeight w:val="158"/>
        </w:trPr>
        <w:tc>
          <w:tcPr>
            <w:tcW w:w="13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9,072</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9,498</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6,498</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6,958</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32,030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8,211</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8,310</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7,648</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0" w:type="dxa"/>
            <w:vAlign w:val="bottom"/>
          </w:tcPr>
          <w:p>
            <w:pPr>
              <w:spacing w:after="0"/>
              <w:rPr>
                <w:sz w:val="1"/>
                <w:szCs w:val="1"/>
                <w:color w:val="auto"/>
              </w:rPr>
            </w:pPr>
          </w:p>
        </w:tc>
      </w:tr>
      <w:tr>
        <w:trPr>
          <w:trHeight w:val="158"/>
        </w:trPr>
        <w:tc>
          <w:tcPr>
            <w:tcW w:w="13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Inter-segment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763</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644</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(1,534)</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3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32,030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quarters ended June 30,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2,564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12,258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12,179</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1,030</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1,987</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681</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358</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4,056</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4,607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3,245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16,314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404</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325</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(794)</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3,570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16,314</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six months ended June 30, 2022 and 2021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8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8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5,168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23,843</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3,883</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1,330</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684</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7,910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1,595</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7,288</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9,072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9,498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6,498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6,958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6,946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763</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644</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(1,534)</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7,142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(1,530)</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32,030</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7,570</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 and RMD segment sales disaggregated by contract type for the quarters ended June 30, 2022 and 2021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200" w:type="dxa"/>
            <w:vAlign w:val="bottom"/>
          </w:tcPr>
          <w:p>
            <w:pPr>
              <w:spacing w:after="0"/>
              <w:rPr>
                <w:sz w:val="11"/>
                <w:szCs w:val="11"/>
                <w:color w:val="auto"/>
              </w:rPr>
            </w:pPr>
          </w:p>
        </w:tc>
        <w:tc>
          <w:tcPr>
            <w:tcW w:w="148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100" w:type="dxa"/>
            <w:vAlign w:val="bottom"/>
          </w:tcPr>
          <w:p>
            <w:pPr>
              <w:spacing w:after="0"/>
              <w:rPr>
                <w:sz w:val="11"/>
                <w:szCs w:val="11"/>
                <w:color w:val="auto"/>
              </w:rPr>
            </w:pPr>
          </w:p>
        </w:tc>
        <w:tc>
          <w:tcPr>
            <w:tcW w:w="16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1,353</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1,892</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3,245</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3,570</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3,558</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 and RMD segment sales disaggregated by contract type for the six months ended June 30, 2022 and 2021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200" w:type="dxa"/>
            <w:vAlign w:val="bottom"/>
          </w:tcPr>
          <w:p>
            <w:pPr>
              <w:spacing w:after="0"/>
              <w:rPr>
                <w:sz w:val="11"/>
                <w:szCs w:val="11"/>
                <w:color w:val="auto"/>
              </w:rPr>
            </w:pPr>
          </w:p>
        </w:tc>
        <w:tc>
          <w:tcPr>
            <w:tcW w:w="148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100" w:type="dxa"/>
            <w:vAlign w:val="bottom"/>
          </w:tcPr>
          <w:p>
            <w:pPr>
              <w:spacing w:after="0"/>
              <w:rPr>
                <w:sz w:val="11"/>
                <w:szCs w:val="11"/>
                <w:color w:val="auto"/>
              </w:rPr>
            </w:pPr>
          </w:p>
        </w:tc>
        <w:tc>
          <w:tcPr>
            <w:tcW w:w="16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2,693</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3,805</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6,498</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7,648</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Inter-segments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644</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7,142</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7,085</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Remaining Performance Obligations (RPO)</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RPO represent the aggregate amount of total contract transaction price that is unsatisfied or partially unsatisfied. Total RPO was $161 billion as of June 30, 2022. In the quarter ended March 31, 2022, we reversed approximately $1.3 billion of RPO related to our sales contracts in Russia due to global sanctions on and export controls with respect to Russia, as further discussed in “Note 1: Basis of Presentation.” Of the total RPO as of June 30, 2022, we expect approximately 30% will be recognized as sales over the next 12 months. Approximately 40% of our RPO relates to long-term commercial aerospace maintenance contracts at Pratt &amp; Whitney, which are generally expected to be realized over a span of up to 15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Accounting Pronouncements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Accounting Standards Update (ASU) 2021-08, Business Combinations (Topic 805): Accounting for Contract Assets and Contract Liabilities from Contracts with Customers, which requires an acquirer to apply the guidance in ASC 606, Revenue from Contracts with Customers, to recognize and measure contract assets and contract liabilities in a business combination, rather than using fair value. The new standard is effective for fiscal years, and interim periods within those fiscal years, beginning after December 15, 2022, with early adoption permitted. Effective January 1, 2022, we elected to early adopt the requirements of the new standard on a prospective basis. The adoption of the standard did not have an impact on our financial position, results of operations or liquidity.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business entities to make specific annual disclosures about transactions with a government. The new standard is effective for fiscal years beginning after December 15, 2021. We are currently evaluating the impact of the standard, but we do not expect it to have a material impact on our disclosures.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new pronouncements issued but not effective until after June 30, 2022 are not expected to have a material impact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Raytheon Technologies for the quarters and six months ended June 30, 2022 and 2021, PricewaterhouseCoopers LLP (PwC) reported that it has applied limited procedures in accordance with professional standards for a review of such information. However, its report dated July 26, 2022,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Raytheon Technologies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Review of Interim Financial Information</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Raytheon Technologies Corporation and its subsidiaries (the “Company”) as of June 30, 2022, and the related condensed consolidated statements of operations, of comprehensive income, and of changes in equity for the three-month and six-month periods ended June 30, 2022 and 2021 and the condensed consolidated statement of cash flows for the six-month periods ended June 30, 2022 and 2021,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the consolidated balance sheet of the Company as of December 31, 2021, and the related consolidated statements of operations, of comprehensive income (loss), of changes in equity and of cash flows for the year then ended (not presented herein), and in our report dated February 11, 2022, we expressed an unqualified opinion on those consolidated financial statements. In our opinion, the information set forth in the accompanying condensed consolidated balance sheet as of December 31, 2021, is fairly stated, in all material respects, in relation to the consolidated balance sheet from which it has been derived.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Review Results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premier systems provider of high technology products and services to the aerospace and defense industries.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four principal business segments: Collins Aerospace Systems (Collins), Pratt &amp; Whitney, Raytheon Intelligence &amp; Space (RIS) and Raytheon Missiles &amp; Defense (RMD). Unless the context otherwise requires, the terms “we,” “our,” “us,” “the Company,” “Raytheon Technologies,” and “RTC” mean Raytheon Technologies Corporation and its subsidiaries.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RIS and RMD follow a 4-4-5 fiscal calendar while Collins and Pratt &amp; Whitney use a quarter calendar end. Throughout this Quarterly Report on Form 10-Q, when we refer to the quarters ended June 30, 2022 and June 30, 2021 with respect to RIS or RMD, we are referring to their July 3, 2022 and July 4, 2021 fiscal quarter ends,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status of significant factors affecting our business environment in 2022 is discussed below. For additional discussion, refer to the “Business Overview” section in Management’s Discussion and Analysis of Financial Condition and Results of Operations (MD&amp;A) in our 2021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Considerations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primarily at RIS,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legislation, policies and regulations, including regulations related to global warming, carbon footprint and fuel efficiency, can have a negative impact on our worldwide operations. Government and industry-driven safety and performance regulations, restrictions on aircraft engine noise and emissions, government imposed travel restrictions, and government procurement practices can impact our businesses.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Collins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Many of our aerospace operations’ customers are covered under long-term aftermarket service agreements at both Collins and Pratt &amp; Whitney, which are inclusive of both spare parts and services.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 RMD, and the defense operations of Collins and Pratt &amp; Whitney are affected by U.S. Department of Defense (DoD) budget and spending levels, changes in demand, changes in policy positions or priorities and the global political environment.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Impact of the COVID-19 Pandemic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coronavirus disease 2019 (COVID-19) pandemic continues to negatively affect the global economy, our business and operations, supply chains, and the industries in which we operate. However, we continue to see that commercial air travel is recovering in certain areas of demand. While we believe that the long-term outlook for the aerospace industry remains positive due to the fundamental drivers of air travel demand, there continues to be uncertainty with respect to when commercial air traffic capacity will fully return to and/or exceed pre-COVID-19 levels. Our expectations regarding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Matters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labor costs, interest rates, foreign currency exchange rates, energy costs, levels of air travel, the financial condition of commercial airlines, and the impact from natural disasters and weather conditions create uncertainties that could impact our businesses.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Russian military’s invasion of Ukraine on February 24, 2022, the U.S. government and the governments of various 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These government measures, among other limitations,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however, based on information available to date, we do not currently expect these issues will have a material adverse effect on our financial results. In the quarter ended March 31, 2022, we reversed $1.3 billion of backlog, which would have been recognized over a span of approximately 10 years, and recorded certain impairment charges and increases to reserves related to operations at our Pratt &amp; Whitney and Collins businesses, as discussed further in “Note 1: Basis of Presentation” within Item 1 of this Form 10-Q. We will continue to monitor future developments, including additional sanctions and other measures, that could adversely affect the Company and/or our supply chain, business partners or customers.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October 2020, the People’s Republic of China (China) announced that it may sanction Raytheon in connection with a possible Foreign Military Sale to Taiwan of six MS-110 Reconnaissance Pods and related equipment manufactured by Collins. Foreign Military Sales are government-to-government transactions that are initiated by, and carried out at the direction of, the U.S. government. Similarly, in February 2022, China announced that it plans to take countermeasures against RTC in connection with an approved Foreign Military Sale of Patriot missile system upgrade services to Taiwan. To date, the Chinese government has not imposed sanctions on RTC or indicated the nature or timing of any future potential sanctions or other countermeasures. If China were to impose sanctions or take other regulatory action against any RTC entity, our suppliers, affiliates or partners, it could potentially disrupt our business operations. The impact of potential sanctions or other actions by China cannot be determined at this time.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in July 2019, the U.S. government suspended Turkey’s participation in the F-35 Joint Strike Fighter program because Turkey accepted delivery of the Russian-built S-400 air and missile defense system. The U.S. has imposed, and may impose additional, sanctions on Turkey, as well as contractual restrictions on the use of Turkish sources on certain military programs, as a result of this or other political disputes. Turkish companies supply us with components, some of which are sole-sourced, primarily in our aerospace operations for commercial and military engines and aerospace products. Depending upon the scope and timing of U.S. sanctions or contractual prohibitions on Turkey and potential reciprocal actions, if any, such sanctions or actions could impact our sources of supply and could have a material adverse effect on our results of operations, cash flows or financial condition.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If we ultimately do not receive all of the regulatory approvals, or those approvals are revoked, it could have a material effect on our financial results. In particular, as of June 30, 2022, our Contract liabilities include approximately $380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in our 2021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2021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six months ended June 30,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“Cautionary Note Regarding Forward-Looking Statements” in this Form 10-Q, our interim period results of operations and period-to-period comparisons of such results, particularly at a segment level, may not be indicative of our future operating results. The following discussions of comparative results among periods, including the discussion of segment results, should be viewed in this context.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non-recurring and non-operational items (“Other”).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74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16,314</w:t>
            </w:r>
          </w:p>
        </w:tc>
        <w:tc>
          <w:tcPr>
            <w:tcW w:w="11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32,030</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total change year-over-year in total net sales for the quarter and six months ended June 30, 2022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38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40" w:type="dxa"/>
            <w:vAlign w:val="bottom"/>
          </w:tcPr>
          <w:p>
            <w:pPr>
              <w:spacing w:after="0"/>
              <w:rPr>
                <w:sz w:val="13"/>
                <w:szCs w:val="13"/>
                <w:color w:val="auto"/>
              </w:rPr>
            </w:pPr>
          </w:p>
        </w:tc>
        <w:tc>
          <w:tcPr>
            <w:tcW w:w="14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vMerge w:val="continue"/>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Organic</w:t>
            </w:r>
            <w:r>
              <w:rPr>
                <w:rFonts w:ascii="Times New Roman" w:cs="Times New Roman" w:eastAsia="Times New Roman" w:hAnsi="Times New Roman"/>
                <w:sz w:val="23"/>
                <w:szCs w:val="23"/>
                <w:color w:val="auto"/>
                <w:vertAlign w:val="superscript"/>
              </w:rPr>
              <w:t>(1)</w:t>
            </w:r>
          </w:p>
        </w:tc>
        <w:tc>
          <w:tcPr>
            <w:tcW w:w="31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3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3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434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the reported U.S. GAAP amount is provided in the table above.</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$697 million organically in the quarter ended June 30, 2022 compared to the quarter ended June 30, 2021 primarily due to higher organic sales of $0.7 billion at Pratt &amp; Whitney and $0.5 billion at Collins, partially offset by lower organic sales of $0.4 billion at RMD.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$186 million decrease in net sales related to Acquisitions and divestitures, net for the quarter ended June 30, 2022 compared to the quarter ended June 30, 2021, was primarily driven by the sale of our global training and services business within our RIS segment in the fourth quarter of 2021.</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net sales of $77 million for the quarter ended June 30, 2022 compared to the quarter ended June 30, 2021, was primarily driven by the impact of foreign exchange.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$1,361 million organically in the six months ended June 30, 2022 compared to the six months ended June 30, 2021 primarily due to higher organic sales of $1.2 billion at Pratt &amp; Whitney and $1.0 billion at Collins, partially offset by lower organic sales of $0.7 billion at RMD.</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$354 million decrease in net sales related to Acquisitions and divestitures, net for the six months ended June 30, 2022 compared to the six months ended June 30, 2021, was primarily driven by the sale of our global training and services business within our RIS segment in the fourth quarter of 2021.</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other net sales of $108 million for the six months ended June 30, 2022 compared to the six months ended June 30, 2021, was primarily driven by the impact of foreign exchange.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“Segment Review” below for further information by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12,258</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75.1 %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4,056</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24.9 %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16,314</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17: Segment Financial Data” within Item 1 of this Form 10-Q for the composition of external net sales by products and services by segment.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sales increased $79 million in the quarter ended June 30, 2022 compared to the quarter ended June 30, 2021 due to increases in external products sales of $0.4 billion at Pratt &amp; Whitney and $0.2 billion at Collins, partially offset by decreases in external products sales of $0.4 billion at RMD and $0.1 billion at RIS.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sales increased $355 million in the quarter ended June 30, 2022 compared to the quarter ended June 30, 2021 primarily due to increases in external services sales of $0.3 billion at Pratt &amp; Whitney and $0.2 billion at Collins, partially offset by a decrease in external services sales of $0.1 billion at RIS.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24,120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23,843</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75.3 %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7,910</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24.7 %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32,030</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31,131</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sales increased $277 million in the six months ended June 30, 2022 compared to the six months ended June 30, 2021 due to increases in external products sales of $0.6 billion at Pratt &amp; Whitney and $0.5 billion at Collins, partially offset by decreases in external products sales of $0.7 billion at RMD and $0.2 billion at RIS.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sales increased $622 million in the six months ended June 30, 2022 compared to the six months ended June 30, 2021 primarily due to increases in external services sales of $0.6 billion at Pratt &amp; Whitney and $0.3 billion at Collins, partially offset by a decrease in external services sales of $0.3 billion at RIS.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to major customers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Sales to the U.S. government</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7,559</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46.3 %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3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1,181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9"/>
                <w:szCs w:val="19"/>
                <w:color w:val="auto"/>
              </w:rPr>
            </w:pPr>
          </w:p>
        </w:tc>
        <w:tc>
          <w:tcPr>
            <w:tcW w:w="2320" w:type="dxa"/>
            <w:vAlign w:val="bottom"/>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7.2 %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1,095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6.7 %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6,479</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39.7 %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16,314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100" w:type="dxa"/>
            <w:vAlign w:val="bottom"/>
            <w:tcBorders>
              <w:bottom w:val="single" w:sz="8" w:color="auto"/>
            </w:tcBorders>
            <w:shd w:val="clear" w:color="auto" w:fill="CCEEFF"/>
          </w:tcPr>
          <w:p>
            <w:pPr>
              <w:spacing w:after="0"/>
              <w:rPr>
                <w:sz w:val="20"/>
                <w:szCs w:val="20"/>
                <w:color w:val="auto"/>
              </w:rPr>
            </w:pPr>
          </w:p>
        </w:tc>
        <w:tc>
          <w:tcPr>
            <w:tcW w:w="23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355"/>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(1)  Excludes foreign military sales through the U.S. government.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Sales to the U.S. government</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14,897</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46.5 %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3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2,357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19"/>
                <w:szCs w:val="19"/>
                <w:color w:val="auto"/>
              </w:rPr>
            </w:pPr>
          </w:p>
        </w:tc>
        <w:tc>
          <w:tcPr>
            <w:tcW w:w="2320" w:type="dxa"/>
            <w:vAlign w:val="bottom"/>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7.4 %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2,054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6.4 %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12,722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39.7 %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32,030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w:t>
            </w:r>
          </w:p>
        </w:tc>
        <w:tc>
          <w:tcPr>
            <w:tcW w:w="100" w:type="dxa"/>
            <w:vAlign w:val="bottom"/>
            <w:tcBorders>
              <w:bottom w:val="single" w:sz="8" w:color="auto"/>
            </w:tcBorders>
            <w:shd w:val="clear" w:color="auto" w:fill="CCEEFF"/>
          </w:tcPr>
          <w:p>
            <w:pPr>
              <w:spacing w:after="0"/>
              <w:rPr>
                <w:sz w:val="20"/>
                <w:szCs w:val="20"/>
                <w:color w:val="auto"/>
              </w:rPr>
            </w:pPr>
          </w:p>
        </w:tc>
        <w:tc>
          <w:tcPr>
            <w:tcW w:w="23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00" w:type="dxa"/>
            <w:vAlign w:val="bottom"/>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12,856</w:t>
            </w:r>
          </w:p>
        </w:tc>
        <w:tc>
          <w:tcPr>
            <w:tcW w:w="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12,655</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25,416</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25,192</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78.8 %</w:t>
            </w:r>
          </w:p>
        </w:tc>
        <w:tc>
          <w:tcPr>
            <w:tcW w:w="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cost of sales for the quarter and six months ended June 30, 2022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3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40" w:type="dxa"/>
            <w:vAlign w:val="bottom"/>
          </w:tcPr>
          <w:p>
            <w:pPr>
              <w:spacing w:after="0"/>
              <w:rPr>
                <w:sz w:val="13"/>
                <w:szCs w:val="13"/>
                <w:color w:val="auto"/>
              </w:rPr>
            </w:pPr>
          </w:p>
        </w:tc>
        <w:tc>
          <w:tcPr>
            <w:tcW w:w="14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Organic</w:t>
            </w:r>
            <w:r>
              <w:rPr>
                <w:rFonts w:ascii="Times New Roman" w:cs="Times New Roman" w:eastAsia="Times New Roman" w:hAnsi="Times New Roman"/>
                <w:sz w:val="23"/>
                <w:szCs w:val="23"/>
                <w:color w:val="auto"/>
                <w:vertAlign w:val="superscript"/>
              </w:rPr>
              <w:t>(1)</w:t>
            </w:r>
          </w:p>
        </w:tc>
        <w:tc>
          <w:tcPr>
            <w:tcW w:w="30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30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0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0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30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30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the reported U.S. GAAP amount is provided in the table above.</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$453 million for the quarter ended June 30, 2022 compared to the quarter ended June 30, 2021 was primarily driven by the organic sales increases at Pratt &amp; Whitney and Collins, partially offset by the organic sales decrease at RMD noted above.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$150 million decrease in cost of sales related to Acquisitions and divestitures, net for the quarter ended June 30, 2022 compared to the quarter ended June 30, 2021, was primarily driven by the sale of our global training and services business within our RIS segment in the fourth quarter of 2021.</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cost of sales of $62 million for the quarter ended June 30, 2022 compared to the quarter ended June 30, 2021, was primarily driven by the impact of foreign exchange.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$506 million for the six months ended June 30, 2022 compared to the six months ended June 30, 2021, was primarily driven by the organic sales increases at Pratt &amp; Whitney and Collins, partially offset by the organic sales decrease at RMD noted above.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$293 million decrease in cost of sales related to Acquisitions and divestitures, net for the six months ended June 30, 2022 compared to the six months ended June 30, 2021, was primarily driven by the sale of our global training and services business within our RIS segment in the fourth quarter of 2021.</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other cost of sales of $75 million for the six months ended June 30, 2022 compared to the six months ended June 30, 2021, was primarily driven by charges recorded during the first quarter of 2022 at Pratt &amp; Whitney and Collins related to impairment of customer financing assets for products under lease, inventory reserves, purchase order obligations, and the impairment of contract fulfillment costs that are no longer recoverable, all due to global sanctions on and export controls with respect to Russia. See “Note 1: Basis of Presentation” within Item 1 of this Form 10-Q for additional information. These charges were partially offset by the impact of foreign exchange.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discussion on FAS/CAS operating adjustment see the “FAS/CAS operating adjustment” subsection under the “Segment Review” section below. For further discussion on Acquisition accounting adjustments, see the “Acquisition accounting adjustments” subsection under the “Segment Review” section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10,040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61.5 %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2,816</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17.3 %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12,856</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78.8 %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cost of sales increased $43 million in the quarter ended June 30, 2022 compared to the quarter ended June 30, 2021 primarily due to increases at Collins and Pratt &amp; Whitney, partially offset by decreases at RMD and RIS and a decrease in Acquisition Accounting Adjustments. The changes at Collins, Pratt &amp; Whitney, RMD and RIS were related to the changes in products sales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cost of sales increased $158 million in the quarter ended June 30, 2022 compared to the quarter ended June 30, 2021 primarily due to increases in external services cost of sales at Pratt &amp; Whitney and Collins, partially offset by a decrease in external services sales at RIS, all driven by the services sales changes noted above.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19,860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62.0 %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5,556</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17.3 %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25,416</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25,192</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79.4 %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cost of sales decreased $111 million in the six months ended June 30, 2022 compared to the six months ended June 30, 2021 primarily due to decreases at RMD and RIS and in Acquisition Accounting Adjustments, partially offset by increases at Collins and Pratt &amp; Whitney. The changes at RMD, RIS, Collins, and Pratt &amp; Whitney were related to the changes in products sales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cost of sales increased $335 million in the six months ended June 30, 2022 compared to the six months ended June 30, 2021 primarily due to increases in external services cost of sales at Pratt &amp; Whitney and Collins, partially offset by a decrease in external services sales at RIS, all driven by the services sales changes noted above.</w:t>
      </w:r>
    </w:p>
    <w:p>
      <w:pPr>
        <w:spacing w:after="0" w:line="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2"/>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Company-funded</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698</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1,333</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0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4.3 %</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Customer-funded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1,089</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2,175</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0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6.7 %</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6.8 %</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Included in cost of sales in our Condensed Consolidated Statement of Operations.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Company-funded research and development as a percentage of net sales for the quarter ended June 30, 2022 was relatively consistent with the quarter ended June 30, 2021, with the increase principally driven by an increase in research and development spending at Pratt &amp; Whitney on various commercial programs.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customer-funded research and development of $68 million for the quarter ended June 30, 2022 compared to the quarter ended June 30, 2021, was primarily driven by lower expenses on various military and commercial programs at Collins, and lower expenses on next generation technologies at RMD, partially offset by an increase in expenses on the Next Generation Interceptor (NGI) program awarded in the second quarter of 2021 at RMD.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Company-funded research and development as a percentage of net sales for the six months ended June 30, 2022 was relatively consistent with the six months ended June 30, 2021 with the increase principally driven by an increase in research and development spending at Pratt &amp; Whitney on various commercial programs.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customer-funded research and development of $114 million for the six months ended June 30, 2022 compared to the six months ended June 30, 2021 was primarily driven by lower expenses on various military programs at Collins, and lower expenses on next generation technologies at RMD, partially offset by an increase in expenses on the NGI program awarded in the second quarter of 2021 at RMD.</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1,424</w:t>
            </w:r>
          </w:p>
        </w:tc>
        <w:tc>
          <w:tcPr>
            <w:tcW w:w="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2,893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for the quarter ended June 30, 2022 was relatively consistent with the quarter ended June 30, 2021. Included in the increase were higher expenses of $0.1 billion at Collins principally driven by higher employee-related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$305 million in the six months ended June 30, 2022 compared to the six months ended June 30, 2021 primarily driven by higher expenses of $0.3 billion at Collins and Pratt &amp; Whitney principally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driven by $71 million of charges related to increased estimates for credit losses due to global sanctions on and export controls with respect to Russia, and higher employee-related costs. See “Note 1: Basis of Presentation” within Item 1 of this Form 10-Q for additional information on Russia sanctions.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in an effort to keep our cost structure competitive. As appropriate, the amounts reflected above include the beneficial impact of previous restructuring actions on Selling, general and administrative expenses.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8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w:t>
            </w:r>
          </w:p>
        </w:tc>
        <w:tc>
          <w:tcPr>
            <w:tcW w:w="12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45</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includes equity earnings in unconsolidated entities, royalty income, foreign exchange gains and losses, and other ongoing and nonrecurring items.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income, net of $65 million for the quarter ended June 30, 2022 compared to the quarter ended June 30, 2021 was primarily due to $69 million of charges associated with the disposition of two non-core businesses at Collins in the second quarter of 2022.</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Other income, net of $145 million for the six months ended June 30, 2022 compared to the six months ended June 30, 2021 was primarily due to $69 million of charges associated with the disposition of two non-core businesses at Collins in the second quarter of 2022, the absence of prior year foreign government wage subsidies related to COVID-19 at Pratt &amp; Whitney of $44 million, and a loss resulting from the exit of our investment in a Russia-based joint venture at Collins in the first quarter of 2022.</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1,353</w:t>
            </w:r>
          </w:p>
        </w:tc>
        <w:tc>
          <w:tcPr>
            <w:tcW w:w="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2,433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margin</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8.3 %</w:t>
            </w: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profit of $71 million for the quarter ended June 30, 2022 compared to the quarter ended June 30, 2021 was primarily driven by a decrease in Corporate expenses and other unallocated items and Acquisition accounting adjustments, partially offset by the operating performance of our segments, all of which are described below in “Segment Review.”</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profit of $138 million for the six months ended June 30, 2022 compared to the six months ended June 30, 2021 was primarily driven by a decrease in Acquisition accounting adjustments and the operating performance of our segments, partially offset by our FAS/CAS operating adjustment, all of which are described below in “Segment Review.”</w:t>
      </w:r>
    </w:p>
    <w:p>
      <w:pPr>
        <w:spacing w:after="0" w:line="6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Non-service Pension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0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1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11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Non-service pension income of $16 million for the quarter ended June 30, 2022 compared to the quarter ended June 30, 2021 included the impact of an increase in the discount rate, partially offset by prior years’ pension asset returns exceeding our expected return on assets (EROA) assumption.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Non-service pension income of $27 million for the six months ended June 30, 2022 compared to the six months ended June 30, 2021 included the impact of an increase in the discount rate, partially offset by prior years’ pension asset returns exceeding our EROA assumption.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320</w:t>
            </w:r>
          </w:p>
        </w:tc>
        <w:tc>
          <w:tcPr>
            <w:tcW w:w="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642</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(13)</w:t>
            </w:r>
          </w:p>
        </w:tc>
        <w:tc>
          <w:tcPr>
            <w:tcW w:w="7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(44)</w:t>
            </w:r>
          </w:p>
        </w:tc>
        <w:tc>
          <w:tcPr>
            <w:tcW w:w="46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non-operating expense (income)</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22</w:t>
            </w:r>
          </w:p>
        </w:tc>
        <w:tc>
          <w:tcPr>
            <w:tcW w:w="7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49</w:t>
            </w: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329</w:t>
            </w:r>
          </w:p>
        </w:tc>
        <w:tc>
          <w:tcPr>
            <w:tcW w:w="7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647</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7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4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line="282" w:lineRule="auto"/>
        <w:tabs>
          <w:tab w:leader="none" w:pos="34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the gains or losses on assets associated with certain of our nonqualified deferred compensation and employee benefit plans, as well as the gains or losses on liabilities associated with certain of our nonqualified deferred compensation plans.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interest expense, net of $13 million and $41 million in the quarter and six months ended June 30, 2022 compared to the quarter and six months ended June 30, 2021, respectively, was primarily due to repayments of higher interest rate long-term debt during 2021, partially offset by debt issuances with lower interest rates during 2021. Interest income in the six months ended June 30, 2022 includes adjustments of certain tax-related interest reserves in the first quarter of 2022.</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2"/>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4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120" w:type="dxa"/>
            <w:vAlign w:val="bottom"/>
            <w:tcBorders>
              <w:bottom w:val="single" w:sz="8" w:color="auto"/>
            </w:tcBorders>
            <w:gridSpan w:val="2"/>
            <w:shd w:val="clear" w:color="auto" w:fill="CCEEFF"/>
          </w:tcPr>
          <w:p>
            <w:pPr>
              <w:jc w:val="right"/>
              <w:ind w:right="3208"/>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0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10.7 %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10.1 %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in the quarter ended June 30, 2022 includes a benefit of approximately 4 percentage points primarily related to an incremental Foreign Derived Intangible Income (FDII) benefit and other effects created by the capitalization of research or experimental expenditures for tax-purposes, which was enacted as part of the Tax Cuts and Jobs Act of 2017 and became effective on January 1, 2022. Tax expense in the quarter ended June 30, 2021 includes tax charges incremental to the U.S. tax rate of $73 million associated with the revaluation of deferred taxes resulting from the increase in the United Kingdom (U.K.) corporate tax rate to 25% enacted in 2021 and effective in 2023.</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 tax rate in the six months ended June 30, 2022 includes a benefit of approximately 5 percentage points primarily related to an incremental FDII benefit and other effects created by the capitalization of research or experimental expenditures for tax-purposes, which was enacted as part of the Tax Cuts and Jobs Act of 2017 and became effective on January 1, 2022. Tax expense in the six months ended June 30, 2021 includes tax charges incremental to the U.S. statutory rate of $148 million associated with the sale of the Forcepoint business, as described in “Note 2: Acquisitions, Dispositions, Goodwill and Intangible Assets” within Item 1 of this Form 10-Q, and $73 million associated with the enactment of the U.K. corporate tax rate change discussed above. Subsequently, in the fourth quarter of 2021, we recognized an incremental $104 million tax benefit due to the revaluation of the Forcepoint tax benefit as a result of completing the divestiture of RIS’s global training and services business.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from Continuing Operations Attributable to Common Shareowners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78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from continuing operations attributable to</w:t>
            </w:r>
          </w:p>
        </w:tc>
        <w:tc>
          <w:tcPr>
            <w:tcW w:w="1040" w:type="dxa"/>
            <w:vAlign w:val="bottom"/>
            <w:vMerge w:val="restart"/>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1,304</w:t>
            </w:r>
          </w:p>
        </w:tc>
        <w:tc>
          <w:tcPr>
            <w:tcW w:w="1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2,407</w:t>
            </w: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shareowners</w:t>
            </w:r>
          </w:p>
        </w:tc>
        <w:tc>
          <w:tcPr>
            <w:tcW w:w="104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0.88</w:t>
            </w:r>
          </w:p>
        </w:tc>
        <w:tc>
          <w:tcPr>
            <w:tcW w:w="11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1.61</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quarter ended June 30, 2022 includes the following:</w:t>
      </w:r>
    </w:p>
    <w:p>
      <w:pPr>
        <w:spacing w:after="0" w:line="27" w:lineRule="exact"/>
        <w:rPr>
          <w:sz w:val="20"/>
          <w:szCs w:val="20"/>
          <w:color w:val="auto"/>
        </w:rPr>
      </w:pP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$349 million, net of tax, which had an unfavorable impact on diluted earnings per share (EPS) from continuing operations of $0.23; and</w:t>
      </w:r>
    </w:p>
    <w:p>
      <w:pPr>
        <w:ind w:left="660" w:right="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$58 million related to the capitalization of research or experimental expenditures for tax purposes, which had a net favorable impact on diluted EPS from continuing operations of $0.04.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quarter ended June 30, 2021 includes the following:</w:t>
      </w:r>
    </w:p>
    <w:p>
      <w:pPr>
        <w:spacing w:after="0" w:line="27" w:lineRule="exact"/>
        <w:rPr>
          <w:sz w:val="20"/>
          <w:szCs w:val="20"/>
          <w:color w:val="auto"/>
        </w:rPr>
      </w:pP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$403 million, net of tax, which had an unfavorable impact on diluted EPS from continuing operations of $0.26.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six months ended June 30, 2022 includes the following:</w:t>
      </w:r>
    </w:p>
    <w:p>
      <w:pPr>
        <w:spacing w:after="0" w:line="27" w:lineRule="exact"/>
        <w:rPr>
          <w:sz w:val="20"/>
          <w:szCs w:val="20"/>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$727 million, net of tax, which had an unfavorable impact on diluted EPS from continuing operations of $0.49;</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and reserve adjustments related to the global sanctions on and export controls with respect to Russia of $210 million, net of tax, which had an unfavorable impact on diluted EPS from continuing operations of $0.14; and</w:t>
      </w:r>
    </w:p>
    <w:p>
      <w:pPr>
        <w:ind w:left="660" w:right="2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$94 million related to the capitalization of research or experimental expenditures for tax purposes, which had a net favorable impact on diluted EPS from continuing operations of $0.06.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six months ended June 30, 2021 includes the following:</w:t>
      </w:r>
    </w:p>
    <w:p>
      <w:pPr>
        <w:spacing w:after="0" w:line="27" w:lineRule="exact"/>
        <w:rPr>
          <w:sz w:val="20"/>
          <w:szCs w:val="20"/>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$802 million, net of tax, which had an unfavorable impact on diluted EPS from continuing operations of $0.53; and</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expense of $148 million related to the sale of our Forcepoint business, which had an unfavorable impact on diluted EPS from continuing operations of $0.10.</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Attributable to Common Shareowners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78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1,304</w:t>
            </w:r>
          </w:p>
        </w:tc>
        <w:tc>
          <w:tcPr>
            <w:tcW w:w="11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2,388</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operations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0.88</w:t>
            </w:r>
          </w:p>
        </w:tc>
        <w:tc>
          <w:tcPr>
            <w:tcW w:w="11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1.60</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income attributable to common shareowners and diluted earnings per share from operations for the quarter ended June 30, 2022 compared to the quarter ended June 30, 2021 and for the six months ended June 30, 2022 compared to the six months ended June 30, 2021 was primarily driven by the increases in continuing operations, as discussed above in Net Income from Continuing Operations Attributable to Common Shareowners.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four principal segments: Collins, Pratt &amp; Whitney, RIS and RMD.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Segment results exclude certain acquisition accounting adjustments, the FAS/CAS operating adjustment and certain corporate expenses, as further discussed below.</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Total Net Sales. </w:t>
      </w:r>
      <w:r>
        <w:rPr>
          <w:rFonts w:ascii="Times New Roman" w:cs="Times New Roman" w:eastAsia="Times New Roman" w:hAnsi="Times New Roman"/>
          <w:sz w:val="18"/>
          <w:szCs w:val="18"/>
          <w:color w:val="auto"/>
        </w:rPr>
        <w:t>Total net sales by segment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80" w:type="dxa"/>
            <w:vAlign w:val="bottom"/>
          </w:tcPr>
          <w:p>
            <w:pPr>
              <w:spacing w:after="0"/>
              <w:rPr>
                <w:sz w:val="16"/>
                <w:szCs w:val="16"/>
                <w:color w:val="auto"/>
              </w:rPr>
            </w:pPr>
          </w:p>
        </w:tc>
        <w:tc>
          <w:tcPr>
            <w:tcW w:w="296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5,011</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9,835</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4,969</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9,498</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3,570</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7,142</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3,558</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7,085</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17,108</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33,560</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32,573</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16,314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32,030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w:t>
            </w:r>
          </w:p>
        </w:tc>
        <w:tc>
          <w:tcPr>
            <w:tcW w:w="0" w:type="dxa"/>
            <w:vAlign w:val="bottom"/>
          </w:tcPr>
          <w:p>
            <w:pPr>
              <w:spacing w:after="0"/>
              <w:rPr>
                <w:sz w:val="1"/>
                <w:szCs w:val="1"/>
                <w:color w:val="auto"/>
              </w:rPr>
            </w:pPr>
          </w:p>
        </w:tc>
      </w:tr>
      <w:tr>
        <w:trPr>
          <w:trHeight w:val="41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by segment was as follows:</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80" w:type="dxa"/>
            <w:vAlign w:val="bottom"/>
          </w:tcPr>
          <w:p>
            <w:pPr>
              <w:spacing w:after="0"/>
              <w:rPr>
                <w:sz w:val="17"/>
                <w:szCs w:val="17"/>
                <w:color w:val="auto"/>
              </w:rPr>
            </w:pPr>
          </w:p>
        </w:tc>
        <w:tc>
          <w:tcPr>
            <w:tcW w:w="296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546</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986</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302</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453</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315</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693</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348</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735</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1,511</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2,867</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379</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757</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1,353</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2,433</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segment operating profit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4: Changes in Contract Estimates at Completion” within Item 1 of this Form 10-Q. Given that we have thousands of individual contracts and given the types and complexity of the assumptions and estimates we must make on an on-going basis and the nature of the work required to perform under our contracts, we have both favorable and unfavorable EAC adjustments in the ordinary course.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aggregate EAC adjustments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80" w:type="dxa"/>
            <w:vAlign w:val="bottom"/>
          </w:tcPr>
          <w:p>
            <w:pPr>
              <w:spacing w:after="0"/>
              <w:rPr>
                <w:sz w:val="16"/>
                <w:szCs w:val="16"/>
                <w:color w:val="auto"/>
              </w:rPr>
            </w:pPr>
          </w:p>
        </w:tc>
        <w:tc>
          <w:tcPr>
            <w:tcW w:w="296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289</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663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unfavorable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EAC adjustments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change in net EAC adjustments of $68 million in the quarter ended June 30, 2022 compared to the quarter ended June 30, 2021 was primarily due to unfavorable changes in net EAC adjustments of $80 million at RMD and $61 million at RIS, including the impact of acquisitions and dispositions, both spread across numerous individual programs with no individual or common significant driver. These unfavorable changes were partially offset by a favorable change in net EAC adjustments of $46 million at Collins, spread across numerous individual programs with no individual or common significant driver, and a favorable change in net EAC adjustments of $27 million at Pratt &amp; Whitney primarily due to a $50 million favorable contract adjustment resulting from a contract modification on a commercial aftermarket program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change in net EAC adjustments of $44 million in the six months ended June 30, 2022 compared to the six months ended June 30, 2021 was primarily due to unfavorable changes in net EAC adjustments of $122 million at RMD and $56 million at RIS, including the impact of acquisitions and dispositions, both spread across numerous individual programs with no individual or common significant driver. These unfavorable changes were partially offset by a favorable change in net EAC adjustments of $104 million at Collins, spread across numerous individual programs with no individual or common significant driver, and a favorable change in net EAC adjustments of $30 million at Pratt &amp; Whitney primarily due to a $50 million favorable contract adjustment resulting from a contract modification on a commercial aftermarket program in the second quarter of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EAC adjustments, when they occur, are discussed in each business segment’s discussion below.</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Backlog and Defense Bookings. </w:t>
      </w:r>
      <w:r>
        <w:rPr>
          <w:rFonts w:ascii="Times New Roman" w:cs="Times New Roman" w:eastAsia="Times New Roman" w:hAnsi="Times New Roman"/>
          <w:sz w:val="18"/>
          <w:szCs w:val="18"/>
          <w:color w:val="auto"/>
        </w:rPr>
        <w:t>Total backlog was approximately $161 billion and $156 billion as of June 30, 2022 and December 31, 2021,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includes defense backlog of $65 billion and $63 billion as of June 30, 2022 and December 31, 2021, respectively. In the quarter ended March 31, 2022, we reversed $1.3 billion of backlog at our Pratt &amp; Whitney and Collins businesses, as discussed further in “Note 1: Basis of Presentation” within Item 1 of this Form 10-Q. Our defense operations consist primarily of our RIS and RMD businesses and operations in the defense businesses within our Collins and Pratt &amp; Whitney segments. Defense bookings were approximately $13 billion and $12 billion for the quarters ended June 30, 2022 and 2021, respectively, and approximately $22 billion and $20 billion for the six months ended June 30, 2022 and 2021, respectively.</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Defense 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governmental approvals and notifications. In addition, due to these factors, quarterly bookings tend to fluctuate from period to period, particularly on a segment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 Systems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20" w:type="dxa"/>
            <w:vAlign w:val="bottom"/>
            <w:vMerge w:val="continue"/>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8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5,011</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4,545</w:t>
            </w:r>
          </w:p>
        </w:tc>
        <w:tc>
          <w:tcPr>
            <w:tcW w:w="26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9,835</w:t>
            </w:r>
          </w:p>
        </w:tc>
        <w:tc>
          <w:tcPr>
            <w:tcW w:w="48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8,915</w:t>
            </w:r>
          </w:p>
        </w:tc>
        <w:tc>
          <w:tcPr>
            <w:tcW w:w="1140" w:type="dxa"/>
            <w:vAlign w:val="bottom"/>
            <w:tcBorders>
              <w:top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546</w:t>
            </w:r>
          </w:p>
        </w:tc>
        <w:tc>
          <w:tcPr>
            <w:tcW w:w="280" w:type="dxa"/>
            <w:vAlign w:val="bottom"/>
          </w:tcPr>
          <w:p>
            <w:pPr>
              <w:spacing w:after="0"/>
              <w:rPr>
                <w:sz w:val="19"/>
                <w:szCs w:val="19"/>
                <w:color w:val="auto"/>
              </w:rPr>
            </w:pPr>
          </w:p>
        </w:tc>
        <w:tc>
          <w:tcPr>
            <w:tcW w:w="132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tcPr>
          <w:p>
            <w:pPr>
              <w:spacing w:after="0"/>
              <w:rPr>
                <w:sz w:val="19"/>
                <w:szCs w:val="19"/>
                <w:color w:val="auto"/>
              </w:rPr>
            </w:pPr>
          </w:p>
        </w:tc>
        <w:tc>
          <w:tcPr>
            <w:tcW w:w="12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8 %</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986</w:t>
            </w:r>
          </w:p>
        </w:tc>
        <w:tc>
          <w:tcPr>
            <w:tcW w:w="480" w:type="dxa"/>
            <w:vAlign w:val="bottom"/>
          </w:tcPr>
          <w:p>
            <w:pPr>
              <w:spacing w:after="0"/>
              <w:rPr>
                <w:sz w:val="19"/>
                <w:szCs w:val="19"/>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820</w:t>
            </w:r>
          </w:p>
        </w:tc>
        <w:tc>
          <w:tcPr>
            <w:tcW w:w="114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6"/>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2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10.9 %</w:t>
            </w: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11.1 %</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4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420" w:type="dxa"/>
            <w:vAlign w:val="bottom"/>
          </w:tcPr>
          <w:p>
            <w:pPr>
              <w:spacing w:after="0"/>
              <w:rPr>
                <w:sz w:val="24"/>
                <w:szCs w:val="24"/>
                <w:color w:val="auto"/>
              </w:rPr>
            </w:pPr>
          </w:p>
        </w:tc>
        <w:tc>
          <w:tcPr>
            <w:tcW w:w="6380" w:type="dxa"/>
            <w:vAlign w:val="bottom"/>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2022 Compared with Quarter Ended June 30, 2021</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320" w:type="dxa"/>
            <w:vAlign w:val="bottom"/>
          </w:tcPr>
          <w:p>
            <w:pPr>
              <w:jc w:val="right"/>
              <w:ind w:right="257"/>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220" w:type="dxa"/>
            <w:vAlign w:val="bottom"/>
          </w:tcPr>
          <w:p>
            <w:pPr>
              <w:jc w:val="right"/>
              <w:ind w:right="196"/>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20" w:type="dxa"/>
            <w:vAlign w:val="bottom"/>
          </w:tcPr>
          <w:p>
            <w:pPr>
              <w:spacing w:after="0"/>
              <w:rPr>
                <w:sz w:val="11"/>
                <w:szCs w:val="11"/>
                <w:color w:val="auto"/>
              </w:rPr>
            </w:pPr>
          </w:p>
        </w:tc>
        <w:tc>
          <w:tcPr>
            <w:tcW w:w="4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4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466</w:t>
            </w:r>
          </w:p>
        </w:tc>
        <w:tc>
          <w:tcPr>
            <w:tcW w:w="0" w:type="dxa"/>
            <w:vAlign w:val="bottom"/>
          </w:tcPr>
          <w:p>
            <w:pPr>
              <w:spacing w:after="0"/>
              <w:rPr>
                <w:sz w:val="1"/>
                <w:szCs w:val="1"/>
                <w:color w:val="auto"/>
              </w:rPr>
            </w:pPr>
          </w:p>
        </w:tc>
      </w:tr>
      <w:tr>
        <w:trPr>
          <w:trHeight w:val="236"/>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sales increase of $0.5 billion in the quarter ended June 30, 2022 compared to the quarter ended June 30, 2021 primarily relates to higher commercial aerospace aftermarket sales of $0.4 billion, including increases across all aftermarket sales channels, and higher commercial aerospace OEM sales of $0.2 billion, both principally driven by the recovery of commercial air traffic which has resulted in an increase in flight hours, aircraft fleet utilization and narrow-body commercial OEM volume growth. This was partially offset by lower military sales of $0.1 billion in the quarter ended June 30, 2022 compared to the quarter ended June 30, 2021 primarily due to lower material receipts and expected declines in F-35 volume.</w:t>
      </w:r>
    </w:p>
    <w:p>
      <w:pPr>
        <w:spacing w:after="0" w:line="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organic profit increase of $0.1 billion in the quarter ended June 30, 2022 compared to the quarter ended June 30, 2021 was primarily due to higher commercial aerospace operating profit of $0.2 billion principally driven by the higher commercial aerospace aftermarket sales discussed above, slightly offset by the absence of a $33 million favorable impact from a contract related matter in the quarter ended June 30, 2021. This increase in commercial aerospace operating profit was partially offset by higher selling, general and administrative expenses of $0.1 billion primarily due to higher employee-related costs, and slightly lower military operating profit principally driven by the lower military sales volume discussed above.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operating profits of $59 million in the quarter ended June 30, 2022 compared to the quarter ended June 30, 2021 was primarily due to $69 million of charges associated with the disposition of two non-core businesses.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with Six Months Ended June 30,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2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560" w:type="dxa"/>
            <w:vAlign w:val="bottom"/>
          </w:tcPr>
          <w:p>
            <w:pPr>
              <w:jc w:val="center"/>
              <w:ind w:right="3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60" w:type="dxa"/>
            <w:vAlign w:val="bottom"/>
          </w:tcPr>
          <w:p>
            <w:pPr>
              <w:jc w:val="center"/>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66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989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(7)</w:t>
            </w:r>
          </w:p>
        </w:tc>
        <w:tc>
          <w:tcPr>
            <w:tcW w:w="16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sales increase of $1.0 billion in the six months ended June 30, 2022 compared to the six months ended June 30, 2021 primarily relates to higher commercial aerospace aftermarket sales of $0.9 billion, including increases across all aftermarket sales channels, and higher commercial aerospace OEM sales of $0.4 billion, both principally driven by the recovery of commercial air traffic which has resulted in an increase in flight hours, aircraft fleet utilization and narrow-body commercial OEM volume growth. This was partially offset by lower military sales of $0.3 billion in the six months ended June 30, 2022 compared to the six months ended June 30, 2021, primarily due to expected declines in F-35 volume and lower material receipts.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profit increase of $0.3 billion in the six months ended June 30, 2022 compared to the six months ended June 30, 2021 is primarily due to higher commercial aerospace operating profit of $0.6 billion principally driven by the higher commercial aerospace aftermarket sales discussed above, partially offset by the absence of a $33 million favorable impact from a contract related matter in the quarter ended June 30, 2021. This increase in commercial aerospace operating profit was partially offset by lower military operating profit of $0.1 billion principally driven by the lower military sales volume discussed above, and higher selling, general and administrative expenses of $0.1 billion primarily due to higher employee-related costs.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Other operating profits of $192 million in the six months ended June 30, 2022 compared to the six months ended June 30, 2021 was primarily due to $141 million of pretax charges related to increased estimates for credit losses, inventory reserves, recognition of purchase order obligations and a loss resulting from the exit of our investment in a Russia-based joint venture, all due to global sanctions on and export controls with respect to Russia in the first quarter of 2022. In addition, we recognized $69 million of charges associated with the disposition of two non-core businesses in the second quarter of 2022. See “Note 1: Basis of Presentation” within Item 1 of this Form 10-Q for additional information on Russia sanctions.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Pratt &amp; Whitney</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20" w:type="dxa"/>
            <w:vAlign w:val="bottom"/>
            <w:vMerge w:val="continue"/>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8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4,969</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4,280</w:t>
            </w:r>
          </w:p>
        </w:tc>
        <w:tc>
          <w:tcPr>
            <w:tcW w:w="128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 xml:space="preserve">16 %  </w:t>
            </w: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9,498</w:t>
            </w:r>
          </w:p>
        </w:tc>
        <w:tc>
          <w:tcPr>
            <w:tcW w:w="5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8,310</w:t>
            </w:r>
          </w:p>
        </w:tc>
        <w:tc>
          <w:tcPr>
            <w:tcW w:w="1140" w:type="dxa"/>
            <w:vAlign w:val="bottom"/>
            <w:tcBorders>
              <w:top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302</w:t>
            </w:r>
          </w:p>
        </w:tc>
        <w:tc>
          <w:tcPr>
            <w:tcW w:w="280" w:type="dxa"/>
            <w:vAlign w:val="bottom"/>
          </w:tcPr>
          <w:p>
            <w:pPr>
              <w:spacing w:after="0"/>
              <w:rPr>
                <w:sz w:val="19"/>
                <w:szCs w:val="19"/>
                <w:color w:val="auto"/>
              </w:rPr>
            </w:pPr>
          </w:p>
        </w:tc>
        <w:tc>
          <w:tcPr>
            <w:tcW w:w="154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112</w:t>
            </w:r>
          </w:p>
        </w:tc>
        <w:tc>
          <w:tcPr>
            <w:tcW w:w="12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170 %</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453</w:t>
            </w:r>
          </w:p>
        </w:tc>
        <w:tc>
          <w:tcPr>
            <w:tcW w:w="500" w:type="dxa"/>
            <w:vAlign w:val="bottom"/>
          </w:tcPr>
          <w:p>
            <w:pPr>
              <w:spacing w:after="0"/>
              <w:rPr>
                <w:sz w:val="19"/>
                <w:szCs w:val="19"/>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36"/>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2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6.1 %</w:t>
            </w: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2.6 %</w:t>
            </w:r>
          </w:p>
        </w:tc>
        <w:tc>
          <w:tcPr>
            <w:tcW w:w="12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4.8 %</w:t>
            </w: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420" w:type="dxa"/>
            <w:vAlign w:val="bottom"/>
          </w:tcPr>
          <w:p>
            <w:pPr>
              <w:spacing w:after="0"/>
              <w:rPr>
                <w:sz w:val="24"/>
                <w:szCs w:val="24"/>
                <w:color w:val="auto"/>
              </w:rPr>
            </w:pPr>
          </w:p>
        </w:tc>
        <w:tc>
          <w:tcPr>
            <w:tcW w:w="6380" w:type="dxa"/>
            <w:vAlign w:val="bottom"/>
            <w:gridSpan w:val="7"/>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2022 Compared with Quarter Ended June 30, 2021</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540" w:type="dxa"/>
            <w:vAlign w:val="bottom"/>
          </w:tcPr>
          <w:p>
            <w:pPr>
              <w:jc w:val="center"/>
              <w:ind w:right="357"/>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80" w:type="dxa"/>
            <w:vAlign w:val="bottom"/>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580" w:type="dxa"/>
            <w:vAlign w:val="bottom"/>
          </w:tcPr>
          <w:p>
            <w:pPr>
              <w:spacing w:after="0"/>
              <w:rPr>
                <w:sz w:val="11"/>
                <w:szCs w:val="11"/>
                <w:color w:val="auto"/>
              </w:rPr>
            </w:pPr>
          </w:p>
        </w:tc>
        <w:tc>
          <w:tcPr>
            <w:tcW w:w="5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24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5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689</w:t>
            </w:r>
          </w:p>
        </w:tc>
        <w:tc>
          <w:tcPr>
            <w:tcW w:w="0" w:type="dxa"/>
            <w:vAlign w:val="bottom"/>
          </w:tcPr>
          <w:p>
            <w:pPr>
              <w:spacing w:after="0"/>
              <w:rPr>
                <w:sz w:val="1"/>
                <w:szCs w:val="1"/>
                <w:color w:val="auto"/>
              </w:rPr>
            </w:pPr>
          </w:p>
        </w:tc>
      </w:tr>
      <w:tr>
        <w:trPr>
          <w:trHeight w:val="236"/>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190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sales increase of $0.7 billion in the quarter ended June 30, 2022 compared to the quarter ended June 30, 2021 reflects higher commercial aftermarket sales of $0.4 billion primarily due to an increase in shop visits and related spare part sales as the commercial aerospace environment continues to recover. The increase also includes higher commercial OEM sales of $0.2 billion primarily driven by favorable mix and higher volume on large commercial engine shipments, and higher military sales of $0.1 billion primarily due to the timing of an F135 production contract award, resulting in the recognition of previously inventoried costs, and higher F135 sustainment volume.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profit increase of $0.2 billion in the quarter ended June 30, 2022 compared to the quarter ended June 30, 2021 was primarily driven by higher commercial aerospace operating profit of $0.3 billion principally due to the aftermarket sales volume increase discussed above and favorable OEM mix. The increase also includes higher military operating profit primarily driven by the military sales volume increase discussed above. This increase was partially offset by an increase in selling, general and administrative expenses and research and development costs of $0.1 billion combined, which includes higher employee-related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In the quarter ended June 30, 2022, our organic profit included a $50 million favorable contract adjustment resulting from a contract modification on a commercial aftermarket program, which impacted our commercial aerospace operating profit.</w:t>
      </w:r>
    </w:p>
    <w:p>
      <w:pPr>
        <w:spacing w:after="0" w:line="5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with Six Months Ended June 30,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16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260" w:type="dxa"/>
            <w:vAlign w:val="bottom"/>
          </w:tcPr>
          <w:p>
            <w:pPr>
              <w:jc w:val="center"/>
              <w:ind w:right="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300" w:type="dxa"/>
            <w:vAlign w:val="bottom"/>
          </w:tcPr>
          <w:p>
            <w:pPr>
              <w:spacing w:after="0"/>
              <w:rPr>
                <w:sz w:val="11"/>
                <w:szCs w:val="11"/>
                <w:color w:val="auto"/>
              </w:rPr>
            </w:pPr>
          </w:p>
        </w:tc>
        <w:tc>
          <w:tcPr>
            <w:tcW w:w="1240" w:type="dxa"/>
            <w:vAlign w:val="bottom"/>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420" w:type="dxa"/>
            <w:vAlign w:val="bottom"/>
          </w:tcPr>
          <w:p>
            <w:pPr>
              <w:spacing w:after="0"/>
              <w:rPr>
                <w:sz w:val="11"/>
                <w:szCs w:val="11"/>
                <w:color w:val="auto"/>
              </w:rPr>
            </w:pP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1,227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487</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sales increase of $1.2 billion in the six months ended June 30, 2022 compared to the six months ended June 30, 2021 reflects higher commercial aftermarket sales of $1.0 billion primarily due to an increase in shop visits and related spare part sales as the commercial aerospace environment continues to recover. The increase also includes higher commercial OEM sales of $0.3 billion primarily driven by favorable mix on large commercial engine shipments. These increases were partially offset by lower military sales of $0.1 billion primarily due to lower sales on F135 production volume, partially offset by higher F135 sustainment volume.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organic profit increase of $0.5 billion in the six months ended June 30, 2022 compared to the six months ended June 30, 2021 was primarily driven by higher commercial aerospace operating profit of $0.7 billion principally due to the aftermarket sales volume increase discussed above and favorable OEM mix. This increase was partially offset by an increase in selling, general and administrative expenses and research and development costs of $0.1 billion combined, which includes higher employee-related costs. This increase was also offset by slightly lower military operating profit. In the quarter ended June 30, 2022, our organic profit included a $50 million favorable contract adjustment resulting from a contract modification on a commercial aftermarket program, which impacted our commercial aerospace operating profit. In the six months ended June 30, 2021, our organic profit included other income of $44 million related to foreign government wage subsidies due to COVID-19.</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Other operating profit of $167 million in the six months ended June 30, 2022 compared to the six months ended June 30, 2021 was primarily due to $155 million of pretax charges related to impairment of customer financing assets for products under lease, increased estimates for credit losses, inventory reserves and recognition of purchase order obligations, all due to global sanctions on and export controls with respect to Russia in the first quarter of 2022. See “Note 1: Basis of Presentation” within Item 1 of this Form 10-Q for additional information.</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the quarter ended June 30, 2022, Pratt &amp; Whitney booked $4.0 billion for F135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Lots 15 and 16 and $408 million for F135 sustainment. In addition to these bookings, in the six months ended June 30, 2022 Pratt &amp; Whitney booked $251 million for tanker production Lots 7 and 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 Intelligence &amp; Space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3,570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3,805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7,142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7,570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315</w:t>
            </w:r>
          </w:p>
        </w:tc>
        <w:tc>
          <w:tcPr>
            <w:tcW w:w="200" w:type="dxa"/>
            <w:vAlign w:val="bottom"/>
          </w:tcPr>
          <w:p>
            <w:pPr>
              <w:spacing w:after="0"/>
              <w:rPr>
                <w:sz w:val="19"/>
                <w:szCs w:val="19"/>
                <w:color w:val="auto"/>
              </w:rPr>
            </w:pPr>
          </w:p>
        </w:tc>
        <w:tc>
          <w:tcPr>
            <w:tcW w:w="11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693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803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8.8 %</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10.9 %</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9.7 %</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10.6 %</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1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2,980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3,952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5,572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395"/>
              <w:spacing w:after="0"/>
              <w:rPr>
                <w:sz w:val="20"/>
                <w:szCs w:val="20"/>
                <w:color w:val="auto"/>
              </w:rPr>
            </w:pPr>
            <w:r>
              <w:rPr>
                <w:rFonts w:ascii="Times New Roman" w:cs="Times New Roman" w:eastAsia="Times New Roman" w:hAnsi="Times New Roman"/>
                <w:sz w:val="18"/>
                <w:szCs w:val="18"/>
                <w:color w:val="auto"/>
              </w:rPr>
              <w:t>7,678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9"/>
        </w:trPr>
        <w:tc>
          <w:tcPr>
            <w:tcW w:w="2420" w:type="dxa"/>
            <w:vAlign w:val="bottom"/>
          </w:tcPr>
          <w:p>
            <w:pPr>
              <w:spacing w:after="0"/>
              <w:rPr>
                <w:sz w:val="24"/>
                <w:szCs w:val="24"/>
                <w:color w:val="auto"/>
              </w:rPr>
            </w:pPr>
          </w:p>
        </w:tc>
        <w:tc>
          <w:tcPr>
            <w:tcW w:w="6480" w:type="dxa"/>
            <w:vAlign w:val="bottom"/>
            <w:gridSpan w:val="11"/>
          </w:tcPr>
          <w:p>
            <w:pPr>
              <w:jc w:val="right"/>
              <w:ind w:right="177"/>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2022 Compared with Quarter Ended June 30, 2021</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6"/>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 in Net Sales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3"/>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400" w:type="dxa"/>
            <w:vAlign w:val="bottom"/>
          </w:tcPr>
          <w:p>
            <w:pPr>
              <w:spacing w:after="0"/>
              <w:rPr>
                <w:sz w:val="11"/>
                <w:szCs w:val="11"/>
                <w:color w:val="auto"/>
              </w:rPr>
            </w:pPr>
          </w:p>
        </w:tc>
        <w:tc>
          <w:tcPr>
            <w:tcW w:w="11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242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10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Factors Contributing to Change in Operating Profit</w:t>
            </w: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Pr>
          <w:p>
            <w:pPr>
              <w:jc w:val="center"/>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Net change in EAC</w:t>
            </w:r>
          </w:p>
        </w:tc>
        <w:tc>
          <w:tcPr>
            <w:tcW w:w="320" w:type="dxa"/>
            <w:vAlign w:val="bottom"/>
          </w:tcPr>
          <w:p>
            <w:pPr>
              <w:spacing w:after="0"/>
              <w:rPr>
                <w:sz w:val="11"/>
                <w:szCs w:val="11"/>
                <w:color w:val="auto"/>
              </w:rPr>
            </w:pPr>
          </w:p>
        </w:tc>
        <w:tc>
          <w:tcPr>
            <w:tcW w:w="1620" w:type="dxa"/>
            <w:vAlign w:val="bottom"/>
          </w:tcPr>
          <w:p>
            <w:pPr>
              <w:jc w:val="center"/>
              <w:ind w:right="222"/>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00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6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Organic sales in the quarter ended June 30, 2022 were relatively consistent with the quarter ended June 30, 2021. Included in the organic change in sales were lower Command, Control and Communications sales of $0.1 billion primarily driven by an anticipated decrease in production volumes on certain tactical communications systems programs, and lower Sensing and Effects sales driven by a decrease in surveillance and targeting systems due to lower production volume, partially offset by an increase in Cyber, Training and Services sales on certain classified cyber programs.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operating profit of $100 million, and the related decrease in operating profit margins, in the quarter ended June 30, 2022 compared to the quarter ended June 30, 2021, were primarily due to the net unfavorable change in EAC adjustments of $54 million, which was spread across numerous programs and includes unfavorable adjustments on certain development programs, as well as acquisitions / divestitures, net. Included in mix and other performance is an $18 million gain on a real estate transaction in the quarter ended June 30, 2021.</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primarily relates to the sale of the global training and services business in the fourth quarter of 2021.</w:t>
      </w:r>
    </w:p>
    <w:p>
      <w:pPr>
        <w:spacing w:after="0" w:line="5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with Six Months Ended June 30,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700" w:type="dxa"/>
            <w:vAlign w:val="bottom"/>
            <w:gridSpan w:val="5"/>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 in Net Sales</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jc w:val="center"/>
              <w:ind w:right="182"/>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432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tcBorders>
              <w:bottom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(354)</w:t>
            </w:r>
          </w:p>
        </w:tc>
        <w:tc>
          <w:tcPr>
            <w:tcW w:w="122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Factors Contributing to Change in Operating Profit</w:t>
            </w: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Pr>
          <w:p>
            <w:pPr>
              <w:jc w:val="center"/>
              <w:ind w:right="164"/>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EAC</w:t>
            </w:r>
          </w:p>
        </w:tc>
        <w:tc>
          <w:tcPr>
            <w:tcW w:w="320" w:type="dxa"/>
            <w:vAlign w:val="bottom"/>
          </w:tcPr>
          <w:p>
            <w:pPr>
              <w:spacing w:after="0"/>
              <w:rPr>
                <w:sz w:val="11"/>
                <w:szCs w:val="11"/>
                <w:color w:val="auto"/>
              </w:rPr>
            </w:pPr>
          </w:p>
        </w:tc>
        <w:tc>
          <w:tcPr>
            <w:tcW w:w="162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0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Organic sales in the six months ended June 30, 2022 were relatively consistent with the six months ended June 30, 2021. Included in the organic change in sales were lower Command, Control and Communications sales of $0.1 billion, lower Sensing and Effects sales of $0.1 billion, and higher Cyber, Training and Services sales of $0.1 billion on certain classified cyber programs. The lower Command, Control and Communications sales were primarily driven by an anticipated decrease in production volumes on certain tactical communications systems programs. The lower Sensing and Effects sales includes an increase in certain classified programs and a decrease in surveillance and targeting systems due to lower production volume, with the remaining change spread across numerous programs.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operating profit of $110 million, and the related decrease in operating profit margins, in the six months ended June 30, 2022 compared to the six months ended June 30, 2021, were primarily due to acquisition / divestitures, net described below, and the net unfavorable change in EAC adjustments of $38 million, which was spread across numerous programs and includes unfavorable adjustments on certain development programs. Included in mix and other performance is an $18 million gain on a real estate transaction in the quarter ended June 30, 2021.</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primarily relates to the sale of the global training and services business in the fourth quarter of 2021.</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Backlog and Bookings</w:t>
      </w:r>
      <w:r>
        <w:rPr>
          <w:rFonts w:ascii="Times New Roman" w:cs="Times New Roman" w:eastAsia="Times New Roman" w:hAnsi="Times New Roman"/>
          <w:sz w:val="18"/>
          <w:szCs w:val="18"/>
          <w:color w:val="auto"/>
        </w:rPr>
        <w:t>– Backlog was $16 billion at June 30, 2022 and $18 billion at December 31, 2021. In addition to a number of smaller bookings,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ended June 30, 2022, RIS booked $1.2 billion on a number of classified contracts and $253 million on the Development, Operations and Maintenance (DOMino) cyber program for the Department of Homeland Security (DHS). In addition to these bookings, in the six months ended June 30, 2022, RIS booked $1.1 billion on a number of classified contracts and $311 million on the Next-Generation Overhead Persistent Infrared (Next-Gen OPIR) GEO missile warning and defense contract for the U.S. Space Force.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 Missiles &amp; Defense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3,558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3,985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7,085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7,778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348</w:t>
            </w:r>
          </w:p>
        </w:tc>
        <w:tc>
          <w:tcPr>
            <w:tcW w:w="200" w:type="dxa"/>
            <w:vAlign w:val="bottom"/>
          </w:tcPr>
          <w:p>
            <w:pPr>
              <w:spacing w:after="0"/>
              <w:rPr>
                <w:sz w:val="19"/>
                <w:szCs w:val="19"/>
                <w:color w:val="auto"/>
              </w:rPr>
            </w:pPr>
          </w:p>
        </w:tc>
        <w:tc>
          <w:tcPr>
            <w:tcW w:w="11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532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735</w:t>
            </w:r>
          </w:p>
        </w:tc>
        <w:tc>
          <w:tcPr>
            <w:tcW w:w="200" w:type="dxa"/>
            <w:vAlign w:val="bottom"/>
          </w:tcPr>
          <w:p>
            <w:pPr>
              <w:spacing w:after="0"/>
              <w:rPr>
                <w:sz w:val="19"/>
                <w:szCs w:val="19"/>
                <w:color w:val="auto"/>
              </w:rPr>
            </w:pPr>
          </w:p>
        </w:tc>
        <w:tc>
          <w:tcPr>
            <w:tcW w:w="124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1,028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9.8 %</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13.4 %</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10.4 %</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13.2 %</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1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4,537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6,054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8,637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8,586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418"/>
        </w:trPr>
        <w:tc>
          <w:tcPr>
            <w:tcW w:w="2420" w:type="dxa"/>
            <w:vAlign w:val="bottom"/>
          </w:tcPr>
          <w:p>
            <w:pPr>
              <w:spacing w:after="0"/>
              <w:rPr>
                <w:sz w:val="24"/>
                <w:szCs w:val="24"/>
                <w:color w:val="auto"/>
              </w:rPr>
            </w:pPr>
          </w:p>
        </w:tc>
        <w:tc>
          <w:tcPr>
            <w:tcW w:w="6480" w:type="dxa"/>
            <w:vAlign w:val="bottom"/>
            <w:gridSpan w:val="11"/>
          </w:tcPr>
          <w:p>
            <w:pPr>
              <w:jc w:val="right"/>
              <w:ind w:right="177"/>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2022 Compared with Quarter Ended June 30, 2021</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6"/>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 in Net Sales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3"/>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40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42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Factors Contributing to Change in Operating Profit</w:t>
            </w: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11"/>
                <w:szCs w:val="11"/>
                <w:color w:val="auto"/>
              </w:rPr>
            </w:pPr>
          </w:p>
        </w:tc>
        <w:tc>
          <w:tcPr>
            <w:tcW w:w="1660" w:type="dxa"/>
            <w:vAlign w:val="bottom"/>
          </w:tcPr>
          <w:p>
            <w:pPr>
              <w:jc w:val="center"/>
              <w:ind w:right="164"/>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EAC</w:t>
            </w:r>
          </w:p>
        </w:tc>
        <w:tc>
          <w:tcPr>
            <w:tcW w:w="320" w:type="dxa"/>
            <w:vAlign w:val="bottom"/>
          </w:tcPr>
          <w:p>
            <w:pPr>
              <w:spacing w:after="0"/>
              <w:rPr>
                <w:sz w:val="11"/>
                <w:szCs w:val="11"/>
                <w:color w:val="auto"/>
              </w:rPr>
            </w:pPr>
          </w:p>
        </w:tc>
        <w:tc>
          <w:tcPr>
            <w:tcW w:w="1600" w:type="dxa"/>
            <w:vAlign w:val="bottom"/>
          </w:tcPr>
          <w:p>
            <w:pPr>
              <w:jc w:val="center"/>
              <w:ind w:right="202"/>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sales decrease of $414 million in the quarter ended June 30, 2022 compared to the quarter ended June 30, 2021 was primarily due to lower net sales of $0.3 billion on our Land Warfare and Air Defense programs, primarily driven by lower material receipts as a result of supply chain constraints and anticipated decreases in production. Included in the decrease in organic sales were higher net sales of $75 million on SPY-6 programs and higher net sales of $66 million on the NGI program.</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operating profit of $184 million in the quarter ended June 30, 2022 compared to the quarter ended June 30, 2021, was due to a net unfavorable change in EAC adjustments of $80 million, a change in mix and other performance of $70 million, and a change in volume of $34 million. The net unfavorable change in EAC adjustments was spread across numerous programs and includes the impact of continued supply chain constraints. The changes in mix and other performance and volume were principally driven by the lower net sales on the Land Warfare and Air Defense programs discussed above. The decrease in operating profit margins in the quarter ended June 30, 2022 compared to the quarter ended June 30, 2021, was primarily due to the net change in EAC adjustments and change in mix and other performance.</w:t>
      </w:r>
    </w:p>
    <w:p>
      <w:pPr>
        <w:spacing w:after="0" w:line="7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with Six Months Ended June 30,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80" w:type="dxa"/>
            <w:vAlign w:val="bottom"/>
            <w:gridSpan w:val="4"/>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 in Net Sales</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Pr>
          <w:p>
            <w:pPr>
              <w:spacing w:after="0"/>
              <w:rPr>
                <w:sz w:val="11"/>
                <w:szCs w:val="11"/>
                <w:color w:val="auto"/>
              </w:rPr>
            </w:pPr>
          </w:p>
        </w:tc>
        <w:tc>
          <w:tcPr>
            <w:tcW w:w="138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480" w:type="dxa"/>
            <w:vAlign w:val="bottom"/>
          </w:tcPr>
          <w:p>
            <w:pPr>
              <w:jc w:val="center"/>
              <w:ind w:right="162"/>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(674)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Factors Contributing to Change in Operating Profit</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11"/>
                <w:szCs w:val="11"/>
                <w:color w:val="auto"/>
              </w:rPr>
            </w:pPr>
          </w:p>
        </w:tc>
        <w:tc>
          <w:tcPr>
            <w:tcW w:w="1660" w:type="dxa"/>
            <w:vAlign w:val="bottom"/>
          </w:tcPr>
          <w:p>
            <w:pPr>
              <w:jc w:val="center"/>
              <w:ind w:right="164"/>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EAC</w:t>
            </w:r>
          </w:p>
        </w:tc>
        <w:tc>
          <w:tcPr>
            <w:tcW w:w="320" w:type="dxa"/>
            <w:vAlign w:val="bottom"/>
          </w:tcPr>
          <w:p>
            <w:pPr>
              <w:spacing w:after="0"/>
              <w:rPr>
                <w:sz w:val="11"/>
                <w:szCs w:val="11"/>
                <w:color w:val="auto"/>
              </w:rPr>
            </w:pPr>
          </w:p>
        </w:tc>
        <w:tc>
          <w:tcPr>
            <w:tcW w:w="1600" w:type="dxa"/>
            <w:vAlign w:val="bottom"/>
          </w:tcPr>
          <w:p>
            <w:pPr>
              <w:jc w:val="center"/>
              <w:ind w:right="202"/>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sales decrease of $674 million in the six months ended June 30, 2022 compared to the six months ended June 30, 2021 was primarily due to lower net sales of $0.5 billion on our Land Warfare and Air Defense programs, primarily driven by lower material receipts as a result of supply chain constraints and anticipated decreases in production. Included in the total decrease in organic sales were lower net sales of $122 million on the Advanced Medium Range Air-to-Air Missile (AMRAAM) program, higher net sales of $146 million on the NGI program and higher net sales of $122 million on SPY-6 programs.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operating profit of $293 million in the six months ended June 30, 2022 compared to the six months ended June 30, 2021 was primarily due to a net unfavorable change in EAC adjustments of $122 million, a change in mix and other performance of $113 million, and a change in volume of $58 million. The net unfavorable change in EAC adjustments was spread across numerous programs and includes the impact of continued supply chain constraints. The changes in mix and other performance and volume were principally driven by the lower net sales on the Land Warfare and Air Defense programs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discussed above. The decrease in operating profit margins in the six months ended June 30, 2022 compared to the six months ended June 30, 2021, was primarily due to the net change in EAC adjustments and change in mix and other performance.</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Backlog and Bookings</w:t>
      </w:r>
      <w:r>
        <w:rPr>
          <w:rFonts w:ascii="Times New Roman" w:cs="Times New Roman" w:eastAsia="Times New Roman" w:hAnsi="Times New Roman"/>
          <w:sz w:val="18"/>
          <w:szCs w:val="18"/>
          <w:color w:val="auto"/>
        </w:rPr>
        <w:t>– Backlog was $30 billion at June 30, 2022 and $29 billion at December 31, 2021. In addition to a number of smaller bookings,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ended June 30, 2022, RMD booked $662 million on Stinger for the U.S. Army, $648 million for Standard Missile-3 (SM-3) for the Missile Defense Agency (MDA), $423 million on the SPY-6 Hardware Production and Sustainment contract for the U.S. Navy, and $217 million on Tomahawk for the U.S. Navy. In addition to these bookings, in the six months ended June 30, 2022, RMD booked $1.2 billion on a number of classified contracts, including a strategic competitive award. RMD also booked $651 million for the SPY-6 Hardware Production and Sustainment contract for the U.S. Navy, $384 million for Excalibur Rapid Demonstration Phase 2 for the U.S. Army, $219 million for Air Intercept Missile (AIM-9X) Sidewinder short-range air-to-air missiles for the U.S. Navy and Air Force and international customers and $218 million to provide Patriot engineering support services for the U.S. Army and international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Eliminations and other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non-reportable business segments. Corporate expenses and other unallocated items consists of costs and certain other unallowable corporate costs not considered part of management’s evaluation of reportable segment operating performance including restructuring costs related to the Raytheon merger, net costs associated with corporate research and development, including the Lower Tier Air and Missile Defense Sensor (LTAMDS) program and certain reserves.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0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2640" w:type="dxa"/>
            <w:vAlign w:val="bottom"/>
            <w:gridSpan w:val="3"/>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00" w:type="dxa"/>
            <w:vAlign w:val="bottom"/>
            <w:tcBorders>
              <w:top w:val="single" w:sz="8" w:color="auto"/>
              <w:bottom w:val="single" w:sz="8" w:color="auto"/>
            </w:tcBorders>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(794)</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(47)</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7"/>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(42)</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sales of $59 million in the quarter ended June 30, 2022 compared to the quarter ended June 30, 2021 was primarily due to an increase in intersegment eliminations, principally driven by Collins.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and other operating profit in the quarter ended June 30, 2022 was relatively consistent with the quarter ended June 30, 2021.</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Corporate expenses and other unallocated items of $107 million in the quarter ended June 30, 2022 compared to the quarter ended June 30, 2021, was primarily due to lower restructuring costs of $51 million, the allocation of $30 million of state taxes to the segments related to the impact of capitalization of research or experimental expenditures for tax-purposes and a decrease in expenses related to the LTAMDS project.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4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gridSpan w:val="3"/>
          </w:tcPr>
          <w:p>
            <w:pPr>
              <w:spacing w:after="0"/>
              <w:rPr>
                <w:sz w:val="2"/>
                <w:szCs w:val="2"/>
                <w:color w:val="auto"/>
              </w:rPr>
            </w:pPr>
          </w:p>
        </w:tc>
      </w:tr>
      <w:tr>
        <w:trPr>
          <w:trHeight w:val="189"/>
        </w:trPr>
        <w:tc>
          <w:tcPr>
            <w:tcW w:w="52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(1,530)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(81)</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(178)</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sales of $88 million in the six months ended June 30, 2022 compared to the six months ended June 30, 2021 was primarily due to an increase in intersegment eliminations, principally driven by Collins.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and other operating profit in the six months ended June 30, 2022 was relatively consistent with the six months ended June 30, 2021.</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Corporate expenses and other unallocated items of $52 million in the six months ended June 30, 2022 compared to the six months ended June 30, 2021, was primarily due to a decrease in expenses related to the LTAMDS project.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postretirement benefit (PRB) expense under the Financial Accounting Standards (FAS) requirements of U.S. Generally Accepted Accounting Principles (GAAP) and our pension and PRB expense under U.S. government Cost Accounting Standards (CAS) primarily related to our RIS and RMD segments. While the ultimate liability for pension and PRB costs under FAS and CAS is similar, the pattern of cost recognition is different. Over time, we generally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 to recover the related RIS and RMD pension and PRB liabilities through the pricing of our products and services to the U.S. government. Collins and Pratt &amp; Whitney generally record pension and PRB expense on a FAS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FAS/CAS operating adjustment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80" w:type="dxa"/>
            <w:vAlign w:val="bottom"/>
          </w:tcPr>
          <w:p>
            <w:pPr>
              <w:spacing w:after="0"/>
              <w:rPr>
                <w:sz w:val="16"/>
                <w:szCs w:val="16"/>
                <w:color w:val="auto"/>
              </w:rPr>
            </w:pPr>
          </w:p>
        </w:tc>
        <w:tc>
          <w:tcPr>
            <w:tcW w:w="296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 service cost (expense)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(92)</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b w:val="1"/>
                <w:bCs w:val="1"/>
                <w:color w:val="auto"/>
                <w:w w:val="97"/>
              </w:rPr>
              <w:t>(183)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471</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35"/>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97"/>
              <w:spacing w:after="0"/>
              <w:rPr>
                <w:sz w:val="20"/>
                <w:szCs w:val="20"/>
                <w:color w:val="auto"/>
              </w:rPr>
            </w:pPr>
            <w:r>
              <w:rPr>
                <w:rFonts w:ascii="Times New Roman" w:cs="Times New Roman" w:eastAsia="Times New Roman" w:hAnsi="Times New Roman"/>
                <w:sz w:val="18"/>
                <w:szCs w:val="18"/>
                <w:b w:val="1"/>
                <w:bCs w:val="1"/>
                <w:color w:val="auto"/>
                <w:w w:val="96"/>
              </w:rPr>
              <w:t>940</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379</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b w:val="1"/>
                <w:bCs w:val="1"/>
                <w:color w:val="auto"/>
                <w:w w:val="96"/>
              </w:rPr>
              <w:t>757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our FAS/CAS operating adjustment of $46 million in the quarter ended June 30, 2022 compared to the quarter ended June 30, 2021 was driven by a $55 million decrease in CAS expense, partially offset by a $9 million decrease in FAS service cost. The decrease in CAS expense was primarily due to an increase in applicable discount rates as a result of U.S. qualified pension plan funding relief included in the American Rescue Plan Act of 2021 (ARPA).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our FAS/CAS operating adjustment of $91 million in the six months ended June 30, 2022 compared to the six months ended June 30, 2021 was driven by a $110 million decrease in CAS expense, partially offset by a $19 million decrease in FAS service cost. The decrease in CAS expense was primarily due to an increase in applicable discount rates as a result of U.S. qualified pension plan funding relief included in the American Rescue Plan Act of 2021 (ARPA).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 adjustments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 These adjustments are not considered part of management’s evaluation of segment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Acquisition accounting adjustments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20" w:type="dxa"/>
            <w:vAlign w:val="bottom"/>
          </w:tcPr>
          <w:p>
            <w:pPr>
              <w:spacing w:after="0"/>
              <w:rPr>
                <w:sz w:val="16"/>
                <w:szCs w:val="16"/>
                <w:color w:val="auto"/>
              </w:rPr>
            </w:pPr>
          </w:p>
        </w:tc>
        <w:tc>
          <w:tcPr>
            <w:tcW w:w="210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property, plant and equipment fair value adjustment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customer contractual obligations related to acquired loss-making and</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31</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56</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below-market contracts</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405"/>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accounting adjustments related to acquisitions in each segment were as follows: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20" w:type="dxa"/>
            <w:vAlign w:val="bottom"/>
          </w:tcPr>
          <w:p>
            <w:pPr>
              <w:spacing w:after="0"/>
              <w:rPr>
                <w:sz w:val="17"/>
                <w:szCs w:val="17"/>
                <w:color w:val="auto"/>
              </w:rPr>
            </w:pPr>
          </w:p>
        </w:tc>
        <w:tc>
          <w:tcPr>
            <w:tcW w:w="210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the Acquisition accounting adjustments of $71 million for the quarter ended June 30, 2022 compared to the quarter ended June 30, 2021, was primarily driven by a decrease in RIS and RMD intangibles amortization related to the Raytheon merger in 2020, partially offset by the absence of $69 million of amortization of customer contractual obligations due to the accelerated liquidation of a below-market contract reserve at Collins driven by the termination of a customer contract recognized in the quarter ended June 30,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the Acquisition accounting adjustments of $103 million for the six months ended June 30, 2022 compared to the six months ended June 30, 2021, is primarily driven by a decrease in RIS and RMD intangibles amortization related to the Raytheon merger in 2020, partially offset by the absence of $116 million of amortization of customer contractual obligations due to the accelerated liquidation of a below-market contract reserve at Collins driven by the termination of two customer contracts recognized in the six months ended June 30,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80" w:type="dxa"/>
            <w:vAlign w:val="bottom"/>
          </w:tcPr>
          <w:p>
            <w:pPr>
              <w:spacing w:after="0"/>
              <w:rPr>
                <w:sz w:val="16"/>
                <w:szCs w:val="16"/>
                <w:color w:val="auto"/>
              </w:rPr>
            </w:pPr>
          </w:p>
        </w:tc>
        <w:tc>
          <w:tcPr>
            <w:tcW w:w="15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4,767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7,832</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380" w:type="dxa"/>
            <w:vAlign w:val="bottom"/>
          </w:tcPr>
          <w:p>
            <w:pPr>
              <w:spacing w:after="0"/>
              <w:rPr>
                <w:sz w:val="19"/>
                <w:szCs w:val="19"/>
                <w:color w:val="auto"/>
              </w:rPr>
            </w:pPr>
          </w:p>
        </w:tc>
        <w:tc>
          <w:tcPr>
            <w:tcW w:w="15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31,413</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31,485</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71,990</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74,664</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2380" w:type="dxa"/>
            <w:vAlign w:val="bottom"/>
          </w:tcPr>
          <w:p>
            <w:pPr>
              <w:spacing w:after="0"/>
              <w:rPr>
                <w:sz w:val="19"/>
                <w:szCs w:val="19"/>
                <w:color w:val="auto"/>
              </w:rPr>
            </w:pPr>
          </w:p>
        </w:tc>
        <w:tc>
          <w:tcPr>
            <w:tcW w:w="15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103,403</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106,149</w:t>
            </w:r>
          </w:p>
        </w:tc>
      </w:tr>
      <w:tr>
        <w:trPr>
          <w:trHeight w:val="237"/>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23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2022, we had cash and cash equivalents of $4.8 billion, of which approximately 47% was held by RTC’s foreign subsidiaries. We manage our worldwide cash requirements by reviewing available funds among the many subsidiaries through which we conduct our business and the cost effectiveness with which those funds can be accessed. The Company does not intend to reinvest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RTC will continue to permanently reinvest these earnings.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our strong credit ratings and financial position have enabled us to issue long-term debt at favorable interest rates.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90 days from the date of issuance. As of June 30, 2022, our maximum commercial paper borrowing limit was $5.0 billion as the commercial paper is backed by our $5.0 billion revolving credit agreement. The daily average amount of short-term commercial paper borrowings outstanding during the six months ended June 30, 2022 was $150 million. We had no commercial paper outstanding at June 30, 2022.</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we had revolving credit agreements with various banks permitting aggregate borrowings of up to $7.0 billion, consisting of a $5.0 billion revolving credit agreement, which expires in April 2025, and a $2.0 billion revolving credit agreement, which was renewed in May 2022 and expires in May 2023. As of June 30, 2022, there were no borrowings outstanding under these agreements.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existing universal shelf registration statement, which we filed with the Securities and Exchange Commission (SEC) on September 27, 2019, for an indeterminate amount of debt and equity securities for future issuance, subject to our internal limitations on the amount of debt to be issued under this shelf registration statement.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a voluntary supply chain finance (SCF) program with a global financial institution which enables our suppliers, at their sole discretion, to sell their receivables from the Company to the financial institution at a rate that leverages our credit rating, which might be beneficial to them. Our suppliers’ participation in the SCF program does not impact or change our terms and conditions with those suppliers, and therefore, we have no economic interest in a supplier’s decision to participate in the program. In addition, we provide no guarantees or otherwise pay for any of the costs of the program incurred by those suppliers that choose to participate, and have no direct financial relationship with the financial institution, as it relates to the program. As such, the SCF program does not impact our overall liquidity.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4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 from continuing operations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1,762</w:t>
            </w:r>
          </w:p>
        </w:tc>
        <w:tc>
          <w:tcPr>
            <w:tcW w:w="98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generated by operating activities from continuing operations in the six months ended June 30, 2022 was $0.3 billion lower than the same period in 2021, primarily driven by an unfavorable impact to cash flow from inventory principally due to current year increases to support sales volume growth, partially offset by a favorable impact to cash flow from accounts payable and accrued liabilities primarily driven by advances. The remaining favorable impact from accounts payable and accrued liabilities was primarily driven by an increase in collaborator payables at Pratt &amp; Whitney, which was mostly offset by an increase in collaborator receivables due to the timing of settlements. In addition, accounts payable and accrued liabilities also reflects a $1.0 billion increase related to the impact of the capitalization of research and experimental expenditures for tax purposes, with a related $1.0 billion reduction to our deferred tax liability.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third-party financial institutions to sell certain of its receivables. Factoring activity resulted in an increase of approximately $1.5 billion in cash provided by operating activities during the six months ended June 30, 2022, compared to an increase in cash flows provided by operating activities of approximately $0.8 billion during the six months ended June 30, 2021. Factoring activity includes amounts factored on certain aerospace receivables at the customers’ request for which we may be compensated by the customer.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net tax payments of $530 million and $618 million in the six months ended June 30, 2022 and 2021, respectively. A provision enacted in the Tax Cuts and Jobs Act of 2017 related to the capitalization of research and experimental expenditures for tax purposes became effective on January 1, 2022. If this provision is not deferred legislatively, our full year 2022 tax payments are expected to increase by an estimated $2 billion. Payments on the increased taxes may begin in the third quarter of 2022, using cash on hand or other sources of liquidity.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provided by investing activities from continuing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(1,136)</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investing activities primarily include capital expenditures, cash investments in customer financing assets, investments/dispositions of businesses, payments related to our collaboration intangible assets and contractual rights to provide product on new aircraft platforms, and settlements of derivative contracts not designated as hedging instruments.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$1.4 billion change in cash flows (used in) provided by investing activities from continuing operations in the six months ended June 30, 2022 compared to June 30, 2021 primarily relates to the absence of the prior year sale of our Forcepoint business described below.</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expenditures in the six months ended June 30, 2022 increased by $171 million from the six months ended June 30, 2021 primarily due to investments in production facilities at Pratt &amp; Whitney.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Dispositions of businesses were $88 million and $1.1 billion in six months ended June 30, 2022 and 2021, respectively. In the six months ended June 30, 2022, dispositions of businesses consisted of immaterial dispositions in our aerospace businesses. In the six months ended June 30, 2021, dispositions of businesses primarily related to the sale of our Forcepoint business. For additional detail, see “Note 2: Acquisitions, Dispositions, Goodwill and Intangible Assets” within Item 1 of this Form 10-Q.</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financing assets payments, net were $7 million and $102 million in six months ended June 30, 2022 and 2021, respectively, and include purchases and sales of engines in our leased asset pool as well as customer financing. The decrease in customer financing assets payments, net was primarily due to decreased customer financing payments, the absence of a payment on a prior year sale and leaseback transaction for the sale of equipment, and fewer engines added to our leased asset pool.</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and 2021, we increased our collaboration intangible assets by $91 million and $60 million, respectively, which primarily relates to payments made under our 2012 agreement to acquire Rolls-Royce’s collaboration interests in International Aero Engines AG (IAE).</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discussed in “Note 11: Financial Instruments” within Item 1 of this Form 10-Q, 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We have used derivative instruments, including swaps, forward contracts and options, to manage certain foreign currency, interest rate and commodity price exposures. During the six months ended June 30, 2022 and 2021, we had net cash payments of $151 million and net cash receipts of $50 million, respectively, from the settlement of these derivative instruments not designated as hedging instruments.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(3,627)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short-term and long-term debt, payment of dividends and stock repurchases.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activities were a cash outflow of $3.6 billion in the six months ended June 30, 2022 compared to a cash outflow of $3.1 billion in the six months ended June 30, 2021. This change was primarily driven by an increase in share repurchases of $0.8 billion, partially offset by the absence of the prior year repayment of long-term debt of $0.3 billion.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Borrowings and Lines of Credit” within Item 1 of this Form 10-Q for additional information on debt issuances and repayments.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2022, management had remaining authority to repurchase approximately $4.1 billion of our common stock under the December 7, 2021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8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Shares of Common Stock repurchased </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1,779</w:t>
            </w:r>
          </w:p>
        </w:tc>
        <w:tc>
          <w:tcPr>
            <w:tcW w:w="11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18,697</w:t>
            </w:r>
          </w:p>
        </w:tc>
        <w:tc>
          <w:tcPr>
            <w:tcW w:w="6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1,007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0" w:type="dxa"/>
            <w:vAlign w:val="bottom"/>
          </w:tcPr>
          <w:p>
            <w:pPr>
              <w:spacing w:after="0"/>
              <w:rPr>
                <w:sz w:val="1"/>
                <w:szCs w:val="1"/>
                <w:color w:val="auto"/>
              </w:rPr>
            </w:pPr>
          </w:p>
        </w:tc>
      </w:tr>
      <w:tr>
        <w:trPr>
          <w:trHeight w:val="355"/>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(1) Relates to share repurchases that were settled in cash during the period.</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Our Board of Directors authorized the following cash dividends:</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of Common Stock</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1.060</w:t>
            </w:r>
          </w:p>
        </w:tc>
        <w:tc>
          <w:tcPr>
            <w:tcW w:w="5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0.985</w:t>
            </w:r>
          </w:p>
        </w:tc>
        <w:tc>
          <w:tcPr>
            <w:tcW w:w="0" w:type="dxa"/>
            <w:vAlign w:val="bottom"/>
          </w:tcPr>
          <w:p>
            <w:pPr>
              <w:spacing w:after="0"/>
              <w:rPr>
                <w:sz w:val="1"/>
                <w:szCs w:val="1"/>
                <w:color w:val="auto"/>
              </w:rPr>
            </w:pPr>
          </w:p>
        </w:tc>
      </w:tr>
      <w:tr>
        <w:trPr>
          <w:trHeight w:val="237"/>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dividends paid</w:t>
            </w: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1,543</w:t>
            </w:r>
          </w:p>
        </w:tc>
        <w:tc>
          <w:tcPr>
            <w:tcW w:w="5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6, 2022, the Board of Directors declared a dividend of $0.55 per share payable September 8, 2022 to shareowners of record at the close of business on August 19, 2022.</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six months ended June 30, 2022. For discussion of our exposure to market risk, refer to Part II, Item 7A, “Quantitative and Qualitative Disclosures About Market Risk,” contained in our 2021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we carried out an evaluation under the supervision and with the participation of our management, including the President and Chief Executive Officer (CEO), the Executive Vice President and Chief Financial Officer (CFO) and the Corporate Vice President and Controller (Controller), of the effectiveness of the design and operation of our disclosure controls and procedures as of June 30, 2022.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June 30, 2022, our disclosure controls and procedures were effective to provide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costs savings, other measures of financial performance, potential future plans, strategies or transactions, credit ratings and net indebtedness,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2" w:lineRule="exact"/>
        <w:rPr>
          <w:sz w:val="20"/>
          <w:szCs w:val="20"/>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economic, capital market and political conditions in the U.S. and globally, such as from the global sanctions and export controls with respect to Russia, and any changes therein, including related to financial market conditions, fluctuations in commodity prices, inflation, interest rates and foreign currency exchange rates, disruptions in global supply chain and labor markets, and geopolitical risks;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U.S. government sales, including changes or shifts in defense spending due to budgetary constraints, spending cuts resulting from sequestration or the allocation of funds to governmental responses to the coronavirus disease 2019 (COVID-19) pandemic, a continuing resolution, a government shutdown, or otherwise, and uncertain funding of programs;</w:t>
      </w:r>
    </w:p>
    <w:p>
      <w:pPr>
        <w:spacing w:after="0" w:line="2"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production, delivery, and support of Raytheon Technologies Corporation (RTC) advanced technologies and new products and services, as well as the challenges of operating in RTC’s highly-competitive industries;</w:t>
      </w:r>
    </w:p>
    <w:p>
      <w:pPr>
        <w:spacing w:after="0" w:line="1" w:lineRule="exact"/>
        <w:rPr>
          <w:rFonts w:ascii="Times New Roman" w:cs="Times New Roman" w:eastAsia="Times New Roman" w:hAnsi="Times New Roman"/>
          <w:sz w:val="18"/>
          <w:szCs w:val="18"/>
          <w:color w:val="auto"/>
        </w:rPr>
      </w:pPr>
    </w:p>
    <w:p>
      <w:pPr>
        <w:ind w:left="660" w:right="20" w:hanging="328"/>
        <w:spacing w:after="0" w:line="24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and risks relating to COVID-19 on RTC’s business, supply chain, operations and the industries in which it operates, including the decrease in global air travel, and the timing and extent of the recovery from COVID-19;</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RTC international operations from, among other things, changes in trade policies and implementation of sanctions, foreign currency fluctuations, economic conditions, political factors, sales methods, and U.S. or local government regulations;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aerospace industry;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RTC’s reliance on U.S. and non-U.S. suppliers and commodity markets, including the effect of sanctions, delays and disruptions in the delivery of materials and services to RTC or its suppliers and price increases;</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timing and challenges of managing acquisitions, investments, divestitures and other transactions, including the realization of synergies and opportunities for growth and innovation, the assumption of liabilities and other risks and incurrence of related costs and expenses;</w:t>
      </w: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environmental, regulatory and other requirements, including, among other things, export and import requirements such as the International Traffic in Arms Regulations and the Export Administration Regulations, anti-bribery and anticorruption requirements, such as the Foreign Corrupt Practices Act, industrial cooperation agreement obligations, and procurement and other regulations in the U.S. and other countries in which RTC and its businesses operate;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threatened and future legal proceedings, investigations and other contingencies, including those related to U.S. government audits and disputes or otherwise;</w:t>
      </w: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could impact RTC’s ability to engage in desirable capital-raising or strategic transactions, including its capital structure, levels of indebtedness, capital expenditures and research and development spending, and the availability of credit, credit market conditions and other factors;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timing and scope of future repurchases by RTC of its common stock or declarations of cash dividends, which may be discontinued, accelerated, suspended or delayed at any time due to various factors, including market conditions and the level of other investing activities and uses of cash;</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realizing expected benefits from RTC strategic initiatives such as cost reduction, restructuring, digital transformation and other operational initiatives;</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integration of the legacy businesses of United Technologies Corporation (UTC) and Raytheon Company in connection with the Raytheon merger, and the realization of the anticipated benefits of those transactions;</w:t>
      </w: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additional tax exposures due to new tax legislation or other developments in the U.S. and other countries in which RTC and its businesses operate;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RTC to attract, train and retain qualified personnel and maintain its culture and high ethical standards, and ability of our personnel to continue to operate our facilities and businesses around the world;</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 RTC product safety failure or other failure affecting RTC’s or its customers’ or suppliers’ products or systems;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cyber-attacks on RTC’s information technology infrastructure, products, suppliers, customers and partners, threats to RTC facilities and personnel, as well as other events outside of RTC’s control such as public health crises, damaging weather or other acts of nature;</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accounting estimates for our programs on our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pension and other postretirement plan estimates and assumptions and contributions;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 impairment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changing or new climate-related regulations, customer and market demands, products and technologies;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(1) the Raytheon merger as a tax-free reorganization and (2) the Carrier and Otis separation transactions and other internal restructurings as tax-free to UTC and former UTC shareowners, in each case, for U.S. federal income tax purposes.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this Form 10-Q includes important information as to risks, uncertainties and other factors that may cause actual results to differ materially from those expressed or implied in the forward-looking statements. See “Note 15: Commitments and Contingencies” within Item 1 of this Form 10-Q and “Management’s Discussion and Analysis of Financial Condition and Results of Operations” under the headings “Results of Operations,”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“Critical Accounting Estimates,” and “Government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Securities and Exchange Commission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Commitments and Contingencies” within Item 1 of this Form 10-Q for a discussion regarding material legal proceedings.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otherwise noted, there have been no material developments in legal proceedings. For previously reported information about legal proceedings refer to Part I, Item 3, “Legal Proceedings,” of our 2021 Annual Report on Form 10-K.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which could materially affect our business, financial condition or future results set forth under Item 1A. in our 2021 Annual Report on Form 10-K (2021 Form 10-K). There have been no material changes from the factors disclosed in our 2021 Form 10-K, although we may disclose changes to such factors or disclose additional factors from time to time in our future filings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of equity securities that are registered by us pursuant to Section 12 of the Exchange Act during the quarter ended June 30,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2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2720" w:type="dxa"/>
            <w:vAlign w:val="bottom"/>
            <w:vMerge w:val="restart"/>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2"/>
                <w:szCs w:val="12"/>
                <w:color w:val="auto"/>
              </w:rPr>
            </w:pPr>
          </w:p>
        </w:tc>
        <w:tc>
          <w:tcPr>
            <w:tcW w:w="17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60" w:type="dxa"/>
            <w:vAlign w:val="bottom"/>
            <w:vMerge w:val="continue"/>
          </w:tcPr>
          <w:p>
            <w:pPr>
              <w:spacing w:after="0"/>
              <w:rPr>
                <w:sz w:val="12"/>
                <w:szCs w:val="12"/>
                <w:color w:val="auto"/>
              </w:rPr>
            </w:pPr>
          </w:p>
        </w:tc>
        <w:tc>
          <w:tcPr>
            <w:tcW w:w="1920" w:type="dxa"/>
            <w:vAlign w:val="bottom"/>
            <w:gridSpan w:val="2"/>
          </w:tcPr>
          <w:p>
            <w:pPr>
              <w:jc w:val="center"/>
              <w:ind w:left="42"/>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9"/>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720" w:type="dxa"/>
            <w:vAlign w:val="bottom"/>
          </w:tcPr>
          <w:p>
            <w:pPr>
              <w:jc w:val="center"/>
              <w:ind w:left="67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7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320" w:type="dxa"/>
            <w:vAlign w:val="bottom"/>
          </w:tcPr>
          <w:p>
            <w:pPr>
              <w:spacing w:after="0"/>
              <w:rPr>
                <w:sz w:val="12"/>
                <w:szCs w:val="12"/>
                <w:color w:val="auto"/>
              </w:rPr>
            </w:pPr>
          </w:p>
        </w:tc>
        <w:tc>
          <w:tcPr>
            <w:tcW w:w="16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8"/>
        </w:trPr>
        <w:tc>
          <w:tcPr>
            <w:tcW w:w="2320" w:type="dxa"/>
            <w:vAlign w:val="bottom"/>
            <w:tcBorders>
              <w:bottom w:val="single" w:sz="8" w:color="auto"/>
            </w:tcBorders>
            <w:vMerge w:val="continue"/>
          </w:tcPr>
          <w:p>
            <w:pPr>
              <w:spacing w:after="0"/>
              <w:rPr>
                <w:sz w:val="17"/>
                <w:szCs w:val="17"/>
                <w:color w:val="auto"/>
              </w:rPr>
            </w:pPr>
          </w:p>
        </w:tc>
        <w:tc>
          <w:tcPr>
            <w:tcW w:w="2720" w:type="dxa"/>
            <w:vAlign w:val="bottom"/>
            <w:tcBorders>
              <w:bottom w:val="single" w:sz="8" w:color="auto"/>
            </w:tcBorders>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27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2,050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99.79</w:t>
            </w:r>
          </w:p>
        </w:tc>
        <w:tc>
          <w:tcPr>
            <w:tcW w:w="2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2,050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May 31</w:t>
            </w:r>
          </w:p>
        </w:tc>
        <w:tc>
          <w:tcPr>
            <w:tcW w:w="27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5,307</w:t>
            </w:r>
          </w:p>
        </w:tc>
        <w:tc>
          <w:tcPr>
            <w:tcW w:w="280" w:type="dxa"/>
            <w:vAlign w:val="bottom"/>
          </w:tcPr>
          <w:p>
            <w:pPr>
              <w:spacing w:after="0"/>
              <w:rPr>
                <w:sz w:val="19"/>
                <w:szCs w:val="19"/>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93.20</w:t>
            </w:r>
          </w:p>
        </w:tc>
        <w:tc>
          <w:tcPr>
            <w:tcW w:w="22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5,307</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w:t>
            </w:r>
          </w:p>
        </w:tc>
        <w:tc>
          <w:tcPr>
            <w:tcW w:w="27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3,807</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93.86</w:t>
            </w:r>
          </w:p>
        </w:tc>
        <w:tc>
          <w:tcPr>
            <w:tcW w:w="2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3,807</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11,164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94.64</w:t>
            </w:r>
          </w:p>
        </w:tc>
        <w:tc>
          <w:tcPr>
            <w:tcW w:w="2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11,164</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7, 2021, our Board of Directors authorized a share repurchase program for up to $6 billion of our common stock, replacing the previous program announced on December 7, 2020.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 No shares were reacquired in transactions outside the program during the quarter ended June 30, 2022.</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9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01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15</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700" w:type="dxa"/>
            <w:vAlign w:val="bottom"/>
            <w:tcBorders>
              <w:top w:val="single" w:sz="8" w:color="auto"/>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Letter re: unaudited interim financial information.*</w:t>
            </w:r>
          </w:p>
        </w:tc>
        <w:tc>
          <w:tcPr>
            <w:tcW w:w="6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2"/>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Submitted electronically herewith.</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Inline XBRL (Extensible Business Reporting Language): (i) Condensed Consolidated Statement of Operations for the quarters and six months ended June 30, 2022 and 2021, (ii) Condensed Consolidated Statement of Comprehensive Income for the quarters and six months ended June 30, 2022 and 2021, (iii) Condensed Consolidated Balance Sheet as of June 30, 2022 and December 31, 2021,</w:t>
      </w:r>
    </w:p>
    <w:p>
      <w:pPr>
        <w:spacing w:after="0" w:line="1" w:lineRule="exact"/>
        <w:rPr>
          <w:sz w:val="20"/>
          <w:szCs w:val="20"/>
          <w:color w:val="auto"/>
        </w:rPr>
      </w:pPr>
    </w:p>
    <w:p>
      <w:pPr>
        <w:ind w:firstLine="8"/>
        <w:spacing w:after="0" w:line="260" w:lineRule="auto"/>
        <w:tabs>
          <w:tab w:leader="none" w:pos="3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 of Cash Flows for the six months ended June 30, 2022 and 2021, (v) Condensed Consolidated Statement of Changes in Equity for the quarters and six months ended June 30, 2022 and 2021 and (vi)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ind w:left="47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70" w:lineRule="exact"/>
        <w:rPr>
          <w:sz w:val="20"/>
          <w:szCs w:val="20"/>
          <w:color w:val="auto"/>
        </w:rPr>
      </w:pPr>
    </w:p>
    <w:p>
      <w:pPr>
        <w:ind w:left="20"/>
        <w:spacing w:after="0"/>
        <w:tabs>
          <w:tab w:leader="none" w:pos="740" w:val="left"/>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Dated:</w:t>
        <w:tab/>
        <w:t>July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4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279" w:lineRule="exact"/>
        <w:rPr>
          <w:sz w:val="20"/>
          <w:szCs w:val="20"/>
          <w:color w:val="auto"/>
        </w:rPr>
      </w:pPr>
    </w:p>
    <w:p>
      <w:pPr>
        <w:ind w:left="20"/>
        <w:spacing w:after="0"/>
        <w:tabs>
          <w:tab w:leader="none" w:pos="740" w:val="left"/>
          <w:tab w:leader="none" w:pos="4760" w:val="left"/>
          <w:tab w:leader="none" w:pos="7340" w:val="left"/>
        </w:tabs>
        <w:rPr>
          <w:sz w:val="20"/>
          <w:szCs w:val="20"/>
          <w:color w:val="auto"/>
        </w:rPr>
      </w:pPr>
      <w:r>
        <w:rPr>
          <w:rFonts w:ascii="Times New Roman" w:cs="Times New Roman" w:eastAsia="Times New Roman" w:hAnsi="Times New Roman"/>
          <w:sz w:val="18"/>
          <w:szCs w:val="18"/>
          <w:color w:val="auto"/>
        </w:rPr>
        <w:t>Dated:</w:t>
        <w:tab/>
        <w:t>July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Amy L. Johnson</w:t>
      </w:r>
    </w:p>
    <w:p>
      <w:pPr>
        <w:spacing w:after="0" w:line="4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Corporate Vice President and Controller</w:t>
      </w:r>
    </w:p>
    <w:p>
      <w:pPr>
        <w:spacing w:after="0" w:line="1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1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52" w:lineRule="exact"/>
        <w:rPr>
          <w:sz w:val="20"/>
          <w:szCs w:val="20"/>
          <w:color w:val="auto"/>
        </w:rPr>
      </w:pPr>
    </w:p>
    <w:p>
      <w:pPr>
        <w:ind w:right="940"/>
        <w:spacing w:after="0" w:line="250" w:lineRule="auto"/>
        <w:rPr>
          <w:sz w:val="20"/>
          <w:szCs w:val="20"/>
          <w:color w:val="auto"/>
        </w:rPr>
      </w:pPr>
      <w:r>
        <w:rPr>
          <w:rFonts w:ascii="Times New Roman" w:cs="Times New Roman" w:eastAsia="Times New Roman" w:hAnsi="Times New Roman"/>
          <w:sz w:val="18"/>
          <w:szCs w:val="18"/>
          <w:color w:val="auto"/>
        </w:rPr>
        <w:t>We are aware that our report dated July 26, 2022 on our review of interim financial information of Raytheon Technologies Corporation, which appears in this Quarterly Report on Form 10-Q, is incorporated by reference in the Registration Statements on Form S-3 (No. 333-234027) and Form S-8 (Nos. 333-237576, 333-234086, 333-234085, 333-234084, 333-228649, 333-225839, 333-197704, 333-175781, 333-150643, 333-125293, 333-110020, and 333-100724) of Raytheon Technologies Corporation.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Hayes, certify that:</w:t>
      </w:r>
    </w:p>
    <w:p>
      <w:pPr>
        <w:spacing w:after="0" w:line="171"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2022</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J. HAYES</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J. Hayes</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2022</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NEIL G. MITCHILL, JR.</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2022</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r>
    </w:tbl>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Raytheon Technologies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June 30, 2022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26, 2022</w:t>
            </w:r>
          </w:p>
        </w:tc>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J. HAYES</w:t>
            </w:r>
          </w:p>
        </w:tc>
      </w:tr>
      <w:tr>
        <w:trPr>
          <w:trHeight w:val="218"/>
        </w:trPr>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J. Hayes</w:t>
            </w:r>
          </w:p>
        </w:tc>
      </w:tr>
      <w:tr>
        <w:trPr>
          <w:trHeight w:val="234"/>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26, 2022</w:t>
            </w:r>
          </w:p>
        </w:tc>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NEIL G. MITCHILL, JR.</w:t>
            </w:r>
          </w:p>
        </w:tc>
      </w:tr>
      <w:tr>
        <w:trPr>
          <w:trHeight w:val="218"/>
        </w:trPr>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r>
      <w:tr>
        <w:trPr>
          <w:trHeight w:val="234"/>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26, 2022</w:t>
            </w:r>
          </w:p>
        </w:tc>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4"/>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amp;"/>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amp;"/>
      <w:numFmt w:val="bullet"/>
      <w:start w:val="1"/>
    </w:lvl>
  </w:abstractNum>
  <w:abstractNum w:abstractNumId="6">
    <w:nsid w:val="109CF92E"/>
    <w:multiLevelType w:val="hybridMultilevel"/>
    <w:lvl w:ilvl="0">
      <w:lvlJc w:val="left"/>
      <w:lvlText w:val="&amp;"/>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Roman"/>
      <w:start w:val="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2022-07-26T15:35:03Z</dcterms:created>
  <dcterms:modified xsi:type="dcterms:W3CDTF">2022-07-26T15:35:03Z</dcterms:modified>
</cp:coreProperties>
</file>