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215265</wp:posOffset>
            </wp:positionH>
            <wp:positionV relativeFrom="page">
              <wp:posOffset>675005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color w:val="auto"/>
        </w:rPr>
        <w:t>October 21, 2025</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9" w:lineRule="exact"/>
        <w:rPr>
          <w:sz w:val="24"/>
          <w:szCs w:val="24"/>
          <w:color w:val="auto"/>
        </w:rPr>
      </w:pPr>
    </w:p>
    <w:tbl>
      <w:tblPr>
        <w:tblLayout w:type="fixed"/>
        <w:tblInd w:w="1080" w:type="dxa"/>
        <w:tblCellMar>
          <w:top w:w="0" w:type="dxa"/>
          <w:left w:w="0" w:type="dxa"/>
          <w:bottom w:w="0" w:type="dxa"/>
          <w:right w:w="0" w:type="dxa"/>
        </w:tblCellMar>
      </w:tblPr>
      <w:tr>
        <w:trPr>
          <w:trHeight w:val="231"/>
        </w:trPr>
        <w:tc>
          <w:tcPr>
            <w:tcW w:w="6500" w:type="dxa"/>
            <w:vAlign w:val="bottom"/>
            <w:gridSpan w:val="3"/>
          </w:tcPr>
          <w:p>
            <w:pPr>
              <w:jc w:val="center"/>
              <w:ind w:left="2498"/>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340" w:type="dxa"/>
            <w:vAlign w:val="bottom"/>
          </w:tcPr>
          <w:p>
            <w:pPr>
              <w:spacing w:after="0"/>
              <w:rPr>
                <w:sz w:val="20"/>
                <w:szCs w:val="20"/>
                <w:color w:val="auto"/>
              </w:rPr>
            </w:pPr>
          </w:p>
        </w:tc>
      </w:tr>
      <w:tr>
        <w:trPr>
          <w:trHeight w:val="242"/>
        </w:trPr>
        <w:tc>
          <w:tcPr>
            <w:tcW w:w="65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340" w:type="dxa"/>
            <w:vAlign w:val="bottom"/>
          </w:tcPr>
          <w:p>
            <w:pPr>
              <w:spacing w:after="0"/>
              <w:rPr>
                <w:sz w:val="21"/>
                <w:szCs w:val="21"/>
                <w:color w:val="auto"/>
              </w:rPr>
            </w:pPr>
          </w:p>
        </w:tc>
      </w:tr>
      <w:tr>
        <w:trPr>
          <w:trHeight w:val="240"/>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80" w:type="dxa"/>
            <w:vAlign w:val="bottom"/>
          </w:tcPr>
          <w:p>
            <w:pPr>
              <w:spacing w:after="0"/>
              <w:rPr>
                <w:sz w:val="20"/>
                <w:szCs w:val="20"/>
                <w:color w:val="auto"/>
              </w:rPr>
            </w:pP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6"/>
              </w:rPr>
              <w:t>06-0570975</w:t>
            </w:r>
          </w:p>
        </w:tc>
      </w:tr>
      <w:tr>
        <w:trPr>
          <w:trHeight w:val="143"/>
        </w:trPr>
        <w:tc>
          <w:tcPr>
            <w:tcW w:w="3940" w:type="dxa"/>
            <w:vAlign w:val="bottom"/>
          </w:tcPr>
          <w:p>
            <w:pPr>
              <w:jc w:val="center"/>
              <w:ind w:right="2258"/>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80" w:type="dxa"/>
            <w:vAlign w:val="bottom"/>
          </w:tcPr>
          <w:p>
            <w:pPr>
              <w:jc w:val="center"/>
              <w:ind w:right="201"/>
              <w:spacing w:after="0" w:line="143"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080" w:type="dxa"/>
            <w:vAlign w:val="bottom"/>
          </w:tcPr>
          <w:p>
            <w:pPr>
              <w:spacing w:after="0"/>
              <w:rPr>
                <w:sz w:val="12"/>
                <w:szCs w:val="12"/>
                <w:color w:val="auto"/>
              </w:rPr>
            </w:pPr>
          </w:p>
        </w:tc>
        <w:tc>
          <w:tcPr>
            <w:tcW w:w="2340" w:type="dxa"/>
            <w:vAlign w:val="bottom"/>
          </w:tcPr>
          <w:p>
            <w:pPr>
              <w:jc w:val="center"/>
              <w:ind w:left="1161"/>
              <w:spacing w:after="0" w:line="14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080" w:type="dxa"/>
            <w:vAlign w:val="bottom"/>
          </w:tcPr>
          <w:p>
            <w:pPr>
              <w:spacing w:after="0"/>
              <w:rPr>
                <w:sz w:val="16"/>
                <w:szCs w:val="16"/>
                <w:color w:val="auto"/>
              </w:rPr>
            </w:pP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0"/>
        </w:trPr>
        <w:tc>
          <w:tcPr>
            <w:tcW w:w="39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40" w:type="dxa"/>
            <w:vAlign w:val="bottom"/>
          </w:tcPr>
          <w:p>
            <w:pPr>
              <w:jc w:val="right"/>
              <w:ind w:right="1821"/>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701"/>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75"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104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2"/>
        </w:trPr>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86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32"/>
        </w:trPr>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7"/>
        </w:trPr>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254635</wp:posOffset>
            </wp:positionH>
            <wp:positionV relativeFrom="paragraph">
              <wp:posOffset>191135</wp:posOffset>
            </wp:positionV>
            <wp:extent cx="69462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253" w:right="539" w:bottom="1440" w:gutter="0" w:footer="0" w:header="0"/>
        </w:sectPr>
      </w:pPr>
    </w:p>
    <w:bookmarkStart w:id="1" w:name="page2"/>
    <w:bookmarkEnd w:id="1"/>
    <w:p>
      <w:pPr>
        <w:ind w:right="20" w:firstLine="39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2—Financial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21, 2025, RTX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third quarter 2025 results.</w:t>
      </w:r>
    </w:p>
    <w:p>
      <w:pPr>
        <w:spacing w:after="0" w:line="162" w:lineRule="exact"/>
        <w:rPr>
          <w:sz w:val="20"/>
          <w:szCs w:val="20"/>
          <w:color w:val="auto"/>
        </w:rPr>
      </w:pPr>
    </w:p>
    <w:p>
      <w:pPr>
        <w:ind w:right="120" w:firstLine="435"/>
        <w:spacing w:after="0" w:line="253" w:lineRule="auto"/>
        <w:rPr>
          <w:sz w:val="20"/>
          <w:szCs w:val="20"/>
          <w:color w:val="auto"/>
        </w:rPr>
      </w:pPr>
      <w:r>
        <w:rPr>
          <w:rFonts w:ascii="Times New Roman" w:cs="Times New Roman" w:eastAsia="Times New Roman" w:hAnsi="Times New Roman"/>
          <w:sz w:val="18"/>
          <w:szCs w:val="18"/>
          <w:color w:val="auto"/>
        </w:rPr>
        <w:t>The press release issued October 21, 2025 is furnished herewith as Exhibit No. 99 to this Report, and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by the Company under the Securities Act of 1933, as amended, or the Exchange Act, except as shall be expressly set forth by specific reference in such a filing.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9—Financial Statements and 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6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5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Press release, dated October 21, 2025, issued by RTX Corporation.</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2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432"/>
        </w:trPr>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215265</wp:posOffset>
            </wp:positionH>
            <wp:positionV relativeFrom="page">
              <wp:posOffset>608330</wp:posOffset>
            </wp:positionV>
            <wp:extent cx="71189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16510"/>
                    </a:xfrm>
                    <a:prstGeom prst="rect">
                      <a:avLst/>
                    </a:prstGeom>
                    <a:noFill/>
                  </pic:spPr>
                </pic:pic>
              </a:graphicData>
            </a:graphic>
          </wp:anchor>
        </w:drawing>
        <w:t>SIGNATURES</w:t>
      </w:r>
    </w:p>
    <w:p>
      <w:pPr>
        <w:spacing w:after="0" w:line="164" w:lineRule="exact"/>
        <w:rPr>
          <w:sz w:val="20"/>
          <w:szCs w:val="20"/>
          <w:color w:val="auto"/>
        </w:rPr>
      </w:pPr>
    </w:p>
    <w:p>
      <w:pPr>
        <w:ind w:firstLine="43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7" w:lineRule="exact"/>
        <w:rPr>
          <w:sz w:val="20"/>
          <w:szCs w:val="20"/>
          <w:color w:val="auto"/>
        </w:rPr>
      </w:pPr>
    </w:p>
    <w:p>
      <w:pPr>
        <w:ind w:left="20"/>
        <w:spacing w:after="0"/>
        <w:tabs>
          <w:tab w:leader="none" w:pos="5100" w:val="left"/>
          <w:tab w:leader="none" w:pos="5680" w:val="left"/>
        </w:tabs>
        <w:rPr>
          <w:sz w:val="20"/>
          <w:szCs w:val="20"/>
          <w:color w:val="auto"/>
        </w:rPr>
      </w:pPr>
      <w:r>
        <w:rPr>
          <w:rFonts w:ascii="Times New Roman" w:cs="Times New Roman" w:eastAsia="Times New Roman" w:hAnsi="Times New Roman"/>
          <w:sz w:val="18"/>
          <w:szCs w:val="18"/>
          <w:color w:val="auto"/>
        </w:rPr>
        <w:t>Date: October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13970</wp:posOffset>
            </wp:positionV>
            <wp:extent cx="357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ectPr>
          <w:pgSz w:w="11900" w:h="16838" w:orient="portrait"/>
          <w:cols w:equalWidth="0" w:num="1">
            <w:col w:w="10540"/>
          </w:cols>
          <w:pgMar w:left="320" w:top="116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592455</wp:posOffset>
            </wp:positionV>
            <wp:extent cx="1407160" cy="535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7160" cy="53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666465"/>
        </w:rPr>
        <w:t>Media Contact</w:t>
      </w:r>
    </w:p>
    <w:p>
      <w:pPr>
        <w:spacing w:after="0" w:line="62" w:lineRule="exact"/>
        <w:rPr>
          <w:sz w:val="20"/>
          <w:szCs w:val="20"/>
          <w:color w:val="auto"/>
        </w:rPr>
      </w:pPr>
    </w:p>
    <w:p>
      <w:pPr>
        <w:ind w:left="9000"/>
        <w:spacing w:after="0"/>
        <w:rPr>
          <w:sz w:val="20"/>
          <w:szCs w:val="20"/>
          <w:color w:val="auto"/>
        </w:rPr>
      </w:pPr>
      <w:r>
        <w:rPr>
          <w:rFonts w:ascii="Arial" w:cs="Arial" w:eastAsia="Arial" w:hAnsi="Arial"/>
          <w:sz w:val="13"/>
          <w:szCs w:val="13"/>
          <w:color w:val="6D6D6D"/>
        </w:rPr>
        <w:t>202.384.2474</w:t>
      </w:r>
    </w:p>
    <w:p>
      <w:pPr>
        <w:spacing w:after="0" w:line="259"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666465"/>
        </w:rPr>
        <w:t>Investor Contact</w:t>
      </w:r>
    </w:p>
    <w:p>
      <w:pPr>
        <w:spacing w:after="0" w:line="62" w:lineRule="exact"/>
        <w:rPr>
          <w:sz w:val="20"/>
          <w:szCs w:val="20"/>
          <w:color w:val="auto"/>
        </w:rPr>
      </w:pPr>
    </w:p>
    <w:p>
      <w:pPr>
        <w:ind w:left="9000"/>
        <w:spacing w:after="0"/>
        <w:rPr>
          <w:sz w:val="20"/>
          <w:szCs w:val="20"/>
          <w:color w:val="auto"/>
        </w:rPr>
      </w:pPr>
      <w:r>
        <w:rPr>
          <w:rFonts w:ascii="Arial" w:cs="Arial" w:eastAsia="Arial" w:hAnsi="Arial"/>
          <w:sz w:val="13"/>
          <w:szCs w:val="13"/>
          <w:color w:val="666465"/>
        </w:rPr>
        <w:t>781.522.5123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RTX Reports Q3 2025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RTX delivers 12% sales growth with strong operational performance;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Raises 2025 outlook for adjusted sales* and adjusted EPS*, confirms free cash flow*</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ARLINGTON, Va., October 21, 2025 – RTX (NYSE: RTX) reports third quarter 2025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2025</w:t>
      </w:r>
    </w:p>
    <w:p>
      <w:pPr>
        <w:spacing w:after="0" w:line="57"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$22.5 billion, up 12 percent versus prior year, and up 13 percent organically* excluding divestitures</w:t>
      </w:r>
    </w:p>
    <w:p>
      <w:pPr>
        <w:spacing w:after="0" w:line="56" w:lineRule="exact"/>
        <w:rPr>
          <w:rFonts w:ascii="Arial" w:cs="Arial" w:eastAsia="Arial" w:hAnsi="Arial"/>
          <w:sz w:val="18"/>
          <w:szCs w:val="18"/>
          <w:color w:val="auto"/>
        </w:rPr>
      </w:pPr>
    </w:p>
    <w:p>
      <w:pPr>
        <w:ind w:left="640" w:right="180" w:hanging="318"/>
        <w:spacing w:after="0" w:line="30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EPS of $1.41, including $0.29 of acquisition accounting adjustments, $0.01 cent of restructuring, and a $0.01 benefit from other net significant and/or non-recurring items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 of $1.70, up 17 percent versus prior year</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 of $4.6 billion; free cash flow* of $4.0 billion</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backlog of $251 billion, including $148 billion of commercial and $103 billion of defense</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$0.9 billion of capital to shareowners and paid down $2.9 billion of debt</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divestiture of Collins’ actuation and flight control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Updates outlook for full year 2025</w:t>
      </w:r>
    </w:p>
    <w:p>
      <w:pPr>
        <w:spacing w:after="0" w:line="57" w:lineRule="exact"/>
        <w:rPr>
          <w:sz w:val="20"/>
          <w:szCs w:val="20"/>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sales* of $86.5 - $87.0 billion, up from $84.75 - $85.5 billion</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Organic sales growth* of 8 to 9 percent, up from 6 to 7 percent</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EPS* of $6.10 - $6.20, up from $5.80 - $5.95</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Confirms free cash flow* of $7.0 - $7.5 billion</w:t>
      </w:r>
    </w:p>
    <w:p>
      <w:pPr>
        <w:spacing w:after="0" w:line="294" w:lineRule="exact"/>
        <w:rPr>
          <w:sz w:val="20"/>
          <w:szCs w:val="20"/>
          <w:color w:val="auto"/>
        </w:rPr>
      </w:pPr>
    </w:p>
    <w:p>
      <w:pPr>
        <w:ind w:right="160"/>
        <w:spacing w:after="0" w:line="319" w:lineRule="auto"/>
        <w:rPr>
          <w:sz w:val="20"/>
          <w:szCs w:val="20"/>
          <w:color w:val="auto"/>
        </w:rPr>
      </w:pPr>
      <w:r>
        <w:rPr>
          <w:rFonts w:ascii="Arial" w:cs="Arial" w:eastAsia="Arial" w:hAnsi="Arial"/>
          <w:sz w:val="18"/>
          <w:szCs w:val="18"/>
          <w:color w:val="auto"/>
        </w:rPr>
        <w:t>“Strong execution in the third quarter enabled us to deliver double-digit organic sales growth* across all three segments and our sixth consecutive quarter of year-over-year adjusted segment margin expansion*,” said RTX Chairman and CEO Chris Calio. “We also received $37 billion of new awards in the quarter, reflecting robust global demand for our products and supporting long-term growth for RTX.”</w:t>
      </w:r>
    </w:p>
    <w:p>
      <w:pPr>
        <w:spacing w:after="0" w:line="203" w:lineRule="exact"/>
        <w:rPr>
          <w:sz w:val="20"/>
          <w:szCs w:val="20"/>
          <w:color w:val="auto"/>
        </w:rPr>
      </w:pPr>
    </w:p>
    <w:p>
      <w:pPr>
        <w:ind w:right="100"/>
        <w:spacing w:after="0" w:line="319" w:lineRule="auto"/>
        <w:rPr>
          <w:sz w:val="20"/>
          <w:szCs w:val="20"/>
          <w:color w:val="auto"/>
        </w:rPr>
      </w:pPr>
      <w:r>
        <w:rPr>
          <w:rFonts w:ascii="Arial" w:cs="Arial" w:eastAsia="Arial" w:hAnsi="Arial"/>
          <w:sz w:val="18"/>
          <w:szCs w:val="18"/>
          <w:color w:val="auto"/>
        </w:rPr>
        <w:t>“Based on our year-to-date performance and ongoing demand strength, we are raising our full year outlook for adjusted sales* and EPS*. We remain focused on executing on our $251 billion backlog and increasing our output to support the ramp across critical programs, while investing in next-generation products and services that meet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4" w:lineRule="exact"/>
        <w:rPr>
          <w:sz w:val="20"/>
          <w:szCs w:val="20"/>
          <w:color w:val="auto"/>
        </w:rPr>
      </w:pPr>
    </w:p>
    <w:p>
      <w:pPr>
        <w:ind w:right="100"/>
        <w:spacing w:after="0" w:line="257" w:lineRule="auto"/>
        <w:rPr>
          <w:sz w:val="20"/>
          <w:szCs w:val="20"/>
          <w:color w:val="auto"/>
        </w:rPr>
      </w:pPr>
      <w:r>
        <w:rPr>
          <w:rFonts w:ascii="Arial" w:cs="Arial" w:eastAsia="Arial" w:hAnsi="Arial"/>
          <w:sz w:val="8"/>
          <w:szCs w:val="8"/>
          <w:color w:val="auto"/>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w:t>
      </w:r>
    </w:p>
    <w:p>
      <w:pPr>
        <w:ind w:right="100"/>
        <w:spacing w:after="0" w:line="238" w:lineRule="auto"/>
        <w:rPr>
          <w:sz w:val="20"/>
          <w:szCs w:val="20"/>
          <w:color w:val="auto"/>
        </w:rPr>
      </w:pPr>
      <w:r>
        <w:rPr>
          <w:rFonts w:ascii="Arial" w:cs="Arial" w:eastAsia="Arial" w:hAnsi="Arial"/>
          <w:sz w:val="10"/>
          <w:szCs w:val="10"/>
          <w:color w:val="auto"/>
        </w:rPr>
        <w:t>sales), adjusted EPS and free cash flow on a forward-looking basis, a reconciliation of these non-GAAP financial measures to the corresponding G</w:t>
      </w:r>
      <w:r>
        <w:rPr>
          <w:rFonts w:ascii="Arial" w:cs="Arial" w:eastAsia="Arial" w:hAnsi="Arial"/>
          <w:sz w:val="9"/>
          <w:szCs w:val="9"/>
          <w:color w:val="auto"/>
        </w:rPr>
        <w:t>AAP measures (expected diluted EPS and expected cash flow from operations) is not available without</w:t>
      </w:r>
      <w:r>
        <w:rPr>
          <w:rFonts w:ascii="Arial" w:cs="Arial" w:eastAsia="Arial" w:hAnsi="Arial"/>
          <w:sz w:val="10"/>
          <w:szCs w:val="10"/>
          <w:color w:val="auto"/>
        </w:rPr>
        <w:t xml:space="preserve"> </w:t>
      </w:r>
      <w:r>
        <w:rPr>
          <w:rFonts w:ascii="Arial" w:cs="Arial" w:eastAsia="Arial" w:hAnsi="Arial"/>
          <w:sz w:val="9"/>
          <w:szCs w:val="9"/>
          <w:color w:val="auto"/>
        </w:rPr>
        <w:t>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Third quarter 2025</w:t>
      </w:r>
    </w:p>
    <w:p>
      <w:pPr>
        <w:spacing w:after="0" w:line="57" w:lineRule="exact"/>
        <w:rPr>
          <w:sz w:val="20"/>
          <w:szCs w:val="20"/>
          <w:color w:val="auto"/>
        </w:rPr>
      </w:pPr>
    </w:p>
    <w:p>
      <w:pPr>
        <w:ind w:right="280"/>
        <w:spacing w:after="0" w:line="319" w:lineRule="auto"/>
        <w:rPr>
          <w:sz w:val="20"/>
          <w:szCs w:val="20"/>
          <w:color w:val="auto"/>
        </w:rPr>
      </w:pPr>
      <w:r>
        <w:rPr>
          <w:rFonts w:ascii="Arial" w:cs="Arial" w:eastAsia="Arial" w:hAnsi="Arial"/>
          <w:sz w:val="18"/>
          <w:szCs w:val="18"/>
          <w:color w:val="auto"/>
        </w:rPr>
        <w:t>RTX third quarter reported and adjusted sales were $22.5 billion, up 12 percent over the prior year. GAAP EPS of $1.41 included $0.29 of acquisition accounting adjustments, $0.01 of restructuring, and a $0.01 benefit from other net significant and/or non-recurring items. Adjusted EPS* of $1.70 was up 17 percent versus the prior year.</w:t>
      </w:r>
    </w:p>
    <w:p>
      <w:pPr>
        <w:spacing w:after="0" w:line="203" w:lineRule="exact"/>
        <w:rPr>
          <w:sz w:val="20"/>
          <w:szCs w:val="20"/>
          <w:color w:val="auto"/>
        </w:rPr>
      </w:pPr>
    </w:p>
    <w:p>
      <w:pPr>
        <w:ind w:right="220"/>
        <w:spacing w:after="0" w:line="315" w:lineRule="auto"/>
        <w:rPr>
          <w:sz w:val="20"/>
          <w:szCs w:val="20"/>
          <w:color w:val="auto"/>
        </w:rPr>
      </w:pPr>
      <w:r>
        <w:rPr>
          <w:rFonts w:ascii="Arial" w:cs="Arial" w:eastAsia="Arial" w:hAnsi="Arial"/>
          <w:sz w:val="18"/>
          <w:szCs w:val="18"/>
          <w:color w:val="auto"/>
        </w:rPr>
        <w:t>The company reported net income attributable to common shareowners in the third quarter of $1.9 billion which included $0.4 billion of acquisition accounting adjustments. Adjusted net income* of $2.3 billion was up 19 percent versus the prior year driven by adjusted segment operating profit growth* across all three segments. Operating cash flow in the third quarter was $4.6 billion and capital expenditures were $0.6 billion, resulting in free cash flow* of $4.0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 – Operations Attributable to Common Shareowners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3rd Quarter</w:t>
            </w:r>
          </w:p>
        </w:tc>
        <w:tc>
          <w:tcPr>
            <w:tcW w:w="1260" w:type="dxa"/>
            <w:vAlign w:val="bottom"/>
            <w:tcBorders>
              <w:top w:val="single" w:sz="8" w:color="auto"/>
            </w:tcBorders>
          </w:tcPr>
          <w:p>
            <w:pPr>
              <w:spacing w:after="0"/>
              <w:rPr>
                <w:sz w:val="19"/>
                <w:szCs w:val="19"/>
                <w:color w:val="auto"/>
              </w:rPr>
            </w:pPr>
          </w:p>
        </w:tc>
      </w:tr>
      <w:tr>
        <w:trPr>
          <w:trHeight w:val="24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 except EPS)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 Change</w:t>
            </w:r>
          </w:p>
        </w:tc>
      </w:tr>
      <w:tr>
        <w:trPr>
          <w:trHeight w:val="232"/>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6"/>
        </w:trPr>
        <w:tc>
          <w:tcPr>
            <w:tcW w:w="7380" w:type="dxa"/>
            <w:vAlign w:val="bottom"/>
          </w:tcPr>
          <w:p>
            <w:pPr>
              <w:ind w:left="340"/>
              <w:spacing w:after="0"/>
              <w:rPr>
                <w:sz w:val="20"/>
                <w:szCs w:val="20"/>
                <w:color w:val="auto"/>
              </w:rPr>
            </w:pPr>
            <w:r>
              <w:rPr>
                <w:rFonts w:ascii="Arial" w:cs="Arial" w:eastAsia="Arial" w:hAnsi="Arial"/>
                <w:sz w:val="18"/>
                <w:szCs w:val="18"/>
                <w:color w:val="auto"/>
              </w:rPr>
              <w:t>Sales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22,478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20,089</w:t>
            </w:r>
          </w:p>
        </w:tc>
        <w:tc>
          <w:tcPr>
            <w:tcW w:w="12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5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1,472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6"/>
        </w:trPr>
        <w:tc>
          <w:tcPr>
            <w:tcW w:w="7380" w:type="dxa"/>
            <w:vAlign w:val="bottom"/>
          </w:tcPr>
          <w:p>
            <w:pPr>
              <w:ind w:left="340"/>
              <w:spacing w:after="0"/>
              <w:rPr>
                <w:sz w:val="20"/>
                <w:szCs w:val="20"/>
                <w:color w:val="auto"/>
              </w:rPr>
            </w:pPr>
            <w:r>
              <w:rPr>
                <w:rFonts w:ascii="Arial" w:cs="Arial" w:eastAsia="Arial" w:hAnsi="Arial"/>
                <w:sz w:val="18"/>
                <w:szCs w:val="18"/>
                <w:color w:val="auto"/>
              </w:rPr>
              <w:t>EPS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1.09</w:t>
            </w:r>
          </w:p>
        </w:tc>
        <w:tc>
          <w:tcPr>
            <w:tcW w:w="12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97"/>
        </w:trPr>
        <w:tc>
          <w:tcPr>
            <w:tcW w:w="7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246"/>
        </w:trPr>
        <w:tc>
          <w:tcPr>
            <w:tcW w:w="738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6"/>
        </w:trPr>
        <w:tc>
          <w:tcPr>
            <w:tcW w:w="7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1,948</w:t>
            </w: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5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EPS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92"/>
        </w:trPr>
        <w:tc>
          <w:tcPr>
            <w:tcW w:w="7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9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2,523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67"/>
        </w:trPr>
        <w:tc>
          <w:tcPr>
            <w:tcW w:w="73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1,971</w:t>
            </w:r>
          </w:p>
        </w:tc>
        <w:tc>
          <w:tcPr>
            <w:tcW w:w="1260" w:type="dxa"/>
            <w:vAlign w:val="bottom"/>
          </w:tcPr>
          <w:p>
            <w:pPr>
              <w:jc w:val="right"/>
              <w:spacing w:after="0"/>
              <w:rPr>
                <w:sz w:val="20"/>
                <w:szCs w:val="20"/>
                <w:color w:val="auto"/>
              </w:rPr>
            </w:pPr>
            <w:r>
              <w:rPr>
                <w:rFonts w:ascii="Arial" w:cs="Arial" w:eastAsia="Arial" w:hAnsi="Arial"/>
                <w:sz w:val="18"/>
                <w:szCs w:val="18"/>
                <w:color w:val="auto"/>
              </w:rPr>
              <w:t>104 %</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3rd Quarter</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2"/>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2024</w:t>
            </w: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 Change</w:t>
            </w: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46"/>
        </w:trPr>
        <w:tc>
          <w:tcPr>
            <w:tcW w:w="6560" w:type="dxa"/>
            <w:vAlign w:val="bottom"/>
          </w:tcPr>
          <w:p>
            <w:pPr>
              <w:ind w:left="34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7,621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7,075</w:t>
            </w:r>
          </w:p>
        </w:tc>
        <w:tc>
          <w:tcPr>
            <w:tcW w:w="1020" w:type="dxa"/>
            <w:vAlign w:val="bottom"/>
          </w:tcPr>
          <w:p>
            <w:pPr>
              <w:jc w:val="right"/>
              <w:spacing w:after="0"/>
              <w:rPr>
                <w:sz w:val="20"/>
                <w:szCs w:val="20"/>
                <w:color w:val="auto"/>
              </w:rPr>
            </w:pPr>
            <w:r>
              <w:rPr>
                <w:rFonts w:ascii="Arial" w:cs="Arial" w:eastAsia="Arial" w:hAnsi="Arial"/>
                <w:sz w:val="18"/>
                <w:szCs w:val="18"/>
                <w:color w:val="auto"/>
              </w:rPr>
              <w:t>8 %</w:t>
            </w: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1,260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1,062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600" w:type="dxa"/>
            <w:vAlign w:val="bottom"/>
            <w:shd w:val="clear" w:color="auto" w:fill="CCEEFF"/>
          </w:tcPr>
          <w:p>
            <w:pPr>
              <w:spacing w:after="0"/>
              <w:rPr>
                <w:sz w:val="22"/>
                <w:szCs w:val="22"/>
                <w:color w:val="auto"/>
              </w:rPr>
            </w:pPr>
          </w:p>
        </w:tc>
      </w:tr>
      <w:tr>
        <w:trPr>
          <w:trHeight w:val="251"/>
        </w:trPr>
        <w:tc>
          <w:tcPr>
            <w:tcW w:w="6560" w:type="dxa"/>
            <w:vAlign w:val="bottom"/>
          </w:tcPr>
          <w:p>
            <w:pPr>
              <w:ind w:left="340"/>
              <w:spacing w:after="0"/>
              <w:rPr>
                <w:sz w:val="20"/>
                <w:szCs w:val="20"/>
                <w:color w:val="auto"/>
              </w:rPr>
            </w:pPr>
            <w:r>
              <w:rPr>
                <w:rFonts w:ascii="Arial" w:cs="Arial" w:eastAsia="Arial" w:hAnsi="Arial"/>
                <w:sz w:val="18"/>
                <w:szCs w:val="18"/>
                <w:color w:val="auto"/>
              </w:rPr>
              <w:t>ROS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16.5 %</w:t>
            </w:r>
          </w:p>
        </w:tc>
        <w:tc>
          <w:tcPr>
            <w:tcW w:w="32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15.0 %</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150</w:t>
            </w:r>
          </w:p>
        </w:tc>
        <w:tc>
          <w:tcPr>
            <w:tcW w:w="60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145"/>
        </w:trPr>
        <w:tc>
          <w:tcPr>
            <w:tcW w:w="6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46"/>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7,621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7,075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600" w:type="dxa"/>
            <w:vAlign w:val="bottom"/>
            <w:shd w:val="clear" w:color="auto" w:fill="CCEEFF"/>
          </w:tcPr>
          <w:p>
            <w:pPr>
              <w:spacing w:after="0"/>
              <w:rPr>
                <w:sz w:val="22"/>
                <w:szCs w:val="22"/>
                <w:color w:val="auto"/>
              </w:rPr>
            </w:pPr>
          </w:p>
        </w:tc>
      </w:tr>
      <w:tr>
        <w:trPr>
          <w:trHeight w:val="246"/>
        </w:trPr>
        <w:tc>
          <w:tcPr>
            <w:tcW w:w="656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1,194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1,096</w:t>
            </w: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15.5 %</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r>
    </w:tbl>
    <w:p>
      <w:pPr>
        <w:spacing w:after="0" w:line="339"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Collins Aerospace third quarter 2025 reported and adjusted sales of $7,621 million were up 8 percent versus the prior year. Excluding the impact of divestitures, the increase in adjusted sales* was driven by a 16 percent increase in commercial OE, a 13 percent increase in commercial aftermarket and a 6 percent increase in defense.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099" w:right="339" w:bottom="1440" w:gutter="0" w:footer="0" w:header="0"/>
          <w:type w:val="continuous"/>
        </w:sectPr>
      </w:pPr>
    </w:p>
    <w:bookmarkStart w:id="5" w:name="page6"/>
    <w:bookmarkEnd w:id="5"/>
    <w:p>
      <w:pPr>
        <w:jc w:val="both"/>
        <w:ind w:right="160"/>
        <w:spacing w:after="0" w:line="319" w:lineRule="auto"/>
        <w:rPr>
          <w:sz w:val="20"/>
          <w:szCs w:val="20"/>
          <w:color w:val="auto"/>
        </w:rPr>
      </w:pPr>
      <w:r>
        <w:rPr>
          <w:rFonts w:ascii="Arial" w:cs="Arial" w:eastAsia="Arial" w:hAnsi="Arial"/>
          <w:sz w:val="18"/>
          <w:szCs w:val="18"/>
          <w:color w:val="auto"/>
        </w:rPr>
        <w:t>The increase in commercial OE sales was driven primarily by higher volume on narrowbody platforms. The increase in commercial aftermarket sales was driven by growth in parts and repairs and retrofit activity. The increase in defense sales was driven by higher volume across multiple programs and platforms, including the Survivable Airborne Operations Center.</w:t>
      </w:r>
    </w:p>
    <w:p>
      <w:pPr>
        <w:spacing w:after="0" w:line="203"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auto"/>
        </w:rPr>
        <w:t>Collins Aerospace reported operating profit of $1,260 million was up 19 percent versus the prior year. Reported operating profit included a gain on the sale of the actuation and flight control business. On an adjusted basis, operating profit* of $1,194 million was up 9 percent versus the prior year. Drop through on higher commercial aftermarket, defense, and commercial OE volume and lower R&amp;D expense more than offset the impact of unfavorable commercial OE mix and higher tariffs across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3rd Quarter</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480" w:type="dxa"/>
            <w:vAlign w:val="bottom"/>
            <w:tcBorders>
              <w:bottom w:val="single" w:sz="8" w:color="auto"/>
            </w:tcBorders>
          </w:tcPr>
          <w:p>
            <w:pPr>
              <w:spacing w:after="0"/>
              <w:rPr>
                <w:sz w:val="21"/>
                <w:szCs w:val="2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46"/>
        </w:trPr>
        <w:tc>
          <w:tcPr>
            <w:tcW w:w="6660" w:type="dxa"/>
            <w:vAlign w:val="bottom"/>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8,423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2"/>
              <w:spacing w:after="0"/>
              <w:rPr>
                <w:sz w:val="20"/>
                <w:szCs w:val="20"/>
                <w:color w:val="auto"/>
              </w:rPr>
            </w:pPr>
            <w:r>
              <w:rPr>
                <w:rFonts w:ascii="Arial" w:cs="Arial" w:eastAsia="Arial" w:hAnsi="Arial"/>
                <w:sz w:val="18"/>
                <w:szCs w:val="18"/>
                <w:color w:val="auto"/>
              </w:rPr>
              <w:t>7,239</w:t>
            </w:r>
          </w:p>
        </w:tc>
        <w:tc>
          <w:tcPr>
            <w:tcW w:w="1080" w:type="dxa"/>
            <w:vAlign w:val="bottom"/>
          </w:tcPr>
          <w:p>
            <w:pPr>
              <w:jc w:val="right"/>
              <w:spacing w:after="0"/>
              <w:rPr>
                <w:sz w:val="20"/>
                <w:szCs w:val="20"/>
                <w:color w:val="auto"/>
              </w:rPr>
            </w:pPr>
            <w:r>
              <w:rPr>
                <w:rFonts w:ascii="Arial" w:cs="Arial" w:eastAsia="Arial" w:hAnsi="Arial"/>
                <w:sz w:val="18"/>
                <w:szCs w:val="18"/>
                <w:color w:val="auto"/>
              </w:rPr>
              <w:t>16 %</w:t>
            </w:r>
          </w:p>
        </w:tc>
        <w:tc>
          <w:tcPr>
            <w:tcW w:w="480" w:type="dxa"/>
            <w:vAlign w:val="bottom"/>
          </w:tcPr>
          <w:p>
            <w:pPr>
              <w:spacing w:after="0"/>
              <w:rPr>
                <w:sz w:val="21"/>
                <w:szCs w:val="21"/>
                <w:color w:val="auto"/>
              </w:rPr>
            </w:pPr>
          </w:p>
        </w:tc>
      </w:tr>
      <w:tr>
        <w:trPr>
          <w:trHeight w:val="256"/>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80" w:type="dxa"/>
            <w:vAlign w:val="bottom"/>
            <w:shd w:val="clear" w:color="auto" w:fill="CCEEFF"/>
          </w:tcPr>
          <w:p>
            <w:pPr>
              <w:spacing w:after="0"/>
              <w:rPr>
                <w:sz w:val="22"/>
                <w:szCs w:val="22"/>
                <w:color w:val="auto"/>
              </w:rPr>
            </w:pPr>
          </w:p>
        </w:tc>
      </w:tr>
      <w:tr>
        <w:trPr>
          <w:trHeight w:val="251"/>
        </w:trPr>
        <w:tc>
          <w:tcPr>
            <w:tcW w:w="6660" w:type="dxa"/>
            <w:vAlign w:val="bottom"/>
          </w:tcPr>
          <w:p>
            <w:pPr>
              <w:ind w:left="340"/>
              <w:spacing w:after="0"/>
              <w:rPr>
                <w:sz w:val="20"/>
                <w:szCs w:val="20"/>
                <w:color w:val="auto"/>
              </w:rPr>
            </w:pPr>
            <w:r>
              <w:rPr>
                <w:rFonts w:ascii="Arial" w:cs="Arial" w:eastAsia="Arial" w:hAnsi="Arial"/>
                <w:sz w:val="18"/>
                <w:szCs w:val="18"/>
                <w:color w:val="auto"/>
              </w:rPr>
              <w:t>ROS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8.9 %</w:t>
            </w:r>
          </w:p>
        </w:tc>
        <w:tc>
          <w:tcPr>
            <w:tcW w:w="300" w:type="dxa"/>
            <w:vAlign w:val="bottom"/>
          </w:tcPr>
          <w:p>
            <w:pPr>
              <w:spacing w:after="0"/>
              <w:rPr>
                <w:sz w:val="21"/>
                <w:szCs w:val="21"/>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7.7 %</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48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145"/>
        </w:trPr>
        <w:tc>
          <w:tcPr>
            <w:tcW w:w="6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246"/>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8,423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7,239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480" w:type="dxa"/>
            <w:vAlign w:val="bottom"/>
            <w:shd w:val="clear" w:color="auto" w:fill="CCEEFF"/>
          </w:tcPr>
          <w:p>
            <w:pPr>
              <w:spacing w:after="0"/>
              <w:rPr>
                <w:sz w:val="22"/>
                <w:szCs w:val="22"/>
                <w:color w:val="auto"/>
              </w:rPr>
            </w:pPr>
          </w:p>
        </w:tc>
      </w:tr>
      <w:tr>
        <w:trPr>
          <w:trHeight w:val="246"/>
        </w:trPr>
        <w:tc>
          <w:tcPr>
            <w:tcW w:w="666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751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2"/>
              <w:spacing w:after="0"/>
              <w:rPr>
                <w:sz w:val="20"/>
                <w:szCs w:val="20"/>
                <w:color w:val="auto"/>
              </w:rPr>
            </w:pPr>
            <w:r>
              <w:rPr>
                <w:rFonts w:ascii="Arial" w:cs="Arial" w:eastAsia="Arial" w:hAnsi="Arial"/>
                <w:sz w:val="18"/>
                <w:szCs w:val="18"/>
                <w:color w:val="auto"/>
              </w:rPr>
              <w:t>597</w:t>
            </w:r>
          </w:p>
        </w:tc>
        <w:tc>
          <w:tcPr>
            <w:tcW w:w="1080" w:type="dxa"/>
            <w:vAlign w:val="bottom"/>
          </w:tcPr>
          <w:p>
            <w:pPr>
              <w:jc w:val="right"/>
              <w:spacing w:after="0"/>
              <w:rPr>
                <w:sz w:val="20"/>
                <w:szCs w:val="20"/>
                <w:color w:val="auto"/>
              </w:rPr>
            </w:pPr>
            <w:r>
              <w:rPr>
                <w:rFonts w:ascii="Arial" w:cs="Arial" w:eastAsia="Arial" w:hAnsi="Arial"/>
                <w:sz w:val="18"/>
                <w:szCs w:val="18"/>
                <w:color w:val="auto"/>
              </w:rPr>
              <w:t>26 %</w:t>
            </w:r>
          </w:p>
        </w:tc>
        <w:tc>
          <w:tcPr>
            <w:tcW w:w="480" w:type="dxa"/>
            <w:vAlign w:val="bottom"/>
          </w:tcPr>
          <w:p>
            <w:pPr>
              <w:spacing w:after="0"/>
              <w:rPr>
                <w:sz w:val="21"/>
                <w:szCs w:val="21"/>
                <w:color w:val="auto"/>
              </w:rPr>
            </w:pPr>
          </w:p>
        </w:tc>
      </w:tr>
      <w:tr>
        <w:trPr>
          <w:trHeight w:val="256"/>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8.2 %</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r>
    </w:tbl>
    <w:p>
      <w:pPr>
        <w:spacing w:after="0" w:line="339" w:lineRule="exact"/>
        <w:rPr>
          <w:sz w:val="20"/>
          <w:szCs w:val="20"/>
          <w:color w:val="auto"/>
        </w:rPr>
      </w:pPr>
    </w:p>
    <w:p>
      <w:pPr>
        <w:ind w:right="100"/>
        <w:spacing w:after="0" w:line="312" w:lineRule="auto"/>
        <w:rPr>
          <w:sz w:val="20"/>
          <w:szCs w:val="20"/>
          <w:color w:val="auto"/>
        </w:rPr>
      </w:pPr>
      <w:r>
        <w:rPr>
          <w:rFonts w:ascii="Arial" w:cs="Arial" w:eastAsia="Arial" w:hAnsi="Arial"/>
          <w:sz w:val="18"/>
          <w:szCs w:val="18"/>
          <w:color w:val="auto"/>
        </w:rPr>
        <w:t>Pratt &amp; Whitney third quarter reported and adjusted sales of $8,423 million were up 16 percent versus the prior year. The sales growth was driven by a 5 percent increase in commercial OE, a 23 percent increase in commercial aftermarket, and a 15 percent increase in military. The increase in commercial OE sales was driven by higher volume in large commercial engines and favorable mix in Pratt Canada, while the increase in commercial aftermarket was driven by higher volume in both large commercial engines and Pratt Canada. Military sales were driven by the F135 program, including higher volume associated with the Lot 18 contract award in the quarter.</w:t>
      </w:r>
    </w:p>
    <w:p>
      <w:pPr>
        <w:spacing w:after="0" w:line="211"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auto"/>
        </w:rPr>
        <w:t>Pratt &amp; Whitney reported operating profit of $751 million was up 35 percent versus the prior year. Adjusted operating profit* of $751 million was up 26 percent versus the prior year. The increase was driven by drop through on higher commercial aftermarket and military volume which more than offset the impact from increased large commercial OE deliveries, higher SG&amp;A expense, and higher tariffs across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Raytheon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3rd Quarter</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2"/>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2024</w:t>
            </w: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 Change</w:t>
            </w: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46"/>
        </w:trPr>
        <w:tc>
          <w:tcPr>
            <w:tcW w:w="6560" w:type="dxa"/>
            <w:vAlign w:val="bottom"/>
          </w:tcPr>
          <w:p>
            <w:pPr>
              <w:ind w:left="34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7,045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6,386</w:t>
            </w: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600" w:type="dxa"/>
            <w:vAlign w:val="bottom"/>
            <w:shd w:val="clear" w:color="auto" w:fill="CCEEFF"/>
          </w:tcPr>
          <w:p>
            <w:pPr>
              <w:spacing w:after="0"/>
              <w:rPr>
                <w:sz w:val="22"/>
                <w:szCs w:val="22"/>
                <w:color w:val="auto"/>
              </w:rPr>
            </w:pPr>
          </w:p>
        </w:tc>
      </w:tr>
      <w:tr>
        <w:trPr>
          <w:trHeight w:val="251"/>
        </w:trPr>
        <w:tc>
          <w:tcPr>
            <w:tcW w:w="6560" w:type="dxa"/>
            <w:vAlign w:val="bottom"/>
          </w:tcPr>
          <w:p>
            <w:pPr>
              <w:ind w:left="340"/>
              <w:spacing w:after="0"/>
              <w:rPr>
                <w:sz w:val="20"/>
                <w:szCs w:val="20"/>
                <w:color w:val="auto"/>
              </w:rPr>
            </w:pPr>
            <w:r>
              <w:rPr>
                <w:rFonts w:ascii="Arial" w:cs="Arial" w:eastAsia="Arial" w:hAnsi="Arial"/>
                <w:sz w:val="18"/>
                <w:szCs w:val="18"/>
                <w:color w:val="auto"/>
              </w:rPr>
              <w:t>ROS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12.2 %</w:t>
            </w:r>
          </w:p>
        </w:tc>
        <w:tc>
          <w:tcPr>
            <w:tcW w:w="32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10.1 %</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60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145"/>
        </w:trPr>
        <w:tc>
          <w:tcPr>
            <w:tcW w:w="6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46"/>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7,045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6,386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0" w:type="dxa"/>
            <w:vAlign w:val="bottom"/>
            <w:shd w:val="clear" w:color="auto" w:fill="CCEEFF"/>
          </w:tcPr>
          <w:p>
            <w:pPr>
              <w:spacing w:after="0"/>
              <w:rPr>
                <w:sz w:val="22"/>
                <w:szCs w:val="22"/>
                <w:color w:val="auto"/>
              </w:rPr>
            </w:pPr>
          </w:p>
        </w:tc>
      </w:tr>
      <w:tr>
        <w:trPr>
          <w:trHeight w:val="246"/>
        </w:trPr>
        <w:tc>
          <w:tcPr>
            <w:tcW w:w="656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859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661</w:t>
            </w:r>
          </w:p>
        </w:tc>
        <w:tc>
          <w:tcPr>
            <w:tcW w:w="1020" w:type="dxa"/>
            <w:vAlign w:val="bottom"/>
          </w:tcPr>
          <w:p>
            <w:pPr>
              <w:jc w:val="right"/>
              <w:spacing w:after="0"/>
              <w:rPr>
                <w:sz w:val="20"/>
                <w:szCs w:val="20"/>
                <w:color w:val="auto"/>
              </w:rPr>
            </w:pPr>
            <w:r>
              <w:rPr>
                <w:rFonts w:ascii="Arial" w:cs="Arial" w:eastAsia="Arial" w:hAnsi="Arial"/>
                <w:sz w:val="18"/>
                <w:szCs w:val="18"/>
                <w:color w:val="auto"/>
              </w:rPr>
              <w:t>30 %</w:t>
            </w:r>
          </w:p>
        </w:tc>
        <w:tc>
          <w:tcPr>
            <w:tcW w:w="600" w:type="dxa"/>
            <w:vAlign w:val="bottom"/>
          </w:tcPr>
          <w:p>
            <w:pPr>
              <w:spacing w:after="0"/>
              <w:rPr>
                <w:sz w:val="21"/>
                <w:szCs w:val="21"/>
                <w:color w:val="auto"/>
              </w:rPr>
            </w:pPr>
          </w:p>
        </w:tc>
      </w:tr>
      <w:tr>
        <w:trPr>
          <w:trHeight w:val="25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10.4 %</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r>
    </w:tbl>
    <w:p>
      <w:pPr>
        <w:spacing w:after="0" w:line="339" w:lineRule="exact"/>
        <w:rPr>
          <w:sz w:val="20"/>
          <w:szCs w:val="20"/>
          <w:color w:val="auto"/>
        </w:rPr>
      </w:pPr>
    </w:p>
    <w:p>
      <w:pPr>
        <w:ind w:right="280"/>
        <w:spacing w:after="0" w:line="319" w:lineRule="auto"/>
        <w:rPr>
          <w:sz w:val="20"/>
          <w:szCs w:val="20"/>
          <w:color w:val="auto"/>
        </w:rPr>
      </w:pPr>
      <w:r>
        <w:rPr>
          <w:rFonts w:ascii="Arial" w:cs="Arial" w:eastAsia="Arial" w:hAnsi="Arial"/>
          <w:sz w:val="18"/>
          <w:szCs w:val="18"/>
          <w:color w:val="auto"/>
        </w:rPr>
        <w:t>Raytheon third quarter reported and adjusted sales of $7,045 million were up 10 percent versus the prior year. This increase was driven by higher volume on land and air defense systems, including international Patriot as well as higher volume on naval programs, including multiple classified programs, SM-6, and Evolved SeaSparrow Missile.</w:t>
      </w:r>
    </w:p>
    <w:p>
      <w:pPr>
        <w:spacing w:after="0" w:line="203" w:lineRule="exact"/>
        <w:rPr>
          <w:sz w:val="20"/>
          <w:szCs w:val="20"/>
          <w:color w:val="auto"/>
        </w:rPr>
      </w:pPr>
    </w:p>
    <w:p>
      <w:pPr>
        <w:jc w:val="both"/>
        <w:ind w:right="140"/>
        <w:spacing w:after="0" w:line="319" w:lineRule="auto"/>
        <w:rPr>
          <w:sz w:val="20"/>
          <w:szCs w:val="20"/>
          <w:color w:val="auto"/>
        </w:rPr>
      </w:pPr>
      <w:r>
        <w:rPr>
          <w:rFonts w:ascii="Arial" w:cs="Arial" w:eastAsia="Arial" w:hAnsi="Arial"/>
          <w:sz w:val="18"/>
          <w:szCs w:val="18"/>
          <w:color w:val="auto"/>
        </w:rPr>
        <w:t>Raytheon reported operating profit of $859 million was up 33 percent versus the prior year primarily driven by favorable program mix, including international Patriot, improved net productivity, and higher volume. Adjusted operating profit* of $859 million was up 30 percent versus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RTX</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8"/>
          <w:szCs w:val="18"/>
          <w:color w:val="auto"/>
        </w:rPr>
        <w:t>RTX is the world's largest aerospace and defense company. With approximately 185,000 global employees, we push the limits of technology and science to redefine how we connect and protect our world. Through industry-leading businesses – Collins Aerospace, Pratt &amp; Whitney, and Raytheon – we are advancing aviation, engineering integrated defense systems for operational success, and developing next-generation technology solutions and manufacturing to help global customers address their most critical challenges. The company, with 2024 sales of more than $80 billion, is headquartered in Arlington, Virginia.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on the Third Quarter 2025 Financial Results</w:t>
      </w:r>
    </w:p>
    <w:p>
      <w:pPr>
        <w:spacing w:after="0" w:line="59"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RTX’s financial results conference call will be held on Tuesday, October 21, 2025 at 8:30 a.m. ET. The conference call will be webcast live on the company's website at www.rtx.com and will be available for replay following the call. The corresponding presentation slides will be available for downloading prior to the call.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Definitions of Non-GAAP Financial Measures</w:t>
      </w:r>
    </w:p>
    <w:p>
      <w:pPr>
        <w:spacing w:after="0" w:line="3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RTX Corporation (“RTX” or “the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accordance with GAAP appears in the tables in this Appendix. Certain non-GAAP financial adjustments are also described in this Appendix.</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Below are our non-GAAP financial measures: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5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measure</w:t>
            </w:r>
          </w:p>
        </w:tc>
        <w:tc>
          <w:tcPr>
            <w:tcW w:w="87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Definition</w:t>
            </w:r>
          </w:p>
        </w:tc>
      </w:tr>
      <w:tr>
        <w:trPr>
          <w:trHeight w:val="192"/>
        </w:trPr>
        <w:tc>
          <w:tcPr>
            <w:tcW w:w="252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Adjusted net sales / Adjusted</w:t>
            </w:r>
          </w:p>
        </w:tc>
        <w:tc>
          <w:tcPr>
            <w:tcW w:w="874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Represents consolidated net sales (a GAAP measure), excluding net significant and/or non-recurring items</w:t>
            </w:r>
            <w:r>
              <w:rPr>
                <w:rFonts w:ascii="Arial" w:cs="Arial" w:eastAsia="Arial" w:hAnsi="Arial"/>
                <w:sz w:val="22"/>
                <w:szCs w:val="22"/>
                <w:color w:val="auto"/>
                <w:vertAlign w:val="superscript"/>
              </w:rPr>
              <w:t>1</w:t>
            </w:r>
          </w:p>
        </w:tc>
      </w:tr>
      <w:tr>
        <w:trPr>
          <w:trHeight w:val="231"/>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sales</w:t>
            </w: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(hereinafter referred to as “net significant and/or non-recurring items”).</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Organic sales</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Organic sales represents the change in consolidated net sales (a GAAP measure), excluding the impact of</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foreign currency translation, acquisitions and divestitures completed in the preceding twelve months and net</w:t>
            </w:r>
          </w:p>
        </w:tc>
      </w:tr>
      <w:tr>
        <w:trPr>
          <w:trHeight w:val="259"/>
        </w:trPr>
        <w:tc>
          <w:tcPr>
            <w:tcW w:w="25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significant and/or non-recurring items.</w:t>
            </w:r>
          </w:p>
        </w:tc>
      </w:tr>
      <w:tr>
        <w:trPr>
          <w:trHeight w:val="184"/>
        </w:trPr>
        <w:tc>
          <w:tcPr>
            <w:tcW w:w="2520" w:type="dxa"/>
            <w:vAlign w:val="bottom"/>
            <w:tcBorders>
              <w:top w:val="single" w:sz="8" w:color="auto"/>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w w:val="99"/>
              </w:rPr>
              <w:t>Adjusted operating profit (loss)</w:t>
            </w:r>
          </w:p>
        </w:tc>
        <w:tc>
          <w:tcPr>
            <w:tcW w:w="8740" w:type="dxa"/>
            <w:vAlign w:val="bottom"/>
            <w:tcBorders>
              <w:top w:val="single" w:sz="8" w:color="auto"/>
              <w:right w:val="single" w:sz="8" w:color="auto"/>
            </w:tcBorders>
          </w:tcPr>
          <w:p>
            <w:pPr>
              <w:spacing w:after="0" w:line="183" w:lineRule="exact"/>
              <w:rPr>
                <w:sz w:val="20"/>
                <w:szCs w:val="20"/>
                <w:color w:val="auto"/>
              </w:rPr>
            </w:pPr>
            <w:r>
              <w:rPr>
                <w:rFonts w:ascii="Arial" w:cs="Arial" w:eastAsia="Arial" w:hAnsi="Arial"/>
                <w:sz w:val="18"/>
                <w:szCs w:val="18"/>
                <w:color w:val="auto"/>
              </w:rPr>
              <w:t>Adjusted operating profit (loss) represents operating profit (loss) (a GAAP measure), excluding restructuring</w:t>
            </w:r>
          </w:p>
        </w:tc>
      </w:tr>
      <w:tr>
        <w:trPr>
          <w:trHeight w:val="202"/>
        </w:trPr>
        <w:tc>
          <w:tcPr>
            <w:tcW w:w="25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and margin percentage (ROS)</w:t>
            </w:r>
          </w:p>
        </w:tc>
        <w:tc>
          <w:tcPr>
            <w:tcW w:w="87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costs, acquisition accounting adjustments</w:t>
            </w:r>
            <w:r>
              <w:rPr>
                <w:rFonts w:ascii="Arial" w:cs="Arial" w:eastAsia="Arial" w:hAnsi="Arial"/>
                <w:sz w:val="22"/>
                <w:szCs w:val="22"/>
                <w:color w:val="auto"/>
                <w:w w:val="99"/>
                <w:vertAlign w:val="superscript"/>
              </w:rPr>
              <w:t>2</w:t>
            </w:r>
            <w:r>
              <w:rPr>
                <w:rFonts w:ascii="Arial" w:cs="Arial" w:eastAsia="Arial" w:hAnsi="Arial"/>
                <w:sz w:val="18"/>
                <w:szCs w:val="18"/>
                <w:color w:val="auto"/>
                <w:w w:val="99"/>
              </w:rPr>
              <w:t>, and net significant and/or non-recurring items. Adjusted operating</w:t>
            </w:r>
          </w:p>
        </w:tc>
      </w:tr>
      <w:tr>
        <w:trPr>
          <w:trHeight w:val="231"/>
        </w:trPr>
        <w:tc>
          <w:tcPr>
            <w:tcW w:w="252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profit margin percentage represents adjusted operating profit (loss) as a percentage of adjusted net sales.</w:t>
            </w:r>
          </w:p>
        </w:tc>
      </w:tr>
      <w:tr>
        <w:trPr>
          <w:trHeight w:val="63"/>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8740" w:type="dxa"/>
            <w:vAlign w:val="bottom"/>
            <w:tcBorders>
              <w:bottom w:val="single" w:sz="8" w:color="auto"/>
              <w:right w:val="single" w:sz="8" w:color="auto"/>
            </w:tcBorders>
          </w:tcPr>
          <w:p>
            <w:pPr>
              <w:spacing w:after="0"/>
              <w:rPr>
                <w:sz w:val="5"/>
                <w:szCs w:val="5"/>
                <w:color w:val="auto"/>
              </w:rPr>
            </w:pPr>
          </w:p>
        </w:tc>
      </w:tr>
      <w:tr>
        <w:trPr>
          <w:trHeight w:val="184"/>
        </w:trPr>
        <w:tc>
          <w:tcPr>
            <w:tcW w:w="252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Arial" w:cs="Arial" w:eastAsia="Arial" w:hAnsi="Arial"/>
                <w:sz w:val="18"/>
                <w:szCs w:val="18"/>
                <w:color w:val="auto"/>
                <w:w w:val="99"/>
              </w:rPr>
              <w:t>Segment operating profit (loss)</w:t>
            </w:r>
          </w:p>
        </w:tc>
        <w:tc>
          <w:tcPr>
            <w:tcW w:w="8740" w:type="dxa"/>
            <w:vAlign w:val="bottom"/>
            <w:tcBorders>
              <w:right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Segment operating profit (loss) represents operating profit (loss) (a GAAP measure) excluding acquisition</w:t>
            </w:r>
          </w:p>
        </w:tc>
      </w:tr>
      <w:tr>
        <w:trPr>
          <w:trHeight w:val="202"/>
        </w:trPr>
        <w:tc>
          <w:tcPr>
            <w:tcW w:w="252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and margin percentage (ROS)</w:t>
            </w:r>
          </w:p>
        </w:tc>
        <w:tc>
          <w:tcPr>
            <w:tcW w:w="874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the FAS/CAS operating adjustment</w:t>
            </w:r>
            <w:r>
              <w:rPr>
                <w:rFonts w:ascii="Arial" w:cs="Arial" w:eastAsia="Arial" w:hAnsi="Arial"/>
                <w:sz w:val="22"/>
                <w:szCs w:val="22"/>
                <w:color w:val="auto"/>
                <w:vertAlign w:val="superscript"/>
              </w:rPr>
              <w:t>3</w:t>
            </w:r>
            <w:r>
              <w:rPr>
                <w:rFonts w:ascii="Arial" w:cs="Arial" w:eastAsia="Arial" w:hAnsi="Arial"/>
                <w:sz w:val="18"/>
                <w:szCs w:val="18"/>
                <w:color w:val="auto"/>
              </w:rPr>
              <w:t>, Corporate expenses and other unallocated</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99"/>
              </w:rPr>
              <w:t>items, and Eliminations and other. Segment operating profit margin percentage represents segment operating</w:t>
            </w:r>
          </w:p>
        </w:tc>
      </w:tr>
      <w:tr>
        <w:trPr>
          <w:trHeight w:val="259"/>
        </w:trPr>
        <w:tc>
          <w:tcPr>
            <w:tcW w:w="25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(loss) as a percentage of segment sales (net sales, excluding Eliminations and other).</w:t>
            </w:r>
          </w:p>
        </w:tc>
      </w:tr>
      <w:tr>
        <w:trPr>
          <w:trHeight w:val="187"/>
        </w:trPr>
        <w:tc>
          <w:tcPr>
            <w:tcW w:w="2520" w:type="dxa"/>
            <w:vAlign w:val="bottom"/>
            <w:tcBorders>
              <w:top w:val="single" w:sz="8" w:color="auto"/>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Adjusted segment sales</w:t>
            </w:r>
          </w:p>
        </w:tc>
        <w:tc>
          <w:tcPr>
            <w:tcW w:w="8740" w:type="dxa"/>
            <w:vAlign w:val="bottom"/>
            <w:tcBorders>
              <w:top w:val="single" w:sz="8" w:color="auto"/>
              <w:right w:val="single" w:sz="8" w:color="auto"/>
            </w:tcBorders>
          </w:tcPr>
          <w:p>
            <w:pPr>
              <w:spacing w:after="0" w:line="188" w:lineRule="exact"/>
              <w:rPr>
                <w:sz w:val="20"/>
                <w:szCs w:val="20"/>
                <w:color w:val="auto"/>
              </w:rPr>
            </w:pPr>
            <w:r>
              <w:rPr>
                <w:rFonts w:ascii="Arial" w:cs="Arial" w:eastAsia="Arial" w:hAnsi="Arial"/>
                <w:sz w:val="18"/>
                <w:szCs w:val="18"/>
                <w:color w:val="auto"/>
              </w:rPr>
              <w:t>Represents consolidated net sales (a GAAP measure) excluding eliminations and other and net significant</w:t>
            </w:r>
          </w:p>
        </w:tc>
      </w:tr>
      <w:tr>
        <w:trPr>
          <w:trHeight w:val="231"/>
        </w:trPr>
        <w:tc>
          <w:tcPr>
            <w:tcW w:w="252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and/or non-recurring items.</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Adjusted segment operating</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Adjusted segment operating profit (loss) represents segment operating profit (loss) excluding restructuring</w:t>
            </w:r>
          </w:p>
        </w:tc>
      </w:tr>
      <w:tr>
        <w:trPr>
          <w:trHeight w:val="198"/>
        </w:trPr>
        <w:tc>
          <w:tcPr>
            <w:tcW w:w="252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Arial" w:cs="Arial" w:eastAsia="Arial" w:hAnsi="Arial"/>
                <w:sz w:val="18"/>
                <w:szCs w:val="18"/>
                <w:color w:val="auto"/>
              </w:rPr>
              <w:t>profit (loss) and margin</w:t>
            </w: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costs, and net significant and/or non-recurring items. Adjusted segment operating profit margin percentage</w:t>
            </w:r>
          </w:p>
        </w:tc>
      </w:tr>
      <w:tr>
        <w:trPr>
          <w:trHeight w:val="198"/>
        </w:trPr>
        <w:tc>
          <w:tcPr>
            <w:tcW w:w="252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Arial" w:cs="Arial" w:eastAsia="Arial" w:hAnsi="Arial"/>
                <w:sz w:val="18"/>
                <w:szCs w:val="18"/>
                <w:color w:val="auto"/>
              </w:rPr>
              <w:t>percentage (ROS)</w:t>
            </w: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represents adjusted segment operating profit (loss) as a percentage of adjusted segment sales (adjusted net</w:t>
            </w:r>
          </w:p>
        </w:tc>
      </w:tr>
      <w:tr>
        <w:trPr>
          <w:trHeight w:val="231"/>
        </w:trPr>
        <w:tc>
          <w:tcPr>
            <w:tcW w:w="2520" w:type="dxa"/>
            <w:vAlign w:val="bottom"/>
            <w:tcBorders>
              <w:left w:val="single" w:sz="8" w:color="auto"/>
              <w:right w:val="single" w:sz="8" w:color="auto"/>
            </w:tcBorders>
            <w:shd w:val="clear" w:color="auto" w:fill="CCEEFF"/>
          </w:tcPr>
          <w:p>
            <w:pPr>
              <w:spacing w:after="0"/>
              <w:rPr>
                <w:sz w:val="20"/>
                <w:szCs w:val="20"/>
                <w:color w:val="auto"/>
              </w:rPr>
            </w:pPr>
          </w:p>
        </w:tc>
        <w:tc>
          <w:tcPr>
            <w:tcW w:w="87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excluding Eliminations and other).</w:t>
            </w:r>
          </w:p>
        </w:tc>
      </w:tr>
      <w:tr>
        <w:trPr>
          <w:trHeight w:val="63"/>
        </w:trPr>
        <w:tc>
          <w:tcPr>
            <w:tcW w:w="25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8740" w:type="dxa"/>
            <w:vAlign w:val="bottom"/>
            <w:tcBorders>
              <w:bottom w:val="single" w:sz="8" w:color="auto"/>
              <w:right w:val="single" w:sz="8" w:color="auto"/>
            </w:tcBorders>
            <w:shd w:val="clear" w:color="auto" w:fill="CCEEFF"/>
          </w:tcPr>
          <w:p>
            <w:pPr>
              <w:spacing w:after="0"/>
              <w:rPr>
                <w:sz w:val="5"/>
                <w:szCs w:val="5"/>
                <w:color w:val="auto"/>
              </w:rPr>
            </w:pPr>
          </w:p>
        </w:tc>
      </w:tr>
      <w:tr>
        <w:trPr>
          <w:trHeight w:val="184"/>
        </w:trPr>
        <w:tc>
          <w:tcPr>
            <w:tcW w:w="25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Adjusted net income</w:t>
            </w:r>
          </w:p>
        </w:tc>
        <w:tc>
          <w:tcPr>
            <w:tcW w:w="874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Adjusted net income represents net income (a GAAP measure), excluding restructuring costs, acquisition</w:t>
            </w:r>
          </w:p>
        </w:tc>
      </w:tr>
      <w:tr>
        <w:trPr>
          <w:trHeight w:val="258"/>
        </w:trPr>
        <w:tc>
          <w:tcPr>
            <w:tcW w:w="2520" w:type="dxa"/>
            <w:vAlign w:val="bottom"/>
            <w:tcBorders>
              <w:left w:val="single" w:sz="8" w:color="auto"/>
              <w:bottom w:val="single" w:sz="8" w:color="auto"/>
              <w:right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4"/>
        </w:trPr>
        <w:tc>
          <w:tcPr>
            <w:tcW w:w="252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Arial" w:cs="Arial" w:eastAsia="Arial" w:hAnsi="Arial"/>
                <w:sz w:val="18"/>
                <w:szCs w:val="18"/>
                <w:color w:val="auto"/>
              </w:rPr>
              <w:t>Adjusted earnings per share</w:t>
            </w:r>
          </w:p>
        </w:tc>
        <w:tc>
          <w:tcPr>
            <w:tcW w:w="8740" w:type="dxa"/>
            <w:vAlign w:val="bottom"/>
            <w:tcBorders>
              <w:right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Adjusted EPS represents diluted earnings per share (a GAAP measure), excluding restructuring costs,</w:t>
            </w:r>
          </w:p>
        </w:tc>
      </w:tr>
      <w:tr>
        <w:trPr>
          <w:trHeight w:val="258"/>
        </w:trPr>
        <w:tc>
          <w:tcPr>
            <w:tcW w:w="25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(EPS)</w:t>
            </w:r>
          </w:p>
        </w:tc>
        <w:tc>
          <w:tcPr>
            <w:tcW w:w="87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4"/>
        </w:trPr>
        <w:tc>
          <w:tcPr>
            <w:tcW w:w="25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Adjusted effective tax rate</w:t>
            </w:r>
          </w:p>
        </w:tc>
        <w:tc>
          <w:tcPr>
            <w:tcW w:w="874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Adjusted effective tax rate represents the effective tax rate (a GAAP measure), excluding the tax impact of</w:t>
            </w:r>
          </w:p>
        </w:tc>
      </w:tr>
      <w:tr>
        <w:trPr>
          <w:trHeight w:val="258"/>
        </w:trPr>
        <w:tc>
          <w:tcPr>
            <w:tcW w:w="2520" w:type="dxa"/>
            <w:vAlign w:val="bottom"/>
            <w:tcBorders>
              <w:left w:val="single" w:sz="8" w:color="auto"/>
              <w:bottom w:val="single" w:sz="8" w:color="auto"/>
              <w:right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restructuring costs, acquisition 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Free cash flow</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Free cash flow represents cash flow from operations (a GAAP measure) less capital expenditures.</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Management believes free cash flow is a useful measure of liquidity and an additional basis for assessing</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RTX’s ability to fund its activities, including the financing of acquisitions, debt service, repurchases of RTX’s</w:t>
            </w:r>
          </w:p>
        </w:tc>
      </w:tr>
      <w:tr>
        <w:trPr>
          <w:trHeight w:val="234"/>
        </w:trPr>
        <w:tc>
          <w:tcPr>
            <w:tcW w:w="25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and distribution of earnings to shareowners.</w:t>
            </w:r>
          </w:p>
        </w:tc>
      </w:tr>
      <w:tr>
        <w:trPr>
          <w:trHeight w:val="20"/>
        </w:trPr>
        <w:tc>
          <w:tcPr>
            <w:tcW w:w="2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740" w:type="dxa"/>
            <w:vAlign w:val="bottom"/>
            <w:tcBorders>
              <w:right w:val="single" w:sz="8" w:color="auto"/>
            </w:tcBorders>
            <w:shd w:val="clear" w:color="auto" w:fill="000000"/>
          </w:tcPr>
          <w:p>
            <w:pPr>
              <w:spacing w:after="0" w:line="20" w:lineRule="exact"/>
              <w:rPr>
                <w:sz w:val="1"/>
                <w:szCs w:val="1"/>
                <w:color w:val="auto"/>
              </w:rPr>
            </w:pPr>
          </w:p>
        </w:tc>
      </w:tr>
    </w:tbl>
    <w:p>
      <w:pPr>
        <w:spacing w:after="0" w:line="33" w:lineRule="exact"/>
        <w:rPr>
          <w:sz w:val="20"/>
          <w:szCs w:val="20"/>
          <w:color w:val="auto"/>
        </w:rPr>
      </w:pPr>
    </w:p>
    <w:p>
      <w:pPr>
        <w:ind w:left="100" w:hanging="94"/>
        <w:spacing w:after="0"/>
        <w:tabs>
          <w:tab w:leader="none" w:pos="1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Net significant and/or non-recurring items represent significant nonoperational items and/or significant operational items that may occur at irregular intervals.</w:t>
      </w:r>
    </w:p>
    <w:p>
      <w:pPr>
        <w:spacing w:after="0" w:line="188" w:lineRule="exact"/>
        <w:rPr>
          <w:sz w:val="20"/>
          <w:szCs w:val="20"/>
          <w:color w:val="auto"/>
        </w:rPr>
      </w:pPr>
    </w:p>
    <w:p>
      <w:pPr>
        <w:ind w:right="360" w:firstLine="6"/>
        <w:spacing w:after="0" w:line="216" w:lineRule="auto"/>
        <w:tabs>
          <w:tab w:leader="none" w:pos="8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203" w:lineRule="exact"/>
        <w:rPr>
          <w:sz w:val="20"/>
          <w:szCs w:val="20"/>
          <w:color w:val="auto"/>
        </w:rPr>
      </w:pPr>
    </w:p>
    <w:p>
      <w:pPr>
        <w:ind w:right="100" w:firstLine="6"/>
        <w:spacing w:after="0" w:line="216" w:lineRule="auto"/>
        <w:tabs>
          <w:tab w:leader="none" w:pos="8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p>
      <w:pPr>
        <w:spacing w:after="0" w:line="199"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When we provide our expectation for adjusted net sales (also referred to as adjusted sales), organic sales, adjusted operating profit (loss) and margin percentage (ROS), adjusted segment operating profit (loss)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072" w:right="319" w:bottom="1440" w:gutter="0" w:footer="0" w:header="0"/>
        </w:sectPr>
      </w:pPr>
    </w:p>
    <w:bookmarkStart w:id="8" w:name="page9"/>
    <w:bookmarkEnd w:id="8"/>
    <w:p>
      <w:pPr>
        <w:ind w:right="40"/>
        <w:spacing w:after="0" w:line="287" w:lineRule="auto"/>
        <w:rPr>
          <w:sz w:val="20"/>
          <w:szCs w:val="20"/>
          <w:color w:val="auto"/>
        </w:rPr>
      </w:pPr>
      <w:r>
        <w:rPr>
          <w:rFonts w:ascii="Arial" w:cs="Arial" w:eastAsia="Arial" w:hAnsi="Arial"/>
          <w:sz w:val="16"/>
          <w:szCs w:val="16"/>
          <w:color w:val="auto"/>
        </w:rPr>
        <w:t>margin percentage (ROS), adjusted EPS, adjusted effective tax rate, and free cash flow, on a forward-looking basis, a reconciliation of the differences between the non-GAAP expectations and the corresponding GAAP measures, as described above, generally are not available without 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color w:val="auto"/>
        </w:rPr>
        <w:t>This press release contains statements which, to the extent they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historical or present fact, constitute “forward-looking statements” under the securities laws. These forward-looking statements are intended to provide RTX Corporation (“RTX”)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 “commit,” “commitment” and other words of</w:t>
      </w:r>
    </w:p>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similar meaning. Forward-looking statements may include, among other things, statements relating to future sales, earnings, cash flow, results of operations, uses of cash, share repurchases, tax payments and rates, research and development spending, cost savings, other measures of</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financial performance, potential future plans, strategies or transactions, credit ratings and net indebtedness, the Pratt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(1) the effect of changes in economic, capital market and political conditions in the U.S. and globally; (2) changes in U.S. government defense spending, national priorities and policy positions; (3) our performance on our contracts and programs, including our ability to control costs and our dependence on U.S. government approvals for certain international contracts; (4) challenges in the development, certification, production, delivery, support and performance of RTX’s advanced technologies and new products and services and the realization of the anticipated benefits; (5) challenges of operating in RTX’s highly-competitive industries both domestically and abroad; (6) our reliance on</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U.S. and non-U.S. suppliers and commodity markets, including cost increases and disruptions in the delivery of materials and services to RTX or our suppliers; (7) changes in trade policies, implementation of sanctions, imposition of tariffs (and counter-tariffs) and other trade measures and</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restrictions, foreign currency fluctuations, and sales methods; (8) the economic conditions of the aerospace industry; (9) the ability of RTX to attract, train, qualify, and retain qualified personnel and maintain its culture and high ethical standards, and the ability of our personnel to continue to operate our facilities and businesses around the world; (10) the scope, nature, timing and challenges of managing and completing acquisitions, investments, divestitures and other transactions; (11) compliance with legal, environmental, regulatory and other requirements in the U.S. and other countries in which RTX and its businesses operate; (12) the outcome of pending, threatened and future legal proceedings, investigations, audits and other contingencies; (13) the previously-disclosed deferred prosecution agreements entered into between the Company and the Department of Justice (DOJ), the Securities and Exchange Commission (SEC) administrative order imposed on the Company, and the related investigations by the SEC and DOJ, and the consent agreement between the Company and the Department of State; (14) RTX’s ability to engage in desirable capital-raising or strategic transactions; (15) the timing and scope of future repurchases by RTX of its common stock or declarations of cash dividends, which may be discontinued, accelerated, suspended or delayed at any time due to various factors; (16) realizing expected benefits from, incurring costs for, and successfully managing, strategic initiatives such as cost reduction, restructuring, digital</w:t>
      </w:r>
    </w:p>
    <w:p>
      <w:pPr>
        <w:spacing w:after="0" w:line="18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transformation and other operational initiatives; (17) additional tax exposures due to new tax legislation or other developments in the U.S. and other countries in which RTX and its businesses operate; (18) the identified rare condition in powder metal used to manufacture certain Pratt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Whitney engine parts requiring accelerated removals and inspections of a significant portion of the PW1100G-JM Geared Turbofan (GTF) fleet;</w:t>
      </w:r>
    </w:p>
    <w:p>
      <w:pPr>
        <w:spacing w:after="0" w:line="14" w:lineRule="exact"/>
        <w:rPr>
          <w:sz w:val="20"/>
          <w:szCs w:val="20"/>
          <w:color w:val="auto"/>
        </w:rPr>
      </w:pPr>
    </w:p>
    <w:p>
      <w:pPr>
        <w:ind w:right="340" w:firstLine="6"/>
        <w:spacing w:after="0" w:line="234" w:lineRule="auto"/>
        <w:tabs>
          <w:tab w:leader="none" w:pos="36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production volumes of one or more of our significant customers as a result of business, labor, or other challenges, and the resulting effect on its or their demand for our products and services; (20) an RTX product safety failure, quality issue or other failure affecting RTX’s or its customers’ or suppliers’ products or systems; (21) cybersecurity, including cyber-attacks on RTX’s information technology infrastructure, products,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72" w:right="339" w:bottom="1440" w:gutter="0" w:footer="0" w:header="0"/>
        </w:sectPr>
      </w:pPr>
    </w:p>
    <w:bookmarkStart w:id="9" w:name="page10"/>
    <w:bookmarkEnd w:id="9"/>
    <w:p>
      <w:pPr>
        <w:ind w:right="160"/>
        <w:spacing w:after="0" w:line="261" w:lineRule="auto"/>
        <w:rPr>
          <w:sz w:val="20"/>
          <w:szCs w:val="20"/>
          <w:color w:val="auto"/>
        </w:rPr>
      </w:pPr>
      <w:r>
        <w:rPr>
          <w:rFonts w:ascii="Arial" w:cs="Arial" w:eastAsia="Arial" w:hAnsi="Arial"/>
          <w:sz w:val="16"/>
          <w:szCs w:val="16"/>
          <w:color w:val="auto"/>
        </w:rPr>
        <w:t>customers and partners, and cybersecurity-related regulations; (22) insufficient indemnity or insurance coverage; (23) artificial intelligence and other technological developments; (24) our intellectual property and certain third-party intellectual property; (25) threats to RTX facilities and personnel, or those of its suppliers or customers, as well as public health crises, damaging weather, acts of nature or other similar events outside of RTX’s control that may affect RTX or its suppliers or customers; (26) the effect of changes in accounting estimates for our programs on our financial results; (27) the effect of changes in pension and other postretirement plan estimates and assumptions and contributions; (28) an impairment of goodwill and other intangible assets; (29) the effects of climate change and climate-related regulations, customer and market</w:t>
      </w:r>
    </w:p>
    <w:p>
      <w:pPr>
        <w:spacing w:after="0" w:line="2"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demands, products and technologies; and (30) the intended qualification of (1) the United Technologies Corporation (UTC) and Raytheon Company merger as a tax-free reorganization and (2) the spin-offs by UTC of Otis Worldwide Corporation and Carrier Global Corporation into</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separate independent companies and other internal restructurings as tax-free to us (formerly known as UTC) and former UTC shareowners, in each case, for U.S. federal income tax purposes. For additional information on identifying factors that may cause actual results to differ materially from those stated in forward-looking statements, see the reports of RTX filed with or furnished to the Securities and Exchange Commission from time to time, including our most recent Annual Report on Form 10-K, Quarterly Reports on Form 10-Q and Current Reports on Form 8-K. Any forward-looking statement speaks only as of the date on which it is made, and RTX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05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2220" w:type="dxa"/>
            <w:vAlign w:val="bottom"/>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8"/>
        </w:trPr>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22,478</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64,365</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59,115</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17,898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51,293</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47,940</w:t>
            </w: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684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2,018</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1,436</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4,457</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0" w:type="dxa"/>
            <w:vAlign w:val="bottom"/>
          </w:tcPr>
          <w:p>
            <w:pPr>
              <w:spacing w:after="0"/>
              <w:rPr>
                <w:sz w:val="1"/>
                <w:szCs w:val="1"/>
                <w:color w:val="auto"/>
              </w:rPr>
            </w:pPr>
          </w:p>
        </w:tc>
      </w:tr>
      <w:tr>
        <w:trPr>
          <w:trHeight w:val="217"/>
        </w:trPr>
        <w:tc>
          <w:tcPr>
            <w:tcW w:w="6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20,018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57,768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54,298</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63</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107</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17"/>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18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2,523</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6,704</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0" w:type="dxa"/>
            <w:vAlign w:val="bottom"/>
          </w:tcPr>
          <w:p>
            <w:pPr>
              <w:spacing w:after="0"/>
              <w:rPr>
                <w:sz w:val="1"/>
                <w:szCs w:val="1"/>
                <w:color w:val="auto"/>
              </w:rPr>
            </w:pPr>
          </w:p>
        </w:tc>
      </w:tr>
      <w:tr>
        <w:trPr>
          <w:trHeight w:val="228"/>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449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1,349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0" w:type="dxa"/>
            <w:vAlign w:val="bottom"/>
          </w:tcPr>
          <w:p>
            <w:pPr>
              <w:spacing w:after="0"/>
              <w:rPr>
                <w:sz w:val="1"/>
                <w:szCs w:val="1"/>
                <w:color w:val="auto"/>
              </w:rPr>
            </w:pPr>
          </w:p>
        </w:tc>
      </w:tr>
      <w:tr>
        <w:trPr>
          <w:trHeight w:val="22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2,438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6,436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432</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1,080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2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2,006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5,356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88</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246</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27"/>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1,918</w:t>
            </w:r>
          </w:p>
        </w:tc>
        <w:tc>
          <w:tcPr>
            <w:tcW w:w="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5,110</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1.43</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3.81</w:t>
            </w:r>
          </w:p>
        </w:tc>
        <w:tc>
          <w:tcPr>
            <w:tcW w:w="4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1.41</w:t>
            </w:r>
          </w:p>
        </w:tc>
        <w:tc>
          <w:tcPr>
            <w:tcW w:w="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3.77</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 shares</w:t>
            </w:r>
          </w:p>
        </w:tc>
        <w:tc>
          <w:tcPr>
            <w:tcW w:w="18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1,343.1</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1,340.2</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1,331.4</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 shares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1,358.4</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1,354.7</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9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Net Sales and Operating Profit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04"/>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7,621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7,621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7,075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7,075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22,460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22,460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20,747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20,747</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8,423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8,423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7,239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7,239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23,420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23,420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20,497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20,497</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7,045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7,045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6,386</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6,386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20,386</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20,386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19,556</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19,626</w:t>
            </w: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23,089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23,089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20,700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20,700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66,266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66,266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60,800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60,870</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Eliminations and other</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(611)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(611)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(611)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(611)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(1,901)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(1,901)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(1,685)</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(1,685)</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22,478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22,478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20,089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20,089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64,365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64,365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59,115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59,185</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Profit (Loss)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1,260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1,194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1,062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1,096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3,521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3,670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3,029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3,289</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751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597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1,823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1,949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1,511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1,564</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859</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859</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647</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661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2,342</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2,346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1,770</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2,870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2,804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2,266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2,354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7,686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7,965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6,310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6,853</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Eliminations and other</w:t>
            </w:r>
          </w:p>
        </w:tc>
        <w:tc>
          <w:tcPr>
            <w:tcW w:w="140" w:type="dxa"/>
            <w:vAlign w:val="bottom"/>
          </w:tcPr>
          <w:p>
            <w:pPr>
              <w:spacing w:after="0"/>
              <w:rPr>
                <w:sz w:val="19"/>
                <w:szCs w:val="19"/>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9"/>
                <w:szCs w:val="19"/>
                <w:color w:val="auto"/>
              </w:rPr>
            </w:pP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9"/>
                <w:szCs w:val="19"/>
                <w:color w:val="auto"/>
              </w:rPr>
            </w:pPr>
          </w:p>
        </w:tc>
        <w:tc>
          <w:tcPr>
            <w:tcW w:w="9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Corporate expenses and other</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(110)</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(926)</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items</w:t>
            </w: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FAS/CAS operating adjustment</w:t>
            </w:r>
          </w:p>
        </w:tc>
        <w:tc>
          <w:tcPr>
            <w:tcW w:w="140" w:type="dxa"/>
            <w:vAlign w:val="bottom"/>
          </w:tcPr>
          <w:p>
            <w:pPr>
              <w:spacing w:after="0"/>
              <w:rPr>
                <w:sz w:val="19"/>
                <w:szCs w:val="19"/>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199</w:t>
            </w:r>
          </w:p>
        </w:tc>
        <w:tc>
          <w:tcPr>
            <w:tcW w:w="160" w:type="dxa"/>
            <w:vAlign w:val="bottom"/>
          </w:tcPr>
          <w:p>
            <w:pPr>
              <w:spacing w:after="0"/>
              <w:rPr>
                <w:sz w:val="19"/>
                <w:szCs w:val="19"/>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199</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210</w:t>
            </w:r>
          </w:p>
        </w:tc>
        <w:tc>
          <w:tcPr>
            <w:tcW w:w="16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tcPr>
          <w:p>
            <w:pPr>
              <w:spacing w:after="0"/>
              <w:rPr>
                <w:sz w:val="19"/>
                <w:szCs w:val="19"/>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570</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636</w:t>
            </w:r>
          </w:p>
        </w:tc>
        <w:tc>
          <w:tcPr>
            <w:tcW w:w="16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accounting adjustments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(507)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(534)</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(1,464)</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(1,538)</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2,523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2,966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2,479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6,704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8,422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4,427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7,331</w:t>
            </w: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Operating Profit Margin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16.5 %</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16.3 %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8.3 %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11.5 %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12.0 %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9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8"/>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80" w:type="dxa"/>
            <w:vAlign w:val="bottom"/>
          </w:tcPr>
          <w:p>
            <w:pPr>
              <w:spacing w:after="0"/>
              <w:rPr>
                <w:sz w:val="17"/>
                <w:szCs w:val="17"/>
                <w:color w:val="auto"/>
              </w:rPr>
            </w:pPr>
          </w:p>
        </w:tc>
        <w:tc>
          <w:tcPr>
            <w:tcW w:w="148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7"/>
                <w:szCs w:val="17"/>
                <w:color w:val="auto"/>
              </w:rPr>
            </w:pPr>
          </w:p>
        </w:tc>
        <w:tc>
          <w:tcPr>
            <w:tcW w:w="142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(Unaudited)</w:t>
            </w:r>
          </w:p>
        </w:tc>
      </w:tr>
      <w:tr>
        <w:trPr>
          <w:trHeight w:val="24"/>
        </w:trPr>
        <w:tc>
          <w:tcPr>
            <w:tcW w:w="6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5,966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5,578</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12,837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10,976</w:t>
            </w:r>
          </w:p>
        </w:tc>
      </w:tr>
      <w:tr>
        <w:trPr>
          <w:trHeight w:val="220"/>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assets, net</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16,604</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14,570</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13,806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12,768</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 current</w:t>
            </w: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7,905</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7,241</w:t>
            </w:r>
          </w:p>
        </w:tc>
      </w:tr>
      <w:tr>
        <w:trPr>
          <w:trHeight w:val="221"/>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57,118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51,133</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2,071</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 net</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16,325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1,899</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53,311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32,260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33,443</w:t>
            </w:r>
          </w:p>
        </w:tc>
      </w:tr>
      <w:tr>
        <w:trPr>
          <w:trHeight w:val="224"/>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5,688</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r>
      <w:tr>
        <w:trPr>
          <w:trHeight w:val="22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168,672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r>
        <w:trPr>
          <w:trHeight w:val="198"/>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2"/>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14,552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2,937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14,835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14,831</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20,111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584</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1"/>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53,234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38,260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38,726</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1,650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88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1,981</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w:t>
            </w:r>
          </w:p>
        </w:tc>
      </w:tr>
      <w:tr>
        <w:trPr>
          <w:trHeight w:val="224"/>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7,154</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w:t>
            </w:r>
          </w:p>
        </w:tc>
      </w:tr>
      <w:tr>
        <w:trPr>
          <w:trHeight w:val="217"/>
        </w:trPr>
        <w:tc>
          <w:tcPr>
            <w:tcW w:w="6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102,279</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100,903</w:t>
            </w:r>
          </w:p>
        </w:tc>
      </w:tr>
      <w:tr>
        <w:trPr>
          <w:trHeight w:val="22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37,869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37,434</w:t>
            </w:r>
          </w:p>
        </w:tc>
      </w:tr>
      <w:tr>
        <w:trPr>
          <w:trHeight w:val="220"/>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Treasury stock</w:t>
            </w:r>
          </w:p>
        </w:tc>
        <w:tc>
          <w:tcPr>
            <w:tcW w:w="1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(26,937)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r>
      <w:tr>
        <w:trPr>
          <w:trHeight w:val="228"/>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56,014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53,589</w:t>
            </w:r>
          </w:p>
        </w:tc>
      </w:tr>
      <w:tr>
        <w:trPr>
          <w:trHeight w:val="220"/>
        </w:trPr>
        <w:tc>
          <w:tcPr>
            <w:tcW w:w="6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21"/>
        </w:trPr>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64,514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60,156</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1,845</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217"/>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equity</w:t>
            </w:r>
          </w:p>
        </w:tc>
        <w:tc>
          <w:tcPr>
            <w:tcW w:w="18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66,359</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w:t>
            </w:r>
          </w:p>
        </w:tc>
      </w:tr>
      <w:tr>
        <w:trPr>
          <w:trHeight w:val="22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 and equity</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168,672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59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220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2,006</w:t>
            </w:r>
          </w:p>
        </w:tc>
        <w:tc>
          <w:tcPr>
            <w:tcW w:w="3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5,356</w:t>
            </w:r>
          </w:p>
        </w:tc>
        <w:tc>
          <w:tcPr>
            <w:tcW w:w="4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 from:</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1,091</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3,219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477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Stock compensation cost</w:t>
            </w:r>
          </w:p>
        </w:tc>
        <w:tc>
          <w:tcPr>
            <w:tcW w:w="12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113</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337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Net periodic pension income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12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128</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435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Cybersecurity, Intelligence and Services business, net of transaction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0"/>
        </w:trPr>
        <w:tc>
          <w:tcPr>
            <w:tcW w:w="6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Contract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Inventory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182</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2,237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2,096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Contract liabilities</w:t>
            </w:r>
          </w:p>
        </w:tc>
        <w:tc>
          <w:tcPr>
            <w:tcW w:w="12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986</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1,329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24"/>
        </w:trPr>
        <w:tc>
          <w:tcPr>
            <w:tcW w:w="6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4,639</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6,402</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1,188</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1,188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Receipts from settlements of derivative contracts,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187</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flows provided by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471</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commercial paper, net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44</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1,177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398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4,827</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5,606</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6,004</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6,004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38</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5,966</w:t>
            </w:r>
          </w:p>
        </w:tc>
        <w:tc>
          <w:tcPr>
            <w:tcW w:w="3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6,682</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5,966</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Sales, Adjusted Operating Profit &amp; Operating Profit Margin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20" w:type="dxa"/>
            <w:vAlign w:val="bottom"/>
          </w:tcPr>
          <w:p>
            <w:pPr>
              <w:spacing w:after="0"/>
              <w:rPr>
                <w:sz w:val="13"/>
                <w:szCs w:val="13"/>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 Income (Expense))</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Collins Aerospace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7,621</w:t>
            </w:r>
          </w:p>
        </w:tc>
        <w:tc>
          <w:tcPr>
            <w:tcW w:w="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7,075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22,460</w:t>
            </w:r>
          </w:p>
        </w:tc>
        <w:tc>
          <w:tcPr>
            <w:tcW w:w="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20,747</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1,260</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3,521</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3,029</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(169)</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Gain on sale of business, net of transaction and other related costs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95</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04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Charge associated with initiating alternative titanium sources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Segment and portfolio transformation and divestiture costs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(75)</w:t>
            </w: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2"/>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1,194</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3,670</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15.7%</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16.3%</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Pratt &amp; Whitney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8,423</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7,239</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23,420</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20,497</w:t>
            </w:r>
          </w:p>
        </w:tc>
        <w:tc>
          <w:tcPr>
            <w:tcW w:w="0" w:type="dxa"/>
            <w:vAlign w:val="bottom"/>
          </w:tcPr>
          <w:p>
            <w:pPr>
              <w:spacing w:after="0"/>
              <w:rPr>
                <w:sz w:val="1"/>
                <w:szCs w:val="1"/>
                <w:color w:val="auto"/>
              </w:rPr>
            </w:pPr>
          </w:p>
        </w:tc>
      </w:tr>
      <w:tr>
        <w:trPr>
          <w:trHeight w:val="204"/>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751</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1,823</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settlement</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Expected settlement of a litigation matter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Customer bankruptcy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751</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1,949</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17"/>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8.9%</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Raytheon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7,045</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20,386</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19,556</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auto"/>
            </w:tcBorders>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Contract termination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2"/>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7,045</w:t>
            </w:r>
          </w:p>
        </w:tc>
        <w:tc>
          <w:tcPr>
            <w:tcW w:w="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20,386</w:t>
            </w:r>
          </w:p>
        </w:tc>
        <w:tc>
          <w:tcPr>
            <w:tcW w:w="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19,626</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859</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2,342</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1,770</w:t>
            </w:r>
          </w:p>
        </w:tc>
        <w:tc>
          <w:tcPr>
            <w:tcW w:w="0" w:type="dxa"/>
            <w:vAlign w:val="bottom"/>
          </w:tcPr>
          <w:p>
            <w:pPr>
              <w:spacing w:after="0"/>
              <w:rPr>
                <w:sz w:val="1"/>
                <w:szCs w:val="1"/>
                <w:color w:val="auto"/>
              </w:rPr>
            </w:pPr>
          </w:p>
        </w:tc>
      </w:tr>
      <w:tr>
        <w:trPr>
          <w:trHeight w:val="209"/>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Gain on sale of business, net of transaction and other related costs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Contract termination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04"/>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859</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2,346</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7"/>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12.2%</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11.5%</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 and Other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(611)</w:t>
            </w:r>
          </w:p>
        </w:tc>
        <w:tc>
          <w:tcPr>
            <w:tcW w:w="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(1,901)</w:t>
            </w:r>
          </w:p>
        </w:tc>
        <w:tc>
          <w:tcPr>
            <w:tcW w:w="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Gain on Investment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expenses and other unallocated items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1"/>
        </w:trPr>
        <w:tc>
          <w:tcPr>
            <w:tcW w:w="704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Segment and portfolio transformation and divestiture costs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Legal matters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(94)</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FAS/CAS Operating Adjustment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570</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9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Accounting Adjustments</w:t>
            </w:r>
          </w:p>
        </w:tc>
        <w:tc>
          <w:tcPr>
            <w:tcW w:w="9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loss</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(507)</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(534)</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(1,464)</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(1,538)</w:t>
            </w:r>
          </w:p>
        </w:tc>
      </w:tr>
      <w:tr>
        <w:trPr>
          <w:trHeight w:val="20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(507)</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(534)</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(1,464)</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(1,538)</w:t>
            </w:r>
          </w:p>
        </w:tc>
      </w:tr>
      <w:tr>
        <w:trPr>
          <w:trHeight w:val="213"/>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RTX Consolidated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22,478</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20,089</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64,365</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59,115</w:t>
            </w:r>
          </w:p>
        </w:tc>
      </w:tr>
      <w:tr>
        <w:trPr>
          <w:trHeight w:val="211"/>
        </w:trPr>
        <w:tc>
          <w:tcPr>
            <w:tcW w:w="63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Net sales above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(70)</w:t>
            </w:r>
          </w:p>
        </w:tc>
      </w:tr>
      <w:tr>
        <w:trPr>
          <w:trHeight w:val="202"/>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sales</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22,478</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20,089</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64,365</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59,185</w:t>
            </w:r>
          </w:p>
        </w:tc>
      </w:tr>
      <w:tr>
        <w:trPr>
          <w:trHeight w:val="204"/>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2,523</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6,704</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4,427</w:t>
            </w:r>
          </w:p>
        </w:tc>
      </w:tr>
      <w:tr>
        <w:trPr>
          <w:trHeight w:val="21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(202)</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w:t>
            </w:r>
          </w:p>
        </w:tc>
      </w:tr>
      <w:tr>
        <w:trPr>
          <w:trHeight w:val="209"/>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9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(507)</w:t>
            </w:r>
          </w:p>
        </w:tc>
        <w:tc>
          <w:tcPr>
            <w:tcW w:w="3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(534)</w:t>
            </w:r>
          </w:p>
        </w:tc>
        <w:tc>
          <w:tcPr>
            <w:tcW w:w="34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(1,464)</w:t>
            </w:r>
          </w:p>
        </w:tc>
        <w:tc>
          <w:tcPr>
            <w:tcW w:w="36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(1,538)</w:t>
            </w:r>
          </w:p>
        </w:tc>
      </w:tr>
      <w:tr>
        <w:trPr>
          <w:trHeight w:val="213"/>
        </w:trPr>
        <w:tc>
          <w:tcPr>
            <w:tcW w:w="6340" w:type="dxa"/>
            <w:vAlign w:val="bottom"/>
            <w:tcBorders>
              <w:bottom w:val="single" w:sz="8" w:color="auto"/>
            </w:tcBorders>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Operating profit above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128</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(1,251)</w:t>
            </w:r>
          </w:p>
        </w:tc>
      </w:tr>
      <w:tr>
        <w:trPr>
          <w:trHeight w:val="211"/>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2,966</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2,479</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8,422</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7,331</w:t>
            </w: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 Earnings Per Share, and Effective Tax Rate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20" w:type="dxa"/>
            <w:vAlign w:val="bottom"/>
          </w:tcPr>
          <w:p>
            <w:pPr>
              <w:spacing w:after="0"/>
              <w:rPr>
                <w:sz w:val="13"/>
                <w:szCs w:val="13"/>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 Income (Expense))</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shareowners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1,918</w:t>
            </w:r>
          </w:p>
        </w:tc>
        <w:tc>
          <w:tcPr>
            <w:tcW w:w="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5,110</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3,292</w:t>
            </w:r>
          </w:p>
        </w:tc>
        <w:tc>
          <w:tcPr>
            <w:tcW w:w="0" w:type="dxa"/>
            <w:vAlign w:val="bottom"/>
          </w:tcPr>
          <w:p>
            <w:pPr>
              <w:spacing w:after="0"/>
              <w:rPr>
                <w:sz w:val="1"/>
                <w:szCs w:val="1"/>
                <w:color w:val="auto"/>
              </w:rPr>
            </w:pPr>
          </w:p>
        </w:tc>
      </w:tr>
      <w:tr>
        <w:trPr>
          <w:trHeight w:val="209"/>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Restructuring</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Acquisition accounting adjustments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(1,464)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1"/>
        </w:trPr>
        <w:tc>
          <w:tcPr>
            <w:tcW w:w="716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Operating profit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83</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Non-service Pension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Non-service pension restructuring</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Pension curtailment related to sale of business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non-recurring and non-operational items included in Interest Expense, Net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340"/>
              <w:spacing w:after="0" w:line="212"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1"/>
        </w:trPr>
        <w:tc>
          <w:tcPr>
            <w:tcW w:w="716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International tax matter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restructuring and net significant and/or non-recurring items above</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330</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2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Income Tax Expense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0"/>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Noncontrolling Interest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 share of charges related to an insurance settlement</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Less: Impact on net income attributable to common shareowners</w:t>
            </w:r>
          </w:p>
        </w:tc>
        <w:tc>
          <w:tcPr>
            <w:tcW w:w="22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(393)</w:t>
            </w:r>
          </w:p>
        </w:tc>
        <w:tc>
          <w:tcPr>
            <w:tcW w:w="40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(1,310)</w:t>
            </w:r>
          </w:p>
        </w:tc>
        <w:tc>
          <w:tcPr>
            <w:tcW w:w="42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(2,342)</w:t>
            </w:r>
          </w:p>
        </w:tc>
        <w:tc>
          <w:tcPr>
            <w:tcW w:w="0" w:type="dxa"/>
            <w:vAlign w:val="bottom"/>
          </w:tcPr>
          <w:p>
            <w:pPr>
              <w:spacing w:after="0"/>
              <w:rPr>
                <w:sz w:val="1"/>
                <w:szCs w:val="1"/>
                <w:color w:val="auto"/>
              </w:rPr>
            </w:pPr>
          </w:p>
        </w:tc>
      </w:tr>
      <w:tr>
        <w:trPr>
          <w:trHeight w:val="218"/>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attributable to common shareowners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2,311</w:t>
            </w:r>
          </w:p>
        </w:tc>
        <w:tc>
          <w:tcPr>
            <w:tcW w:w="4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1,948</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6,420</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5,634</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1.41</w:t>
            </w:r>
          </w:p>
        </w:tc>
        <w:tc>
          <w:tcPr>
            <w:tcW w:w="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3.77</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2.45</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Impact on Diluted Earnings Per Share</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(0.29)</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(0.97)</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1.70</w:t>
            </w:r>
          </w:p>
        </w:tc>
        <w:tc>
          <w:tcPr>
            <w:tcW w:w="4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4.74</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4.20</w:t>
            </w:r>
          </w:p>
        </w:tc>
        <w:tc>
          <w:tcPr>
            <w:tcW w:w="0" w:type="dxa"/>
            <w:vAlign w:val="bottom"/>
          </w:tcPr>
          <w:p>
            <w:pPr>
              <w:spacing w:after="0"/>
              <w:rPr>
                <w:sz w:val="1"/>
                <w:szCs w:val="1"/>
                <w:color w:val="auto"/>
              </w:rPr>
            </w:pPr>
          </w:p>
        </w:tc>
      </w:tr>
      <w:tr>
        <w:trPr>
          <w:trHeight w:val="79"/>
        </w:trPr>
        <w:tc>
          <w:tcPr>
            <w:tcW w:w="7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Diluted</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1,358.4</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1,346.2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1,354.7</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1,341.8</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Impact of dilutive shares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1,358.4</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1,346.2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1,354.7</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1,341.8</w:t>
            </w:r>
          </w:p>
        </w:tc>
        <w:tc>
          <w:tcPr>
            <w:tcW w:w="0" w:type="dxa"/>
            <w:vAlign w:val="bottom"/>
          </w:tcPr>
          <w:p>
            <w:pPr>
              <w:spacing w:after="0"/>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17.7%</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16.8%</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17.5%</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Impact on Effective Tax Rate</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Effective Tax Rate</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16.7%</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15.3%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18.1%</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17.6%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9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Profit Margin and Adjusted Segment Operating Profit Margin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40" w:type="dxa"/>
            <w:vAlign w:val="bottom"/>
          </w:tcPr>
          <w:p>
            <w:pPr>
              <w:spacing w:after="0"/>
              <w:rPr>
                <w:sz w:val="16"/>
                <w:szCs w:val="16"/>
                <w:color w:val="auto"/>
              </w:rPr>
            </w:pPr>
          </w:p>
        </w:tc>
        <w:tc>
          <w:tcPr>
            <w:tcW w:w="236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22,478</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64,365</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59,115</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Reconciliation to segment net sales: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Eliminations and other</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611</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1,901</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Sales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23,089</w:t>
            </w: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20,700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66,266</w:t>
            </w: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60,800</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to adjusted segment net sales: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Net significant and/or non-recurring items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Net Sales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23,089</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66,266</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60,870</w:t>
            </w:r>
          </w:p>
        </w:tc>
        <w:tc>
          <w:tcPr>
            <w:tcW w:w="0" w:type="dxa"/>
            <w:vAlign w:val="bottom"/>
          </w:tcPr>
          <w:p>
            <w:pPr>
              <w:spacing w:after="0"/>
              <w:rPr>
                <w:sz w:val="1"/>
                <w:szCs w:val="1"/>
                <w:color w:val="auto"/>
              </w:rPr>
            </w:pPr>
          </w:p>
        </w:tc>
      </w:tr>
      <w:tr>
        <w:trPr>
          <w:trHeight w:val="251"/>
        </w:trPr>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2,523</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6,704</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4,427</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 Margin</w:t>
            </w: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11.2 %</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to segment operating profit: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Eliminations and other</w:t>
            </w:r>
          </w:p>
        </w:tc>
        <w:tc>
          <w:tcPr>
            <w:tcW w:w="22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14</w:t>
            </w:r>
          </w:p>
        </w:tc>
        <w:tc>
          <w:tcPr>
            <w:tcW w:w="42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w:t>
            </w:r>
          </w:p>
        </w:tc>
        <w:tc>
          <w:tcPr>
            <w:tcW w:w="440" w:type="dxa"/>
            <w:vAlign w:val="bottom"/>
          </w:tcPr>
          <w:p>
            <w:pPr>
              <w:spacing w:after="0"/>
              <w:rPr>
                <w:sz w:val="18"/>
                <w:szCs w:val="18"/>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expenses and other unallocated items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110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09"/>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FAS/CAS operating adjustment</w:t>
            </w:r>
          </w:p>
        </w:tc>
        <w:tc>
          <w:tcPr>
            <w:tcW w:w="220" w:type="dxa"/>
            <w:vAlign w:val="bottom"/>
          </w:tcPr>
          <w:p>
            <w:pPr>
              <w:spacing w:after="0"/>
              <w:rPr>
                <w:sz w:val="18"/>
                <w:szCs w:val="18"/>
                <w:color w:val="auto"/>
              </w:rPr>
            </w:pP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(199)</w:t>
            </w:r>
          </w:p>
        </w:tc>
        <w:tc>
          <w:tcPr>
            <w:tcW w:w="42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(570)</w:t>
            </w:r>
          </w:p>
        </w:tc>
        <w:tc>
          <w:tcPr>
            <w:tcW w:w="440" w:type="dxa"/>
            <w:vAlign w:val="bottom"/>
          </w:tcPr>
          <w:p>
            <w:pPr>
              <w:spacing w:after="0"/>
              <w:rPr>
                <w:sz w:val="18"/>
                <w:szCs w:val="18"/>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507</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1,464</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2,870</w:t>
            </w: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7,686</w:t>
            </w: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6,310</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Profit Margin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12.4 %</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Reconciliation to adjusted segment operating profit: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Net significant and/or non-recurring items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(88)</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Profit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2,804</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7,965</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6,853</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Segment Operating Profit Margin</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12.1 %</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5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0" w:type="dxa"/>
            <w:vAlign w:val="bottom"/>
          </w:tcPr>
          <w:p>
            <w:pPr>
              <w:spacing w:after="0"/>
              <w:rPr>
                <w:sz w:val="1"/>
                <w:szCs w:val="1"/>
                <w:color w:val="auto"/>
              </w:rPr>
            </w:pPr>
          </w:p>
        </w:tc>
      </w:tr>
      <w:tr>
        <w:trPr>
          <w:trHeight w:val="198"/>
        </w:trPr>
        <w:tc>
          <w:tcPr>
            <w:tcW w:w="8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4"/>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260" w:type="dxa"/>
            <w:vAlign w:val="bottom"/>
            <w:vMerge w:val="continue"/>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4,639</w:t>
            </w:r>
          </w:p>
        </w:tc>
        <w:tc>
          <w:tcPr>
            <w:tcW w:w="50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4,025</w:t>
            </w:r>
          </w:p>
        </w:tc>
        <w:tc>
          <w:tcPr>
            <w:tcW w:w="5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424"/>
        </w:trPr>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3"/>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(Unaudited)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6,402</w:t>
            </w:r>
          </w:p>
        </w:tc>
        <w:tc>
          <w:tcPr>
            <w:tcW w:w="5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4,745</w:t>
            </w:r>
          </w:p>
        </w:tc>
        <w:tc>
          <w:tcPr>
            <w:tcW w:w="5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59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Sales Reconciliation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gridSpan w:val="8"/>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Quarter ended September 30, 2025 compared to the Quarter Ended September 30, 2024</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6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60" w:type="dxa"/>
            <w:vAlign w:val="bottom"/>
          </w:tcPr>
          <w:p>
            <w:pPr>
              <w:spacing w:after="0"/>
              <w:rPr>
                <w:sz w:val="10"/>
                <w:szCs w:val="10"/>
                <w:color w:val="auto"/>
              </w:rPr>
            </w:pPr>
          </w:p>
        </w:tc>
        <w:tc>
          <w:tcPr>
            <w:tcW w:w="1200" w:type="dxa"/>
            <w:vAlign w:val="bottom"/>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Total Reported</w:t>
            </w:r>
          </w:p>
        </w:tc>
        <w:tc>
          <w:tcPr>
            <w:tcW w:w="200" w:type="dxa"/>
            <w:vAlign w:val="bottom"/>
          </w:tcPr>
          <w:p>
            <w:pPr>
              <w:spacing w:after="0"/>
              <w:rPr>
                <w:sz w:val="10"/>
                <w:szCs w:val="10"/>
                <w:color w:val="auto"/>
              </w:rPr>
            </w:pPr>
          </w:p>
        </w:tc>
        <w:tc>
          <w:tcPr>
            <w:tcW w:w="1220" w:type="dxa"/>
            <w:vAlign w:val="bottom"/>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Acquisitions &amp;</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FX / Other Change </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Change</w:t>
            </w:r>
          </w:p>
        </w:tc>
        <w:tc>
          <w:tcPr>
            <w:tcW w:w="1400" w:type="dxa"/>
            <w:vAlign w:val="bottom"/>
            <w:gridSpan w:val="2"/>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rPr>
              <w:t>Prior Year Adjusted</w:t>
            </w:r>
          </w:p>
        </w:tc>
        <w:tc>
          <w:tcPr>
            <w:tcW w:w="15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Organic Change as a %</w:t>
            </w: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 Change</w:t>
            </w: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9"/>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Sales </w:t>
            </w:r>
            <w:r>
              <w:rPr>
                <w:rFonts w:ascii="Times New Roman" w:cs="Times New Roman" w:eastAsia="Times New Roman" w:hAnsi="Times New Roman"/>
                <w:sz w:val="18"/>
                <w:szCs w:val="18"/>
                <w:b w:val="1"/>
                <w:bCs w:val="1"/>
                <w:color w:val="auto"/>
                <w:vertAlign w:val="superscript"/>
              </w:rPr>
              <w:t>(1)</w:t>
            </w: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of Adjusted Sales</w:t>
            </w:r>
          </w:p>
        </w:tc>
        <w:tc>
          <w:tcPr>
            <w:tcW w:w="0" w:type="dxa"/>
            <w:vAlign w:val="bottom"/>
          </w:tcPr>
          <w:p>
            <w:pPr>
              <w:spacing w:after="0"/>
              <w:rPr>
                <w:sz w:val="1"/>
                <w:szCs w:val="1"/>
                <w:color w:val="auto"/>
              </w:rPr>
            </w:pPr>
          </w:p>
        </w:tc>
      </w:tr>
      <w:tr>
        <w:trPr>
          <w:trHeight w:val="217"/>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auto"/>
            </w:tcBorders>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Eliminations and Other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280" w:hanging="314"/>
        <w:spacing w:after="0" w:line="231"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full Non-GAAP reconciliation of adjusted sales refer to “Reconciliation of Adjusted (Non-GAAP) Results - Adjusted Sales, Adjusted Operating Profit &amp; Operating Profit Margin.”</w:t>
      </w:r>
    </w:p>
    <w:p>
      <w:pPr>
        <w:ind w:left="320" w:hanging="314"/>
        <w:spacing w:after="0" w:line="220" w:lineRule="auto"/>
        <w:tabs>
          <w:tab w:leader="none" w:pos="3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other significant non-operational items and/or significant operational items that may occur at irregular intervals.</w:t>
      </w:r>
    </w:p>
    <w:p>
      <w:pPr>
        <w:ind w:left="320" w:right="80" w:hanging="314"/>
        <w:spacing w:after="0" w:line="233"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FX/Other Change includes the transactional impact of foreign exchange hedging at Pratt &amp; Whitney Canada, which is included in Pratt &amp; Whitney’s FX/Other Change, but excluded for Consolidated RTX.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 compared to the Nine Months Ended September 30, 2024</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60" w:type="dxa"/>
            <w:vAlign w:val="bottom"/>
          </w:tcPr>
          <w:p>
            <w:pPr>
              <w:spacing w:after="0"/>
              <w:rPr>
                <w:sz w:val="10"/>
                <w:szCs w:val="10"/>
                <w:color w:val="auto"/>
              </w:rPr>
            </w:pPr>
          </w:p>
        </w:tc>
        <w:tc>
          <w:tcPr>
            <w:tcW w:w="1180" w:type="dxa"/>
            <w:vAlign w:val="bottom"/>
          </w:tcPr>
          <w:p>
            <w:pPr>
              <w:jc w:val="right"/>
              <w:ind w:right="141"/>
              <w:spacing w:after="0" w:line="125" w:lineRule="exact"/>
              <w:rPr>
                <w:sz w:val="20"/>
                <w:szCs w:val="20"/>
                <w:color w:val="auto"/>
              </w:rPr>
            </w:pPr>
            <w:r>
              <w:rPr>
                <w:rFonts w:ascii="Times New Roman" w:cs="Times New Roman" w:eastAsia="Times New Roman" w:hAnsi="Times New Roman"/>
                <w:sz w:val="14"/>
                <w:szCs w:val="14"/>
                <w:b w:val="1"/>
                <w:bCs w:val="1"/>
                <w:color w:val="auto"/>
              </w:rPr>
              <w:t>Total Reported</w:t>
            </w:r>
          </w:p>
        </w:tc>
        <w:tc>
          <w:tcPr>
            <w:tcW w:w="180" w:type="dxa"/>
            <w:vAlign w:val="bottom"/>
          </w:tcPr>
          <w:p>
            <w:pPr>
              <w:spacing w:after="0"/>
              <w:rPr>
                <w:sz w:val="10"/>
                <w:szCs w:val="10"/>
                <w:color w:val="auto"/>
              </w:rPr>
            </w:pPr>
          </w:p>
        </w:tc>
        <w:tc>
          <w:tcPr>
            <w:tcW w:w="1180" w:type="dxa"/>
            <w:vAlign w:val="bottom"/>
          </w:tcPr>
          <w:p>
            <w:pPr>
              <w:jc w:val="right"/>
              <w:ind w:right="139"/>
              <w:spacing w:after="0" w:line="125" w:lineRule="exact"/>
              <w:rPr>
                <w:sz w:val="20"/>
                <w:szCs w:val="20"/>
                <w:color w:val="auto"/>
              </w:rPr>
            </w:pPr>
            <w:r>
              <w:rPr>
                <w:rFonts w:ascii="Times New Roman" w:cs="Times New Roman" w:eastAsia="Times New Roman" w:hAnsi="Times New Roman"/>
                <w:sz w:val="14"/>
                <w:szCs w:val="14"/>
                <w:b w:val="1"/>
                <w:bCs w:val="1"/>
                <w:color w:val="auto"/>
              </w:rPr>
              <w:t>Acquisitions &amp;</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 xml:space="preserve">FX / Other Change </w:t>
            </w:r>
            <w:r>
              <w:rPr>
                <w:rFonts w:ascii="Times New Roman" w:cs="Times New Roman" w:eastAsia="Times New Roman" w:hAnsi="Times New Roman"/>
                <w:sz w:val="9"/>
                <w:szCs w:val="9"/>
                <w:b w:val="1"/>
                <w:bCs w:val="1"/>
                <w:color w:val="auto"/>
                <w:w w:val="99"/>
              </w:rPr>
              <w:t>(2)</w:t>
            </w:r>
          </w:p>
        </w:tc>
        <w:tc>
          <w:tcPr>
            <w:tcW w:w="16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Change</w:t>
            </w:r>
          </w:p>
        </w:tc>
        <w:tc>
          <w:tcPr>
            <w:tcW w:w="13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Prior Year Adjusted</w:t>
            </w:r>
          </w:p>
        </w:tc>
        <w:tc>
          <w:tcPr>
            <w:tcW w:w="15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Organic Change as a %</w:t>
            </w: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 Change</w:t>
            </w: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79"/>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Sales </w:t>
            </w:r>
            <w:r>
              <w:rPr>
                <w:rFonts w:ascii="Times New Roman" w:cs="Times New Roman" w:eastAsia="Times New Roman" w:hAnsi="Times New Roman"/>
                <w:sz w:val="18"/>
                <w:szCs w:val="18"/>
                <w:b w:val="1"/>
                <w:bCs w:val="1"/>
                <w:color w:val="auto"/>
                <w:vertAlign w:val="superscript"/>
              </w:rPr>
              <w:t>(1)</w:t>
            </w:r>
          </w:p>
        </w:tc>
        <w:tc>
          <w:tcPr>
            <w:tcW w:w="15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of Adjusted Sales</w:t>
            </w:r>
          </w:p>
        </w:tc>
        <w:tc>
          <w:tcPr>
            <w:tcW w:w="0" w:type="dxa"/>
            <w:vAlign w:val="bottom"/>
          </w:tcPr>
          <w:p>
            <w:pPr>
              <w:spacing w:after="0"/>
              <w:rPr>
                <w:sz w:val="1"/>
                <w:szCs w:val="1"/>
                <w:color w:val="auto"/>
              </w:rPr>
            </w:pPr>
          </w:p>
        </w:tc>
      </w:tr>
      <w:tr>
        <w:trPr>
          <w:trHeight w:val="217"/>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20,747</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20,497</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4"/>
        </w:trPr>
        <w:tc>
          <w:tcPr>
            <w:tcW w:w="2560" w:type="dxa"/>
            <w:vAlign w:val="bottom"/>
            <w:tcBorders>
              <w:bottom w:val="single" w:sz="8" w:color="auto"/>
            </w:tcBorders>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Eliminations and Other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4"/>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280" w:hanging="314"/>
        <w:spacing w:after="0" w:line="231" w:lineRule="auto"/>
        <w:tabs>
          <w:tab w:leader="none" w:pos="3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full Non-GAAP reconciliation of adjusted sales refer to “Reconciliation of Adjusted (Non-GAAP) Results - Adjusted Sales, Adjusted Operating Profit &amp; Operating Profit Margin.”</w:t>
      </w:r>
    </w:p>
    <w:p>
      <w:pPr>
        <w:ind w:left="320" w:hanging="314"/>
        <w:spacing w:after="0" w:line="220" w:lineRule="auto"/>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other significant non-operational items and/or significant operational items that may occur at irregular intervals.</w:t>
      </w:r>
    </w:p>
    <w:p>
      <w:pPr>
        <w:ind w:left="320" w:right="80" w:hanging="314"/>
        <w:spacing w:after="0" w:line="233" w:lineRule="auto"/>
        <w:tabs>
          <w:tab w:leader="none" w:pos="3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FX/Other Change includes the transactional impact of foreign exchange hedging at Pratt &amp; Whitney Canada, which is included in Pratt &amp; Whitney’s FX/Other Change, but excluded for Consolidated RTX.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Non-GAAP Financial Adjustments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70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Non-GAAP Adjustments</w:t>
            </w:r>
          </w:p>
        </w:tc>
        <w:tc>
          <w:tcPr>
            <w:tcW w:w="856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Segment and portfolio transformation</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9"/>
              </w:rPr>
              <w:t>The quarters and nine months ended September 30, 2025 and 2024 include certain segment and portfolio transformation costs</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and divestiture costs</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incurred in connection with the 2023 completed segment realignment as well as separation costs incurred in advance of the</w:t>
            </w: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completion of certain divestitures.</w:t>
            </w:r>
          </w:p>
        </w:tc>
      </w:tr>
      <w:tr>
        <w:trPr>
          <w:trHeight w:val="29"/>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183"/>
        </w:trPr>
        <w:tc>
          <w:tcPr>
            <w:tcW w:w="270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Charge associated with initiating</w:t>
            </w:r>
          </w:p>
        </w:tc>
        <w:tc>
          <w:tcPr>
            <w:tcW w:w="8560" w:type="dxa"/>
            <w:vAlign w:val="bottom"/>
            <w:tcBorders>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The nine months ended September 30, 2024 includes a net pre-tax charge of $0.2 billion related to the recognition of</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alternative titanium sources</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unfavorable purchase commitments and an impairment of contract fulfillment costs associated with initiating alternative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titanium sources at Collins. These charges were recorded as a result of the Canadian government’s imposition of new sanctions</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in February 2024, which included U.S.- and German-based Russian-owned entities from which we source titanium for use in</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our Canadian operations. Management has determined that these impacts are directly attributable to the sanctions, incremental</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to similar costs incurred for reasons other than those related to the sanctions and has determined that the nature of the charge is</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considered significant and unusual, and, therefore, not indicative of the Company’s ongoing 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Expected settlement of a litigation</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The quarter and nine months ended September 30, 2024 includes a pre-tax charge of $34 million reflecting the expected</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matter</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settlement value relating to a litigation matter at Pratt &amp; Whitney. Management has determined that the impact is directly</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attributable to the expected legal settlement and that the nature of the charge is considered non-operational, and therefore, not</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indicative of the Company’s ongoing 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Customer bankruptcy</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The nine months ended September 30, 2025 include a net pre-tax charge of approximately $0.1 billion related to a customer</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bankruptcy. The charge primarily relates to contract asset exposures with the customer. Management has determined that the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nature and significance of the charge is considered unusual and, therefore, not indicative of the Company’s ongoing</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operational performance.</w:t>
            </w:r>
          </w:p>
        </w:tc>
      </w:tr>
      <w:tr>
        <w:trPr>
          <w:trHeight w:val="176"/>
        </w:trPr>
        <w:tc>
          <w:tcPr>
            <w:tcW w:w="27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Contract termination</w:t>
            </w:r>
          </w:p>
        </w:tc>
        <w:tc>
          <w:tcPr>
            <w:tcW w:w="85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w w:val="98"/>
              </w:rPr>
              <w:t>The nine months ended September 30, 2024 includes a pre-tax charge of $0.6 billion related to the termination of a fixed price</w:t>
            </w:r>
          </w:p>
        </w:tc>
      </w:tr>
      <w:tr>
        <w:trPr>
          <w:trHeight w:val="171"/>
        </w:trPr>
        <w:tc>
          <w:tcPr>
            <w:tcW w:w="270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w w:val="99"/>
              </w:rPr>
              <w:t>development contract with a foreign customer at Raytheon. The charge includes the write-off of remaining contract assets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settlement with the customer. Management has determined that these impacts are directly attributable to the termination,</w:t>
            </w:r>
          </w:p>
        </w:tc>
      </w:tr>
      <w:tr>
        <w:trPr>
          <w:trHeight w:val="171"/>
        </w:trPr>
        <w:tc>
          <w:tcPr>
            <w:tcW w:w="270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rPr>
              <w:t>incremental to similar costs incurred for reasons other than those attributable to the termination and has determined that the</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nature of the pre-tax charge is considered significant and unusual and, therefore, not indicative of the Company’s ongoing</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Gain on sale of business, net of</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The quarter and nine months ended September 30, 2025 includes a pre-tax gain, net of transaction and other related costs, of</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transaction and other related costs</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$0.1 billion associated with the completed sale of the actuation and flight control business at Collins. The nine months ended</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2024 includes a pre-tax gain, net of transaction and other related costs, of $0.4 billion associated with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completed sale of the Cybersecurity, Intelligence and Services (CIS) business at Raytheon. Management has determined that</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the nature of the net gain on each divestiture is considered significant and non-operational, and, therefore, not indicative of the</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ongoing operational performance.</w:t>
            </w:r>
          </w:p>
        </w:tc>
      </w:tr>
      <w:tr>
        <w:trPr>
          <w:trHeight w:val="176"/>
        </w:trPr>
        <w:tc>
          <w:tcPr>
            <w:tcW w:w="27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Gain on investment</w:t>
            </w:r>
          </w:p>
        </w:tc>
        <w:tc>
          <w:tcPr>
            <w:tcW w:w="85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The nine months ended September 30, 2025 includes a pre-tax gain of $41 million related to the increase in fair value on an</w:t>
            </w:r>
          </w:p>
        </w:tc>
      </w:tr>
      <w:tr>
        <w:trPr>
          <w:trHeight w:val="171"/>
        </w:trPr>
        <w:tc>
          <w:tcPr>
            <w:tcW w:w="270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rPr>
              <w:t>investment. Management has determined that the nature of the gain on investment to be significant and non-operational, and,</w:t>
            </w: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therefore, not indicative of the Company’s ongoing operational performance.</w:t>
            </w:r>
          </w:p>
        </w:tc>
      </w:tr>
      <w:tr>
        <w:trPr>
          <w:trHeight w:val="29"/>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183"/>
        </w:trPr>
        <w:tc>
          <w:tcPr>
            <w:tcW w:w="270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Tax audit settlements and closures</w:t>
            </w:r>
          </w:p>
        </w:tc>
        <w:tc>
          <w:tcPr>
            <w:tcW w:w="8560" w:type="dxa"/>
            <w:vAlign w:val="bottom"/>
            <w:tcBorders>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The nine months ended September 30, 2025 includes a tax benefit of $59 million and a pre-tax benefit on the reversal of $54</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million of interest accruals both recognized as a result of the closure of the examination phase of multiple state tax audits. The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2024 includes a tax benefit of $0.3 billion recognized as a result of the closure of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examination phase of multiple federal tax audits. In addition, in the nine months ended September 30, 2024 there was a pre-tax</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charge of $68 million for the write-off of certain tax related indemnity receivables and a pre-tax gain on the reversal of $78</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million of interest accruals, both directly associated with these tax audit settlements. Management has determined that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nature of these impacts related to the tax audit settlements and closures is considered significant and non-operational, and,</w:t>
            </w:r>
          </w:p>
        </w:tc>
      </w:tr>
      <w:tr>
        <w:trPr>
          <w:trHeight w:val="233"/>
        </w:trPr>
        <w:tc>
          <w:tcPr>
            <w:tcW w:w="2700" w:type="dxa"/>
            <w:vAlign w:val="bottom"/>
            <w:tcBorders>
              <w:left w:val="single" w:sz="8" w:color="auto"/>
              <w:right w:val="single" w:sz="8" w:color="auto"/>
            </w:tcBorders>
            <w:shd w:val="clear" w:color="auto" w:fill="CCEEFF"/>
          </w:tcPr>
          <w:p>
            <w:pPr>
              <w:spacing w:after="0"/>
              <w:rPr>
                <w:sz w:val="20"/>
                <w:szCs w:val="20"/>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therefore, not indicative of the Company’s ongoing operational performance.</w:t>
            </w: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990" w:right="31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Legal matters</w:t>
            </w:r>
          </w:p>
        </w:tc>
        <w:tc>
          <w:tcPr>
            <w:tcW w:w="8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nine months ended September 30, 2024 includes charges of $0.9 billion related to the resolution of several outstanding</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legal matters. The charge includes an additional accrual of $0.3 billion to resolve the previously disclosed criminal and civil</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government investigations of defective pricing claims for certain legacy Raytheon Company contracts entered into between</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2011 and 2013 and in 2017; an additional accrual of $0.4 billion to resolve the previously disclosed criminal and civil</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government investigations of improper payments made by Raytheon Company and its joint venture, Thales-Raytheon Systems,</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in connection with certain Middle East contracts since 2012; and an accrual of $0.3 billion related to certain voluntarily</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disclosed export controls violations, primarily identified in connection with the integration of Rockwell Collins and, to a lesser</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extent, Raytheon Company, including certain violations that were resolved pursuant to a consent agreement with the</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Department of State. Management has determined that these impacts are directly attributable to these legacy legal matters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that the nature of the charges are considered significant and unusual, and, therefore, not indicative of the Company’s ongoing</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Tax matters and related</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quarter and nine months ended September 30, 2024 includes the impact of a recent favorable international tax court ruling</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indemnification</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related to certain tax payments made by a previously separated entity. As a result of this ruling, and the expected</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reimbursement of international taxes to the previously separated entity, the Company will owe additional U.S. income tax of</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$0.2 billion and related interest. The Company recorded a pre-tax benefit of $0.2 billion to recognize recovery of the additional</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taxes and interest owed pursuant to a tax matters agreement entered into in connection with the separation. There was no net</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income impact in 2024 as a result of this adjustment. We also recognized an income tax benefit of $56 million in response to</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favorable U.S. Tax Court rulings issued to unrelated taxpayers, but with facts similar to ours. The nature of the tax item in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rulings is subject to the tax matters agreement with previously separated entities, and, therefore, we recorded a pre-tax charge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$32 million for the indemnified amounts. Management has determined that the nature of these impacts to both pre-tax</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income and income tax expense is considered significant and non-operational, and, therefore, not indicative of the Company’s</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ongoing operational performance.</w:t>
            </w: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60"/>
      </w:cols>
      <w:pgMar w:left="320" w:top="10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8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decimal"/>
      <w:start w:val="19"/>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2025-10-21T06:00:02Z</dcterms:created>
  <dcterms:modified xsi:type="dcterms:W3CDTF">2025-10-21T06:00:02Z</dcterms:modified>
</cp:coreProperties>
</file>