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2016 there were 836,926,949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2016</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 of Operations for the quarters ended June 30, 2016 and 2015</w:t>
              </w:r>
            </w:hyperlink>
          </w:p>
        </w:tc>
        <w:tc>
          <w:tcPr>
            <w:tcW w:w="33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Operations for the six months ended June 30, 2016 and 2015</w:t>
              </w:r>
            </w:hyperlink>
          </w:p>
        </w:tc>
        <w:tc>
          <w:tcPr>
            <w:tcW w:w="31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Comprehensive Income for the quarters and six months ended June 30, 2016 and 2015</w:t>
              </w:r>
            </w:hyperlink>
          </w:p>
        </w:tc>
        <w:tc>
          <w:tcPr>
            <w:tcW w:w="1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 at June 30, 2016 and December 31, 2015</w:t>
              </w:r>
            </w:hyperlink>
          </w:p>
        </w:tc>
        <w:tc>
          <w:tcPr>
            <w:tcW w:w="45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Cash Flows for the six months ended June 30, 2016 and 2015</w:t>
              </w:r>
            </w:hyperlink>
          </w:p>
        </w:tc>
        <w:tc>
          <w:tcPr>
            <w:tcW w:w="3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Item 2. 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6. 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10,660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7,839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12,456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1,542</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20,083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7,927</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28,010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14,838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24,002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2,564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2,968</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Less: Reclassification adjustments for loss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3,052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6,785</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7,075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10,653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8,747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8,135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27,970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26,706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1,812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18,494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8,732</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27,535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27,301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15,603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6,163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6,875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22,618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20,130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19,320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10,492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10,558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58,518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16,033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(30,907)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49,956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29,090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27,358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30,648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28,844</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Receipts from settlements of derivative contracts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Issuance of long-term debt,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Cash and cash equivalents of businesses held for sale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080" w:type="dxa"/>
            <w:vAlign w:val="bottom"/>
            <w:vMerge w:val="restart"/>
          </w:tcPr>
          <w:p>
            <w:pPr>
              <w:ind w:left="1760"/>
              <w:spacing w:after="0"/>
              <w:rPr>
                <w:sz w:val="20"/>
                <w:szCs w:val="20"/>
                <w:color w:val="auto"/>
              </w:rPr>
            </w:pPr>
            <w:r>
              <w:rPr>
                <w:rFonts w:ascii="Arial" w:cs="Arial" w:eastAsia="Arial" w:hAnsi="Arial"/>
                <w:sz w:val="18"/>
                <w:szCs w:val="18"/>
                <w:color w:val="auto"/>
                <w:w w:val="87"/>
              </w:rPr>
              <w:t>See accompanying Notes to Condensed Consolidated Financial Statements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The Condensed Consolidated Financial Statements at June 30, 2016 and for the quarters and six months ended June 30, 2016 and 2015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(2015 Annual Report) incorporated by reference to our Annual Report on Form 10-K for calendar year 2015 (2015 Form 10-K).</w:t>
      </w:r>
    </w:p>
    <w:p>
      <w:pPr>
        <w:spacing w:after="0" w:line="50" w:lineRule="exact"/>
        <w:rPr>
          <w:sz w:val="20"/>
          <w:szCs w:val="20"/>
          <w:color w:val="auto"/>
        </w:rPr>
      </w:pPr>
    </w:p>
    <w:p>
      <w:pPr>
        <w:ind w:right="140" w:firstLine="567"/>
        <w:spacing w:after="0" w:line="302"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On November 6, 2015, we completed the sale of the Sikorsky Aircraft business (Sikorsky) to Lockheed Martin Corp. Accordingly, the results of operations and the related cash flows of Sikorsky have been reclassified to Discontinued Operations in our Condensed Consolidated Statements of Operations for the quarter and six months ended June 30, 2015 and in our Condensed Consolidated Statement of Cash Flows for the six months ended June 30, 2015. See Note 2 for further discussion.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six months ended June 30, 2016, our investment in business acquisitions was $538 million and consisted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acquisition of a majority interest in an Italian heating products and services company by UTC Climate, Controls &amp; Security and a number of small acquisitions, primarily in our commercial businesses.</w:t>
      </w:r>
    </w:p>
    <w:p>
      <w:pPr>
        <w:spacing w:after="0" w:line="180"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color w:val="auto"/>
        </w:rPr>
        <w:t>Pratt &amp; Whitney holds a 61% net collaboration interest in IAE International Aero Engines AG (IAE),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1,102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1,931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r>
      <w:tr>
        <w:trPr>
          <w:trHeight w:val="257"/>
        </w:trPr>
        <w:tc>
          <w:tcPr>
            <w:tcW w:w="40" w:type="dxa"/>
            <w:vAlign w:val="bottom"/>
          </w:tcPr>
          <w:p>
            <w:pPr>
              <w:spacing w:after="0"/>
              <w:rPr>
                <w:sz w:val="22"/>
                <w:szCs w:val="22"/>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3,286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2016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14"/>
                <w:szCs w:val="14"/>
                <w:color w:val="auto"/>
              </w:rPr>
            </w:pP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2016</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20,173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Such payments are capitalized when there are distinct rights obtained and there are sufficient incremental cash flows to support the recoverability of the assets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We classify amortization of such payments as a reduction of sales. The IAE collaboration intangible asset is amortized based upon the pattern of economic benefits as represented by the underlying cash flows.</w:t>
      </w:r>
    </w:p>
    <w:p>
      <w:pPr>
        <w:spacing w:after="0" w:line="84"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Amortization of intangible assets for the quarter and six months ended June 30, 2016 was $194 million and $381 million, respectively, compared with $175 million and $354 million for the same periods of 2015. The following is the expected amortization of intangible assets for the years 2016 through 2021, which reflects an increase in expected amortization expense due to the pattern of economic benefit on certain aerospace intangible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2016</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891</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November 6, 2015, we completed the sale of Sikorsky to Lockheed Martin Corp. Accordingly, the results of operations and the cash flows related to Sikorsky have been reclassified to Discontinued Operations in our Condensed Consolidated Statements of Operations and Comprehensive Income for the quarters and six months ended June 30, 2015, and in our Condensed Consolidated Statement of Cash Flows for the six months ended June 30, 2015. In the six months ended June 30, 2016, we recognized approximately $15 million of additional gain on the disposal resulting from the settlement of working capital adjustments, and approximately $52 million of income tax expense, including additional state tax provision related to the 2015 gain realized on the sale of Sikorsky. Net cash outflows from discontinued operations of approximately $2.5 billion resulted from the payment of taxes related to the 2015 gain realized on sale of Sikorsky.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summarized financial information related to Sikorsky has been segregated from continuing operations and reported as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(Expense)</w:t>
            </w: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(Loss) gain on disposal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460"/>
              <w:spacing w:after="0"/>
              <w:rPr>
                <w:sz w:val="20"/>
                <w:szCs w:val="20"/>
                <w:color w:val="auto"/>
              </w:rPr>
            </w:pPr>
            <w:r>
              <w:rPr>
                <w:rFonts w:ascii="Arial" w:cs="Arial" w:eastAsia="Arial" w:hAnsi="Arial"/>
                <w:sz w:val="18"/>
                <w:szCs w:val="18"/>
                <w:color w:val="auto"/>
              </w:rPr>
              <w:t>(Loss) income from discontinued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3: Earnings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2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24"/>
                <w:szCs w:val="24"/>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8"/>
                <w:szCs w:val="18"/>
                <w:color w:val="auto"/>
              </w:rPr>
              <w:t>Earnings (Loss)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Earnings (Loss)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 and six months ended June 30, 2016, the number of stock awards excluded from the computation was approximately 12.7 million and 14.9 million, respectively. For both the quarter and six months ended June 30, 2015, the number of stock awards excluded from the computation was approximately 0.4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2,422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8,668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Inventory also includes capitalized contract development costs related to certain aerospace programs at UTC Aerospace Systems. As of June 30, 2016 and December 31, 2015, these capitalized costs were $150 million and $152 million, respectively, which will be liquidated as production units are delivered to the customer.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At June 30, 2016, we had revolving credit agreements with various banks permitting aggregate borrowings of up to $4.35 billion pursuant to a $2.20 billion revolving credit agreement and a $2.15 billion multicurrency revolving credit agreement, both of which expire in May 2019. As of June 30, 2016, there were no borrowings under these revolving credit agreements. The undrawn portions of these revolving credit agreements are also available to serve as backup facilities for the issuance of commercial paper. As of June 30, 2016, our maximum commercial paper borrowing limit was $4.35 billion.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22, 2016, we issued €950 million aggregate principal amount of 1.125% notes due 2021, €500 million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1.875% notes due 2026 and €750 million aggregate principal amount of floating rate notes due 2018. The net proceeds from these debt issuances were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general corporate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5.375% notes due 2017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Floating rate notes due 2018 (€750 million principal value)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2019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4.875%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6.800% notes due 2036</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20,130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4" w:lineRule="exact"/>
        <w:rPr>
          <w:sz w:val="20"/>
          <w:szCs w:val="20"/>
          <w:color w:val="auto"/>
        </w:rPr>
      </w:pPr>
    </w:p>
    <w:p>
      <w:pPr>
        <w:ind w:left="340" w:hanging="332"/>
        <w:spacing w:after="0" w:line="256"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5" w:lineRule="exact"/>
        <w:rPr>
          <w:sz w:val="20"/>
          <w:szCs w:val="20"/>
          <w:color w:val="auto"/>
        </w:rPr>
      </w:pPr>
    </w:p>
    <w:p>
      <w:pPr>
        <w:ind w:left="340" w:right="80" w:hanging="332"/>
        <w:spacing w:after="0" w:line="275"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6"/>
          <w:szCs w:val="16"/>
          <w:color w:val="auto"/>
        </w:rPr>
        <w:t>These notes bear interest at the three-month EURIBOR rate plus 0.800%, established quarterly. The interest rate in effect at June 30, 2016 was 0.542%. The notes may be redeemed at our option in whole, but not in part, at any time in the event of certain developments affecting U.S. taxation.</w:t>
      </w:r>
    </w:p>
    <w:p>
      <w:pPr>
        <w:spacing w:after="0" w:line="11" w:lineRule="exact"/>
        <w:rPr>
          <w:sz w:val="20"/>
          <w:szCs w:val="20"/>
          <w:color w:val="auto"/>
        </w:rPr>
      </w:pPr>
    </w:p>
    <w:p>
      <w:pPr>
        <w:ind w:left="340" w:right="160" w:hanging="332"/>
        <w:spacing w:after="0" w:line="25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6"/>
          <w:szCs w:val="16"/>
          <w:color w:val="auto"/>
        </w:rPr>
        <w:t>We may redeem these notes, in whole or in part, at our option at any time. If redeemed earlier than three months prior to the stated maturity date, the redemption price in Euro shall equal the greater of 100% of the principal amount of the notes to be redeemed or the sum of the present values of the remaining scheduled payments of principal and interest on the notes to be redeemed, discounted to the redemption date on an annual basis at a rate based upon a comparable German federal government bond whose maturity is closest to the maturity of the notes plus 15-30 basis points. In addition, the notes may be redeemed at our option in whole, but not in part, at any time in the event of certain developments affecting U.S. taxation.</w:t>
      </w:r>
    </w:p>
    <w:p>
      <w:pPr>
        <w:spacing w:after="0" w:line="30" w:lineRule="exact"/>
        <w:rPr>
          <w:sz w:val="20"/>
          <w:szCs w:val="20"/>
          <w:color w:val="auto"/>
        </w:rPr>
      </w:pPr>
    </w:p>
    <w:p>
      <w:pPr>
        <w:ind w:left="340" w:right="60" w:hanging="332"/>
        <w:spacing w:after="0" w:line="286"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5"/>
          <w:szCs w:val="15"/>
          <w:color w:val="auto"/>
        </w:rPr>
        <w:t>We may redeem these notes, in whole or in part, at our option at any time. If redeemed prior to November 16, 2044, the redemption price in U.S. Dollars shall equal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25 basis points.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On April 29, 2016, we renewed our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8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a range of $15 million to $525 million of unrecognized tax benefits may occur within the next 12 months as a result of additional worldwide uncertain tax positions, the revaluation of current uncertain tax positions arising from developments in examinations, in appeals, in the courts, or the closure of tax statutes. See Note 14, Contingent Liabilities, for discussion regarding uncertain tax positions, included in the above range, related to pending litigation with respect to certain deductions claimed in Germany.</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UTC tax years 2011 and 2012 are currently under review by the Examination Division of the Internal Revenue Service (IRS), which is expected to continue beyond the next 12 months. Goodrich Corporation tax years 2011 and 2012 through the date of acquisition by UTC are currently under review by the Examination Division of the IRS, which the Company expects to be completed within the next six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w:t>
            </w: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182</w:t>
            </w:r>
          </w:p>
        </w:tc>
      </w:tr>
    </w:tbl>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and six months ended June 30, 2016 and 2015. The following table illustrates the components of net periodic benefit cost for our defined pension and other postretirement benefit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320" w:type="dxa"/>
            <w:vAlign w:val="bottom"/>
          </w:tcPr>
          <w:p>
            <w:pPr>
              <w:spacing w:after="0"/>
              <w:rPr>
                <w:sz w:val="16"/>
                <w:szCs w:val="16"/>
                <w:color w:val="auto"/>
              </w:rPr>
            </w:pPr>
          </w:p>
        </w:tc>
        <w:tc>
          <w:tcPr>
            <w:tcW w:w="25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Total net periodic benefit cost in the table above includes approximately $24 million and $49 million related to, and recorded in, discontinued operations for the quarter and six months ended June 30, 2015, respectively.</w:t>
      </w:r>
    </w:p>
    <w:p>
      <w:pPr>
        <w:spacing w:after="0" w:line="6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2015, we changed the approach we use to estimate the service and interest components of net periodic pension cost for our significant pension plans. Historically, we estimated the service and interest cost components utilizing a single weighted-average discount rate derived from the yield curve used to measure the benefit obligation at the beginning of the period. We elected to utilize a full yield curve approach in the estimation of these components by applying the specific spot rates along the yield curve used in determination of the benefit obligation to the relevant projected cash flows. We made this change to provide a more precise measurement of service and interest costs by improving the correlation between projected benefit cash flows to the corresponding spot yield curve rates. This change does not affect the measurement of our total benefit obligations. The discount rates used to measure service cost and interest cost during 2016 are 3.9% and 3.5%, respectively. The previous method would have used a discount rate for both service and interest costs of 4.1%. This change decreases the service and interest cost components of our annual net periodic pension cost by approximately $215 million for 2016. We have accounted for this change as a change in accounting estimate and, accordingly, have accounted for it prospectively, effective January 1,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June 30, 2016, we recorded net pre-tax restructuring costs totaling $178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Restructuring charges incurred during the six months ended June 30, 2016 primarily relate to actions initiated during 2016 and 2015,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2016 Actions. </w:t>
      </w:r>
      <w:r>
        <w:rPr>
          <w:rFonts w:ascii="Arial" w:cs="Arial" w:eastAsia="Arial" w:hAnsi="Arial"/>
          <w:sz w:val="18"/>
          <w:szCs w:val="18"/>
          <w:color w:val="auto"/>
        </w:rPr>
        <w:t>During the six months ended June 30, 2016, we recorded net pre-tax restructuring costs totaling $113 million, including $57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$30 million in selling, general and administrative expenses, and $26 million in other expenses. The 2016 actions relate to ongoing cost reduction efforts, including workforce reductions, consolidation of field operations, and costs to exit legacy programs.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2016 and 2017. No specific plans for significant other actions have been finalized at this time. The following table summarizes the accrual balance and utilization for the 2016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June 30,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2016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six months ended June 30, 2016, we recorded net pre-tax restructuring costs totaling $53 million for restructuring actions initiated</w:t>
      </w:r>
      <w:r>
        <w:rPr>
          <w:rFonts w:ascii="Arial" w:cs="Arial" w:eastAsia="Arial" w:hAnsi="Arial"/>
          <w:sz w:val="18"/>
          <w:szCs w:val="18"/>
          <w:b w:val="1"/>
          <w:bCs w:val="1"/>
          <w:color w:val="auto"/>
        </w:rPr>
        <w:t xml:space="preserve"> </w:t>
      </w:r>
      <w:r>
        <w:rPr>
          <w:rFonts w:ascii="Arial" w:cs="Arial" w:eastAsia="Arial" w:hAnsi="Arial"/>
          <w:sz w:val="18"/>
          <w:szCs w:val="18"/>
          <w:color w:val="auto"/>
        </w:rPr>
        <w:t>in 2015, including $29 million in cost of sales and $24 million in selling, general and administrative expenses. The 2015 actions relate to ongoing cost reduction efforts, including workforce reductions and the consolidation of field operations. The following table summarizes the accrual balances and utilization for the 2015 restructuring 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June 30,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2015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2014 and Prior Actions. </w:t>
      </w:r>
      <w:r>
        <w:rPr>
          <w:rFonts w:ascii="Arial" w:cs="Arial" w:eastAsia="Arial" w:hAnsi="Arial"/>
          <w:sz w:val="18"/>
          <w:szCs w:val="18"/>
          <w:color w:val="auto"/>
        </w:rPr>
        <w:t>As of June 30, 2016, we have approximately $61 million of accrual balances remaining related to 2014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$16.8 billion and $15.6 billion at June 30, 2016 and December 31, 2015, respectively.</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June 30, 2016 and December 31, 2015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105</w:t>
            </w:r>
          </w:p>
        </w:tc>
      </w:tr>
    </w:tbl>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discussed in Note 5, we have issued approximately €2.95 billion of Euro-denominated debt, which qualifies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June 30, 2016, the net investment hedge is deemed to be effective.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$79 million pre-tax loss is expected to be reclassified from Accumulated other comprehensive loss into Product sales to reflect the fixed prices obtained from foreign exchange hedging within the next 12 months. At June 30, 2016, all derivative contracts accounted for as cash flow hedges will mature by November 2022.</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received $86 million and $414 million from settlements of derivative contracts during the six months ended June 30, 2016 and 2015,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June 30, 2016 and 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2016 (Dollars in millions)</w:t>
            </w:r>
          </w:p>
        </w:tc>
        <w:tc>
          <w:tcPr>
            <w:tcW w:w="3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2015 (Dollars in millions)</w:t>
            </w:r>
          </w:p>
        </w:tc>
        <w:tc>
          <w:tcPr>
            <w:tcW w:w="3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48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June 30, 2016, there were no significant transfers in and out of Level 1 and Level 2.</w:t>
      </w:r>
    </w:p>
    <w:p>
      <w:pPr>
        <w:spacing w:after="0" w:line="15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2016 and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$13.7 billion and $14.6 billion as of June 30, 2016 and December 31, 2015,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June 30, 2016 and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4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4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11% and 13% of our total long-term receivables were considered to bear high credit risk as of June 30, 2016 and December 31, 2015, respectively.</w:t>
      </w:r>
    </w:p>
    <w:p>
      <w:pPr>
        <w:spacing w:after="0" w:line="154" w:lineRule="exact"/>
        <w:rPr>
          <w:sz w:val="20"/>
          <w:szCs w:val="20"/>
          <w:color w:val="auto"/>
        </w:rPr>
      </w:pPr>
    </w:p>
    <w:p>
      <w:pPr>
        <w:ind w:right="4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reflected in the table above, which include reserves of $17 million and $18 million as of June 30, 2016 and December 31, 2015, respectively, are individually evaluated for impairment. At June 30, 2016 and December 31, 2015, we did not have any significant balances that are considered to be delinquent, on non-accrual status, past due 90 days or more, or considered to be not recoverable.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2016 and 2015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29,090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30,648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30,377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(Purchase) sale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March 13, 2015, we entered into accelerated share repurchase (ASR) agreements to repurchase an aggregate of $2.65 billion of our common stock. Under the terms of the ASR agreements, we made the aggregate payments and received an initial delivery of 18.6 million shares of common stock, representing approximately 85% of the shares expected to be repurchased. On July 31, 2015, the shares associated with the remaining portion of the aggregate purchase were settled upon final delivery to us of approximately 4.2 million additional shares of common stock.</w:t>
      </w:r>
    </w:p>
    <w:p>
      <w:pPr>
        <w:spacing w:after="0" w:line="17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agreements, less a discount and subject to adjustments pursuant to the terms and conditions of the ASR agreements.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5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to us of approximately 2.1 million shares of common stock. The final settlement of the transactions under the remaining five tranches is expected to occur in the third quarter of 2016.</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income (loss), net of tax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 is provided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The increase in the value of redeemable noncontrolling interest in our Condensed Consolidated Balance Sheet as of June 30, 2016 is primarily related to the acquisition of a majority interest in an Italian heating products and services company by UTC Climate, Controls &amp; Security during the quarter ended June 30,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80" w:firstLine="432"/>
        <w:spacing w:after="0" w:line="297" w:lineRule="auto"/>
        <w:rPr>
          <w:sz w:val="20"/>
          <w:szCs w:val="20"/>
          <w:color w:val="auto"/>
        </w:rPr>
      </w:pPr>
      <w:r>
        <w:rPr>
          <w:rFonts w:ascii="Arial" w:cs="Arial" w:eastAsia="Arial" w:hAnsi="Arial"/>
          <w:sz w:val="16"/>
          <w:szCs w:val="16"/>
          <w:color w:val="auto"/>
        </w:rPr>
        <w:t>Changes in noncontrolling interests that do not result in a change of control, and where there is a difference between fair value and carrying value, are accounted for as equity transactions. For both the quarter and six months ended June 30, 2016, the pro-forma impact on Net income attributable to common shareowners would have been a decrease of $6 million had the changes been recorded through net income. For the quarter ended June 30, 2015 there would have been no impact on Net income attributable to common shareowners, and for the six months ended June 30, 2015 the pro-forma impact on Net income attributable to common shareowners would have been an increase of $11 million had the changes been recorded through net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2015. The changes in the carrying amount of service and product warranties and product performance guarantees for the six months ended June 30, 2016 and 2015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The amounts above exclude service and product warranties and product performance guarantees related to Sikorsky of approximately $43 million as of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2015 Annual Report, incorporated by reference in our 2015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2015 Annual Report, we have accrued for the costs of environmental remediation activities, including but not limited to investigatory, remediation, operating and maintenance costs and performance guaranties, and periodically reassess these amounts. We believe that the likelihood of incurring losses materially in excess of amounts accrued is remote. Additional information pertaining to environmental matters is included in Note 1 to the Consolidated Financial Statements in our 2015 Annual Report.</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78"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As previously disclosed, the United States Government sued us in 1999 in the United States District Court for the Southern District of Ohio (District Court),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$7,090,000,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6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the civil penalty of approximately $7 million. The penalty component of the judgment previously was affirmed by the United States Court of Appeals in 2010.</w:t>
      </w:r>
    </w:p>
    <w:p>
      <w:pPr>
        <w:spacing w:after="0" w:line="1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filed an appeal from the judgment to the United States Court of Appeals for the Sixth Circuit on August 26, 2013. On April 6, 2015, the Sixth Circuit reversed the trial court’s decision and vacated the prior damages award, noting that the government did not prove any damages. The court rejected as a matter of law the evidence submitted by the government on damages and remanded the case to the District Court to decide in the first instance whether the government should have another opportunity to prove that it suffered any actual damages.</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On July 17, 2015, the case returned to the District Court, at which time we filed a motion for entry of judgment, seeking a judgment of zero actual damages. The government responded by filing a motion on August 28, 2015, in which it abandoned its claim for actual damages, but sought a </w:t>
      </w:r>
      <w:r>
        <w:rPr>
          <w:rFonts w:ascii="Arial" w:cs="Arial" w:eastAsia="Arial" w:hAnsi="Arial"/>
          <w:sz w:val="18"/>
          <w:szCs w:val="18"/>
          <w:color w:val="231F20"/>
        </w:rPr>
        <w:t>judgment of</w:t>
      </w:r>
      <w:r>
        <w:rPr>
          <w:rFonts w:ascii="Arial" w:cs="Arial" w:eastAsia="Arial" w:hAnsi="Arial"/>
          <w:sz w:val="18"/>
          <w:szCs w:val="18"/>
          <w:color w:val="auto"/>
        </w:rPr>
        <w:t xml:space="preserve"> </w:t>
      </w:r>
      <w:r>
        <w:rPr>
          <w:rFonts w:ascii="Arial" w:cs="Arial" w:eastAsia="Arial" w:hAnsi="Arial"/>
          <w:sz w:val="18"/>
          <w:szCs w:val="18"/>
          <w:color w:val="231F20"/>
        </w:rPr>
        <w:t>approximately $85 million, representing (1) disgorgement of UTC’s alleged profits in fiscal year 1985, the first year of the multi-year engine competition, (2) prejudgment interest and (3) the approximately $7 million civil penalty.</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231F20"/>
        </w:rPr>
        <w:t xml:space="preserve">On June 2, 2016, the District Court </w:t>
      </w:r>
      <w:r>
        <w:rPr>
          <w:rFonts w:ascii="Arial" w:cs="Arial" w:eastAsia="Arial" w:hAnsi="Arial"/>
          <w:sz w:val="18"/>
          <w:szCs w:val="18"/>
          <w:color w:val="000000"/>
        </w:rPr>
        <w:t>rejected the government’s disgorgement calculation, and found that Pratt &amp; Whitney wrongly received $1,176,619 in</w:t>
      </w:r>
      <w:r>
        <w:rPr>
          <w:rFonts w:ascii="Arial" w:cs="Arial" w:eastAsia="Arial" w:hAnsi="Arial"/>
          <w:sz w:val="18"/>
          <w:szCs w:val="18"/>
          <w:color w:val="231F20"/>
        </w:rPr>
        <w:t xml:space="preserve"> </w:t>
      </w:r>
      <w:r>
        <w:rPr>
          <w:rFonts w:ascii="Arial" w:cs="Arial" w:eastAsia="Arial" w:hAnsi="Arial"/>
          <w:sz w:val="18"/>
          <w:szCs w:val="18"/>
          <w:color w:val="000000"/>
        </w:rPr>
        <w:t>profits in fiscal year 1985. On June 22, 2016, the District Court entered a judgment in favor of the government in the amount of $11,050,790, comprised of $1,176,619 for profit disgorgement, $2,784,171 for prejudgment interest, and the civil penalty of $7,090,000. The parties each have until August 22, 2016, to file a timely appeal.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Contract Appeals. Pratt &amp; Whitney’s appeal is still pending, and we continue to believe the government’s claim is without merit.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As previously disclosed, UTC has been involved in administrative review proceedings with the German Tax Office, which concern approximately €215 million (approximately $238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$131 million). On August 3, 2012, we filed suit in the local German Tax Court (Berlin-Brandenburg). In March 2016, the local German Tax Court dismissed our suit, and we have appealed this decision to the German Federal Tax Court (FTC).</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From 2008 to 2014, there was ongoing litigation between the German Government and another taxpayer in a case involving a German tax law relevant to our reorganization. In November 2014, the FTC ruled in favor of the German Government, and against the other taxpayer. In light of the FTC decision in the case involving the other taxpayer, we fully accrued for tax and interest in 2014. In 2015, UTC made tax and interest payments to German tax authorities of €275 million (approximately $300 million) in order to avoid additional interest accruals pending final resolution of this matter. In the meantime, we continue to vigorously litigate our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previously reported,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$378 million and is recorded primarily in Other long-term liabilities on our Condensed Consolidated Balance Sheet as of June 30, 2016. This amount is on a pre-tax basis, not discounted, and excludes the Company’s defense fees (which will continue to be expensed by the Company as they are incurred).</w:t>
      </w:r>
    </w:p>
    <w:p>
      <w:pPr>
        <w:spacing w:after="0" w:line="166"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In addition, the Company has an insurance recovery receivable for probable asbestos related recoveries of approximately $104 million, which is included primarily in Other assets on our Condensed Consolidated Balance Sheet as of June 30, 2016. In calculating this amount, the Company used the estimated asbestos liability for pending and projected future claims and considered the amount of insurance available, allocation methodologies, solvency ratings, creditworthiness, and the contractual terms with each insurer.</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amounts recorded by UTC for asbestos-related claims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reforms that may be made by state and federal courts, and the passage of state or federal tort reform legislation.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13 of this Form 10-Q and Note 16 to the Consolidated Financial Statements in our 2015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jc w:val="both"/>
        <w:ind w:right="380"/>
        <w:spacing w:after="0" w:line="286" w:lineRule="auto"/>
        <w:rPr>
          <w:sz w:val="20"/>
          <w:szCs w:val="20"/>
          <w:color w:val="auto"/>
        </w:rPr>
      </w:pPr>
      <w:r>
        <w:rPr>
          <w:rFonts w:ascii="Arial" w:cs="Arial" w:eastAsia="Arial" w:hAnsi="Arial"/>
          <w:sz w:val="17"/>
          <w:szCs w:val="17"/>
          <w:color w:val="auto"/>
        </w:rPr>
        <w:t>intellectual property, tax and other laws. In some of these proceedings,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As discussed in Note 2, on November 6, 2015, we completed the sale of Sikorsky to Lockheed Martin Corp. Amounts reported for 2015 in the table below exclude amounts attributable to Sikorsky, which have been reclassified to Discontinued Operations in the accompanying Condensed Consolidated Statements of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June 30, 2016 and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14,874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six months ended June 30, 2016 and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28,231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28,010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In March 2016, the FASB issued ASU 2016-08, "Revenue from Contracts with Customers (Topic 606), Principal versus Agent Considerations (Reporting Revenue Gross versus Net)." The ASU clarifies how an entity should identify the unit of accounting (i.e. the specified good or service) for the principal versus agent evaluation and how it should apply the control principle to certain types of arrangements. In April 2016, the FASB issued ASU 2016-10, "Revenue from Contracts with Customers (Topic 606), Identifying Performance Obligations and Licensing," which clarifies the guidance surrounding licensing arrangements and the identification of performance obligations. In May 2016, the FASB issued ASU 2016-12, "Revenue from Contracts with Customers (Topic 606), Narrow-Scope Improvements and Practical Expedients," which addresses implementation issues raised by stakeholders concerning collectability, noncash consideration, presentation of sales tax, and transition. On August 12, 2015, the FASB issued ASU 2015-14, "Revenue from Contracts with Customers (Topic 606): Deferral of the Effective Date," which delays the effective date of ASU 2014-09 by one year. The new standard is effective for reporting periods beginning after December 15, 2017, and interim periods therein, using either of the following transition</w:t>
      </w:r>
    </w:p>
    <w:p>
      <w:pPr>
        <w:sectPr>
          <w:pgSz w:w="11900" w:h="16838" w:orient="portrait"/>
          <w:cols w:equalWidth="0" w:num="1">
            <w:col w:w="11420"/>
          </w:cols>
          <w:pgMar w:left="240" w:top="368"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68"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methods; (i) a full retrospective adoption reflecting the application of the standard in each prior reporting period, or (ii) a modified retrospective approach with the cumulative effect of initially adopting ASU 2014-09 recognized through retained earnings at the date of adoption. We are in the process of evaluating the potential revenue implications of the standard change, which may result in changes to our revenue recognition practices including the elimination of the units-of-delivery method for certain U.S. Government programs and the elimination of the completed contract method of accounting.</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January 2016, the FASB issued ASU 2016-01, "Financial Instruments - Overall: Recognition and Measurement of Financial Assets and Financial Liabilities." This ASU modifies how entities measure equity investments and present changes in the fair value of financial liabilities. Upon adoption, investments that do not result in consolidation and are not accounted for under the equity method generally must be carried at fair value, with changes in fair value recognized in net income. The provisions of this ASU are effective for years beginning after December 15, 2017. We are currently evaluating the impact of this ASU.</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February 2016, the FASB issued ASU 2016-02, "Leases (Topic 842)." Under the amendments of this ASU, lessees will be required to recognize the following for all leases (with the exception of short-term leases) at the commencement date; (i) a lease liability, which is a lessee’s obligation to make lease payments arising from a lease, measured on a discounted basis; and (ii) a right-of-use asset, which is an asset that represents the lessee’s right to use, or control the use of, a specified asset for the lease term. Lessor accounting is largely unchanged under the amendments of this ASU. The provisions of this ASU are effective for years beginning after December 15, 2018. We are currently evaluating the impact of this ASU. We expect the ASU to have a material impact on our assets and liabilities due to the addition of right-of-use assets and lease liabilities, but we do not expect it to have a material impact on our cash flows or results of operations.</w:t>
      </w:r>
    </w:p>
    <w:p>
      <w:pPr>
        <w:spacing w:after="0" w:line="18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This ASU is intended to simplify several aspects of the accounting for share-based payment transactions, including the income tax consequences, classification of awards as either equity or liabilities, and classification on the statement of cash flows. The provisions of this ASU are effective for years beginning after December 15, 2016. Early adoption is permitted. We are considering early adoption of this ASU and do not expect the ASU to have a material impact on our cash flows or results of operations in 2016.</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(Topic 328): Measurement of Credit Losses on Financial Instruments." This ASU requires that certain financial assets, including those measured at amortized cost basis, be presented at the net amount expected to be collected, utilizing an impairment model known as the current expected credit loss model. In addition, available-for-sale debt securities will no longer use the concept of "other than temporary" when considering credit losses. Under this ASU, entities must use an allowance approach for credit losses on available-for-sale debt securities, and the allowance must be limited to the amount at which a security's fair value is below the amortized cost of the asset. The provisions of this ASU are effective for years beginning after December 15, 2019, with early adoption permitted. We are currently evaluating the impact of this ASU.</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2016 and 2015, PricewaterhouseCoopers LLP (PricewaterhouseCoopers) reported that it has applied limited procedures in accordance with professional standards for a review of such information. However, its report dated July 29, 2016,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ind w:right="4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June 30, 2016 and the related condensed consolidated statements of operations and condensed consolidated statements of comprehensive income for the three-month and six-month period ended June 30, 2016 and 2015 and the condensed consolidated statement of cash flows for the six-month period ended June 30, 2016 and 2015. This interim financial information is the responsibility of the Corporation’s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2015, and the related consolidated statements of operations, of comprehensive income, of cash flows, and of changes in equity for the year then ended (not presented herein), and in our report dated February 11, 2016, which included a paragraph that described the change in classification and presentation of debt issuance costs and deferred income taxes, and the leveling classification of pension assets in 2015,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 On November 6, 2015, we completed the sale of Sikorsky to Lockheed Martin Corp. for approximately $9.1 billion in cash. The results of operations and the related cash flows of Sikorsky have been reclassified to Discontinued Operations in our Condensed Consolidated Statements of Operations and Cash Flows for all periods presented.</w:t>
      </w:r>
    </w:p>
    <w:p>
      <w:pPr>
        <w:spacing w:after="0" w:line="8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2016 is discussed below. For additional discussion, refer to the "Business Overview" section in Management's Discussion and Analysis of Financial Condition and Results of Operations in our 2015 Annual Report, which is incorporated by reference in our 2015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global economy continues to expand in 2016 with world gross domestic product (GDP) growth projected to reach approximately 2.5% reflecting modest growth in the U.S. and Western Europe and a slowing but still growing economy in China. U.S. GDP growth is forecasted to be 1.9%, reflecting a mixed outlook with an improving housing market and growth in new jobs, tempered by slower growth in the oil and gas industry. Although emerging markets have historically led global growth relative to advanced and developing countries, slowing growth rates in China and contraction in Russia and Brazil have tempered growth expectations for emerging markets in 2016 to approximately 3.8%.</w:t>
      </w:r>
    </w:p>
    <w:p>
      <w:pPr>
        <w:spacing w:after="0" w:line="18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 referendum on June 23, 2016, voters in the United Kingdom (the U.K.) voted in favor of the U.K.'s exiting the European Union (the EU). The outcome of the U.K. vote implies a general increase in economic, political, and institutional uncertainty, which may have negative macroeconomic consequences. Our 2015 full year sales in the U.K. were approximately $2 billion and represented less than 4 percent of our overall sales. While we will continue to evaluate the potential short- and long-term impact of the vote, we do not believe the U.K.'s withdrawal from the EU will significantly impact our businesses in the near term.</w:t>
      </w:r>
    </w:p>
    <w:p>
      <w:pPr>
        <w:spacing w:after="0" w:line="18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$1.3 billion and $1.4 billion, or 9% and 10% of total UTC sales, in the quarters ended June 30, 2016 and 2015,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November 6, 2015, we completed the sale of Sikorsky to Lockheed Martin Corp. for approximately $9.1 billion in cash. As noted above, the results of operations and the related cash flows of Sikorsky have been reclassified to Discontinued Operations in our Condensed Consolidated Statements of Operations, Comprehensive Income and Cash Flows for all periods presented. Proceeds from the sale were used to fund $6.0 billion of share repurchases through accelerated share repurchase (ASR) agreements entered into on November 11, 2015. In connection with the sale of Sikorsky, we have made tax payments of approximately $2.5 billion in 2016. Subject to resolution of outstanding matters with taxing authorities, we expect remaining tax payments related to the sale of Sikorsky to be less than $100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2016, our investment in business acquisitions was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$538 million, which includes the acquisition of a majority interest in an Italian-based heating products and services company by UTC Climate, Controls &amp; Security and a number of small acquisitions primarily in our commercial businesses. We expect cash investment in acquisitions to be between $1 billion and $2 billion in 2016. However, actual acquisition spending may vary depending upon the timing, availability and value of acquisition opportunities.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2016. See Part I, Item 1A, "Risk Factors" in our 2015 Form 10-K for further discussion.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2015 Annual Report, incorporated by reference in our 2015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14,874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14,690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28,231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28,010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2016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r>
      <w:tr>
        <w:trPr>
          <w:trHeight w:val="257"/>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During the quarter ended June 30, 2016, organic sales growth at Pratt &amp; Whitney (4%), UTC Aerospace Systems (2%) and Otis (2%), was partially offset by a decline at UTC Climate, Controls &amp; Security (1%). The organic sales growth at Pratt &amp; Whitney was primarily driven by higher commercial aftermarket sales. The organic sales growth at UTC Aerospace Systems was primarily due to an increase in commercial aerospace OEM and commercial aftermarket sales volume. The organic sales growth at Otis was driven by service sales growth in the Americas and Asia and higher new equipment sales in North America and Europe. The decline in sales at UTC Climate, Controls &amp; Security was primarily driven by lower container volume in the refrigeration business.</w:t>
      </w:r>
    </w:p>
    <w:p>
      <w:pPr>
        <w:spacing w:after="0" w:line="8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six months ended June 30, 2016, organic sales growth at Pratt &amp; Whitney (6%), Otis (3%), and UTC Aerospace Systems (1%) was partially offset by a decline at UTC Climate, Controls &amp; Security (1%). The organic sales growth at Pratt &amp; Whitney primarily reflects higher commercial aftermarket sales. The organic sales growth at Otis was primarily driven by new equipment sales in North America and the Asia region excluding China. The organic sales growth at UTC</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Aerospace Systems was primarily due to an increase in commercial aerospace OEM and commercial aftermarket sales volume. The decline in sales at UTC Climate, Controls &amp; Security was primarily driven by lower container volume in the refrigeration business.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14,838</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5,140</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10,741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10,472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20,395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19,978</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six months ended June 30, 2016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organic increase in total cost of products and services sold in the quarter and six months ended June 30, 2016 was driven by the organic sales increase noted above, as well as an increase in negative engine margin in 2016 relative to 2015 associated with OEM sales mix within Pratt &amp; Whitney, partially offset by the impact of lower commodity costs at UTC Climate, Controls &amp; Security. Foreign exchange fluctuations primarily at Otis and UTC Climate, Controls &amp; Security provided a benefit through lower cost of sales of approximately 1% and 2% for the quarter and six months ended June 30, 2016,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8,032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r>
    </w:tbl>
    <w:p>
      <w:pPr>
        <w:spacing w:after="0" w:line="12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90 basis point decline in gross margin as a percentage of sales for the quarter ended June 30, 2016 primarily reflects lower gross margin at Pratt &amp; Whitney (100 basis points) driven by an increase in negative engine margin, partially offset by higher gross margin at UTC Climate, Controls &amp; Security (20 basis points) primarily driven by lower commodities cost.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90 basis point decrease in gross margin as a percentage of sales for six months ended June 30, 2016 is primarily due to lower gross margin at Pratt</w:t>
      </w:r>
    </w:p>
    <w:p>
      <w:pPr>
        <w:spacing w:after="0" w:line="46" w:lineRule="exact"/>
        <w:rPr>
          <w:sz w:val="20"/>
          <w:szCs w:val="20"/>
          <w:color w:val="auto"/>
        </w:rPr>
      </w:pPr>
    </w:p>
    <w:p>
      <w:pPr>
        <w:ind w:right="400" w:firstLine="8"/>
        <w:spacing w:after="0" w:line="255"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Whitney (70 basis points) driven by an increase in negative engine margin, lower gross margin at UTC Aerospace Systems (20 basis points) driven by unfavorable commercial OEM mix, and lower gross margin at Otis (10 basis points) resulting from unfavorable pricing, partially offset by higher gross margin at UTC Climate, Controls &amp; Security (10 basis points) primarily driven by lower commodities cost.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1,129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714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(5%) for the quarter ended June 30, 2016 is primarily driven by higher research and development spending at Pratt &amp; Whitney (4%) as development programs progress towards certification, and higher spending at Otis (2%). Customer-funded research and development declined 14%, primarily at UTC Aerospace Systems (8%) due to lower spend related to several commercial aerospace programs, and at Pratt &amp; Whitney (6%), due principally to lower spending on U.S. Government programs.</w:t>
      </w:r>
    </w:p>
    <w:p>
      <w:pPr>
        <w:spacing w:after="0" w:line="8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year-over-year increase in company-funded research and development (1%) for the six months ended June 30, 2016 is primarily driven by higher research and development costs within Pratt &amp; Whitney (3%) as development programs progress towards certification, and higher spending at Otis (1%). These increases were largely offset by lower spend within UTC Aerospace Systems related to several commercial aerospace programs (3%). Customer-funded research and development declined (13%) due primarily to lower spending on U.S. Government and commercial engine programs at Pratt &amp; Whitney (9%), and lower spend within UTC Aerospace Systems related to several commercial aerospace programs (5%).</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2016 to be up slightly from 2015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2,902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Selling, general and administrative expenses increased 2% in the quarter ended June 30, 2016 due to higher restructuring costs (2%); higher selling, general and administrative expenses at Otis (2%) reflecting higher labor costs and higher information technology costs; and higher expenses related to recent acquisitions (1%), partially offset by lower pension costs (4%).</w:t>
      </w:r>
    </w:p>
    <w:p>
      <w:pPr>
        <w:spacing w:after="0" w:line="73"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Selling, general and administrative expenses declined 3% in the six months ended June 30, 2016 due to lower pension costs (4%) partially offset by higher selling, general and administrative expenses at Otis (2%) reflecting higher labor costs and higher information technology costs.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increase in other income, net (34%) in the quarter ended June 30, 2016 reflects the favorable impact of contract settlements at Pratt &amp; Whitney (24%), higher net foreign exchange gains and losses (12%), and higher joint venture income (11%), partially offset by higher restructuring charges (14%).</w:t>
      </w:r>
    </w:p>
    <w:p>
      <w:pPr>
        <w:spacing w:after="0" w:line="79"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The year-over-year decrease in other income, net (34%) in the six months ended June 30, 2016 reflects the absence of the prior year gains from the remeasurement to fair value of previously held equity interests in UTC Climate, Controls &amp; Security joint venture investments (26%), a favorable contract termination at Pratt &amp; Whitney (6%) and a UTC Climate, Controls &amp; Security property sale (2%). The decrease also reflects higher restructuring charges (4%), partially offset by the favorable impact of current year contract settlements at Pratt &amp; Whitney (7%).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434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2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increase in interest expense during the quarter and six months ended June 30, 2016 relative to the prior year is due to additional interest expense on non-U.S. long term debt issued in May, 2015 and in February, 2016, partially offset by lower average outstanding U.S. long-term debt balances and related interest expense.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r>
      <w:tr>
        <w:trPr>
          <w:trHeight w:val="243"/>
        </w:trPr>
        <w:tc>
          <w:tcPr>
            <w:tcW w:w="6320" w:type="dxa"/>
            <w:vAlign w:val="bottom"/>
            <w:gridSpan w:val="2"/>
            <w:shd w:val="clear" w:color="auto" w:fill="CCEEFF"/>
          </w:tcPr>
          <w:p>
            <w:pPr>
              <w:jc w:val="right"/>
              <w:ind w:right="496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28.5%</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effective tax rate for the quarter and six months ended June 30, 2016 is consistent with the forecasted effective tax rate for full year 2016. The effective tax rate for the six months ended June 30, 2015 reflects the 2015 non-taxable gain recognized on the re-measurement to fair value of a previously held equity interest in a UTC Climate, Controls &amp; Security joint venture.</w:t>
      </w:r>
    </w:p>
    <w:p>
      <w:pPr>
        <w:spacing w:after="0" w:line="7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We estimate our full year 2016 continuing operations annual effective income tax rate to be approximately 28%, excluding restructuring and non-operational nonrecurring items.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Net income from continuing operations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3.15</w:t>
            </w:r>
          </w:p>
        </w:tc>
      </w:tr>
    </w:tbl>
    <w:p>
      <w:pPr>
        <w:spacing w:after="0" w:line="121"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quarter ended June 30, 2016 includes restructuring charges, net of tax benefit, of $78 million as well as significant non-operational and/or nonrecurring items, net of tax, of $10 million. The effect of restructuring charges and nonrecurring items on diluted earnings per share for the quarter ended June 30, 2016 was $0.11 per share while the effect of foreign currency translation and hedging generated an unfavorable effect of $0.01 per diluted share.</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income from continuing operations attributable to common shareowners for the quarter ended June 30, 2015 includes restructuring charges, net of tax benefit, of $24 million. The effect of restructuring charges on diluted earnings per share for the quarter ended June 30, 2015 was $0.03 per share while the effect of foreign currency translation and hedging generated an unfavorable effect of $0.06 per diluted share.</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six months ended June 30, 2016 includes restructuring charges, net of tax benefit, of $120 million as well as significant non-operational and/or nonrecurring items, net of tax, of $10 million. The effect of restructuring charges and nonrecurring items on diluted earnings per share for the six months ended June 30, 2016 was $0.16 per share. The effect of foreign currency translation and hedging did not materially impact earnings per diluted share.</w:t>
      </w:r>
    </w:p>
    <w:p>
      <w:pPr>
        <w:spacing w:after="0" w:line="18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Net income from continuing operations attributable to common shareowners for the six months ended June 30, 2015 includes restructuring charges, net of tax benefit, of $88 million as well as significant non-operational and/or nonrecurring items, net of tax, of $127 million. The effect of restructuring charges and significant nonrecurring items on diluted earnings per share for the six months ended June 30, 2015 was $0.04 per share while the effect of foreign currency translation and hedging generated an unfavorable effect of $0.13 per diluted share.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Income from Discontinued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Net (loss) income from discontinued operations attributable to common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(loss) earnings per share from discontinued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0.16</w:t>
            </w:r>
          </w:p>
        </w:tc>
      </w:tr>
    </w:tbl>
    <w:p>
      <w:pPr>
        <w:spacing w:after="0" w:line="121"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Net loss from discontinued operations attributable to common shareowners for the quarter and six months ended June 30, 2016 primarily reflects additional tax provision associated with the net gain realized on the sale of Sikorsky to Lockheed Martin Corp. in November 2015. For the quarter and six months ended June 30, 2015, net income from discontinued operations attributable to common shareowners primarily reflects income from Sikorsky's operations, a reduction to the gain on disposal and additional associated tax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included within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Restructuring costs included within discontinued operations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both existing operations and those recently acquired. Charges generally arise from severance related to workforce reductions, facility exit and lease termination costs associated with the consolidation of field and manufacturing operations and costs to exit legacy programs. We expect to incur restructuring costs within continuing operations in 2016 of approximately $400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8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six months ended June 30, 2016, we recorded net pre-tax restructuring charges of $113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2016. We are targeting to complete in 2016 and 2017 the majority of the remaining workforce and facility related cost reduction actions initiated in 2016. Approximately 70% of the total pre-tax charge will require cash payments, which we have funded and expect to continue to fund with cash generated from operations. During the six months ended June 30, 2016, we had cash outflows of approximately $24 million related to the 2016 actions. We expect to incur additional restructuring charges of $100 million to complete these actions. We expect recurring pre-tax savings in continuing operations to increase over the two-year period subsequent to initiating the actions to approximately $80 million annually.</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six months ended June 30, 2016 and 2015, we recorded net pre-tax restructuring charges of $53 million and $79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actions initiated in 2015. We are targeting to complete in 2016 the majority of the remaining workforce and facility related cost reduction actions initiated in 2015. Approximately 73% of the total pre-tax charge will require cash payments, which we have and expect to continue to fund with cash generated from operations. During the six months ended June 30, 2016, we had cash outflows of approximately $116 million related to the 2015 actions. We expect to incur additional restructuring charges of $111 million to complete these actions. We expect recurring pre-tax savings in continuing operations to increase over the two-year period subsequent to initiating the actions to approximately $480 million annually, of which, approximately $135 million was realized during the six months ended June 30, 2016.</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We have previously reported the results of Sikorsky within our Aerospace Businesses as a separate reporting segment, but have reclassified Sikorsky's results to discontinued operations for all periods presented, as noted in the "Discontinued Operations" section of our Business Overview in Management’s Discussion and Analysis of Financial Condition and Results of Operations.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Adjustments to reconcile segment reporting to the consolidated results for the quarters and six months ended June 30, 2016 and 2015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declined (4%) driven by the transport refrigeration business (3%) and commercial HVAC (2%). Within the Otis segment, new equipment orders decreased (4%) in the quarter ended June 30, 2016 driven by declines in orders in the Middle East (7%) and China (6%), partially offset by order growth in Europe (7%), North America (1%), and the Asia region excluding China (1%).</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20.2%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18.5%</w:t>
            </w:r>
          </w:p>
        </w:tc>
        <w:tc>
          <w:tcPr>
            <w:tcW w:w="106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19.8%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18.7%</w:t>
            </w:r>
          </w:p>
        </w:tc>
        <w:tc>
          <w:tcPr>
            <w:tcW w:w="10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2016 Compared with Quarter Ended June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92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92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Organic sales increased 2% due to higher service sales (1%), with growth in the Americas and Asia, and higher new equipment sales growth (1%). The new equipment sales growth was driven by growth in North America (2%) and Europe (1%), partially offset by a decline in China (2%).</w:t>
      </w:r>
    </w:p>
    <w:p>
      <w:pPr>
        <w:spacing w:after="0" w:line="38"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Operational profit decreased 5% primarily due to unfavorable price and mix (11%) driven by pricing pressure in China, Europe, and the Middle East, and higher research and development spending (2%), partially offset by higher volume (6%). The remaining offset includes the impact of lower commodity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92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92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Organic sales increased 3% primarily due to higher new equipment sales (2%), with growth in North America (2%) and the Asia region excluding China (1%), partially offset by a decline in China (1%). Service sales growth (1%) was primarily due to growth in the Americas and Asia.</w:t>
      </w:r>
    </w:p>
    <w:p>
      <w:pPr>
        <w:spacing w:after="0" w:line="14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Operational profit decreased 5% primarily due to unfavorable price and mix (9%) driven by pricing pressure in China, Europe, and the Middle East, partially offset by higher volume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2016 Compared with Quarter Ended June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8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Organic sales decreased by 1% primarily driven by a decline in the refrigeration business (1%) due to lower container volume. Organic sales growth in North America Residential HVAC (1%) was offset by slight declines in global commercial HVAC and the fire and security businesses.</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10% operational profit increase was driven by lower commodities cost (6%), and productivity and restructuring savings (combined 7%), partly offset by the impact of lower sales volume and adverse sales mix (combined 3%). The 2% decrease in "Other" is mainly driven by acquisition and integration costs related to current period acquisitions.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Organic sales decreased by 1% primarily driven by a decline in the refrigeration business (1%) due to lower container volume.</w:t>
      </w:r>
    </w:p>
    <w:p>
      <w:pPr>
        <w:spacing w:after="0" w:line="22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7% operational profit increase was driven by lower commodities cost (6%), and productivity and restructuring savings (combined 5%), partly offset by the impact of lower sales volume and adverse sales mix (combined 3%). The 10% decrease in "Other" is driven by the absence of a prior year gain as a result of a fair value adjustment related to acquisitions of a controlling interest in joint venture investments (9%), and a prior year gain on a property sale</w:t>
      </w:r>
    </w:p>
    <w:p>
      <w:pPr>
        <w:jc w:val="both"/>
        <w:ind w:right="100"/>
        <w:spacing w:after="0" w:line="255" w:lineRule="auto"/>
        <w:rPr>
          <w:sz w:val="20"/>
          <w:szCs w:val="20"/>
          <w:color w:val="auto"/>
        </w:rPr>
      </w:pPr>
      <w:r>
        <w:rPr>
          <w:rFonts w:ascii="Arial" w:cs="Arial" w:eastAsia="Arial" w:hAnsi="Arial"/>
          <w:sz w:val="18"/>
          <w:szCs w:val="18"/>
          <w:color w:val="auto"/>
        </w:rPr>
        <w:t>(1%). "Other" also includes current year gains related to the acquisition of a controlling interest in a joint venture investment in the Middle East and from the sale of an investment in Australia (combined 2%), which were offset by a prior year gain from an acquisition of a controlling interest in another joint venture investment and a prior year gain on a property sale.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and lower fuel costs. Airline traffic, as measured by RPMs, grew approximately 5% in the first five months of 2016, while jet fuel costs have declined approximately 27% relative to prices one year ago.</w:t>
      </w:r>
    </w:p>
    <w:p>
      <w:pPr>
        <w:spacing w:after="0" w:line="18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commercial aftermarket businesses continue to evolve as an increasing proportion of our aerospace businesses' customers are covered under Fleet Management Programs (FMPs). FMPs are comprehensive long-term spare part and service agreements with our customers. We expect a continued shift to FMPs in lieu of transactional spare part sales as new engines enter our customers' fleets on FMPs and legacy fleets are retired. For the first six months of 2016, as compared with 2015, commercial aerospace aftermarket sales increased 19% at Pratt &amp; Whitney and 3% at UTC Aerospace Systems.</w:t>
      </w:r>
    </w:p>
    <w:p>
      <w:pPr>
        <w:spacing w:after="0" w:line="15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For both the quarter and six months ended June 30, 2016 operating profit included significant net favorable changes in aerospace contract estimates of $4 million, primarily representing favorable contract adjustments recorded at UTC Aerospace Systems. Operating profit in the quarter and six months ended June 30, 2015 included significant net favorable changes in aerospace contract estimates of $69 million and $130 million, respectively, primarily representing favorable contract adjustments recorded at Pratt &amp; Whitney.</w:t>
      </w:r>
    </w:p>
    <w:p>
      <w:pPr>
        <w:spacing w:after="0" w:line="18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have certified the initial aircraft model and expect to close the certification process for all aircraft models in 2016.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Pratt &amp; Whitney</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UTC Aerospace Systems</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9"/>
                <w:szCs w:val="19"/>
                <w:color w:val="auto"/>
              </w:rPr>
            </w:pPr>
          </w:p>
        </w:tc>
        <w:tc>
          <w:tcPr>
            <w:tcW w:w="6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24"/>
                <w:szCs w:val="24"/>
                <w:color w:val="auto"/>
              </w:rPr>
            </w:pPr>
          </w:p>
        </w:tc>
        <w:tc>
          <w:tcPr>
            <w:tcW w:w="1160" w:type="dxa"/>
            <w:vAlign w:val="bottom"/>
            <w:gridSpan w:val="5"/>
          </w:tcPr>
          <w:p>
            <w:pPr>
              <w:jc w:val="right"/>
              <w:ind w:right="220"/>
              <w:spacing w:after="0"/>
              <w:rPr>
                <w:sz w:val="20"/>
                <w:szCs w:val="20"/>
                <w:color w:val="auto"/>
              </w:rPr>
            </w:pPr>
            <w:r>
              <w:rPr>
                <w:rFonts w:ascii="Arial" w:cs="Arial" w:eastAsia="Arial" w:hAnsi="Arial"/>
                <w:sz w:val="18"/>
                <w:szCs w:val="18"/>
                <w:color w:val="auto"/>
              </w:rPr>
              <w:t>16.0%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14"/>
          </w:tcPr>
          <w:p>
            <w:pPr>
              <w:spacing w:after="0"/>
              <w:rPr>
                <w:sz w:val="20"/>
                <w:szCs w:val="20"/>
                <w:color w:val="auto"/>
              </w:rPr>
            </w:pPr>
            <w:r>
              <w:rPr>
                <w:rFonts w:ascii="Arial" w:cs="Arial" w:eastAsia="Arial" w:hAnsi="Arial"/>
                <w:sz w:val="18"/>
                <w:szCs w:val="18"/>
                <w:b w:val="1"/>
                <w:bCs w:val="1"/>
                <w:i w:val="1"/>
                <w:iCs w:val="1"/>
                <w:color w:val="auto"/>
              </w:rPr>
              <w:t>Quarter Ended June 30, 2016 Compared with Quarter Ended June 30, 2015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rPr>
              <w:t>Factors Contributing to Total % Change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80" w:type="dxa"/>
            <w:vAlign w:val="bottom"/>
            <w:gridSpan w:val="6"/>
          </w:tcPr>
          <w:p>
            <w:pPr>
              <w:jc w:val="right"/>
              <w:ind w:right="700"/>
              <w:spacing w:after="0" w:line="153" w:lineRule="exact"/>
              <w:rPr>
                <w:sz w:val="20"/>
                <w:szCs w:val="20"/>
                <w:color w:val="auto"/>
              </w:rPr>
            </w:pPr>
            <w:r>
              <w:rPr>
                <w:rFonts w:ascii="Arial" w:cs="Arial" w:eastAsia="Arial" w:hAnsi="Arial"/>
                <w:sz w:val="14"/>
                <w:szCs w:val="14"/>
                <w:b w:val="1"/>
                <w:bCs w:val="1"/>
                <w:color w:val="auto"/>
              </w:rPr>
              <w:t>Organic /</w:t>
            </w:r>
          </w:p>
        </w:tc>
        <w:tc>
          <w:tcPr>
            <w:tcW w:w="100" w:type="dxa"/>
            <w:vAlign w:val="bottom"/>
          </w:tcPr>
          <w:p>
            <w:pPr>
              <w:spacing w:after="0"/>
              <w:rPr>
                <w:sz w:val="13"/>
                <w:szCs w:val="13"/>
                <w:color w:val="auto"/>
              </w:rPr>
            </w:pPr>
          </w:p>
        </w:tc>
        <w:tc>
          <w:tcPr>
            <w:tcW w:w="1420" w:type="dxa"/>
            <w:vAlign w:val="bottom"/>
            <w:gridSpan w:val="4"/>
          </w:tcPr>
          <w:p>
            <w:pPr>
              <w:ind w:left="460"/>
              <w:spacing w:after="0" w:line="153" w:lineRule="exact"/>
              <w:rPr>
                <w:sz w:val="20"/>
                <w:szCs w:val="20"/>
                <w:color w:val="auto"/>
              </w:rPr>
            </w:pPr>
            <w:r>
              <w:rPr>
                <w:rFonts w:ascii="Arial" w:cs="Arial" w:eastAsia="Arial" w:hAnsi="Arial"/>
                <w:sz w:val="14"/>
                <w:szCs w:val="14"/>
                <w:b w:val="1"/>
                <w:bCs w:val="1"/>
                <w:color w:val="auto"/>
              </w:rPr>
              <w:t>FX</w:t>
            </w:r>
          </w:p>
        </w:tc>
        <w:tc>
          <w:tcPr>
            <w:tcW w:w="1440" w:type="dxa"/>
            <w:vAlign w:val="bottom"/>
            <w:gridSpan w:val="3"/>
          </w:tcPr>
          <w:p>
            <w:pPr>
              <w:jc w:val="right"/>
              <w:ind w:right="210"/>
              <w:spacing w:after="0" w:line="153" w:lineRule="exact"/>
              <w:rPr>
                <w:sz w:val="20"/>
                <w:szCs w:val="20"/>
                <w:color w:val="auto"/>
              </w:rPr>
            </w:pPr>
            <w:r>
              <w:rPr>
                <w:rFonts w:ascii="Arial" w:cs="Arial" w:eastAsia="Arial" w:hAnsi="Arial"/>
                <w:sz w:val="14"/>
                <w:szCs w:val="14"/>
                <w:b w:val="1"/>
                <w:bCs w:val="1"/>
                <w:color w:val="auto"/>
              </w:rPr>
              <w:t>Acquisitions /</w:t>
            </w:r>
          </w:p>
        </w:tc>
        <w:tc>
          <w:tcPr>
            <w:tcW w:w="120" w:type="dxa"/>
            <w:vAlign w:val="bottom"/>
          </w:tcPr>
          <w:p>
            <w:pPr>
              <w:spacing w:after="0"/>
              <w:rPr>
                <w:sz w:val="13"/>
                <w:szCs w:val="13"/>
                <w:color w:val="auto"/>
              </w:rPr>
            </w:pPr>
          </w:p>
        </w:tc>
        <w:tc>
          <w:tcPr>
            <w:tcW w:w="2180" w:type="dxa"/>
            <w:vAlign w:val="bottom"/>
            <w:gridSpan w:val="9"/>
          </w:tcPr>
          <w:p>
            <w:pPr>
              <w:jc w:val="center"/>
              <w:ind w:right="6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Costs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organic sales increase of 4% primarily reflects higher commercial aftermarket sales, including a sale of legacy hardware (8%) and the benefit from a favorable contract termination (2%) offset by lower military engine sales (3%) and lower commercial engine sales (3%).</w:t>
      </w:r>
    </w:p>
    <w:p>
      <w:pPr>
        <w:spacing w:after="0" w:line="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Pratt &amp; Whitney's operating profit includes lower pension cost and restructuring savings across its business. The operational profit decrease of 10% was primarily driven by higher negative engine margin due to unfavorable mix within the Commercial Engine business (23%), lower military engine volume and unfavorable military engine mix (8%) and higher research and development spending (5%), partially offset by strong commercial aftermarket volume (29%). Unfavorable year-over-year contract performance, net of a contract termination benefit and a contract settlement (11%) was partially offset by profit recognized from a sale of legacy hardware (7%).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ind w:left="112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FX</w:t>
            </w:r>
          </w:p>
        </w:tc>
        <w:tc>
          <w:tcPr>
            <w:tcW w:w="15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80" w:firstLine="8"/>
        <w:spacing w:after="0" w:line="279" w:lineRule="auto"/>
        <w:tabs>
          <w:tab w:leader="none" w:pos="1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organic sales increase of 6% primarily reflects higher commercial aftermarket sales (8%) and the benefit from a favorable contract termination (1%) offset by lower commercial engine sales (3%).</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Pratt &amp; Whitney's operating profit includes lower pension cost and restructuring savings across its business. The operational profit decrease of 9% was primarily due to higher negative engine margin due to unfavorable mix within the Commercial Engine business (20%), lower military engine volume and unfavorable military engine mix (5%), and higher research and development spending (3%), partially offset by strong commercial aftermarket volume (27%). Unfavorable year-over-year contract performance, net of a contract termination benefit and a contract settlement (10%) was partially offset by profit recognized from a sale of legacy hardware (4%).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2016 Compared with Quarter Ended June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1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rPr>
              <w:t>FX</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organic sales growth of 2% primarily reflects an increase in commercial aerospace OEM and commercial aftermarket sales volume (4%), offset by lower military OEM and aftermarket sales volume (2%).</w:t>
      </w:r>
    </w:p>
    <w:p>
      <w:pPr>
        <w:spacing w:after="0" w:line="17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organic increase in operational profit of 4% primarily reflects lower pension costs (6%), higher commercial aftermarket profit contribution (5%), and higher income from licensing agreements (3%), partially offset by the absence of the favorable impact of prior year customer contract negotiations and other settlements (6%) and lower military OEM and military aftermarket profit contribution (4%), primarily driven by lower military sales volume and adverse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organic sales growth of 1% primarily reflects an increase in commercial aerospace OEM and commercial aftermarket sales volume (3%), partially offset by lower military OEM and aftermarket sales volume (2%).</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organic decrease in operational profit of 4% primarily reflects lower commercial aerospace and military OEM profit contribution (10%), primarily driven by lower military sales volume and adverse mix, and the absence of the favorable impact of prior year customer contract negotiations and other settlements (5%), partially offset by lower pension costs (6%), lower research and development costs (3%), higher commercial aerospace aftermarket profit contribution (2%), and lower selling, general and administrative expenses (1%).</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88"/>
              </w:rPr>
              <w:t>Net Sales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4"/>
              </w:rPr>
              <w:t>Operating Profits</w:t>
            </w:r>
          </w:p>
        </w:tc>
        <w:tc>
          <w:tcPr>
            <w:tcW w:w="9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360" w:type="dxa"/>
            <w:vAlign w:val="bottom"/>
          </w:tcPr>
          <w:p>
            <w:pPr>
              <w:spacing w:after="0"/>
              <w:rPr>
                <w:sz w:val="21"/>
                <w:szCs w:val="21"/>
                <w:color w:val="auto"/>
              </w:rPr>
            </w:pPr>
          </w:p>
        </w:tc>
        <w:tc>
          <w:tcPr>
            <w:tcW w:w="270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5"/>
              </w:rPr>
              <w:t>Quarter Ended June 30,</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88"/>
              </w:rPr>
              <w:t>Net Sales</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4"/>
              </w:rPr>
              <w:t>Operating Profits</w:t>
            </w:r>
          </w:p>
        </w:tc>
        <w:tc>
          <w:tcPr>
            <w:tcW w:w="9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21"/>
                <w:szCs w:val="21"/>
                <w:color w:val="auto"/>
              </w:rPr>
            </w:pPr>
          </w:p>
        </w:tc>
        <w:tc>
          <w:tcPr>
            <w:tcW w:w="27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r>
    </w:tbl>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increase in the amount of sales eliminations for the quarter and six months ended June 30, 2016, as compared with the same periods of 2015, reflects an increase in the amount of inter-segment sales eliminations, principally between our aerospace businesses. The year-over-year decline in operating profit for the quarter and six months ended June 30, 2016, as compared with the same periods of 2015, reflects a decrease in royalty income in 2016. The year-over-year decline in general corporate expenses for the quarter and six months ended June 30, 2016, as compared with the same periods in 2015, primarily reflects lower expenses related to salaries,wages and employee benefits.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22,431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16,613</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31,938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54,369</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48,551</w:t>
            </w: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60" w:type="dxa"/>
            <w:vAlign w:val="bottom"/>
          </w:tcPr>
          <w:p>
            <w:pPr>
              <w:spacing w:after="0"/>
              <w:rPr>
                <w:sz w:val="21"/>
                <w:szCs w:val="21"/>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34%</w:t>
            </w:r>
          </w:p>
        </w:tc>
      </w:tr>
    </w:tbl>
    <w:p>
      <w:pPr>
        <w:spacing w:after="0" w:line="12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generally target to approximate net income from continuing operations attributable to common shareowners. For 2016,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6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domestic pension funds experienced a positive return on assets of 5.44% during the first six months of 2016.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higher discount rates for pension obligations, a change in the manner of estimating discount rates for service cost and interest cost and the continued recognition of prior pension investment gains, partially offset by a reduction in the expected return on plan assets and 2015 actual returns on plan assets, will result in decreased pension expense in 2016 of approximately $500 million as compared to 2015, including a $215 million decrease in 2016 pension expense as a result of the change in approach to estimating the service and interest components of net periodic pension cost for our significant pension plans, as more fully discussed in Note 7.</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increased to 42% at June 30, 2016, primarily reflecting additional borrowings in 2015 and 2016 to fund share repurchases, partially offset by growth in equity in 2016 primarily related to earnings during the period partially offset by dividends. The average maturity of our long-term debt at June 30, 2016 is approximately twelve years.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22, 2016 we issued €950 million aggregate principal amount of 1.125% notes due 2021, €500 million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1.875% notes due 2026 and €750 million aggregate principal amount of floating rate notes due 2018. The net proceeds from these debt issuances were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general corporate purposes.</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On August 3, 2015, we received approximately $1.1 billion from the proceeds of the remarketing, and issued approximately 11.3 million shares of Common Stock to settle the purchase obligation of the holders of the equity units under the purchase contract entered into at the time of the original issuance of the equity units.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quarter ended June 30, 2015, we repaid at maturity all 4.875% notes due in 2015 and all floating rate notes due in 2015, representing $1.7 billion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maturing during the quarter ended June 30, 2015.</w:t>
      </w:r>
    </w:p>
    <w:p>
      <w:pPr>
        <w:spacing w:after="0" w:line="18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At June 30, 2016, we had revolving credit agreements with various banks permitting aggregate borrowings of up to $4.35 billion pursuant to a $2.20 billion revolving credit agreement and a $2.15 billion multicurrency revolving credit agreement, both of which expire in May 2019. As of June 30, 2016, there were no borrowings under these revolving credit agreements. The undrawn portions of these revolving credit agreements are also available to serve as backup facilities for the issuance of commercial paper. As of June 30, 2016, our maximum commercial paper borrowing limit was $4.35 billion.</w:t>
      </w:r>
    </w:p>
    <w:p>
      <w:pPr>
        <w:spacing w:after="0" w:line="15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13, 2015, we entered into ASR agreements to repurchase an aggregate of $2.65 billion of our common stock, which was largely funded by our commercial paper borrowings. Under the terms of the ASR agreements, we made the aggregate payments and received an initial delivery of approximately 18.6 million shares of our common stock, representing approximately 85% of the shares expected to be repurchased. On July 31, 2015, the shares associated with the remaining portion of the aggregate purchase were settled upon final delivery to us of approximately 4.2 million additional shares of common stock.</w:t>
      </w:r>
    </w:p>
    <w:p>
      <w:pPr>
        <w:spacing w:after="0" w:line="18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November 6, 2015, we completed the sale of Sikorsky to Lockheed Martin Corp. for approximately $9.1 billion in cash. In connection with the sale of Sikorsky, we have made tax payments of approximately $2.5 billion in 2016. Subject to resolution of outstanding matters with taxing authorities, we expect remaining tax payments related to the sale of Sikorsky to be less than $100 million.</w:t>
      </w:r>
    </w:p>
    <w:p>
      <w:pPr>
        <w:spacing w:after="0" w:line="18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agreements, less a discount and subject to adjustments pursuant to the terms and conditions of the ASR agreements.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5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to us of approximately 2.1 million shares of common stock. The final settlement of the transactions under the remaining five tranches is expected to occur in the third quarter of 2016.</w:t>
      </w:r>
    </w:p>
    <w:p>
      <w:pPr>
        <w:spacing w:after="0" w:line="73" w:lineRule="exact"/>
        <w:rPr>
          <w:sz w:val="20"/>
          <w:szCs w:val="20"/>
          <w:color w:val="auto"/>
        </w:rPr>
      </w:pPr>
    </w:p>
    <w:p>
      <w:pPr>
        <w:ind w:right="200" w:firstLine="540"/>
        <w:spacing w:after="0" w:line="264" w:lineRule="auto"/>
        <w:rPr>
          <w:sz w:val="20"/>
          <w:szCs w:val="20"/>
          <w:color w:val="auto"/>
        </w:rPr>
      </w:pPr>
      <w:r>
        <w:rPr>
          <w:rFonts w:ascii="Arial" w:cs="Arial" w:eastAsia="Arial" w:hAnsi="Arial"/>
          <w:sz w:val="18"/>
          <w:szCs w:val="18"/>
          <w:color w:val="auto"/>
        </w:rPr>
        <w:t>At June 30, 2016, approximately 99%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87"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We continue to be involved in litigation with the German Tax Office in the German Tax Court with respect to certain tax benefits that we have claimed related to a 1998 reorganization of the corporate structure of Otis operations in Germany. We made tax and interest payments of approximately $300 million during 2015, including approximately $258 million paid during the six months ended June 30, 2015, to avoid additional interest accruals while we continue to litigate this matter. We do not expect to make significant additional tax or interest payments pending final resolution of this matter. See Note 14 to the Condensed Consolidated Financial Statements for a further discussion of this German tax litigation.</w:t>
      </w:r>
    </w:p>
    <w:p>
      <w:pPr>
        <w:spacing w:after="0" w:line="17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2016 and December 31, 2015, the amount of such restricted cash was approximately $28 million and $45 million, respectively.</w:t>
      </w:r>
    </w:p>
    <w:p>
      <w:pPr>
        <w:spacing w:after="0" w:line="18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3,022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Cash generated from operating activities of continuing operations in the six months ended June 30, 2016 was approximately $451 million lower than the same period in 2015, driven by lower net income (net of noncash charges) of approximately $305 million, the first of four annual payments of CAD327 million (approximately $237 million) under the previously disclosed 2015 agreement with federal and provincial Canadian government agencies, partially offset by a decrease in cash outflows for working capital of approximately $86 million in the six months ended June 30, 2016 over the prior year period.</w:t>
      </w:r>
    </w:p>
    <w:p>
      <w:pPr>
        <w:spacing w:after="0" w:line="15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the six months ended June 30, 2016, accounts receivable increased approximately $679 million, primarily in our aerospace businesses, due to the growth in commercial aerospace OEM and aftermarket sales in the period, and at UTC Climate, Controls &amp; Security, primarily reflecting seasonal volumes in the North American HVAC business and other growth in the refrigeration business. Factoring activity in the quarter ended June 30, 2016, excluding customer-funded factoring at Pratt &amp; Whitney related to certain extensions of contractual payment terms, was consistent with the prior year. Increases in inventories were primarily in our aerospace businesses supporting an increase in customers' platform deliveries and related aftermarket demand, which were more than offset by increased customer advances at Pratt &amp; Whitney and Otis, and increased accounts payable across all businesses.</w:t>
      </w:r>
    </w:p>
    <w:p>
      <w:pPr>
        <w:spacing w:after="0" w:line="165"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For the six months ended June 30, 2015, cash outflows for working capital were primarily driven by increases in inventories across all businesses and accounts receivable primarily within our commercial businesses, as well as net liquidations of customer advances primarily in Pratt &amp; Whitney's military programs, partially offset by increases in accounts payable and accrued liabilities. Inventories increased at UTC Climate, Controls &amp; Security supporting demand for the peak cooling season and to meet other contractual deliveries, and at Pratt &amp; Whitney and UTC Aerospace Systems supporting an increase in customers' platform deliveries and related aftermarket demand. Accounts receivable increased approximately $418 million, primarily in our commercial businesses, driven by the U.S. commercial and residential HVAC business at UTC Climate, Controls &amp; Security and Otis new equipment sales primarily in North America. Increases in accounts payable and accrued liabilities primarily relate to seasonal volumes and program activities in our commercial businesses, and were partially offset by payments of approximately $258 million related to tax and interest accruals on the German tax matter discussed further in Note 14 to the Condensed Consolidated Financial Statements.</w:t>
      </w:r>
    </w:p>
    <w:p>
      <w:pPr>
        <w:spacing w:after="0" w:line="18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six months ended June 30, 2016 and 2015 were $107 million and $70 million, respectively. Although our domestic pension plans are approximately 82% funded on a projected benefit obligation basis as of June 30, 2016, and we are not required to make additional contributions through the end of 2020, we may elect to make discretionary contributions in 2016. We expect to</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make total cash contributions of approximately $200 million to our global defined benefit pension plans in 2016. Contributions to our global defined benefit pension plans in 2016 are expected to meet or exceed the current funding requirements.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Cash flows used in investing activities of continuing operations for the six months ended June 30, 2016 primarily reflect capital expenditures of approximately $649 million, cash investments in businesses of approximately $538 million and payments related to our collaboration intangible assets and contractual rights to provide product on new aircraft platforms of approximately $313 million. Cash flows used in investing activities of continuing operations for the six months ended June 30, 2015 primarily reflect capital expenditures of approximately $654 million and payments related to our collaboration intangible assets and contractual rights to provide product on new aircraft platforms of approximately $377 million, partially offset by net cash receipts of approximately $414 million from the settlement of derivative instruments and $166 million from business dispositions.</w:t>
      </w:r>
    </w:p>
    <w:p>
      <w:pPr>
        <w:spacing w:after="0" w:line="178"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During the six months ended June 30, 2016, our collaboration intangible assets increased by approximately $199 million, of which $169 million resulted from payments made under our 2012 agreement to acquire Rolls-Royce's collaboration interest in IAE. Capital expenditures for the six months ended June 30, 2016 primarily relate to investments in new programs at Pratt &amp; Whitney and UTC Aerospace Systems.</w:t>
      </w:r>
    </w:p>
    <w:p>
      <w:pPr>
        <w:spacing w:after="0" w:line="181"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Cash investments in businesses in the six months ended June 30, 2016 were approximately $538 million, and consisted of the acquisition of a majority interest in an Italian heating products and services company by UTC Climate, Controls &amp; Security and a number of small acquisitions, primarily in our commercial businesses. We expect total cash investments for acquisitions in 2016 to be approximately $1 billion to $2 billion, including acquisitions completed during the six months ended June 30, 2016. However, actual acquisition spending may vary depending upon the timing, availability and appropriate value of acquisition opportunities.</w:t>
      </w:r>
    </w:p>
    <w:p>
      <w:pPr>
        <w:spacing w:after="0" w:line="188" w:lineRule="exact"/>
        <w:rPr>
          <w:sz w:val="20"/>
          <w:szCs w:val="20"/>
          <w:color w:val="auto"/>
        </w:rPr>
      </w:pPr>
    </w:p>
    <w:p>
      <w:pPr>
        <w:ind w:right="80" w:firstLine="540"/>
        <w:spacing w:after="0" w:line="293" w:lineRule="auto"/>
        <w:rPr>
          <w:sz w:val="20"/>
          <w:szCs w:val="20"/>
          <w:color w:val="auto"/>
        </w:rPr>
      </w:pPr>
      <w:r>
        <w:rPr>
          <w:rFonts w:ascii="Arial" w:cs="Arial" w:eastAsia="Arial" w:hAnsi="Arial"/>
          <w:sz w:val="16"/>
          <w:szCs w:val="16"/>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six months ended June 30, 2016 and 2015, we had net cash receipts of approximately $86 million and $414 million, respectively, from the settlement of these derivative instruments.</w:t>
      </w:r>
    </w:p>
    <w:p>
      <w:pPr>
        <w:spacing w:after="0" w:line="16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Customer financing activities were a net use of cash of $14 million and $95 million for the six months ended June 30, 2016 and 2015, respectively. While we expect that 2016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$13.7 billion at June 30, 2016 related to commercial aircraft and certain contractual rights to provide product on new aircraft platforms, of which up to $0.7 billion may be required to be disbursed during the remainder of 2016. We had commercial aerospace financing and other contractual commitments of approximately $14.6 billion at December 31, 2015.</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including approximately $2.3 billion of net debt issuances in the six months ended June 30, 2016. Commercial paper borrowings and revolving credit facilities provide short-term liquidity to supplement operating cash flows and are used for general corporate purposes, including the funding of potential acquisitions and repurchases of our stock. We had approximately $0.6 billion of outstanding commercial paper at June 30, 2016.</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At June 30, 2016, management had remaining authority to repurchase approximately $5,964 million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Other than the transactions under the ASR agreements discussed above, we repurchased approximately 364,000 shares of our common stock for approximately $36 million during the six months ended June 30, 2016, and expect 2016 full year share repurchases to be approximately $3 billion. During the six months ended June 30, 2015, we repurchased approximately 3 million shares of our common stock for approximately $350 million, in addition to the shares repurchased under the $2.65 billion ASR discussed above. Our share repurchase levels are influenced by various factors, including the level of other investing activities.</w:t>
      </w:r>
    </w:p>
    <w:p>
      <w:pPr>
        <w:spacing w:after="0" w:line="166"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We paid dividends on common stock of $0.64 per share in the first quarter of 2016 and $0.66 per share in the second quarter of 2016, totaling approximately $1,035 million in the aggregate for the six months ended June 30, 2016. On June 8, 2016, the Board of Directors declared, effective July 5, 2016, a dividend of $0.66 per share payable September 10, 2016 to shareowners of record at the close of business on August 19, 2016.</w:t>
      </w:r>
    </w:p>
    <w:p>
      <w:pPr>
        <w:spacing w:after="0" w:line="166"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On April 29, 2016, we renewed our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Cash flows used in discontinued operations primarily represent cash flows related to Sikorsky. For the six months ended June 30, 2016, cash flows used in operating activities of discontinued operations primarily reflect the payment of taxes associated with the net gain realized on the sale of Sikorsky to Lockheed Martin Corp. in November 2015. For the six months ended June 30, 2015, the net cash flows used in discontinued operations were primarily driven by net liquidations of customer advances as well as approximately $52 million of capital expenditures at Sikorsky.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2015 Annual Report, incorporated by reference in our 2015 Form 10-K, we disclosed our off-balance sheet arrangements and contractual obligations. As of June 30, 2016,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2016. For discussion of our exposure to market risk, refer to Part II, Item 7A, "Quantitative and Qualitative Disclosures About Market Risk," contained in our 2015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As required by Rule 13a-15 under the Exchange Act, we carried out an evaluation under the supervision and with the participation of our management, including the President and Chief Executive Officer (CEO), the Executive Vice President &amp; Chief Financial Officer (CFO) and the Corporate Vice President, Controller (Controller), of the effectiveness of the design and operation of our disclosure controls and procedures as of June 30, 2016.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2016,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122" w:right="3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9" w:lineRule="exact"/>
        <w:rPr>
          <w:sz w:val="20"/>
          <w:szCs w:val="20"/>
          <w:color w:val="auto"/>
        </w:rPr>
      </w:pPr>
    </w:p>
    <w:p>
      <w:pPr>
        <w:ind w:left="740" w:right="160" w:hanging="327"/>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market conditions and the level of other investing activities and uses of cash;</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right="20" w:hanging="327"/>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changes in political conditions in the U.S. and other countries in which we operate, including but not limited to the effect of the U.K.'s pending withdrawal from the EU, on general market conditions and currency exchange rates in the near term and beyond; and</w:t>
      </w:r>
    </w:p>
    <w:p>
      <w:pPr>
        <w:spacing w:after="0" w:line="92" w:lineRule="exact"/>
        <w:rPr>
          <w:rFonts w:ascii="Arial" w:cs="Arial" w:eastAsia="Arial" w:hAnsi="Arial"/>
          <w:sz w:val="17"/>
          <w:szCs w:val="17"/>
          <w:color w:val="auto"/>
        </w:rPr>
      </w:pPr>
    </w:p>
    <w:p>
      <w:pPr>
        <w:ind w:left="740" w:right="2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2" w:right="3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"Note 14: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2015 Annual Report. Additional important information as to these factors is included in our 2015 Annual Report in the section titled "Management's Discussion and Analysis of Financial Condition and Results of Operations" under the headings "Restructuring Costs," "Environmental Matters" and "Governmental Matters" and in our 2015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Violations</w:t>
      </w:r>
    </w:p>
    <w:p>
      <w:pPr>
        <w:spacing w:after="0" w:line="26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As previously disclosed, on June 28, 2012, we entered into a Consent Agreement (CA) with the U.S. State Department’s Office of Defense Trade Controls Compliance (DTCC) to resolve violations of the U.S. Arms Export Control Act (AECA) and International Traffic in Arms Regulations (ITAR) that we had voluntarily disclosed to DTCC. The CA has a four-year term, and provides that we: (1) pay a civil penalty of $55 million, $20 million of which has been suspended based on qualifying compliance investments made by us prior to or during the term of the CA; (2) appoint, subject to DTCC approval, an outside Special Compliance Official (SCO) to oversee our compliance with the CA and the AECA and ITAR; (3) continue and undertake additional remedial actions to strengthen AECA and ITAR compliance, with emphasis on human resources and organization, training, automation, and security of electronic data; and (4) sponsor two Company-wide outside compliance audits during the term of the CA. The CA remains in force beyond the four-year term until the DTCC determines that we have completed the agreement’s requirements and formally notifies us that the CA is concluded. We continue to fully cooperate with the DTCC and anticipate a decision in 2016. We believe we have met all requirements of the CA and completed our obligations in accordance with its terms.</w:t>
      </w:r>
    </w:p>
    <w:p>
      <w:pPr>
        <w:spacing w:after="0" w:line="1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previously disclosed, in June 2012, DTCC imposed a partial statutory debarment on P&amp;WC with respect to obtaining new or renewed ITAR license privileges following P&amp;WC's guilty plea to criminal violation of the AECA and ITAR. The debarment does not affect ITAR licenses/authorizations existing at the time of the partial debarment, nor does it extend to programs supporting: (1) the U.S. Government; (2) NATO allies; or (3) "major non-NATO allies" (as defined in the ITAR). P&amp;WC may seek and has received "transaction exception" approvals on a case-by-case basis for new or renewed ITAR licensing in other cases during the period of debarment. In February 2015, P&amp;WC applied for full reinstatement of its ITAR privileges. DTCC’s decision on P&amp;WC’s application is pending.</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other legal proceedings.</w:t>
      </w:r>
    </w:p>
    <w:p>
      <w:pPr>
        <w:spacing w:after="0" w:line="225" w:lineRule="exact"/>
        <w:rPr>
          <w:sz w:val="20"/>
          <w:szCs w:val="20"/>
          <w:color w:val="auto"/>
        </w:rPr>
      </w:pPr>
    </w:p>
    <w:p>
      <w:pPr>
        <w:jc w:val="both"/>
        <w:ind w:right="480" w:firstLine="405"/>
        <w:spacing w:after="0" w:line="342" w:lineRule="auto"/>
        <w:rPr>
          <w:sz w:val="20"/>
          <w:szCs w:val="20"/>
          <w:color w:val="auto"/>
        </w:rPr>
      </w:pPr>
      <w:r>
        <w:rPr>
          <w:rFonts w:ascii="Arial" w:cs="Arial" w:eastAsia="Arial" w:hAnsi="Arial"/>
          <w:sz w:val="16"/>
          <w:szCs w:val="16"/>
          <w:color w:val="auto"/>
        </w:rPr>
        <w:t>Except as otherwise noted above, there have been no material developments in legal proceedings. For previously reported information about legal proceedings refer to Part I, Item 3, "Legal Proceedings," of our 2015 Form 10-K and Part II, Item 1, "Legal Proceedings," of our 2016 Form 10-Q (Q1).</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2015 Form 10-K.</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June 30, 2016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Program (dollars in</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8"/>
              </w:rPr>
              <w:t>millions)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99.56</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294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99.84</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99.61</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October 14, 2015, our Board of Directors authorized a share repurchase program for up to $12 billion of our common stock, replacing the program announced on July 19, 2015. At June 30, 2016, the maximum dollar value of shares that may yet be purchased under this current program was approximately $5,964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June 30, 2016.</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 less a discount and subject to adjustments pursuant to the terms and conditions of the ASR agreement.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16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to us of approximately 2.1 million shares of common stock at an average price of $93.21. The final settlement of the transactions under the remaining five tranches is expected to occur in the third quarter of 2016.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2016 and 2015, (ii) Condensed Consolidated Statements of Comprehensive Income for the quarters and six months ended June 30, 2016 and 2015, (iii) Condensed Consolidated Balance Sheets as of June 30, 2016 and December 31, 2015,</w:t>
      </w:r>
    </w:p>
    <w:p>
      <w:pPr>
        <w:ind w:right="700" w:firstLine="8"/>
        <w:spacing w:after="0" w:line="261"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2016 and 2015, and (v)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Neil G. Mitchill, Jr.</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2016 and 2015, (ii) Condensed Consolidated Statements of Comprehensive Income for the quarters and six months ended June 30, 2016 and 2015, (iii) Condensed Consolidated Balance Sheets as of June 30, 2016 and December 31, 2015,</w:t>
      </w:r>
    </w:p>
    <w:p>
      <w:pPr>
        <w:ind w:right="700" w:firstLine="8"/>
        <w:spacing w:after="0" w:line="261"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2016 and 2015,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40" w:hanging="332"/>
        <w:spacing w:after="0" w:line="232"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$20 million for each of the six months ended June 30, 2016 and 2015. The ratio of earnings to fixed charges would have been 8.00 and 8.69 for the six months ended June 30, 2016 and 2015,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aware that our report dated July 29, 2016 on our review of interim financial information of United Technologies Corporation (the "Corporation") for the three-month and six-month periods ended June 30, 2016 and 2015 and included in the Corporation's quarterly report on Form 10-Q for the quarter ended June 30, 2016 is incorporated by reference in its Registration Statement on Form S-3 (No. 333-211035) and in the Registration Statements on Form S-8 (Nos. 333-207193, 333-197704, 333-183123, 333-177520, 333-175781, 333-150643, 333-125293, 333-110020, 333-100724, 333-100723, 333-100718 and 033-51385).</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29, 2016</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29,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29, 2016</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2016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2016</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2016</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amp;"/>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3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4"/>
    </w:lvl>
  </w:abstractNum>
  <w:abstractNum w:abstractNumId="12">
    <w:nsid w:val="4E6AFB66"/>
    <w:multiLevelType w:val="hybridMultilevel"/>
    <w:lvl w:ilvl="0">
      <w:lvlJc w:val="left"/>
      <w:lvlText w:val="%1"/>
      <w:numFmt w:val="decimal"/>
      <w:start w:val="3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4"/>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2"/>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2019-12-29T11:21:55Z</dcterms:created>
  <dcterms:modified xsi:type="dcterms:W3CDTF">2019-12-29T11:21:55Z</dcterms:modified>
</cp:coreProperties>
</file>