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333-144830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Term Sheet dated February 23, 2010 supplementing</w:t>
      </w:r>
    </w:p>
    <w:p>
      <w:pPr>
        <w:spacing w:after="0" w:line="9" w:lineRule="exact"/>
        <w:rPr>
          <w:sz w:val="24"/>
          <w:szCs w:val="24"/>
          <w:color w:val="auto"/>
        </w:rPr>
      </w:pPr>
    </w:p>
    <w:p>
      <w:pPr>
        <w:ind w:left="6840"/>
        <w:spacing w:after="0"/>
        <w:rPr>
          <w:sz w:val="20"/>
          <w:szCs w:val="20"/>
          <w:color w:val="auto"/>
        </w:rPr>
      </w:pPr>
      <w:r>
        <w:rPr>
          <w:rFonts w:ascii="Arial" w:cs="Arial" w:eastAsia="Arial" w:hAnsi="Arial"/>
          <w:sz w:val="15"/>
          <w:szCs w:val="15"/>
          <w:b w:val="1"/>
          <w:bCs w:val="1"/>
          <w:color w:val="auto"/>
        </w:rPr>
        <w:t>Preliminary Prospectus Supplement dated February 23, 2010</w:t>
      </w:r>
    </w:p>
    <w:p>
      <w:pPr>
        <w:spacing w:after="0" w:line="44" w:lineRule="exact"/>
        <w:rPr>
          <w:sz w:val="24"/>
          <w:szCs w:val="24"/>
          <w:color w:val="auto"/>
        </w:rPr>
      </w:pPr>
    </w:p>
    <w:p>
      <w:pPr>
        <w:ind w:left="8780"/>
        <w:spacing w:after="0"/>
        <w:rPr>
          <w:sz w:val="20"/>
          <w:szCs w:val="20"/>
          <w:color w:val="auto"/>
        </w:rPr>
      </w:pPr>
      <w:r>
        <w:rPr>
          <w:rFonts w:ascii="Arial" w:cs="Arial" w:eastAsia="Arial" w:hAnsi="Arial"/>
          <w:sz w:val="15"/>
          <w:szCs w:val="15"/>
          <w:b w:val="1"/>
          <w:bCs w:val="1"/>
          <w:color w:val="auto"/>
        </w:rPr>
        <w:t>and Prospectus dated July 24, 2007</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Term Sheet</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Technologies Corporation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$1,250,000,000 4.500% Notes due 2020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$1,000,000,000 5.700% Notes due 2040</w:t>
      </w:r>
    </w:p>
    <w:p>
      <w:pPr>
        <w:sectPr>
          <w:pgSz w:w="11900" w:h="16838" w:orient="portrait"/>
          <w:cols w:equalWidth="0" w:num="1">
            <w:col w:w="11420"/>
          </w:cols>
          <w:pgMar w:left="240" w:top="233" w:right="239" w:bottom="1440" w:gutter="0" w:footer="0" w:header="0"/>
        </w:sect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United Technologies Corporation</w:t>
      </w:r>
    </w:p>
    <w:p>
      <w:pPr>
        <w:spacing w:after="0" w:line="140"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4.500% Notes due 2020 and 5.700% Notes due 2040 (together, the “Notes”)</w:t>
      </w:r>
    </w:p>
    <w:p>
      <w:pPr>
        <w:spacing w:after="0" w:line="151"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$1,250,000,000</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$1,000,000,000</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Notes due 2020: April 15, 2020</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Notes due 2040: April 15, 2040</w:t>
      </w:r>
    </w:p>
    <w:p>
      <w:pPr>
        <w:spacing w:after="0" w:line="147"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Coupon: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4.500%</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5.700%</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99.501%</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99.772%</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4.561%</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5.715%</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Notes due 2020: + 87 basis points</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+ 109 basis points</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Notes due 2020: 3.625% UST due 2/15/2020</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4.375% UST due 11/15/2039</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 Spot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99-14+, 3.691%</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95-31+, 4.625%</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5"/>
          <w:szCs w:val="15"/>
          <w:color w:val="auto"/>
        </w:rPr>
        <w:t>April 15 and October 15 of each year, commencing October 15, 2010</w:t>
      </w:r>
    </w:p>
    <w:p>
      <w:pPr>
        <w:spacing w:after="0" w:line="152"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Make-Whole Call: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UST + 15 basis points</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UST + 20 basis points</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February 23, 2010</w:t>
      </w:r>
    </w:p>
    <w:p>
      <w:pPr>
        <w:spacing w:after="0" w:line="152"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February 26, 2010</w:t>
      </w:r>
    </w:p>
    <w:p>
      <w:pPr>
        <w:spacing w:after="0" w:line="152"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913017 BR9</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Notes due 2040: 913017 BS7</w:t>
      </w:r>
    </w:p>
    <w:p>
      <w:pPr>
        <w:spacing w:after="0" w:line="147"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Notes due 2020: US913017BR94</w:t>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Notes due 2040: US913017BS77</w:t>
      </w:r>
    </w:p>
    <w:p>
      <w:pPr>
        <w:spacing w:after="0" w:line="159"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$2,000 x $1,000</w:t>
      </w:r>
    </w:p>
    <w:p>
      <w:pPr>
        <w:spacing w:after="0" w:line="151" w:lineRule="exact"/>
        <w:rPr>
          <w:sz w:val="24"/>
          <w:szCs w:val="24"/>
          <w:color w:val="auto"/>
        </w:rPr>
      </w:pPr>
    </w:p>
    <w:p>
      <w:pPr>
        <w:sectPr>
          <w:pgSz w:w="11900" w:h="16838" w:orient="portrait"/>
          <w:cols w:equalWidth="0" w:num="2">
            <w:col w:w="3400" w:space="720"/>
            <w:col w:w="730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jc w:val="both"/>
        <w:ind w:right="100"/>
        <w:spacing w:after="0" w:line="306" w:lineRule="auto"/>
        <w:rPr>
          <w:sz w:val="20"/>
          <w:szCs w:val="20"/>
          <w:color w:val="auto"/>
        </w:rPr>
      </w:pPr>
      <w:r>
        <w:rPr>
          <w:rFonts w:ascii="Arial" w:cs="Arial" w:eastAsia="Arial" w:hAnsi="Arial"/>
          <w:sz w:val="16"/>
          <w:szCs w:val="16"/>
          <w:color w:val="auto"/>
        </w:rPr>
        <w:t>We anticipate that we will receive approximately $ 2,227,107,500 in net proceeds from the offering of the notes, after deducting underwriting discounts and commissions but before deducting other offering expenses. These net proceeds will be used primarily to partially fund the acquisition</w:t>
      </w:r>
    </w:p>
    <w:p>
      <w:pPr>
        <w:sectPr>
          <w:pgSz w:w="11900" w:h="16838" w:orient="portrait"/>
          <w:cols w:equalWidth="0" w:num="2">
            <w:col w:w="3400" w:space="720"/>
            <w:col w:w="7300"/>
          </w:cols>
          <w:pgMar w:left="240" w:top="233"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auto"/>
        </w:rPr>
        <w:t>Joint Book-Running Managers on Notes due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Joint Book-Running Managers on Notes due 2040:</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5"/>
          <w:szCs w:val="15"/>
          <w:color w:val="auto"/>
        </w:rPr>
        <w:t>from General Electric Company (“GE”) of the GE Security business for a purchase price of approximately $1.8 billion pursuant to an agreement we entered into in November 2009 with GE. The balance of the purchase price will be paid with cash on hand or commercial paper borrowings. Subject to the satisfaction of customary closing conditions, the closing is anticipated to take place late in the first quarter or early in the second quarter of 2010. GE Security, part of GE Technology Infrastructure, supplies security and fire safety technologies for commercial and residential applications through a broad product portfolio that includes fire detection and life safety systems, intrusion alarms, video surveillance and access control systems. These net proceeds will also be used to repay approximately $600 million of commercial paper borrowings with an expected average annualized interest rate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-1324610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92" w:lineRule="auto"/>
        <w:rPr>
          <w:sz w:val="20"/>
          <w:szCs w:val="20"/>
          <w:color w:val="auto"/>
        </w:rPr>
      </w:pPr>
      <w:r>
        <w:rPr>
          <w:rFonts w:ascii="Arial" w:cs="Arial" w:eastAsia="Arial" w:hAnsi="Arial"/>
          <w:sz w:val="16"/>
          <w:szCs w:val="16"/>
          <w:color w:val="auto"/>
        </w:rPr>
        <w:t>0.15% and expected to mature on February 26, 2010. We generally use commercial paper borrowings, and used the proceeds from these borrowings, primarily for general corporate purposes, including financing acquisitions and repurchases of our stock. The remainder of the net proceeds from the offering of the notes, if any, will be used for general corporate purposes. Pending use, we may invest the net proceeds in short-term interest-bearing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A2/A/A+ (stable/stable/stable)</w:t>
      </w:r>
    </w:p>
    <w:p>
      <w:pPr>
        <w:spacing w:after="0" w:line="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security rating is not a recommendation to buy, sell or hold securities. Additionally, the security rating may be subject to revision or withdrawal at any time by the assigning rating organization. Each rating should be evaluated independently of any other rating.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ectPr>
          <w:pgSz w:w="11900" w:h="16838" w:orient="portrait"/>
          <w:cols w:equalWidth="0" w:num="2">
            <w:col w:w="3580" w:space="540"/>
            <w:col w:w="7200"/>
          </w:cols>
          <w:pgMar w:left="240" w:top="280" w:right="339" w:bottom="1440" w:gutter="0" w:footer="0" w:header="0"/>
        </w:sectPr>
      </w:pPr>
    </w:p>
    <w:bookmarkStart w:id="2" w:name="page3"/>
    <w:bookmarkEnd w:id="2"/>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HSBC Securities (USA) Inc.</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J.P. Morgan Securities Inc.</w:t>
      </w:r>
    </w:p>
    <w:p>
      <w:pPr>
        <w:spacing w:after="0" w:line="17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b w:val="1"/>
          <w:bCs w:val="1"/>
          <w:u w:val="single" w:color="auto"/>
          <w:color w:val="auto"/>
        </w:rPr>
        <w:t>www.sec.gov</w:t>
      </w:r>
      <w:r>
        <w:rPr>
          <w:rFonts w:ascii="Arial" w:cs="Arial" w:eastAsia="Arial" w:hAnsi="Arial"/>
          <w:sz w:val="16"/>
          <w:szCs w:val="16"/>
          <w:b w:val="1"/>
          <w:bCs w:val="1"/>
          <w:color w:val="auto"/>
        </w:rPr>
        <w:t>. Alternatively, the issuer, any underwriter or any dealer participating in the offering will arrange to send you the prospectus if you request it by calling Banc of America Securities LLC’s toll-free number 1-800-294-1322 or Citigroup Global Markets Inc.’s toll-free number 1-877-858-5407.</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2019-12-10T03:38:41Z</dcterms:created>
  <dcterms:modified xsi:type="dcterms:W3CDTF">2019-12-10T03:38:41Z</dcterms:modified>
</cp:coreProperties>
</file>