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20" w:lineRule="exact"/>
        <w:rPr>
          <w:sz w:val="24"/>
          <w:szCs w:val="24"/>
          <w:color w:val="auto"/>
        </w:rPr>
      </w:pPr>
    </w:p>
    <w:p>
      <w:pPr>
        <w:ind w:left="680" w:right="20" w:hanging="641"/>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001-00812</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RAYTHEON TECHNOLOGIES CORPORATION</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ectPr>
          <w:pgSz w:w="11900" w:h="16838" w:orient="portrait"/>
          <w:cols w:equalWidth="0" w:num="1">
            <w:col w:w="11200"/>
          </w:cols>
          <w:pgMar w:left="320" w:top="229" w:right="37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50" w:lineRule="exact"/>
        <w:rPr>
          <w:sz w:val="24"/>
          <w:szCs w:val="24"/>
          <w:color w:val="auto"/>
        </w:rPr>
      </w:pPr>
    </w:p>
    <w:p>
      <w:pPr>
        <w:sectPr>
          <w:pgSz w:w="11900" w:h="16838" w:orient="portrait"/>
          <w:cols w:equalWidth="0" w:num="2">
            <w:col w:w="7400" w:space="720"/>
            <w:col w:w="3080"/>
          </w:cols>
          <w:pgMar w:left="320" w:top="229" w:right="379" w:bottom="1440" w:gutter="0" w:footer="0" w:header="0"/>
          <w:type w:val="continuous"/>
        </w:sectPr>
      </w:pPr>
    </w:p>
    <w:p>
      <w:pPr>
        <w:ind w:left="94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740" w:space="720"/>
            <w:col w:w="3740"/>
          </w:cols>
          <w:pgMar w:left="320" w:top="229" w:right="379" w:bottom="1440" w:gutter="0" w:footer="0" w:header="0"/>
          <w:type w:val="continuous"/>
        </w:sectPr>
      </w:pPr>
    </w:p>
    <w:p>
      <w:pPr>
        <w:spacing w:after="0" w:line="64" w:lineRule="exact"/>
        <w:rPr>
          <w:sz w:val="24"/>
          <w:szCs w:val="24"/>
          <w:color w:val="auto"/>
        </w:rPr>
      </w:pPr>
    </w:p>
    <w:p>
      <w:pPr>
        <w:ind w:left="2880"/>
        <w:spacing w:after="0"/>
        <w:rPr>
          <w:sz w:val="20"/>
          <w:szCs w:val="20"/>
          <w:color w:val="auto"/>
        </w:rPr>
      </w:pPr>
      <w:r>
        <w:rPr>
          <w:rFonts w:ascii="Arial" w:cs="Arial" w:eastAsia="Arial" w:hAnsi="Arial"/>
          <w:sz w:val="16"/>
          <w:szCs w:val="16"/>
          <w:b w:val="1"/>
          <w:bCs w:val="1"/>
          <w:color w:val="auto"/>
        </w:rPr>
        <w:t>870 Winter Street,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Waltham,</w:t>
      </w:r>
      <w:r>
        <w:rPr>
          <w:sz w:val="20"/>
          <w:szCs w:val="20"/>
          <w:color w:val="auto"/>
        </w:rPr>
        <w:tab/>
      </w: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02451</w:t>
      </w:r>
    </w:p>
    <w:p>
      <w:pPr>
        <w:spacing w:after="0" w:line="61" w:lineRule="exact"/>
        <w:rPr>
          <w:sz w:val="24"/>
          <w:szCs w:val="24"/>
          <w:color w:val="auto"/>
        </w:rPr>
      </w:pPr>
    </w:p>
    <w:p>
      <w:pPr>
        <w:sectPr>
          <w:pgSz w:w="11900" w:h="16838" w:orient="portrait"/>
          <w:cols w:equalWidth="0" w:num="3">
            <w:col w:w="4280" w:space="420"/>
            <w:col w:w="2160" w:space="640"/>
            <w:col w:w="3700"/>
          </w:cols>
          <w:pgMar w:left="320" w:top="229" w:right="379" w:bottom="1440" w:gutter="0" w:footer="0" w:header="0"/>
          <w:type w:val="continuous"/>
        </w:sectPr>
      </w:pPr>
    </w:p>
    <w:p>
      <w:pPr>
        <w:ind w:left="38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6680" w:space="720"/>
            <w:col w:w="3800"/>
          </w:cols>
          <w:pgMar w:left="320" w:top="229" w:right="379" w:bottom="1440" w:gutter="0" w:footer="0" w:header="0"/>
          <w:type w:val="continuous"/>
        </w:sectPr>
      </w:pP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522-3000</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6"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86"/>
              </w:rPr>
              <w:t>Title of each class</w:t>
            </w:r>
          </w:p>
        </w:tc>
        <w:tc>
          <w:tcPr>
            <w:tcW w:w="32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1"/>
        </w:trPr>
        <w:tc>
          <w:tcPr>
            <w:tcW w:w="29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RTX</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5"/>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32"/>
        </w:trPr>
        <w:tc>
          <w:tcPr>
            <w:tcW w:w="29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2.150% Notes due 2030</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8"/>
              </w:rPr>
              <w:t>RTX 30</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8"/>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3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8" w:lineRule="exact"/>
        <w:rPr>
          <w:sz w:val="24"/>
          <w:szCs w:val="24"/>
          <w:color w:val="auto"/>
        </w:rPr>
      </w:pPr>
    </w:p>
    <w:p>
      <w:pPr>
        <w:ind w:right="6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77"/>
        </w:trPr>
        <w:tc>
          <w:tcPr>
            <w:tcW w:w="6080" w:type="dxa"/>
            <w:vAlign w:val="bottom"/>
          </w:tcPr>
          <w:p>
            <w:pPr>
              <w:ind w:left="3800"/>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6080" w:type="dxa"/>
            <w:vAlign w:val="bottom"/>
          </w:tcPr>
          <w:p>
            <w:pPr>
              <w:ind w:left="3800"/>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6080" w:type="dxa"/>
            <w:vAlign w:val="bottom"/>
            <w:vMerge w:val="restart"/>
          </w:tcPr>
          <w:p>
            <w:pPr>
              <w:spacing w:after="0"/>
              <w:rPr>
                <w:sz w:val="20"/>
                <w:szCs w:val="20"/>
                <w:color w:val="auto"/>
              </w:rPr>
            </w:pPr>
            <w:r>
              <w:rPr>
                <w:rFonts w:ascii="Arial" w:cs="Arial" w:eastAsia="Arial" w:hAnsi="Arial"/>
                <w:sz w:val="18"/>
                <w:szCs w:val="18"/>
                <w:color w:val="auto"/>
              </w:rPr>
              <w:t>company” in Rule 12b-2 of the Exchange Act.</w:t>
            </w:r>
          </w:p>
        </w:tc>
        <w:tc>
          <w:tcPr>
            <w:tcW w:w="96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88"/>
        </w:trPr>
        <w:tc>
          <w:tcPr>
            <w:tcW w:w="60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2021 there were 1,496,777,742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1"/>
          </w:tcPr>
          <w:p>
            <w:pPr>
              <w:ind w:left="920"/>
              <w:spacing w:after="0"/>
              <w:rPr>
                <w:sz w:val="20"/>
                <w:szCs w:val="20"/>
                <w:color w:val="auto"/>
              </w:rPr>
            </w:pPr>
            <w:r>
              <w:rPr>
                <w:rFonts w:ascii="Arial" w:cs="Arial" w:eastAsia="Arial" w:hAnsi="Arial"/>
                <w:sz w:val="18"/>
                <w:szCs w:val="18"/>
                <w:b w:val="1"/>
                <w:bCs w:val="1"/>
                <w:color w:val="auto"/>
              </w:rPr>
              <w:t>RAYTHEON TECHNOLOGIES CORPORATION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8"/>
              </w:rPr>
              <w:t>AND SUBSIDIARIES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gridSpan w:val="11"/>
          </w:tcPr>
          <w:p>
            <w:pPr>
              <w:jc w:val="center"/>
              <w:ind w:right="2380"/>
              <w:spacing w:after="0"/>
              <w:rPr>
                <w:sz w:val="20"/>
                <w:szCs w:val="20"/>
                <w:color w:val="auto"/>
              </w:rPr>
            </w:pPr>
            <w:r>
              <w:rPr>
                <w:rFonts w:ascii="Arial" w:cs="Arial" w:eastAsia="Arial" w:hAnsi="Arial"/>
                <w:sz w:val="18"/>
                <w:szCs w:val="18"/>
                <w:b w:val="1"/>
                <w:bCs w:val="1"/>
                <w:color w:val="auto"/>
                <w:w w:val="99"/>
              </w:rPr>
              <w:t>CONTENTS OF 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gridSpan w:val="11"/>
          </w:tcPr>
          <w:p>
            <w:pPr>
              <w:jc w:val="center"/>
              <w:ind w:right="2400"/>
              <w:spacing w:after="0"/>
              <w:rPr>
                <w:sz w:val="20"/>
                <w:szCs w:val="20"/>
                <w:color w:val="auto"/>
              </w:rPr>
            </w:pPr>
            <w:r>
              <w:rPr>
                <w:rFonts w:ascii="Arial" w:cs="Arial" w:eastAsia="Arial" w:hAnsi="Arial"/>
                <w:sz w:val="18"/>
                <w:szCs w:val="18"/>
                <w:b w:val="1"/>
                <w:bCs w:val="1"/>
                <w:color w:val="auto"/>
                <w:w w:val="91"/>
              </w:rPr>
              <w:t>Quarter Ended September 30, 2021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229"/>
        </w:trPr>
        <w:tc>
          <w:tcPr>
            <w:tcW w:w="2980" w:type="dxa"/>
            <w:vAlign w:val="bottom"/>
            <w:gridSpan w:val="9"/>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7580" w:type="dxa"/>
            <w:vAlign w:val="bottom"/>
            <w:gridSpan w:val="12"/>
          </w:tcPr>
          <w:p>
            <w:pPr>
              <w:spacing w:after="0"/>
              <w:rPr>
                <w:sz w:val="19"/>
                <w:szCs w:val="19"/>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920" w:type="dxa"/>
            <w:vAlign w:val="bottom"/>
            <w:gridSpan w:val="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 Unaudited Financial Statements:</w:t>
              </w:r>
            </w:hyperlink>
          </w:p>
        </w:tc>
        <w:tc>
          <w:tcPr>
            <w:tcW w:w="7520" w:type="dxa"/>
            <w:vAlign w:val="bottom"/>
            <w:gridSpan w:val="11"/>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Operations for the quarters and nine months ended September 30, 2021 and 2020</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80" w:type="dxa"/>
            <w:vAlign w:val="bottom"/>
            <w:gridSpan w:val="18"/>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(Loss) for the quarters and nine months ended September 30, 2021 and 2020</w:t>
              </w:r>
            </w:hyperlink>
          </w:p>
        </w:tc>
        <w:tc>
          <w:tcPr>
            <w:tcW w:w="160" w:type="dxa"/>
            <w:vAlign w:val="bottom"/>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80" w:type="dxa"/>
            <w:vAlign w:val="bottom"/>
            <w:gridSpan w:val="18"/>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 at September 30, 2021 and December 31, 2020</w:t>
              </w:r>
            </w:hyperlink>
          </w:p>
        </w:tc>
        <w:tc>
          <w:tcPr>
            <w:tcW w:w="160" w:type="dxa"/>
            <w:vAlign w:val="bottom"/>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80" w:type="dxa"/>
            <w:vAlign w:val="bottom"/>
            <w:gridSpan w:val="15"/>
          </w:tcPr>
          <w:p>
            <w:pPr>
              <w:ind w:left="20"/>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 of Cash Flows for the nine months ended September 30, 2021 and 2020</w:t>
              </w:r>
            </w:hyperlink>
          </w:p>
        </w:tc>
        <w:tc>
          <w:tcPr>
            <w:tcW w:w="2460" w:type="dxa"/>
            <w:vAlign w:val="bottom"/>
            <w:gridSpan w:val="4"/>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Condensed Consolidated Statement of Changes in Equity for the quarters and nine months ended September 30, 2021 and 2020</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180" w:type="dxa"/>
            <w:vAlign w:val="bottom"/>
            <w:gridSpan w:val="17"/>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060" w:type="dxa"/>
            <w:vAlign w:val="bottom"/>
            <w:gridSpan w:val="2"/>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rFonts w:ascii="Arial" w:cs="Arial" w:eastAsia="Arial" w:hAnsi="Arial"/>
                <w:sz w:val="18"/>
                <w:szCs w:val="18"/>
                <w:color w:val="0000FF"/>
              </w:rPr>
            </w:pPr>
            <w:hyperlink w:anchor="page41">
              <w:r>
                <w:rPr>
                  <w:rFonts w:ascii="Arial" w:cs="Arial" w:eastAsia="Arial" w:hAnsi="Arial"/>
                  <w:sz w:val="18"/>
                  <w:szCs w:val="18"/>
                  <w:color w:val="0000FF"/>
                </w:rPr>
                <w:t>Report of Independent Registered Public Accounting Firm</w:t>
              </w:r>
            </w:hyperlink>
          </w:p>
        </w:tc>
        <w:tc>
          <w:tcPr>
            <w:tcW w:w="64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44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2. Management’s Discussion and Analysis of Financial Condition and Results of Operations</w:t>
              </w:r>
            </w:hyperlink>
          </w:p>
        </w:tc>
        <w:tc>
          <w:tcPr>
            <w:tcW w:w="64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2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68">
              <w:r>
                <w:rPr>
                  <w:rFonts w:ascii="Arial" w:cs="Arial" w:eastAsia="Arial" w:hAnsi="Arial"/>
                  <w:sz w:val="18"/>
                  <w:szCs w:val="18"/>
                  <w:color w:val="0000FF"/>
                  <w:w w:val="92"/>
                </w:rPr>
                <w:t>Item 3. Quantitative and Qualitative Disclosures About Market Risk</w:t>
              </w:r>
            </w:hyperlink>
          </w:p>
        </w:tc>
        <w:tc>
          <w:tcPr>
            <w:tcW w:w="2100" w:type="dxa"/>
            <w:vAlign w:val="bottom"/>
            <w:tcBorders>
              <w:top w:val="single" w:sz="8" w:color="0000FF"/>
            </w:tcBorders>
            <w:gridSpan w:val="2"/>
          </w:tcPr>
          <w:p>
            <w:pPr>
              <w:spacing w:after="0"/>
              <w:rPr>
                <w:sz w:val="22"/>
                <w:szCs w:val="22"/>
                <w:color w:val="auto"/>
              </w:rPr>
            </w:pPr>
          </w:p>
        </w:tc>
        <w:tc>
          <w:tcPr>
            <w:tcW w:w="3420" w:type="dxa"/>
            <w:vAlign w:val="bottom"/>
            <w:gridSpan w:val="5"/>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69</w:t>
              </w:r>
            </w:hyperlink>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3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Item 4. Controls and Procedures</w:t>
              </w:r>
            </w:hyperlink>
          </w:p>
        </w:tc>
        <w:tc>
          <w:tcPr>
            <w:tcW w:w="8100" w:type="dxa"/>
            <w:vAlign w:val="bottom"/>
            <w:gridSpan w:val="14"/>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69</w:t>
              </w:r>
            </w:hyperlink>
          </w:p>
        </w:tc>
        <w:tc>
          <w:tcPr>
            <w:tcW w:w="20" w:type="dxa"/>
            <w:vAlign w:val="bottom"/>
          </w:tcPr>
          <w:p>
            <w:pPr>
              <w:spacing w:after="0"/>
              <w:rPr>
                <w:sz w:val="22"/>
                <w:szCs w:val="22"/>
                <w:color w:val="auto"/>
              </w:rPr>
            </w:pPr>
          </w:p>
        </w:tc>
      </w:tr>
      <w:tr>
        <w:trPr>
          <w:trHeight w:val="263"/>
        </w:trPr>
        <w:tc>
          <w:tcPr>
            <w:tcW w:w="10560" w:type="dxa"/>
            <w:vAlign w:val="bottom"/>
            <w:gridSpan w:val="21"/>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PART II – OTHER INFORMATION</w:t>
              </w:r>
            </w:hyperlink>
          </w:p>
        </w:tc>
        <w:tc>
          <w:tcPr>
            <w:tcW w:w="64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19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Item 1. Legal Proceedings</w:t>
              </w:r>
            </w:hyperlink>
          </w:p>
        </w:tc>
        <w:tc>
          <w:tcPr>
            <w:tcW w:w="640" w:type="dxa"/>
            <w:vAlign w:val="bottom"/>
            <w:tcBorders>
              <w:top w:val="single" w:sz="8" w:color="0000FF"/>
            </w:tcBorders>
            <w:gridSpan w:val="2"/>
          </w:tcPr>
          <w:p>
            <w:pPr>
              <w:spacing w:after="0"/>
              <w:rPr>
                <w:sz w:val="22"/>
                <w:szCs w:val="22"/>
                <w:color w:val="auto"/>
              </w:rPr>
            </w:pPr>
          </w:p>
        </w:tc>
        <w:tc>
          <w:tcPr>
            <w:tcW w:w="7900" w:type="dxa"/>
            <w:vAlign w:val="bottom"/>
            <w:gridSpan w:val="13"/>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Item 1A. Risk Factors</w:t>
              </w:r>
            </w:hyperlink>
          </w:p>
        </w:tc>
        <w:tc>
          <w:tcPr>
            <w:tcW w:w="8840" w:type="dxa"/>
            <w:vAlign w:val="bottom"/>
            <w:gridSpan w:val="16"/>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10440" w:type="dxa"/>
            <w:vAlign w:val="bottom"/>
            <w:gridSpan w:val="2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Item 2. Unregistered Sales of Equity Securities and Use of Proceeds</w:t>
              </w:r>
            </w:hyperlink>
          </w:p>
        </w:tc>
        <w:tc>
          <w:tcPr>
            <w:tcW w:w="64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72</w:t>
              </w:r>
            </w:hyperlink>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4900" w:type="dxa"/>
            <w:vAlign w:val="bottom"/>
            <w:tcBorders>
              <w:top w:val="single" w:sz="8" w:color="0000FF"/>
            </w:tcBorders>
            <w:gridSpan w:val="1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Item 6. Exhibits</w:t>
              </w:r>
            </w:hyperlink>
          </w:p>
        </w:tc>
        <w:tc>
          <w:tcPr>
            <w:tcW w:w="5540" w:type="dxa"/>
            <w:vAlign w:val="bottom"/>
            <w:gridSpan w:val="8"/>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72</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80" w:type="dxa"/>
            <w:vAlign w:val="bottom"/>
            <w:gridSpan w:val="1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60" w:type="dxa"/>
            <w:vAlign w:val="bottom"/>
            <w:gridSpan w:val="21"/>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SIGNATURES</w:t>
              </w:r>
            </w:hyperlink>
          </w:p>
        </w:tc>
        <w:tc>
          <w:tcPr>
            <w:tcW w:w="640" w:type="dxa"/>
            <w:vAlign w:val="bottom"/>
            <w:gridSpan w:val="3"/>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Raytheon Technologies Corporation and its subsidiaries’ names, abbreviations thereof, logos, and products and services designators are all either the registered or unregistered trademarks or tradenames of Raytheon Technologies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4"/>
          </w:tcPr>
          <w:p>
            <w:pPr>
              <w:ind w:left="80"/>
              <w:spacing w:after="0"/>
              <w:rPr>
                <w:sz w:val="20"/>
                <w:szCs w:val="20"/>
                <w:color w:val="auto"/>
              </w:rPr>
            </w:pPr>
            <w:r>
              <w:rPr>
                <w:rFonts w:ascii="Arial" w:cs="Arial" w:eastAsia="Arial" w:hAnsi="Arial"/>
                <w:sz w:val="14"/>
                <w:szCs w:val="14"/>
                <w:b w:val="1"/>
                <w:bCs w:val="1"/>
                <w:color w:val="auto"/>
              </w:rPr>
              <w:t>Quarter Ended September 30,</w:t>
            </w: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11"/>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7"/>
                <w:szCs w:val="17"/>
                <w:color w:val="auto"/>
              </w:rPr>
              <w:t>Products sales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12,331</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11,469</w:t>
            </w:r>
          </w:p>
        </w:tc>
        <w:tc>
          <w:tcPr>
            <w:tcW w:w="1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36,174</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30,402</w:t>
            </w:r>
          </w:p>
        </w:tc>
      </w:tr>
      <w:tr>
        <w:trPr>
          <w:trHeight w:val="216"/>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Services sales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3,882</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3,278</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11,170</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9,766</w:t>
            </w:r>
          </w:p>
        </w:tc>
      </w:tr>
      <w:tr>
        <w:trPr>
          <w:trHeight w:val="20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16,213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47,344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40,168</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7"/>
                <w:szCs w:val="17"/>
                <w:color w:val="auto"/>
              </w:rPr>
              <w:t>Cost of sales - products</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10,296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10,322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30,267</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26,571</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sales - services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2,793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8,014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7,219</w:t>
            </w:r>
          </w:p>
        </w:tc>
      </w:tr>
      <w:tr>
        <w:trPr>
          <w:trHeight w:val="216"/>
        </w:trPr>
        <w:tc>
          <w:tcPr>
            <w:tcW w:w="652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676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1,922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1,872</w:t>
            </w:r>
          </w:p>
        </w:tc>
      </w:tr>
      <w:tr>
        <w:trPr>
          <w:trHeight w:val="216"/>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1,229</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3,817</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4,189</w:t>
            </w:r>
          </w:p>
        </w:tc>
      </w:tr>
      <w:tr>
        <w:trPr>
          <w:trHeight w:val="209"/>
        </w:trPr>
        <w:tc>
          <w:tcPr>
            <w:tcW w:w="6520" w:type="dxa"/>
            <w:vAlign w:val="bottom"/>
          </w:tcPr>
          <w:p>
            <w:pPr>
              <w:ind w:left="20"/>
              <w:spacing w:after="0"/>
              <w:rPr>
                <w:sz w:val="20"/>
                <w:szCs w:val="20"/>
                <w:color w:val="auto"/>
              </w:rPr>
            </w:pPr>
            <w:r>
              <w:rPr>
                <w:rFonts w:ascii="Arial" w:cs="Arial" w:eastAsia="Arial" w:hAnsi="Arial"/>
                <w:sz w:val="17"/>
                <w:szCs w:val="17"/>
                <w:color w:val="auto"/>
              </w:rPr>
              <w:t>Total Costs and Expenses</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14,994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44,020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39,851</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w:t>
            </w:r>
          </w:p>
        </w:tc>
      </w:tr>
      <w:tr>
        <w:trPr>
          <w:trHeight w:val="21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314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 (loss)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1,343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3,638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w:t>
            </w:r>
          </w:p>
        </w:tc>
      </w:tr>
      <w:tr>
        <w:trPr>
          <w:trHeight w:val="216"/>
        </w:trPr>
        <w:tc>
          <w:tcPr>
            <w:tcW w:w="6520" w:type="dxa"/>
            <w:vAlign w:val="bottom"/>
          </w:tcPr>
          <w:p>
            <w:pPr>
              <w:ind w:left="20"/>
              <w:spacing w:after="0"/>
              <w:rPr>
                <w:sz w:val="20"/>
                <w:szCs w:val="20"/>
                <w:color w:val="auto"/>
              </w:rPr>
            </w:pPr>
            <w:r>
              <w:rPr>
                <w:rFonts w:ascii="Arial" w:cs="Arial" w:eastAsia="Arial" w:hAnsi="Arial"/>
                <w:sz w:val="17"/>
                <w:szCs w:val="17"/>
                <w:color w:val="auto"/>
              </w:rPr>
              <w:t>Non-operating expense (income), net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Non-service pension benefit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r>
      <w:tr>
        <w:trPr>
          <w:trHeight w:val="216"/>
        </w:trPr>
        <w:tc>
          <w:tcPr>
            <w:tcW w:w="65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Interest expense, net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358</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1,046</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1,017</w:t>
            </w:r>
          </w:p>
        </w:tc>
      </w:tr>
      <w:tr>
        <w:trPr>
          <w:trHeight w:val="210"/>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non-operating expense (income), net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(133)</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(426)</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r>
      <w:tr>
        <w:trPr>
          <w:trHeight w:val="210"/>
        </w:trPr>
        <w:tc>
          <w:tcPr>
            <w:tcW w:w="6520" w:type="dxa"/>
            <w:vAlign w:val="bottom"/>
          </w:tcPr>
          <w:p>
            <w:pPr>
              <w:ind w:left="20"/>
              <w:spacing w:after="0"/>
              <w:rPr>
                <w:sz w:val="20"/>
                <w:szCs w:val="20"/>
                <w:color w:val="auto"/>
              </w:rPr>
            </w:pPr>
            <w:r>
              <w:rPr>
                <w:rFonts w:ascii="Arial" w:cs="Arial" w:eastAsia="Arial" w:hAnsi="Arial"/>
                <w:sz w:val="17"/>
                <w:szCs w:val="17"/>
                <w:color w:val="auto"/>
              </w:rPr>
              <w:t>Income (loss) from continuing operations before income taxes</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1,476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4,064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(2,390)</w:t>
            </w:r>
          </w:p>
        </w:tc>
      </w:tr>
      <w:tr>
        <w:trPr>
          <w:trHeight w:val="216"/>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690</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w:t>
            </w:r>
          </w:p>
        </w:tc>
      </w:tr>
      <w:tr>
        <w:trPr>
          <w:trHeight w:val="210"/>
        </w:trPr>
        <w:tc>
          <w:tcPr>
            <w:tcW w:w="6520" w:type="dxa"/>
            <w:vAlign w:val="bottom"/>
          </w:tcPr>
          <w:p>
            <w:pPr>
              <w:ind w:left="20"/>
              <w:spacing w:after="0"/>
              <w:rPr>
                <w:sz w:val="20"/>
                <w:szCs w:val="20"/>
                <w:color w:val="auto"/>
              </w:rPr>
            </w:pPr>
            <w:r>
              <w:rPr>
                <w:rFonts w:ascii="Arial" w:cs="Arial" w:eastAsia="Arial" w:hAnsi="Arial"/>
                <w:sz w:val="17"/>
                <w:szCs w:val="17"/>
                <w:color w:val="auto"/>
              </w:rPr>
              <w:t>Net income (loss) from continuing operations</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1,473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3,374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(3,143)</w:t>
            </w:r>
          </w:p>
        </w:tc>
      </w:tr>
      <w:tr>
        <w:trPr>
          <w:trHeight w:val="216"/>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Less: Noncontrolling interest in subsidiaries’ earnings from continuing operations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73</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162</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from continuing operations attributable to common shareowners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1,400</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3,212</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(3,255)</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 (Note 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7"/>
                <w:szCs w:val="17"/>
                <w:color w:val="auto"/>
              </w:rPr>
              <w:t>Income (loss) from discontinued operations, before tax</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(219)</w:t>
            </w:r>
          </w:p>
        </w:tc>
      </w:tr>
      <w:tr>
        <w:trPr>
          <w:trHeight w:val="216"/>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Income tax expense (benefit)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09"/>
        </w:trPr>
        <w:tc>
          <w:tcPr>
            <w:tcW w:w="6520" w:type="dxa"/>
            <w:vAlign w:val="bottom"/>
          </w:tcPr>
          <w:p>
            <w:pPr>
              <w:ind w:left="20"/>
              <w:spacing w:after="0"/>
              <w:rPr>
                <w:sz w:val="20"/>
                <w:szCs w:val="20"/>
                <w:color w:val="auto"/>
              </w:rPr>
            </w:pPr>
            <w:r>
              <w:rPr>
                <w:rFonts w:ascii="Arial" w:cs="Arial" w:eastAsia="Arial" w:hAnsi="Arial"/>
                <w:sz w:val="17"/>
                <w:szCs w:val="17"/>
                <w:color w:val="auto"/>
              </w:rPr>
              <w:t>Net income (loss) from discontinued operations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16"/>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8"/>
              </w:rPr>
              <w:t>Less: Noncontrolling interest in subsidiaries’ earnings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from discontinued operations attributable to common shareowners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r>
      <w:tr>
        <w:trPr>
          <w:trHeight w:val="216"/>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common shareowners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1,393</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3,178</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(3,654)</w:t>
            </w:r>
          </w:p>
        </w:tc>
      </w:tr>
      <w:tr>
        <w:trPr>
          <w:trHeight w:val="203"/>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attributable to common shareowners - Basic:</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0.93</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2.13</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16"/>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Income (loss)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(0.02)</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(0.30)</w:t>
            </w:r>
          </w:p>
        </w:tc>
      </w:tr>
      <w:tr>
        <w:trPr>
          <w:trHeight w:val="217"/>
        </w:trPr>
        <w:tc>
          <w:tcPr>
            <w:tcW w:w="65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income (loss) attributable to common shareowners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0.93</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2.11</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attributable to common shareowners - Diluted: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0.93</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2.13</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16"/>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Income (loss)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(0.03)</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(0.30)</w:t>
            </w:r>
          </w:p>
        </w:tc>
      </w:tr>
      <w:tr>
        <w:trPr>
          <w:trHeight w:val="216"/>
        </w:trPr>
        <w:tc>
          <w:tcPr>
            <w:tcW w:w="65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income (loss) attributable to common shareowners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0.93</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2.10</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r>
      <w:tr>
        <w:trPr>
          <w:trHeight w:val="224"/>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and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1,466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3,340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Pension and postretirement benefit plans adjustments</w:t>
            </w:r>
          </w:p>
        </w:tc>
        <w:tc>
          <w:tcPr>
            <w:tcW w:w="1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86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190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(2,093)</w:t>
            </w:r>
          </w:p>
        </w:tc>
      </w:tr>
      <w:tr>
        <w:trPr>
          <w:trHeight w:val="230"/>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cash flow hedging</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(2,273)</w:t>
            </w: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Income tax (expense) benefit related to items of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1,082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3,135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r>
      <w:tr>
        <w:trPr>
          <w:trHeight w:val="229"/>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1,009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2,973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4"/>
              </w:rPr>
              <w:t>September 30, 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7,476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8,802</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Accounts receivable, net</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9,538</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9,254</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 assets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10,899</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9,931</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Inventory, net</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9,426</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9,411</w:t>
            </w:r>
          </w:p>
        </w:tc>
      </w:tr>
      <w:tr>
        <w:trPr>
          <w:trHeight w:val="216"/>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assets, current</w:t>
            </w:r>
          </w:p>
        </w:tc>
        <w:tc>
          <w:tcPr>
            <w:tcW w:w="16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4,653</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5,978</w:t>
            </w:r>
          </w:p>
        </w:tc>
      </w:tr>
      <w:tr>
        <w:trPr>
          <w:trHeight w:val="209"/>
        </w:trPr>
        <w:tc>
          <w:tcPr>
            <w:tcW w:w="6340" w:type="dxa"/>
            <w:vAlign w:val="bottom"/>
          </w:tcPr>
          <w:p>
            <w:pPr>
              <w:ind w:left="680"/>
              <w:spacing w:after="0"/>
              <w:rPr>
                <w:sz w:val="20"/>
                <w:szCs w:val="20"/>
                <w:color w:val="auto"/>
              </w:rPr>
            </w:pPr>
            <w:r>
              <w:rPr>
                <w:rFonts w:ascii="Arial" w:cs="Arial" w:eastAsia="Arial" w:hAnsi="Arial"/>
                <w:sz w:val="17"/>
                <w:szCs w:val="17"/>
                <w:color w:val="auto"/>
              </w:rPr>
              <w:t>Total Current Assets</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41,992</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43,376</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financing assets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2,960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Fixed assets</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27,116</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26,346</w:t>
            </w:r>
          </w:p>
        </w:tc>
      </w:tr>
      <w:tr>
        <w:trPr>
          <w:trHeight w:val="216"/>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Accumulated depreciation</w:t>
            </w:r>
          </w:p>
        </w:tc>
        <w:tc>
          <w:tcPr>
            <w:tcW w:w="16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(12,599)</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(11,384)</w:t>
            </w:r>
          </w:p>
        </w:tc>
      </w:tr>
      <w:tr>
        <w:trPr>
          <w:trHeight w:val="209"/>
        </w:trPr>
        <w:tc>
          <w:tcPr>
            <w:tcW w:w="6340" w:type="dxa"/>
            <w:vAlign w:val="bottom"/>
          </w:tcPr>
          <w:p>
            <w:pPr>
              <w:ind w:left="680"/>
              <w:spacing w:after="0"/>
              <w:rPr>
                <w:sz w:val="20"/>
                <w:szCs w:val="20"/>
                <w:color w:val="auto"/>
              </w:rPr>
            </w:pPr>
            <w:r>
              <w:rPr>
                <w:rFonts w:ascii="Arial" w:cs="Arial" w:eastAsia="Arial" w:hAnsi="Arial"/>
                <w:sz w:val="17"/>
                <w:szCs w:val="17"/>
                <w:color w:val="auto"/>
              </w:rPr>
              <w:t>Fixed assets, net</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14,517</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14,962</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1,876</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53,789</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54,285</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38,842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40,539</w:t>
            </w:r>
          </w:p>
        </w:tc>
      </w:tr>
      <w:tr>
        <w:trPr>
          <w:trHeight w:val="21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w:t>
            </w:r>
          </w:p>
        </w:tc>
        <w:tc>
          <w:tcPr>
            <w:tcW w:w="16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4,796</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3,967</w:t>
            </w:r>
          </w:p>
        </w:tc>
      </w:tr>
      <w:tr>
        <w:trPr>
          <w:trHeight w:val="217"/>
        </w:trPr>
        <w:tc>
          <w:tcPr>
            <w:tcW w:w="6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158,772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162,153</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Liabilities, Redeemable Noncontrolling Interest and Equity</w:t>
            </w: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Short-term borrowings</w:t>
            </w:r>
          </w:p>
        </w:tc>
        <w:tc>
          <w:tcPr>
            <w:tcW w:w="16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206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8,667</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Accrued employee compensation</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2,756</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3,006</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accrued liabilities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9,685</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10,517</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Contract liabilities</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12,543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12,889</w:t>
            </w:r>
          </w:p>
        </w:tc>
      </w:tr>
      <w:tr>
        <w:trPr>
          <w:trHeight w:val="216"/>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Long-term debt currently due</w:t>
            </w:r>
          </w:p>
        </w:tc>
        <w:tc>
          <w:tcPr>
            <w:tcW w:w="16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274</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r>
      <w:tr>
        <w:trPr>
          <w:trHeight w:val="210"/>
        </w:trPr>
        <w:tc>
          <w:tcPr>
            <w:tcW w:w="634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34,131</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35,848</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30,768</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31,026</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1,541</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1,516</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Future pension and postretirement benefit obligations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9,742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10,342</w:t>
            </w:r>
          </w:p>
        </w:tc>
      </w:tr>
      <w:tr>
        <w:trPr>
          <w:trHeight w:val="21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long-term liabilities</w:t>
            </w:r>
          </w:p>
        </w:tc>
        <w:tc>
          <w:tcPr>
            <w:tcW w:w="16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9,621</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9,537</w:t>
            </w:r>
          </w:p>
        </w:tc>
      </w:tr>
      <w:tr>
        <w:trPr>
          <w:trHeight w:val="209"/>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16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85,803</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88,269</w:t>
            </w:r>
          </w:p>
        </w:tc>
      </w:tr>
      <w:tr>
        <w:trPr>
          <w:trHeight w:val="210"/>
        </w:trPr>
        <w:tc>
          <w:tcPr>
            <w:tcW w:w="634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noncontrolling interest</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Shareowners’ Equity:</w:t>
            </w: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37,343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36,930</w:t>
            </w:r>
          </w:p>
        </w:tc>
      </w:tr>
      <w:tr>
        <w:trPr>
          <w:trHeight w:val="216"/>
        </w:trPr>
        <w:tc>
          <w:tcPr>
            <w:tcW w:w="6340" w:type="dxa"/>
            <w:vAlign w:val="bottom"/>
          </w:tcPr>
          <w:p>
            <w:pPr>
              <w:ind w:left="680"/>
              <w:spacing w:after="0"/>
              <w:rPr>
                <w:sz w:val="20"/>
                <w:szCs w:val="20"/>
                <w:color w:val="auto"/>
              </w:rPr>
            </w:pPr>
            <w:r>
              <w:rPr>
                <w:rFonts w:ascii="Arial" w:cs="Arial" w:eastAsia="Arial" w:hAnsi="Arial"/>
                <w:sz w:val="17"/>
                <w:szCs w:val="17"/>
                <w:color w:val="auto"/>
              </w:rPr>
              <w:t>Treasury Stock</w:t>
            </w:r>
          </w:p>
        </w:tc>
        <w:tc>
          <w:tcPr>
            <w:tcW w:w="16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(12,398)</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(10,407)</w:t>
            </w:r>
          </w:p>
        </w:tc>
      </w:tr>
      <w:tr>
        <w:trPr>
          <w:trHeight w:val="216"/>
        </w:trPr>
        <w:tc>
          <w:tcPr>
            <w:tcW w:w="6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50,343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49,423</w:t>
            </w:r>
          </w:p>
        </w:tc>
      </w:tr>
      <w:tr>
        <w:trPr>
          <w:trHeight w:val="216"/>
        </w:trPr>
        <w:tc>
          <w:tcPr>
            <w:tcW w:w="6340" w:type="dxa"/>
            <w:vAlign w:val="bottom"/>
          </w:tcPr>
          <w:p>
            <w:pPr>
              <w:ind w:left="680"/>
              <w:spacing w:after="0"/>
              <w:rPr>
                <w:sz w:val="20"/>
                <w:szCs w:val="20"/>
                <w:color w:val="auto"/>
              </w:rPr>
            </w:pPr>
            <w:r>
              <w:rPr>
                <w:rFonts w:ascii="Arial" w:cs="Arial" w:eastAsia="Arial" w:hAnsi="Arial"/>
                <w:sz w:val="17"/>
                <w:szCs w:val="17"/>
                <w:color w:val="auto"/>
              </w:rPr>
              <w:t>Unearned ESOP shares</w:t>
            </w:r>
          </w:p>
        </w:tc>
        <w:tc>
          <w:tcPr>
            <w:tcW w:w="16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16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(3,939)</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(3,734)</w:t>
            </w:r>
          </w:p>
        </w:tc>
      </w:tr>
      <w:tr>
        <w:trPr>
          <w:trHeight w:val="209"/>
        </w:trPr>
        <w:tc>
          <w:tcPr>
            <w:tcW w:w="6340" w:type="dxa"/>
            <w:vAlign w:val="bottom"/>
          </w:tcPr>
          <w:p>
            <w:pPr>
              <w:ind w:left="1120"/>
              <w:spacing w:after="0"/>
              <w:rPr>
                <w:sz w:val="20"/>
                <w:szCs w:val="20"/>
                <w:color w:val="auto"/>
              </w:rPr>
            </w:pPr>
            <w:r>
              <w:rPr>
                <w:rFonts w:ascii="Arial" w:cs="Arial" w:eastAsia="Arial" w:hAnsi="Arial"/>
                <w:sz w:val="17"/>
                <w:szCs w:val="17"/>
                <w:color w:val="auto"/>
              </w:rPr>
              <w:t>Total Shareowners’ Equity</w:t>
            </w:r>
          </w:p>
        </w:tc>
        <w:tc>
          <w:tcPr>
            <w:tcW w:w="168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71,308</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72,163</w:t>
            </w:r>
          </w:p>
        </w:tc>
      </w:tr>
      <w:tr>
        <w:trPr>
          <w:trHeight w:val="216"/>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16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1,629</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w:t>
            </w:r>
          </w:p>
        </w:tc>
      </w:tr>
      <w:tr>
        <w:trPr>
          <w:trHeight w:val="209"/>
        </w:trPr>
        <w:tc>
          <w:tcPr>
            <w:tcW w:w="634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Total Equity</w:t>
            </w:r>
          </w:p>
        </w:tc>
        <w:tc>
          <w:tcPr>
            <w:tcW w:w="16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72,937</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73,852</w:t>
            </w:r>
          </w:p>
        </w:tc>
      </w:tr>
      <w:tr>
        <w:trPr>
          <w:trHeight w:val="217"/>
        </w:trPr>
        <w:tc>
          <w:tcPr>
            <w:tcW w:w="6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Liabilities, Redeemable Noncontrolling Interest and Equity</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158,772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162,153</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11"/>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Net income (loss) from continuing operations</w:t>
            </w:r>
          </w:p>
        </w:tc>
        <w:tc>
          <w:tcPr>
            <w:tcW w:w="22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3,374</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(3,143)</w:t>
            </w:r>
          </w:p>
        </w:tc>
      </w:tr>
      <w:tr>
        <w:trPr>
          <w:trHeight w:val="162"/>
        </w:trPr>
        <w:tc>
          <w:tcPr>
            <w:tcW w:w="8460" w:type="dxa"/>
            <w:vAlign w:val="bottom"/>
            <w:shd w:val="clear" w:color="auto" w:fill="CCEEFF"/>
          </w:tcPr>
          <w:p>
            <w:pPr>
              <w:ind w:left="360"/>
              <w:spacing w:after="0" w:line="162" w:lineRule="exact"/>
              <w:rPr>
                <w:sz w:val="20"/>
                <w:szCs w:val="20"/>
                <w:color w:val="auto"/>
              </w:rPr>
            </w:pPr>
            <w:r>
              <w:rPr>
                <w:rFonts w:ascii="Arial" w:cs="Arial" w:eastAsia="Arial" w:hAnsi="Arial"/>
                <w:sz w:val="17"/>
                <w:szCs w:val="17"/>
                <w:color w:val="auto"/>
                <w:w w:val="98"/>
              </w:rPr>
              <w:t>Adjustments to reconcile net income (loss) from continuing operations to net cash flows provided by operating</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3,413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3,003</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Deferred income tax provision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Stock compensation cost</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343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Net periodic pension and other postretirement income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Goodwill impairment charge</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3,183</w:t>
            </w:r>
          </w:p>
        </w:tc>
      </w:tr>
      <w:tr>
        <w:trPr>
          <w:trHeight w:val="216"/>
        </w:trPr>
        <w:tc>
          <w:tcPr>
            <w:tcW w:w="8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Change in: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(397)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567</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Contract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(1,117)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Inventory</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Other current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(275)</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Accounts payable and accrued liabilities</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425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(866)</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Contract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Global pension contributions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(38)</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 operating activities, net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(558)</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10"/>
        </w:trPr>
        <w:tc>
          <w:tcPr>
            <w:tcW w:w="84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Net cash flows provided by operating activities from continuing operations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3,981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2,964</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Capital expenditures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(1,180)</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(1,172)</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Investments in businesses (Note 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Dispositions of businesses, net of cash transferred (Note 2)</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1,074</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2,575</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acquired in Raytheon Merger (Note 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3,208</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Customer financing assets receipts (payments), net</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24</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Increase in collaboration intangible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Receipts (payments) from settlements of derivative contracts, net</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42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 investing activities, net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45</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09"/>
        </w:trPr>
        <w:tc>
          <w:tcPr>
            <w:tcW w:w="84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Net cash flows (used in) provided by investing activities from continuing operations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4,152</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Issuance of long-term debt</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1,981</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1,999</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Distribution from discontinued operations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17,207</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Repayment of long-term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(2,547)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(15,052)</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Decrease in short-term borrowings, net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Proceeds from Common Stock issued under employee stock plans</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paid on Common Stock</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(2,212)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Repurchase of Common Stock</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(2,000)</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transfers to discontinued operations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r>
      <w:tr>
        <w:trPr>
          <w:trHeight w:val="216"/>
        </w:trPr>
        <w:tc>
          <w:tcPr>
            <w:tcW w:w="84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financing activities, net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r>
      <w:tr>
        <w:trPr>
          <w:trHeight w:val="210"/>
        </w:trPr>
        <w:tc>
          <w:tcPr>
            <w:tcW w:w="84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Net cash flows used in financing activities from continuing operations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(5,182)</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(2,056)</w:t>
            </w:r>
          </w:p>
        </w:tc>
      </w:tr>
      <w:tr>
        <w:trPr>
          <w:trHeight w:val="210"/>
        </w:trPr>
        <w:tc>
          <w:tcPr>
            <w:tcW w:w="8460" w:type="dxa"/>
            <w:vAlign w:val="bottom"/>
          </w:tcPr>
          <w:p>
            <w:pPr>
              <w:ind w:left="20"/>
              <w:spacing w:after="0"/>
              <w:rPr>
                <w:sz w:val="20"/>
                <w:szCs w:val="20"/>
                <w:color w:val="auto"/>
              </w:rPr>
            </w:pPr>
            <w:r>
              <w:rPr>
                <w:rFonts w:ascii="Arial" w:cs="Arial" w:eastAsia="Arial" w:hAnsi="Arial"/>
                <w:sz w:val="17"/>
                <w:szCs w:val="17"/>
                <w:color w:val="auto"/>
              </w:rPr>
              <w:t>Discontinued Operations: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cash used in operating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(241)</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(1,449)</w:t>
            </w:r>
          </w:p>
        </w:tc>
      </w:tr>
      <w:tr>
        <w:trPr>
          <w:trHeight w:val="210"/>
        </w:trPr>
        <w:tc>
          <w:tcPr>
            <w:tcW w:w="84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Net cash used in discontinued operations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(2,383)</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foreign exchange rate changes on cash and cash equivalents from continuing operations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foreign exchange rate changes on cash and cash equivalents from discontinued operations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r>
      <w:tr>
        <w:trPr>
          <w:trHeight w:val="209"/>
        </w:trPr>
        <w:tc>
          <w:tcPr>
            <w:tcW w:w="8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8,832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4,961</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within assets related to discontinued operations,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2,459</w:t>
            </w:r>
          </w:p>
        </w:tc>
      </w:tr>
      <w:tr>
        <w:trPr>
          <w:trHeight w:val="209"/>
        </w:trPr>
        <w:tc>
          <w:tcPr>
            <w:tcW w:w="84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2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7,502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10,032</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Less: Restricted cash, included in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7,476</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4"/>
          </w:tcPr>
          <w:p>
            <w:pPr>
              <w:ind w:left="80"/>
              <w:spacing w:after="0"/>
              <w:rPr>
                <w:sz w:val="20"/>
                <w:szCs w:val="20"/>
                <w:color w:val="auto"/>
              </w:rPr>
            </w:pPr>
            <w:r>
              <w:rPr>
                <w:rFonts w:ascii="Arial" w:cs="Arial" w:eastAsia="Arial" w:hAnsi="Arial"/>
                <w:sz w:val="14"/>
                <w:szCs w:val="14"/>
                <w:b w:val="1"/>
                <w:bCs w:val="1"/>
                <w:color w:val="auto"/>
              </w:rPr>
              <w:t>Quarter Ended September 30,</w:t>
            </w:r>
          </w:p>
        </w:tc>
        <w:tc>
          <w:tcPr>
            <w:tcW w:w="234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beginning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72,721</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68,892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73,852</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44,231</w:t>
            </w:r>
          </w:p>
        </w:tc>
        <w:tc>
          <w:tcPr>
            <w:tcW w:w="0" w:type="dxa"/>
            <w:vAlign w:val="bottom"/>
          </w:tcPr>
          <w:p>
            <w:pPr>
              <w:spacing w:after="0"/>
              <w:rPr>
                <w:sz w:val="1"/>
                <w:szCs w:val="1"/>
                <w:color w:val="auto"/>
              </w:rPr>
            </w:pPr>
          </w:p>
        </w:tc>
      </w:tr>
      <w:tr>
        <w:trPr>
          <w:trHeight w:val="209"/>
        </w:trPr>
        <w:tc>
          <w:tcPr>
            <w:tcW w:w="6480" w:type="dxa"/>
            <w:vAlign w:val="bottom"/>
          </w:tcPr>
          <w:p>
            <w:pPr>
              <w:ind w:left="140"/>
              <w:spacing w:after="0"/>
              <w:rPr>
                <w:sz w:val="20"/>
                <w:szCs w:val="20"/>
                <w:color w:val="auto"/>
              </w:rPr>
            </w:pPr>
            <w:r>
              <w:rPr>
                <w:rFonts w:ascii="Arial" w:cs="Arial" w:eastAsia="Arial" w:hAnsi="Arial"/>
                <w:sz w:val="17"/>
                <w:szCs w:val="17"/>
                <w:b w:val="1"/>
                <w:bCs w:val="1"/>
                <w:color w:val="auto"/>
              </w:rPr>
              <w:t>Common Stock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37,183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36,930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23,019</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Common Stock plans activity</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160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413</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220"/>
              <w:spacing w:after="0" w:line="162" w:lineRule="exact"/>
              <w:rPr>
                <w:sz w:val="20"/>
                <w:szCs w:val="20"/>
                <w:color w:val="auto"/>
              </w:rPr>
            </w:pPr>
            <w:r>
              <w:rPr>
                <w:rFonts w:ascii="Arial" w:cs="Arial" w:eastAsia="Arial" w:hAnsi="Arial"/>
                <w:sz w:val="17"/>
                <w:szCs w:val="17"/>
                <w:color w:val="auto"/>
                <w:w w:val="97"/>
              </w:rPr>
              <w:t>Common Stock issued for Raytheon Company outstanding common stock and equity</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10,897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awards</w:t>
            </w: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Adjustment to Common Stock for the Otis Distribution</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2,598</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Sale of subsidiary shares from noncontrolling interest, net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37,343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36,833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37,343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36,833</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Treasury Stock</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(11,424)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(10,407)</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(32,626)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plans activity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Common Stock repurchased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(982)</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(2,002)</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220"/>
              <w:spacing w:after="0" w:line="162" w:lineRule="exact"/>
              <w:rPr>
                <w:sz w:val="20"/>
                <w:szCs w:val="20"/>
                <w:color w:val="auto"/>
              </w:rPr>
            </w:pPr>
            <w:r>
              <w:rPr>
                <w:rFonts w:ascii="Arial" w:cs="Arial" w:eastAsia="Arial" w:hAnsi="Arial"/>
                <w:sz w:val="17"/>
                <w:szCs w:val="17"/>
                <w:color w:val="auto"/>
                <w:w w:val="97"/>
              </w:rPr>
              <w:t>Common Stock issued for Raytheon Company outstanding common stock and equity</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22,269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awards</w:t>
            </w: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11</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(12,398)</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(12,398)</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(10,407)</w:t>
            </w:r>
          </w:p>
        </w:tc>
        <w:tc>
          <w:tcPr>
            <w:tcW w:w="0" w:type="dxa"/>
            <w:vAlign w:val="bottom"/>
          </w:tcPr>
          <w:p>
            <w:pPr>
              <w:spacing w:after="0"/>
              <w:rPr>
                <w:sz w:val="1"/>
                <w:szCs w:val="1"/>
                <w:color w:val="auto"/>
              </w:rPr>
            </w:pPr>
          </w:p>
        </w:tc>
      </w:tr>
      <w:tr>
        <w:trPr>
          <w:trHeight w:val="209"/>
        </w:trPr>
        <w:tc>
          <w:tcPr>
            <w:tcW w:w="6480" w:type="dxa"/>
            <w:vAlign w:val="bottom"/>
          </w:tcPr>
          <w:p>
            <w:pPr>
              <w:ind w:left="140"/>
              <w:spacing w:after="0"/>
              <w:rPr>
                <w:sz w:val="20"/>
                <w:szCs w:val="20"/>
                <w:color w:val="auto"/>
              </w:rPr>
            </w:pPr>
            <w:r>
              <w:rPr>
                <w:rFonts w:ascii="Arial" w:cs="Arial" w:eastAsia="Arial" w:hAnsi="Arial"/>
                <w:sz w:val="17"/>
                <w:szCs w:val="17"/>
                <w:b w:val="1"/>
                <w:bCs w:val="1"/>
                <w:color w:val="auto"/>
              </w:rPr>
              <w:t>Retained Earnings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48,954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49,423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61,594</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Net income (loss)</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1,393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3,178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(3,654)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 to retained earnings for the Carrier Distribution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(5,805)</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(2,212)</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ESOP Common Stock</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including the adoption impact of ASU 2016-13 (Note 21)</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50,343</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50,017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50,343</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50,017</w:t>
            </w:r>
          </w:p>
        </w:tc>
        <w:tc>
          <w:tcPr>
            <w:tcW w:w="0" w:type="dxa"/>
            <w:vAlign w:val="bottom"/>
          </w:tcPr>
          <w:p>
            <w:pPr>
              <w:spacing w:after="0"/>
              <w:rPr>
                <w:sz w:val="1"/>
                <w:szCs w:val="1"/>
                <w:color w:val="auto"/>
              </w:rPr>
            </w:pPr>
          </w:p>
        </w:tc>
      </w:tr>
      <w:tr>
        <w:trPr>
          <w:trHeight w:val="209"/>
        </w:trPr>
        <w:tc>
          <w:tcPr>
            <w:tcW w:w="6480" w:type="dxa"/>
            <w:vAlign w:val="bottom"/>
          </w:tcPr>
          <w:p>
            <w:pPr>
              <w:ind w:left="140"/>
              <w:spacing w:after="0"/>
              <w:rPr>
                <w:sz w:val="20"/>
                <w:szCs w:val="20"/>
                <w:color w:val="auto"/>
              </w:rPr>
            </w:pPr>
            <w:r>
              <w:rPr>
                <w:rFonts w:ascii="Arial" w:cs="Arial" w:eastAsia="Arial" w:hAnsi="Arial"/>
                <w:sz w:val="17"/>
                <w:szCs w:val="17"/>
                <w:b w:val="1"/>
                <w:bCs w:val="1"/>
                <w:color w:val="auto"/>
              </w:rPr>
              <w:t>Unearned ESOP Shares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Common Stock plans activity</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8</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6480" w:type="dxa"/>
            <w:vAlign w:val="bottom"/>
          </w:tcPr>
          <w:p>
            <w:pPr>
              <w:ind w:left="140"/>
              <w:spacing w:after="0"/>
              <w:rPr>
                <w:sz w:val="20"/>
                <w:szCs w:val="20"/>
                <w:color w:val="auto"/>
              </w:rPr>
            </w:pPr>
            <w:r>
              <w:rPr>
                <w:rFonts w:ascii="Arial" w:cs="Arial" w:eastAsia="Arial" w:hAnsi="Arial"/>
                <w:sz w:val="17"/>
                <w:szCs w:val="17"/>
                <w:b w:val="1"/>
                <w:bCs w:val="1"/>
                <w:color w:val="auto"/>
              </w:rPr>
              <w:t>Accumulated Other Comprehensive Income (Loss)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(3,555)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(3,734)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(10,149)</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(384)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(1,738)</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Separation of Carrier and Otis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3,875</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(3,939)</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(3,939)</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(8,012)</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Noncontrolling Interest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1,606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1,689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2,457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Less: Redeemable noncontrolling interest net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attributable to noncontrolling interest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Sale of subsidiary shares from noncontrolling interest, net</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(disposition) of noncontrolling interest,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Capital contributions</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Separation of Carrier and Otis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1,629</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1,629</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at September 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72,937</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70,080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72,937</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70,080</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Supplemental share information</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issued under employee plans,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1,516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7"/>
                <w:szCs w:val="17"/>
                <w:color w:val="auto"/>
              </w:rPr>
              <w:t>Shares of Common Stock repurchased</w:t>
            </w:r>
          </w:p>
        </w:tc>
        <w:tc>
          <w:tcPr>
            <w:tcW w:w="1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11,535</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24,177</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9"/>
              </w:rPr>
              <w:t>Shares of Common Stock issued for Raytheon Company outstanding common stock &amp;</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652,638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awards</w:t>
            </w: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7"/>
                <w:szCs w:val="17"/>
                <w:color w:val="auto"/>
              </w:rPr>
              <w:t>Dividends declared per share of Common Stock</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8"/>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1.495</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1.685</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paid per share of Common Stock</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0.510</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0.475</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1.495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Financial Statements at September 30, 2021 and for the quarters and nine months ended September 30, 2021 and 2020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2020 Annual Report on Form 10-K. In addition, we reclassified certain amounts to conform to our current period presentation.</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Separation Transactions, Distributions and Raytheon Merger. </w:t>
      </w:r>
      <w:r>
        <w:rPr>
          <w:rFonts w:ascii="Arial" w:cs="Arial" w:eastAsia="Arial" w:hAnsi="Arial"/>
          <w:sz w:val="17"/>
          <w:szCs w:val="17"/>
          <w:color w:val="auto"/>
        </w:rPr>
        <w:t>On April 3, 2020, United Technologies Corporation (UTC) completed the separation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into three independent, publicly traded companies – UTC, Carrier Global Corporation (Carrier) and Otis Worldwide Corporation (Otis)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effective at 12:01 a.m., Eastern Time, on April 3, 2020. Immediately following the Separation Transactions and Distributions, on April 3, 2020, UTC and Raytheon Company completed their all-stock merger of equals transaction (the Raytheon Merger), pursuant to which Raytheon Company became a wholly-owned subsidiary of UTC and UTC was renamed Raytheon Technologies Corporation (RTC). As a result of these transactions, we now operate in four principal business segments: Collins Aerospace Systems (Collins Aerospace), Pratt &amp; Whitney, Raytheon Intelligence &amp; Space (RIS) and Raytheon Missiles &amp; Defense (RMD).</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UTC was determined to be the accounting acquirer in the Raytheon Merger, and, as a result, the financial statements of Raytheon Technologies include Raytheon Company’s financial position and results of operations for all periods subsequent to the completion of the Raytheon Merger on April 3, 2020. RIS and RMD follow a 4-4-5 fiscal calendar while Collins Aerospace and Pratt &amp; Whitney continue to use a quarter calendar end of September 30, 2021. Throughout this Quarterly Report on Form 10-Q, when we refer to the quarters ended September 30, 2021 and September 30, 2020 with respect to RIS or RMD, we are referring to their October 3, 2021 and September 27, 2020 fiscal quarter ends, respectively. The historical results of Carrier and Otis are presented as discontinued operations and, as such, have been excluded from both continuing operations and segment results for all periods presented. Throughout this Quarterly Report on Form 10-Q, unless otherwise indicated, amounts and activity are presented on a continuing operations basis.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COVID-19 Pandemic. </w:t>
      </w:r>
      <w:r>
        <w:rPr>
          <w:rFonts w:ascii="Arial" w:cs="Arial" w:eastAsia="Arial" w:hAnsi="Arial"/>
          <w:sz w:val="17"/>
          <w:szCs w:val="17"/>
          <w:color w:val="auto"/>
        </w:rPr>
        <w:t>Beginning in 2020, the coronavirus disease 2019 (COVID-19) negatively impacted the global economy, our business and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industries in which we operate. The continued disruption to air travel and commercial activities and the significant restrictions and limitations on businesses, particularly within the aerospace and commercial airline industries, have negatively impacted global supply, demand and distribution capabilities. In particular, the unprecedented decrease in air travel resulting from the COVID-19 pandemic has adversely affected our airline and airframer customers, and their demand for the products and services of our Collins Aerospace and Pratt &amp; Whitney businesses.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nine months ended September 30, 2020 we recorded write-downs of assets and significant unfavorable Estimate at Completion (EAC) adjustments in our Collins Aerospace and Pratt &amp; Whitney businesses primarily related to:</w:t>
      </w:r>
    </w:p>
    <w:p>
      <w:pPr>
        <w:spacing w:after="0" w:line="1" w:lineRule="exact"/>
        <w:rPr>
          <w:sz w:val="20"/>
          <w:szCs w:val="20"/>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impairment charges of $3.2 billion in the quarter ended June 30, 2020 related to two of our Collins Aerospace reporting units. Refer to “Note 2: Acquisitions, Dispositions, Goodwill and Intangible Assets” for additional information,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estimated credit losses on both our receivables and contract assets of $48 million and $357 million in the quarter and nine months ended September 30, 2020, respectively,</w:t>
      </w:r>
    </w:p>
    <w:p>
      <w:pPr>
        <w:ind w:left="660" w:hanging="328"/>
        <w:spacing w:after="0" w:line="323"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unfavorable EAC adjustment of $334 million on a Pratt &amp; Whitney commercial engine aftermarket contract due to lower estimated revenues driven by a change in the estimated maintenance coverage period in both the quarter and nine months ended September 30, 2020,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 asset and inventory impairments at Collins Aerospace due to the impact of lower estimated future customer activity resulting from the expected acceleration of fleet retirements of a commercial aircraft of $13 million and $146 million in the quarter and nine months ended September 30, 2020, respectively,</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unfavorable EAC adjustment of $129 million related to lower estimated revenues due to the restructuring of a customer contract at Pratt &amp; Whitney in both the quarter and nine months ended September 30, 2020,</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$89 million impairment of commercial aircraft program assets at Pratt &amp; Whitney in both the quarter and nine months ended September 30, 2020,</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impairment of a Collins Aerospace trade name of $57 million in total, in the first and second quarters of 2020,</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EAC adjustments on commercial aftermarket contracts at Pratt &amp; Whitney based on a change in estimated future customer activity of $48 million in total, in the second and third quarters of 2020, and</w:t>
      </w:r>
    </w:p>
    <w:p>
      <w:pPr>
        <w:ind w:left="660" w:right="2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unfavorable EAC adjustment at Pratt &amp; Whitney related to a shift in overhead costs to military contracts of $44 million in the second quarter of 2020.</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RIS and RMD businesses, although experiencing minor impacts, have not experienced significant business disruptions as a result of the COVID-19 pandemic.</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Given the significant reduction in business and leisure passenger air travel, continued travel restrictions that have resulted from the ongoing COVID-19 pandemic, and the resulting impacts on our customers and their business activities, we expect our future operating results, particularly those of our Collins Aerospace and Pratt &amp; Whitney businesses, to continue to be negatively impacted when compared to pre-COVID-19 (2019) results.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continues to be uncertainty with respect to the point at which commercial air traffic capacity will return to and/or exceed pre-COVID-19 levels. We have seen indications that commercial air travel is continuing to recover in certain areas of demand; however, other areas continue to lag. In addition, while global vaccination rates have increased, infection from COVID-19 variants have continued, which may impact the pace of the commercial aerospace recovery. However, we continue to estimate that a full recovery may occur in 2023 or 2024. New information may continue to emerge concerning the scope, severity and duration of the COVID-19 pandemic, as well as any worsening of the pandemic, the effect of additional variants, the efficacy, acceptance, distribution and availability of vaccines, new or continued actions to contain the pandemic’s spread or treat its impact, and governmental, business and individual personal actions taken in response to the pandemic (including restrictions and limitations on travel and transportation, and changes in leisure and business travel patterns and work environments) among others. Some of these actions and related impacts may be trends that continue in the future even after the pandemic no longer poses a significant public health risk. As our commercial aerospace business begins to recover, we expect certain employee-related and discretionary costs, which were subject to prior year cost reduction actions, to return in 2021 and beyond. A recovery may also impact our judgments around credit risk related to estimated credit losses.</w:t>
      </w:r>
    </w:p>
    <w:p>
      <w:pPr>
        <w:spacing w:after="0" w:line="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24, 2021, in furtherance of an executive order, the U.S. Safer Federal Workforce Task Force (Task Force) issued guidance requiring federal contractors and subcontractors to comply with COVID-19 safety protocols, including requiring certain employees to be fully vaccinated against COVID-19 by December 8, 2021 except in limited circumstances. The vaccination requirements will be incorporated in new government contracts, renewals, extensions and other modifications signed on and after October 15, 2021, and will apply to employees working on or in connection with such contracts, as well as to employees working at a location at which an employee working on such contract is likely to be present. We had previously announced an internal vaccine mandate with a January 1, 2022 deadline for all U.S. based employees. We do not expect all of our employees who are covered by the U.S. federal contractor mandate to become fully vaccinated by December 8, 2021, but we will comply with the requirements of the Task Force’s implementing guidance and the associated executive order. While this mandate may have an impact on our operations, we do not expect this to have a material adverse effect on our financial condition, results of operations or liquidity. Our ability to perform on our contracts is also dependent upon our subcontractors and suppliers. Our subcontractors and suppliers who are subject to the U.S. federal contractor vaccine mandate may be impacted by an inability to comply or loss of personnel, which could disrupt subcontractor or supplier performance or deliveries, and negatively impact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Dispositions, Goodwill and Intangible Assets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color w:val="auto"/>
        </w:rPr>
        <w:t>As described above, on April 3, 2020, pursuant to the Agreement and Plan of Merger dated June 9, 2019, as amended (the</w:t>
      </w:r>
      <w:r>
        <w:rPr>
          <w:rFonts w:ascii="Arial" w:cs="Arial" w:eastAsia="Arial" w:hAnsi="Arial"/>
          <w:sz w:val="18"/>
          <w:szCs w:val="18"/>
          <w:b w:val="1"/>
          <w:bCs w:val="1"/>
          <w:color w:val="auto"/>
        </w:rPr>
        <w:t xml:space="preserve"> </w:t>
      </w:r>
      <w:r>
        <w:rPr>
          <w:rFonts w:ascii="Arial" w:cs="Arial" w:eastAsia="Arial" w:hAnsi="Arial"/>
          <w:sz w:val="18"/>
          <w:szCs w:val="18"/>
          <w:color w:val="auto"/>
        </w:rPr>
        <w:t>Raytheon Merger Agreement) UTC and Raytheon Company completed their previously announced all-stock merger of equals, following the completion by UTC of the Separation Transactions and Distributions. Raytheon Company (previously New York Stock Exchange (NYSE): RTN) shares ceased trading prior to the market open on April 3, 2020, and each share of Raytheon common stock was converted in the merger into the right to receive 2.3348 shares of UTC common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stock previously traded on the NYSE under the ticker symbol “UTX.” Upon closing of the Raytheon Merger, UTC’s name was changed to “Raytheon Technologies Corporation,” and its shares of common stock began trading as of April 3, 2020 on the NYSE under the ticker symbol “RTX.”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is calculated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Fair value of RTC common stock issued for Raytheon Company outstanding common stock and vested equity awards</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33,067</w:t>
            </w:r>
          </w:p>
        </w:tc>
      </w:tr>
      <w:tr>
        <w:trPr>
          <w:trHeight w:val="229"/>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attributable to pre-merger service for replacement equity awards</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merger consideration</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RTC common stock issued for Raytheon Company outstanding common stock and vested equity awards is calculated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and shares in millions, except per share amounts and exchange ratio)</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Raytheon Company common shares outstanding as of April 3, 2020</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30"/>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Number of Raytheon Company stock awards vested as a result of the Raytheon Merger </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 shares of Raytheon Company common stock and equity awards entitled to merger consideration</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30"/>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Exchange ratio </w:t>
            </w:r>
            <w:r>
              <w:rPr>
                <w:rFonts w:ascii="Arial" w:cs="Arial" w:eastAsia="Arial" w:hAnsi="Arial"/>
                <w:sz w:val="23"/>
                <w:szCs w:val="23"/>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RTC common stock issued for Raytheon Company outstanding common stock and vested equity awards</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30"/>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Price per share of RTC common stock </w:t>
            </w:r>
            <w:r>
              <w:rPr>
                <w:rFonts w:ascii="Arial" w:cs="Arial" w:eastAsia="Arial" w:hAnsi="Arial"/>
                <w:sz w:val="23"/>
                <w:szCs w:val="23"/>
                <w:color w:val="auto"/>
                <w:vertAlign w:val="superscript"/>
              </w:rPr>
              <w:t>(3)</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r>
      <w:tr>
        <w:trPr>
          <w:trHeight w:val="230"/>
        </w:trPr>
        <w:tc>
          <w:tcPr>
            <w:tcW w:w="9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Fair value of RTC common stock issued for Raytheon Company outstanding common stock and vested equity awards</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33,067</w:t>
            </w:r>
          </w:p>
        </w:tc>
      </w:tr>
    </w:tbl>
    <w:p>
      <w:pPr>
        <w:spacing w:after="0" w:line="170" w:lineRule="exact"/>
        <w:rPr>
          <w:sz w:val="20"/>
          <w:szCs w:val="20"/>
          <w:color w:val="auto"/>
        </w:rPr>
      </w:pPr>
    </w:p>
    <w:p>
      <w:pPr>
        <w:jc w:val="both"/>
        <w:ind w:left="340" w:hanging="332"/>
        <w:spacing w:after="0" w:line="245" w:lineRule="auto"/>
        <w:tabs>
          <w:tab w:leader="none" w:pos="383"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Raytheon Company stock awards that vested as a result of the Raytheon Merger, which is considered a “change in control” for purposes of the Raytheon 2010 Stock Plan. Certain Raytheon Company restricted stock awards and Raytheon Company restricted stock unit (RSU) awards, issued under the Raytheon 2010 Stock Plan vested on an accelerated basis as a result of the Raytheon Merger. Such vested awards were converted into the right to receive RTC common stock determined as the product of (1) the number of vested awards, and (2) the exchange ratio.</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exchange ratio is equal to 2.3348 shares of UTC common stock for each share of Raytheon Company common stock in accordance with the Raytheon Merger Agreement.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price per share of RTC common stock is based on the RTC opening stock price as of April 3, 2020.</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Allocation of Consideration Transferred to Net Assets Acquired. </w:t>
      </w:r>
      <w:r>
        <w:rPr>
          <w:rFonts w:ascii="Arial" w:cs="Arial" w:eastAsia="Arial" w:hAnsi="Arial"/>
          <w:sz w:val="18"/>
          <w:szCs w:val="18"/>
          <w:color w:val="auto"/>
        </w:rPr>
        <w:t>We accounted for the Raytheon Merger under the acquisition method and are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identifiable assets acquired and liabilities assumed of the acquiree (Raytheon Company) at the fair values on the closing date. During the first quarter of 2021, based on the finalization of our valuation and internal reviews, we completed the purchase price allocation which resulted in a net increase to goodwill of $61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allocation, net of cash acquired, for the acquisition was as follows: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Fixed assets, net</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4,745</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19,130</w:t>
            </w:r>
          </w:p>
        </w:tc>
      </w:tr>
      <w:tr>
        <w:trPr>
          <w:trHeight w:val="230"/>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r>
      <w:tr>
        <w:trPr>
          <w:trHeight w:val="229"/>
        </w:trPr>
        <w:tc>
          <w:tcPr>
            <w:tcW w:w="6860" w:type="dxa"/>
            <w:vAlign w:val="bottom"/>
          </w:tcPr>
          <w:p>
            <w:pPr>
              <w:ind w:left="240"/>
              <w:spacing w:after="0"/>
              <w:rPr>
                <w:sz w:val="20"/>
                <w:szCs w:val="20"/>
                <w:color w:val="auto"/>
              </w:rPr>
            </w:pPr>
            <w:r>
              <w:rPr>
                <w:rFonts w:ascii="Arial" w:cs="Arial" w:eastAsia="Arial" w:hAnsi="Arial"/>
                <w:sz w:val="18"/>
                <w:szCs w:val="18"/>
                <w:color w:val="auto"/>
              </w:rPr>
              <w:t>Tradenames/trademarks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5,430</w:t>
            </w:r>
          </w:p>
        </w:tc>
      </w:tr>
      <w:tr>
        <w:trPr>
          <w:trHeight w:val="229"/>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Developed technology</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3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assets acquired</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38,916</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 portion</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Future pension and postretirement benefit obligation</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11,607</w:t>
            </w:r>
          </w:p>
        </w:tc>
      </w:tr>
      <w:tr>
        <w:trPr>
          <w:trHeight w:val="229"/>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3"/>
        </w:trPr>
        <w:tc>
          <w:tcPr>
            <w:tcW w:w="6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liabilities acquired</w:t>
            </w:r>
          </w:p>
        </w:tc>
        <w:tc>
          <w:tcPr>
            <w:tcW w:w="3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27,305</w:t>
            </w:r>
          </w:p>
        </w:tc>
      </w:tr>
      <w:tr>
        <w:trPr>
          <w:trHeight w:val="223"/>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identifiable net assets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21,589</w:t>
            </w:r>
          </w:p>
        </w:tc>
      </w:tr>
      <w:tr>
        <w:trPr>
          <w:trHeight w:val="230"/>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3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consideration transferred</w:t>
            </w:r>
          </w:p>
        </w:tc>
        <w:tc>
          <w:tcPr>
            <w:tcW w:w="3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33,166</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adjustments to Raytheon Company’s identified assets and liabilities included an increase in fixed assets of $1.1 billion and an increase to future pension and postretirement benefit obligations of $3.6 billion, primarily related to remeasurement of the liability based on market conditions on the Raytheon Merger closing date. For further information, see “Note 10: Employee Benefit Plans.” In determining the fair value of identifiable assets acquired and liabilities assumed, a review was conducted for any significant contingent assets or liabilities existing as of the closing date. The assessment did not note any material contingencies related to existing legal or government action.</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fair values of the customer relationship intangible assets were determined by using a discounted cash flow valuation method, which is a form of the income approach. Under this approach, the estimated future cash flows attributable to the asset are adjusted to exclude the future cash flows that can be attributed to supporting assets, such as tradenames or fixed assets. Both the amount and the duration of the cash flows are considered from a market participant perspective. Our estimates of market participant future cash flows, which require significant management judgment, included forecasted revenue growth rates, remaining developmental effort, operational performance including company specific synergies, program life cycles, material and labor pricing, and other relevant customer, contractual and market factors. Where appropriate, the net cash flows are probability-adjusted to reflect the uncertainties associated with the underlying assumptions, including cancellation rates related to backlog, government demand for sole-source and recompete contracts and win rates for recompete contracts, as well as the risk profile of the net cash flows utilized in the valuation. The probability-adjusted future cash flows are then discounted to present value, using an appropriate discount rate that requires significant judgment by management. The customer relationship intangible assets are being amortized based on the pattern of economic benefits we expect to realize over the estimated economic life of the underlying programs.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using forecasted revenue growth rate projections and a discount rate, respectively, that requires significant judgment by management. The tradename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have been determined to have an indefinite life. The developed technology intangible assets are being amortized based on the pattern of economic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included above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Useful Life</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customer relationships</w:t>
            </w:r>
          </w:p>
        </w:tc>
        <w:tc>
          <w:tcPr>
            <w:tcW w:w="3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Acquired tradenames</w:t>
            </w:r>
          </w:p>
        </w:tc>
        <w:tc>
          <w:tcPr>
            <w:tcW w:w="3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5,430</w:t>
            </w:r>
          </w:p>
        </w:tc>
        <w:tc>
          <w:tcPr>
            <w:tcW w:w="122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29"/>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3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to 7 years</w:t>
            </w:r>
          </w:p>
        </w:tc>
      </w:tr>
      <w:tr>
        <w:trPr>
          <w:trHeight w:val="23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identifiable intangible assets</w:t>
            </w:r>
          </w:p>
        </w:tc>
        <w:tc>
          <w:tcPr>
            <w:tcW w:w="3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19,130</w:t>
            </w:r>
          </w:p>
        </w:tc>
        <w:tc>
          <w:tcPr>
            <w:tcW w:w="1220" w:type="dxa"/>
            <w:vAlign w:val="bottom"/>
            <w:tcBorders>
              <w:bottom w:val="single" w:sz="8" w:color="auto"/>
            </w:tcBorders>
          </w:tcPr>
          <w:p>
            <w:pPr>
              <w:spacing w:after="0"/>
              <w:rPr>
                <w:sz w:val="20"/>
                <w:szCs w:val="20"/>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identified customer contractual obligations on loss making programs and recorded liabilities of $222 million related to these programs based on the difference between the actual expected operating loss and a normalized operating profit. These liabilities will be liquidated based on the expected pattern of expenses incurred on these contracts.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recorded $21.6 billion of goodwill as a result of the Raytheon Merger which primarily relates to expected synergies from combining operations and the value of the existing workforce. The goodwill generated as a result of the Raytheon Merger is nondeductible for tax purposes.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Merger-Related Costs. </w:t>
      </w:r>
      <w:r>
        <w:rPr>
          <w:rFonts w:ascii="Arial" w:cs="Arial" w:eastAsia="Arial" w:hAnsi="Arial"/>
          <w:sz w:val="18"/>
          <w:szCs w:val="18"/>
          <w:color w:val="auto"/>
        </w:rPr>
        <w:t>Merger-related costs have been expensed as incurred. In the nine months ended September 30, 2021 we recorded $17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integration costs. In the quarter and nine months ended September 30, 2020 we recorded $26 million and $125 million, respectively, of transaction and integration costs. These costs are included in Selling, general and administrative expenses within the Condensed Consolidated Statement of Operations.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Supplemental Pro-Forma Data. </w:t>
      </w:r>
      <w:r>
        <w:rPr>
          <w:rFonts w:ascii="Arial" w:cs="Arial" w:eastAsia="Arial" w:hAnsi="Arial"/>
          <w:sz w:val="16"/>
          <w:szCs w:val="16"/>
          <w:color w:val="auto"/>
        </w:rPr>
        <w:t>Raytheon Company’s results of operations have been included in RTC’s financial statements for the period subsequent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the Raytheon Merger on April 3, 2020. The following unaudited supplemental pro-forma data presents consolidated information as if the Raytheon Merger had been completed on January 1, 2019. The pro-forma results were calculated by combining the results of Raytheon Technologies with the stand-alone results of Raytheon Company for the pre-acquisition periods, which were adjusted to account for certain costs that would have been incurred during this pre-acquisition period. The results below reflect Raytheon Technologies on a continuing operations basis, in order to more accurately represent the structure of Raytheon Technologies after completion of the Separation Transactions, the Distributions and the Raytheon Merger.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20" w:type="dxa"/>
            <w:vAlign w:val="bottom"/>
          </w:tcPr>
          <w:p>
            <w:pPr>
              <w:jc w:val="right"/>
              <w:ind w:right="496"/>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6"/>
                <w:szCs w:val="16"/>
                <w:color w:val="auto"/>
              </w:rPr>
            </w:pPr>
          </w:p>
        </w:tc>
        <w:tc>
          <w:tcPr>
            <w:tcW w:w="1800" w:type="dxa"/>
            <w:vAlign w:val="bottom"/>
          </w:tcPr>
          <w:p>
            <w:pPr>
              <w:jc w:val="right"/>
              <w:ind w:right="336"/>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9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September 30, 2020</w:t>
            </w: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September 30, 2020</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14,747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47,668</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Income (loss) from continuing operations attributable to common shareowners</w:t>
            </w:r>
          </w:p>
        </w:tc>
        <w:tc>
          <w:tcPr>
            <w:tcW w:w="920" w:type="dxa"/>
            <w:vAlign w:val="bottom"/>
          </w:tcPr>
          <w:p>
            <w:pPr>
              <w:spacing w:after="0"/>
              <w:rPr>
                <w:sz w:val="19"/>
                <w:szCs w:val="19"/>
                <w:color w:val="auto"/>
              </w:rPr>
            </w:pP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(2,328)</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 of common stock from continuing operations</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(loss) per share of common stock from continuing operations</w:t>
            </w:r>
          </w:p>
        </w:tc>
        <w:tc>
          <w:tcPr>
            <w:tcW w:w="9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0.11</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2019, as adjusted for the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impact. As the merger was completed on April 3, 2020, the pro-forma adjustments in the table below only include the required adjustments through April 3,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660" w:type="dxa"/>
            <w:vAlign w:val="bottom"/>
          </w:tcPr>
          <w:p>
            <w:pPr>
              <w:jc w:val="right"/>
              <w:ind w:right="159"/>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jc w:val="right"/>
              <w:ind w:right="39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September 30, 2020</w:t>
            </w:r>
          </w:p>
        </w:tc>
      </w:tr>
      <w:tr>
        <w:trPr>
          <w:trHeight w:val="229"/>
        </w:trPr>
        <w:tc>
          <w:tcPr>
            <w:tcW w:w="59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Amortization of acquired Raytheon Company intangible assets, net </w:t>
            </w:r>
            <w:r>
              <w:rPr>
                <w:rFonts w:ascii="Arial" w:cs="Arial" w:eastAsia="Arial" w:hAnsi="Arial"/>
                <w:sz w:val="23"/>
                <w:szCs w:val="23"/>
                <w:color w:val="auto"/>
                <w:vertAlign w:val="superscript"/>
              </w:rPr>
              <w:t>(1)</w:t>
            </w:r>
          </w:p>
        </w:tc>
        <w:tc>
          <w:tcPr>
            <w:tcW w:w="2660" w:type="dxa"/>
            <w:vAlign w:val="bottom"/>
            <w:shd w:val="clear" w:color="auto" w:fill="CCEEFF"/>
          </w:tcPr>
          <w:p>
            <w:pPr>
              <w:jc w:val="right"/>
              <w:ind w:right="15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fixed asset fair value adjustment </w:t>
            </w:r>
            <w:r>
              <w:rPr>
                <w:rFonts w:ascii="Arial" w:cs="Arial" w:eastAsia="Arial" w:hAnsi="Arial"/>
                <w:sz w:val="23"/>
                <w:szCs w:val="23"/>
                <w:color w:val="auto"/>
                <w:vertAlign w:val="superscript"/>
              </w:rPr>
              <w:t>(2)</w:t>
            </w:r>
          </w:p>
        </w:tc>
        <w:tc>
          <w:tcPr>
            <w:tcW w:w="266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Utilization of contractual customer obligation </w:t>
            </w:r>
            <w:r>
              <w:rPr>
                <w:rFonts w:ascii="Arial" w:cs="Arial" w:eastAsia="Arial" w:hAnsi="Arial"/>
                <w:sz w:val="23"/>
                <w:szCs w:val="23"/>
                <w:color w:val="auto"/>
                <w:vertAlign w:val="superscript"/>
              </w:rPr>
              <w:t>(3)</w:t>
            </w:r>
          </w:p>
        </w:tc>
        <w:tc>
          <w:tcPr>
            <w:tcW w:w="266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Deferred revenue fair value adjustment </w:t>
            </w:r>
            <w:r>
              <w:rPr>
                <w:rFonts w:ascii="Arial" w:cs="Arial" w:eastAsia="Arial" w:hAnsi="Arial"/>
                <w:sz w:val="23"/>
                <w:szCs w:val="23"/>
                <w:color w:val="auto"/>
                <w:vertAlign w:val="superscript"/>
              </w:rPr>
              <w:t>(4)</w:t>
            </w:r>
          </w:p>
        </w:tc>
        <w:tc>
          <w:tcPr>
            <w:tcW w:w="266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to non-service pension (income) expense </w:t>
            </w:r>
            <w:r>
              <w:rPr>
                <w:rFonts w:ascii="Arial" w:cs="Arial" w:eastAsia="Arial" w:hAnsi="Arial"/>
                <w:sz w:val="23"/>
                <w:szCs w:val="23"/>
                <w:color w:val="auto"/>
                <w:vertAlign w:val="superscript"/>
              </w:rPr>
              <w:t>(5)</w:t>
            </w:r>
          </w:p>
        </w:tc>
        <w:tc>
          <w:tcPr>
            <w:tcW w:w="266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RTC/Raytheon fees for advisory, legal, accounting services </w:t>
            </w:r>
            <w:r>
              <w:rPr>
                <w:rFonts w:ascii="Arial" w:cs="Arial" w:eastAsia="Arial" w:hAnsi="Arial"/>
                <w:sz w:val="23"/>
                <w:szCs w:val="23"/>
                <w:color w:val="auto"/>
                <w:vertAlign w:val="superscript"/>
              </w:rPr>
              <w:t>(6)</w:t>
            </w:r>
          </w:p>
        </w:tc>
        <w:tc>
          <w:tcPr>
            <w:tcW w:w="266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to interest expense related to the Raytheon Merger, net </w:t>
            </w:r>
            <w:r>
              <w:rPr>
                <w:rFonts w:ascii="Arial" w:cs="Arial" w:eastAsia="Arial" w:hAnsi="Arial"/>
                <w:sz w:val="23"/>
                <w:szCs w:val="23"/>
                <w:color w:val="auto"/>
                <w:vertAlign w:val="superscript"/>
              </w:rPr>
              <w:t>(7)</w:t>
            </w:r>
          </w:p>
        </w:tc>
        <w:tc>
          <w:tcPr>
            <w:tcW w:w="266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9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Elimination of deferred commission amortization </w:t>
            </w:r>
            <w:r>
              <w:rPr>
                <w:rFonts w:ascii="Arial" w:cs="Arial" w:eastAsia="Arial" w:hAnsi="Arial"/>
                <w:sz w:val="23"/>
                <w:szCs w:val="23"/>
                <w:color w:val="auto"/>
                <w:vertAlign w:val="superscript"/>
              </w:rPr>
              <w:t>(8)</w:t>
            </w:r>
          </w:p>
        </w:tc>
        <w:tc>
          <w:tcPr>
            <w:tcW w:w="2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20" w:type="dxa"/>
            <w:vAlign w:val="bottom"/>
            <w:tcBorders>
              <w:bottom w:val="single" w:sz="8" w:color="auto"/>
            </w:tcBorders>
            <w:shd w:val="clear" w:color="auto" w:fill="CCEEFF"/>
          </w:tcPr>
          <w:p>
            <w:pPr>
              <w:spacing w:after="0"/>
              <w:rPr>
                <w:sz w:val="20"/>
                <w:szCs w:val="20"/>
                <w:color w:val="auto"/>
              </w:rPr>
            </w:pPr>
          </w:p>
        </w:tc>
        <w:tc>
          <w:tcPr>
            <w:tcW w:w="2660" w:type="dxa"/>
            <w:vAlign w:val="bottom"/>
            <w:tcBorders>
              <w:bottom w:val="single" w:sz="8" w:color="auto"/>
            </w:tcBorders>
            <w:shd w:val="clear" w:color="auto" w:fill="CCEEFF"/>
          </w:tcPr>
          <w:p>
            <w:pPr>
              <w:jc w:val="right"/>
              <w:ind w:right="159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bl>
    <w:p>
      <w:pPr>
        <w:spacing w:after="0" w:line="184" w:lineRule="exact"/>
        <w:rPr>
          <w:sz w:val="20"/>
          <w:szCs w:val="20"/>
          <w:color w:val="auto"/>
        </w:rPr>
      </w:pPr>
    </w:p>
    <w:p>
      <w:pPr>
        <w:ind w:left="340" w:hanging="332"/>
        <w:spacing w:after="0" w:line="250" w:lineRule="auto"/>
        <w:tabs>
          <w:tab w:leader="none" w:pos="344"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additional amortization of the acquired Raytheon Company’s intangible assets recognized at fair value in purchase accounting and eliminates the historical Raytheon Company intangible asset amortization expense.</w:t>
      </w: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amortization of the fixed asset fair value adjustment as of the acquisition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additional amortization of liabilities recognized for certain acquired loss making contracts as of the acquisition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difference between prepayments related to extended arrangements and the fair value of the assumed performance obligations as they are satisfied.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elimination of unamortized prior service costs and actuarial losses, as a result of fair value purchase accounting.</w:t>
      </w:r>
    </w:p>
    <w:p>
      <w:pPr>
        <w:spacing w:after="0" w:line="1" w:lineRule="exact"/>
        <w:rPr>
          <w:rFonts w:ascii="Arial" w:cs="Arial" w:eastAsia="Arial" w:hAnsi="Arial"/>
          <w:sz w:val="14"/>
          <w:szCs w:val="14"/>
          <w:color w:val="auto"/>
        </w:rPr>
      </w:pPr>
    </w:p>
    <w:p>
      <w:pPr>
        <w:ind w:left="340" w:hanging="332"/>
        <w:spacing w:after="0" w:line="241" w:lineRule="auto"/>
        <w:tabs>
          <w:tab w:leader="none" w:pos="352"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transaction-related fees incurred by RTC and Raytheon Company in connection with the Raytheon Merger and assumes all of the fees were incurred during the first quarter of 2019.</w:t>
      </w: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amortization of the fair market value adjustment related to Raytheon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amortization recognized on deferred commissions that are eliminated in purchase accounting.</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related to the integration of the two companies. Further, the pro-forma data should not be considered indicative of the results that would have occurred if the acquisition had been consummated on January 1, 2019, nor are they indicative of future results.</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Dispositions. </w:t>
      </w:r>
      <w:r>
        <w:rPr>
          <w:rFonts w:ascii="Arial" w:cs="Arial" w:eastAsia="Arial" w:hAnsi="Arial"/>
          <w:sz w:val="17"/>
          <w:szCs w:val="17"/>
          <w:color w:val="auto"/>
        </w:rPr>
        <w:t>On September 8, 2021, we entered into a definitive agreement to divest our global training and logistics business within our Raytheon</w:t>
      </w:r>
      <w:r>
        <w:rPr>
          <w:rFonts w:ascii="Arial" w:cs="Arial" w:eastAsia="Arial" w:hAnsi="Arial"/>
          <w:sz w:val="17"/>
          <w:szCs w:val="17"/>
          <w:b w:val="1"/>
          <w:bCs w:val="1"/>
          <w:color w:val="auto"/>
        </w:rPr>
        <w:t xml:space="preserve"> </w:t>
      </w:r>
      <w:r>
        <w:rPr>
          <w:rFonts w:ascii="Arial" w:cs="Arial" w:eastAsia="Arial" w:hAnsi="Arial"/>
          <w:sz w:val="17"/>
          <w:szCs w:val="17"/>
          <w:color w:val="auto"/>
        </w:rPr>
        <w:t>Intelligence &amp; Space segment. At September 30, 2021, the related assets of approximately $860 million and liabilities of approximately $100 million have been accounted for as held for sale; however, the disposition does not qualify for presentation as discontinued operations. These held for sale assets, including a preliminary estimate of approximately $660 million of goodwill and intangibles, and liabilities are presented in Other assets, current and Other accrued liabilities, respectively, on our Condensed Consolidated Balance Sheet. The closing of the transaction is subject to customary closing conditions, including the receipt of required regulatory approvals.</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2020, we entered into a definitive agreement to sell our Forcepoint business, which we completed on January 8, 2021, for proceeds of $1.1 billion, net of cash transferred. At December 31, 2020, the related assets of approximately $1.9 billion and liabilities of approximately $855 million were accounted for as held for sale at fair value less cost to sell; however, Forcepoint did not qualify for presentation as discontinued operations. These held for sale assets and liabilities are presented in Other assets, current and Other accrued liabilities, respectively, on our December 31, 2020 Condensed Consolidated Balance Sheet. Assets held for sale included $1.4 billion of goodwill and intangible assets. We did not recognize a pre-tax gain or loss within the Condensed Consolidated Statement of Operations related to the sale of Forcepoint. The results of Forcepoint were included in Eliminations and other in our segment results.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2020, in accordance with conditions imposed for regulatory approval of the Raytheon Merger, we completed the sale of our Collins Aerospace military Global Positioning System (GPS) and space-based precision optics businesses for $2.3 billion in cash, resulting in an aggregate pre-tax gain, net of transaction costs, of $580 million ($253 million after tax), of which $608 million was included in Other income (expense), net partially offset by $20 million of aggregate transaction costs included in Selling, general and administrative costs and an $8 million expense included in Non-service pension (income) expense within our Condensed Consolidated Statement of Operations. Income before taxes for 2020, through the date of sale for these businesses was $94 million.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2020, in order to meet the requirements for regulatory approval of the Raytheon Merger, we completed the sale of our airborne tactical radios business within our RIS segment for $231 million in cash, net of transaction-related costs. As the transaction occurred subsequent to the Raytheon Merger, the gain of $199 million was not recorded in the Condensed Consolidated Statement of Operations, but rather was recorded as an adjustment to the fair value of net assets acquired in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allocation of consideration transferred to net assets acquired in the Raytheon Merger. Income before taxes related to the disposed business for the period from the closing of the Raytheon Merger to disposal date was not material.</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discussed further in “Note 3: Discontinued Operations,” on April 2, 2020, Carrier and Otis entered into a Separation and Distribution Agreement with UTC (since renamed Raytheon Technologies Corporation), pursuant to which, among other things, UTC agreed to separate into three independent, publicly traded companies – UTC, Carrier and Otis and distribute all of the outstanding common stock of Carrier and Otis to UTC shareowners who held shares of UTC common stock as of the close of business on March 19, 2020. UTC distributed 866,158,910 and 433,079,455 shares of common stock of Carrier and Otis, respectively in the Distributions. As a result of the Distributions, Carrier and Otis are now independent publicly traded companies.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nine months ended September 30, 2021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tcPr>
          <w:p>
            <w:pPr>
              <w:spacing w:after="0"/>
              <w:rPr>
                <w:sz w:val="14"/>
                <w:szCs w:val="14"/>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Balance as of</w:t>
            </w:r>
          </w:p>
        </w:tc>
        <w:tc>
          <w:tcPr>
            <w:tcW w:w="220" w:type="dxa"/>
            <w:vAlign w:val="bottom"/>
          </w:tcPr>
          <w:p>
            <w:pPr>
              <w:spacing w:after="0"/>
              <w:rPr>
                <w:sz w:val="14"/>
                <w:szCs w:val="14"/>
                <w:color w:val="auto"/>
              </w:rPr>
            </w:pPr>
          </w:p>
        </w:tc>
        <w:tc>
          <w:tcPr>
            <w:tcW w:w="1340" w:type="dxa"/>
            <w:vAlign w:val="bottom"/>
          </w:tcPr>
          <w:p>
            <w:pPr>
              <w:ind w:left="60"/>
              <w:spacing w:after="0"/>
              <w:rPr>
                <w:sz w:val="20"/>
                <w:szCs w:val="20"/>
                <w:color w:val="auto"/>
              </w:rPr>
            </w:pPr>
            <w:r>
              <w:rPr>
                <w:rFonts w:ascii="Arial" w:cs="Arial" w:eastAsia="Arial" w:hAnsi="Arial"/>
                <w:sz w:val="14"/>
                <w:szCs w:val="14"/>
                <w:b w:val="1"/>
                <w:bCs w:val="1"/>
                <w:color w:val="auto"/>
              </w:rPr>
              <w:t>Acquisitions and</w:t>
            </w:r>
          </w:p>
        </w:tc>
        <w:tc>
          <w:tcPr>
            <w:tcW w:w="220" w:type="dxa"/>
            <w:vAlign w:val="bottom"/>
          </w:tcPr>
          <w:p>
            <w:pPr>
              <w:spacing w:after="0"/>
              <w:rPr>
                <w:sz w:val="14"/>
                <w:szCs w:val="14"/>
                <w:color w:val="auto"/>
              </w:rPr>
            </w:pPr>
          </w:p>
        </w:tc>
        <w:tc>
          <w:tcPr>
            <w:tcW w:w="144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Foreign Currency</w:t>
            </w:r>
          </w:p>
        </w:tc>
        <w:tc>
          <w:tcPr>
            <w:tcW w:w="220" w:type="dxa"/>
            <w:vAlign w:val="bottom"/>
          </w:tcPr>
          <w:p>
            <w:pPr>
              <w:spacing w:after="0"/>
              <w:rPr>
                <w:sz w:val="14"/>
                <w:szCs w:val="14"/>
                <w:color w:val="auto"/>
              </w:rPr>
            </w:pPr>
          </w:p>
        </w:tc>
        <w:tc>
          <w:tcPr>
            <w:tcW w:w="1440" w:type="dxa"/>
            <w:vAlign w:val="bottom"/>
          </w:tcPr>
          <w:p>
            <w:pPr>
              <w:jc w:val="right"/>
              <w:ind w:right="31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4"/>
              <w:spacing w:after="0" w:line="189" w:lineRule="exact"/>
              <w:rPr>
                <w:sz w:val="20"/>
                <w:szCs w:val="20"/>
                <w:color w:val="auto"/>
              </w:rPr>
            </w:pPr>
            <w:r>
              <w:rPr>
                <w:rFonts w:ascii="Arial" w:cs="Arial" w:eastAsia="Arial" w:hAnsi="Arial"/>
                <w:sz w:val="14"/>
                <w:szCs w:val="14"/>
                <w:b w:val="1"/>
                <w:bCs w:val="1"/>
                <w:color w:val="auto"/>
                <w:w w:val="94"/>
              </w:rPr>
              <w:t>January 1, 2021</w:t>
            </w:r>
            <w:r>
              <w:rPr>
                <w:rFonts w:ascii="Arial" w:cs="Arial" w:eastAsia="Arial" w:hAnsi="Arial"/>
                <w:sz w:val="18"/>
                <w:szCs w:val="18"/>
                <w:b w:val="1"/>
                <w:bCs w:val="1"/>
                <w:color w:val="auto"/>
                <w:w w:val="94"/>
                <w:vertAlign w:val="superscript"/>
              </w:rPr>
              <w:t>(1)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4"/>
                <w:szCs w:val="14"/>
                <w:b w:val="1"/>
                <w:bCs w:val="1"/>
                <w:color w:val="auto"/>
              </w:rPr>
              <w:t>Divestitures</w:t>
            </w:r>
            <w:r>
              <w:rPr>
                <w:rFonts w:ascii="Arial" w:cs="Arial" w:eastAsia="Arial" w:hAnsi="Arial"/>
                <w:sz w:val="18"/>
                <w:szCs w:val="18"/>
                <w:b w:val="1"/>
                <w:bCs w:val="1"/>
                <w:color w:val="auto"/>
                <w:vertAlign w:val="superscript"/>
              </w:rPr>
              <w:t>(2)</w:t>
            </w:r>
          </w:p>
        </w:tc>
        <w:tc>
          <w:tcPr>
            <w:tcW w:w="16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Translation and Other</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26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1,563</w:t>
            </w:r>
          </w:p>
        </w:tc>
        <w:tc>
          <w:tcPr>
            <w:tcW w:w="220" w:type="dxa"/>
            <w:vAlign w:val="bottom"/>
          </w:tcPr>
          <w:p>
            <w:pPr>
              <w:spacing w:after="0"/>
              <w:rPr>
                <w:sz w:val="19"/>
                <w:szCs w:val="19"/>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Raytheon Intelligence &amp; Space</w:t>
            </w:r>
            <w:r>
              <w:rPr>
                <w:rFonts w:ascii="Arial" w:cs="Arial" w:eastAsia="Arial" w:hAnsi="Arial"/>
                <w:sz w:val="23"/>
                <w:szCs w:val="23"/>
                <w:color w:val="auto"/>
                <w:vertAlign w:val="superscript"/>
              </w:rPr>
              <w:t>(1) (2)</w:t>
            </w: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9,522</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(397)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9,125</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Raytheon Missiles &amp; Defense</w:t>
            </w:r>
            <w:r>
              <w:rPr>
                <w:rFonts w:ascii="Arial" w:cs="Arial" w:eastAsia="Arial" w:hAnsi="Arial"/>
                <w:sz w:val="23"/>
                <w:szCs w:val="23"/>
                <w:color w:val="auto"/>
                <w:vertAlign w:val="superscript"/>
              </w:rPr>
              <w:t>(1)</w:t>
            </w:r>
          </w:p>
        </w:tc>
        <w:tc>
          <w:tcPr>
            <w:tcW w:w="1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11,608</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52</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11,659</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Segments</w:t>
            </w: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54,264</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(345)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53,772</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1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54,285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(345)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53,789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50" w:lineRule="auto"/>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connection with the previously announced January 1, 2021 reorganization of RIS and RMD, goodwill of $282 million was allocated from RMD to RIS on a relative fair value basis and is reflected in the revised balances at January 1, 2021.</w:t>
      </w:r>
    </w:p>
    <w:p>
      <w:pPr>
        <w:ind w:left="340" w:hanging="332"/>
        <w:spacing w:after="0" w:line="255" w:lineRule="auto"/>
        <w:tabs>
          <w:tab w:leader="none" w:pos="348"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 in Acquisitions and Divestitures for RIS includes the reclassification of a preliminary estimate of approximately $430 million of goodwill associated with the RIS’s global training and logistics business, as criteria for held for sale accounting treatment was met during the three months ended September 30, 2021.</w:t>
      </w:r>
    </w:p>
    <w:p>
      <w:pPr>
        <w:spacing w:after="0" w:line="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reviews goodwill for impairment annually or more frequently if events or changes in circumstances indicate the asset might be impaired. We did not have a triggering event in the nine months ended September 30, 2021.</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considered the deterioration in general economic and market conditions primarily due to the COVID-19 pandemic to be a triggering event in the first and second quarters of 2020, requiring an impairment evaluation of goodwill, intangible assets and other assets in our commercial aerospace businesses, Collins Aerospace and Pratt &amp; Whitney. Beginning in the second quarter of 2020, we observed several airline customer bankruptcies, delays and cancellations of aircraft purchases by airlines, fleet retirements and repositioning of original equipment manufacturer (OEM) production schedules and we experienced significant unfavorable EAC adjustments at our Collins Aerospace and Pratt &amp; Whitney businesses due to a decline in flight hours, aircraft fleet utilization, shop visits and commercial OEM deliveries. These factors contributed to a deterioration of our expectations regarding the timing of a return to pre-COVID-19 commercial flight activity, which further reduced our future sales and cash flows expectations.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2020, we evaluated the Collins Aerospace and Pratt &amp; Whitney reporting units for goodwill impairment and determined that the carrying values of two of the six Collins Aerospace reporting units exceeded the sum of discounted future cash flows, resulting in aggregate goodwill impairments of $3.2 billion. For additional discussion, see “Note 2: Acquisitions, Dispositions, Goodwill and Intangible Assets” within Item 8 of our 2020 Annual Report on Form 10-K.</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continuously monitors and evaluates relevant events and circumstances that could negatively impact the key assumptions in determining the fair value of goodwill, including long-term revenue growth projections, profitability, discount rates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including significant future negative developments in the COVID-19 pandemic, or future changes in the variables associated with the judgments, assumptions and estimates used in assessing the fair value of our reporting units, including the expected long-term recovery of airline travel to pre-COVID-19 levels, would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ind w:left="84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6"/>
                <w:szCs w:val="16"/>
                <w:color w:val="auto"/>
              </w:rPr>
            </w:pPr>
          </w:p>
        </w:tc>
        <w:tc>
          <w:tcPr>
            <w:tcW w:w="3120" w:type="dxa"/>
            <w:vAlign w:val="bottom"/>
            <w:gridSpan w:val="3"/>
          </w:tcPr>
          <w:p>
            <w:pPr>
              <w:jc w:val="right"/>
              <w:ind w:right="101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Gross Amount</w:t>
            </w:r>
          </w:p>
        </w:tc>
        <w:tc>
          <w:tcPr>
            <w:tcW w:w="3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334"/>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Gross Amount</w:t>
            </w:r>
          </w:p>
        </w:tc>
        <w:tc>
          <w:tcPr>
            <w:tcW w:w="3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314"/>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Patents and trademarks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Collaboration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5,269</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5,021</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Exclusivity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2,647</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2,541</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 and other</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29,956</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30,241</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38,859</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38,757</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Unamortized:</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Trademarks and 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8,704</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8,714</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47,563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47,471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deterioration in general economic and market conditions primarily due to the COVID-19 pandemic, we performed an assessment of our unamortized intangible assets and recorded charges of $40 million and $17 million in the first and second quarters of 2020, respectively, related to the impairment of a Collins Aerospace indefinite-lived tradename intangible assets. We will continue to evaluate the impact on our customers and our business in future periods which may result in a different conclusion.</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intangible assets for the quarters and nine months ended September 30, 2021 and 2020 were $622 million and $1,820 million and $599 million and $1,506 million, respectively. The following is the expected amortization of intangible assets for the years 2021 through 2026.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Remaining 2021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2026</w:t>
            </w:r>
          </w:p>
        </w:tc>
      </w:tr>
      <w:tr>
        <w:trPr>
          <w:trHeight w:val="236"/>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6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1,936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2,035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2,142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2,025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above, the Separation Transactions and Distributions were completed on April 3, 2020 resulting in, among other things, UTC (since renamed Raytheon Technologies Corporation), being separated into three independent, publicly traded companies – UTC, Carrier and Otis.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Carrier and Otis are presented as discontinued operations and, as such, have been excluded from both continuing operations and segment results for all periods presented. Income (loss) from discontinued operations attributable to common shareowners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6"/>
                <w:szCs w:val="16"/>
                <w:color w:val="auto"/>
              </w:rPr>
            </w:pPr>
          </w:p>
        </w:tc>
        <w:tc>
          <w:tcPr>
            <w:tcW w:w="258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center"/>
              <w:ind w:left="676"/>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6"/>
              </w:rPr>
              <w:t>187</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Carrier</w:t>
            </w:r>
          </w:p>
        </w:tc>
        <w:tc>
          <w:tcPr>
            <w:tcW w:w="30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center"/>
              <w:ind w:left="676"/>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spacing w:after="0"/>
              <w:rPr>
                <w:sz w:val="19"/>
                <w:szCs w:val="19"/>
                <w:color w:val="auto"/>
              </w:rPr>
            </w:pPr>
          </w:p>
        </w:tc>
        <w:tc>
          <w:tcPr>
            <w:tcW w:w="1040" w:type="dxa"/>
            <w:vAlign w:val="bottom"/>
          </w:tcPr>
          <w:p>
            <w:pPr>
              <w:jc w:val="center"/>
              <w:ind w:left="534"/>
              <w:spacing w:after="0"/>
              <w:rPr>
                <w:sz w:val="20"/>
                <w:szCs w:val="20"/>
                <w:color w:val="auto"/>
              </w:rPr>
            </w:pPr>
            <w:r>
              <w:rPr>
                <w:rFonts w:ascii="Arial" w:cs="Arial" w:eastAsia="Arial" w:hAnsi="Arial"/>
                <w:sz w:val="18"/>
                <w:szCs w:val="18"/>
                <w:color w:val="auto"/>
                <w:w w:val="86"/>
              </w:rPr>
              <w:t>196</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Separation related transactions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(7)</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8"/>
                <w:szCs w:val="18"/>
                <w:b w:val="1"/>
                <w:bCs w:val="1"/>
                <w:color w:val="auto"/>
                <w:w w:val="93"/>
              </w:rPr>
              <w:t>(34)</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5"/>
              </w:rPr>
              <w:t>(782)</w:t>
            </w:r>
          </w:p>
        </w:tc>
        <w:tc>
          <w:tcPr>
            <w:tcW w:w="0" w:type="dxa"/>
            <w:vAlign w:val="bottom"/>
          </w:tcPr>
          <w:p>
            <w:pPr>
              <w:spacing w:after="0"/>
              <w:rPr>
                <w:sz w:val="1"/>
                <w:szCs w:val="1"/>
                <w:color w:val="auto"/>
              </w:rPr>
            </w:pPr>
          </w:p>
        </w:tc>
      </w:tr>
      <w:tr>
        <w:trPr>
          <w:trHeight w:val="169"/>
        </w:trPr>
        <w:tc>
          <w:tcPr>
            <w:tcW w:w="5520" w:type="dxa"/>
            <w:vAlign w:val="bottom"/>
          </w:tcPr>
          <w:p>
            <w:pPr>
              <w:ind w:left="20"/>
              <w:spacing w:after="0" w:line="169" w:lineRule="exact"/>
              <w:rPr>
                <w:sz w:val="20"/>
                <w:szCs w:val="20"/>
                <w:color w:val="auto"/>
              </w:rPr>
            </w:pPr>
            <w:r>
              <w:rPr>
                <w:rFonts w:ascii="Arial" w:cs="Arial" w:eastAsia="Arial" w:hAnsi="Arial"/>
                <w:sz w:val="18"/>
                <w:szCs w:val="18"/>
                <w:color w:val="auto"/>
              </w:rPr>
              <w:t>Income (loss) from discontinued operations attributable to common</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(7)</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tcPr>
          <w:p>
            <w:pPr>
              <w:jc w:val="center"/>
              <w:ind w:left="636"/>
              <w:spacing w:after="0"/>
              <w:rPr>
                <w:sz w:val="20"/>
                <w:szCs w:val="20"/>
                <w:color w:val="auto"/>
              </w:rPr>
            </w:pPr>
            <w:r>
              <w:rPr>
                <w:rFonts w:ascii="Arial" w:cs="Arial" w:eastAsia="Arial" w:hAnsi="Arial"/>
                <w:sz w:val="18"/>
                <w:szCs w:val="18"/>
                <w:b w:val="1"/>
                <w:bCs w:val="1"/>
                <w:color w:val="auto"/>
                <w:w w:val="93"/>
              </w:rPr>
              <w:t>(34)</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center"/>
              <w:ind w:left="514"/>
              <w:spacing w:after="0"/>
              <w:rPr>
                <w:sz w:val="20"/>
                <w:szCs w:val="20"/>
                <w:color w:val="auto"/>
              </w:rPr>
            </w:pPr>
            <w:r>
              <w:rPr>
                <w:rFonts w:ascii="Arial" w:cs="Arial" w:eastAsia="Arial" w:hAnsi="Arial"/>
                <w:sz w:val="18"/>
                <w:szCs w:val="18"/>
                <w:color w:val="auto"/>
                <w:w w:val="95"/>
              </w:rPr>
              <w:t>(399)</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shareowners</w:t>
            </w:r>
          </w:p>
        </w:tc>
        <w:tc>
          <w:tcPr>
            <w:tcW w:w="3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hanging="332"/>
        <w:spacing w:after="0" w:line="252" w:lineRule="auto"/>
        <w:tabs>
          <w:tab w:leader="none" w:pos="34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debt extinguishment costs in the nine months ended September 30, 2020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and benefits related to separation activities.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summarized financial information related to discontinued operations has been reclassified from Income (loss) from continuing operations attributable to common shareowners and included in Income (loss) from discontinued operations attributable to common shareowners: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6"/>
                <w:szCs w:val="16"/>
                <w:color w:val="auto"/>
              </w:rPr>
            </w:pPr>
          </w:p>
        </w:tc>
        <w:tc>
          <w:tcPr>
            <w:tcW w:w="260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Arial" w:cs="Arial" w:eastAsia="Arial" w:hAnsi="Arial"/>
                <w:sz w:val="18"/>
                <w:szCs w:val="18"/>
                <w:color w:val="auto"/>
              </w:rPr>
              <w:t>Products sales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 sales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services sold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Income from discontinued operations, before tax</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expense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Less: Noncontrolling interest in subsidiaries earnings from discontinued</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20" w:type="dxa"/>
            <w:vAlign w:val="bottom"/>
          </w:tcPr>
          <w:p>
            <w:pPr>
              <w:ind w:left="240"/>
              <w:spacing w:after="0" w:line="169" w:lineRule="exact"/>
              <w:rPr>
                <w:sz w:val="20"/>
                <w:szCs w:val="20"/>
                <w:color w:val="auto"/>
              </w:rPr>
            </w:pPr>
            <w:r>
              <w:rPr>
                <w:rFonts w:ascii="Arial" w:cs="Arial" w:eastAsia="Arial" w:hAnsi="Arial"/>
                <w:sz w:val="18"/>
                <w:szCs w:val="18"/>
                <w:color w:val="auto"/>
              </w:rPr>
              <w:t>Income from discontinued operations attributable to common</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shareowners</w:t>
            </w:r>
          </w:p>
        </w:tc>
        <w:tc>
          <w:tcPr>
            <w:tcW w:w="3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Products sales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 sales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services sold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Income from discontinued operations, before tax</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expense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Less: Noncontrolling interest in subsidiaries earnings from discontinued</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20" w:type="dxa"/>
            <w:vAlign w:val="bottom"/>
          </w:tcPr>
          <w:p>
            <w:pPr>
              <w:ind w:left="240"/>
              <w:spacing w:after="0" w:line="169" w:lineRule="exact"/>
              <w:rPr>
                <w:sz w:val="20"/>
                <w:szCs w:val="20"/>
                <w:color w:val="auto"/>
              </w:rPr>
            </w:pPr>
            <w:r>
              <w:rPr>
                <w:rFonts w:ascii="Arial" w:cs="Arial" w:eastAsia="Arial" w:hAnsi="Arial"/>
                <w:sz w:val="18"/>
                <w:szCs w:val="18"/>
                <w:color w:val="auto"/>
              </w:rPr>
              <w:t>Income from discontinued operations attributable to common</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shareowners</w:t>
            </w:r>
          </w:p>
        </w:tc>
        <w:tc>
          <w:tcPr>
            <w:tcW w:w="3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Separation related transactions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Income (loss) from discontinued operations, before tax</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expense (benefit)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169"/>
        </w:trPr>
        <w:tc>
          <w:tcPr>
            <w:tcW w:w="5520" w:type="dxa"/>
            <w:vAlign w:val="bottom"/>
            <w:shd w:val="clear" w:color="auto" w:fill="CCEEFF"/>
          </w:tcPr>
          <w:p>
            <w:pPr>
              <w:ind w:left="560"/>
              <w:spacing w:after="0" w:line="169" w:lineRule="exact"/>
              <w:rPr>
                <w:sz w:val="20"/>
                <w:szCs w:val="20"/>
                <w:color w:val="auto"/>
              </w:rPr>
            </w:pPr>
            <w:r>
              <w:rPr>
                <w:rFonts w:ascii="Arial" w:cs="Arial" w:eastAsia="Arial" w:hAnsi="Arial"/>
                <w:sz w:val="18"/>
                <w:szCs w:val="18"/>
                <w:color w:val="auto"/>
                <w:w w:val="98"/>
              </w:rPr>
              <w:t>Total income (loss) from discontinued operations attributable to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common shareowners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52" w:lineRule="auto"/>
        <w:tabs>
          <w:tab w:leader="none" w:pos="34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debt extinguishment costs in the nine months ended September 30, 2020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and benefits related to separation activities.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related to cash flows from discontinued operations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center"/>
              <w:ind w:left="777"/>
              <w:spacing w:after="0"/>
              <w:rPr>
                <w:sz w:val="20"/>
                <w:szCs w:val="20"/>
                <w:color w:val="auto"/>
              </w:rPr>
            </w:pPr>
            <w:r>
              <w:rPr>
                <w:rFonts w:ascii="Arial" w:cs="Arial" w:eastAsia="Arial" w:hAnsi="Arial"/>
                <w:sz w:val="18"/>
                <w:szCs w:val="18"/>
                <w:b w:val="1"/>
                <w:bCs w:val="1"/>
                <w:color w:val="auto"/>
                <w:w w:val="93"/>
              </w:rPr>
              <w:t>(27)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280" w:type="dxa"/>
            <w:vAlign w:val="bottom"/>
          </w:tcPr>
          <w:p>
            <w:pPr>
              <w:jc w:val="center"/>
              <w:ind w:left="777"/>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7"/>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b w:val="1"/>
                <w:bCs w:val="1"/>
                <w:color w:val="auto"/>
                <w:w w:val="89"/>
              </w:rPr>
              <w:t>27</w:t>
            </w: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bl>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used in operating activities for the nine months ended September 30, 2020 includes the net operating cash flows of Carrier and Otis prior to the Separation Transactions, as well as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related to separation activities. Net cash used in financing activities for the nine months ended September 30, 2020 primarily consists of cash distributed by the Company to Carrier and Otis upon separation and debt extinguishment costs related to the early repayment of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and shares in millions, except per share amounts)</w:t>
            </w: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4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1,400</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3,212</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(3,255)</w:t>
            </w:r>
          </w:p>
        </w:tc>
      </w:tr>
      <w:tr>
        <w:trPr>
          <w:trHeight w:val="230"/>
        </w:trPr>
        <w:tc>
          <w:tcPr>
            <w:tcW w:w="5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1,393</w:t>
            </w:r>
          </w:p>
        </w:tc>
        <w:tc>
          <w:tcPr>
            <w:tcW w:w="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3,178</w:t>
            </w:r>
          </w:p>
        </w:tc>
        <w:tc>
          <w:tcPr>
            <w:tcW w:w="3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1,497.9</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1,505.0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w:t>
            </w: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 awards and equity units (share equivalent)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8.0</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1,505.9</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1,514.2</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1,511.0</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1,311.3</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w w:val="94"/>
              </w:rPr>
              <w:t>Earnings (Loss) Per Share attributable to common shareowners - Basic:</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0.93</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2.13</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30"/>
        </w:trPr>
        <w:tc>
          <w:tcPr>
            <w:tcW w:w="5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(0.30)</w:t>
            </w: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common shareowners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0.93</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2.11</w:t>
            </w:r>
          </w:p>
        </w:tc>
        <w:tc>
          <w:tcPr>
            <w:tcW w:w="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w w:val="92"/>
              </w:rPr>
              <w:t>Earnings (Loss) Per Share attributable to common shareowners - Diluted:</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0.93</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2.13</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29"/>
        </w:trPr>
        <w:tc>
          <w:tcPr>
            <w:tcW w:w="5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(0.30)</w:t>
            </w: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common shareowners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0.93</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2.10</w:t>
            </w:r>
          </w:p>
        </w:tc>
        <w:tc>
          <w:tcPr>
            <w:tcW w:w="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exercise of stock awards when the awards’ assumed proceeds exceed the average market price of the common shares during the period. For the quarter and nine months ended September 30, 2021, the number of stock awards excluded from the computation was 8.0 million and 15.3 million, respectively. For the quarter ended September 30, 2020, the number of stock awards excluded from the computation was 38.1 million. For the nine months ended September 30, 2020, all stock awards were excluded from the computation of diluted EPS because their effect was antidilutive due to the loss from continuing operations, and amounted to 31.5 million stock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Changes in Contract Estimates at Completion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our Estimates at Completion (EACs) on significant contracts on a periodic basis and for others, no less than annually or when a change in circumstances warrant a modification to a previous estimate.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Management’s judgment related to these considerations has become increasingly more significant given the current economic environment primarily caused by the COVID-19 pandemic.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Cost estimates may also include the estimated cost of satisfying our industrial cooperation agreements, sometimes in the form of either offset obligations or in-country industrial participation (ICIP) agreements, required under certain contracts primarily within our RIS and RMD segments. These obligations may or may not be distinct depending on their nature. If cash is paid to a customer to satisfy our offset obligations it is recorded as a reduction in the transaction price.</w:t>
      </w:r>
    </w:p>
    <w:p>
      <w:pPr>
        <w:spacing w:after="0" w:line="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loss provisions for our contracts accounted for on a percentage of completion basis.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8"/>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line="230" w:lineRule="exact"/>
              <w:rPr>
                <w:sz w:val="20"/>
                <w:szCs w:val="20"/>
                <w:color w:val="auto"/>
              </w:rPr>
            </w:pPr>
            <w:r>
              <w:rPr>
                <w:rFonts w:ascii="Arial" w:cs="Arial" w:eastAsia="Arial" w:hAnsi="Arial"/>
                <w:sz w:val="18"/>
                <w:szCs w:val="18"/>
                <w:color w:val="auto"/>
              </w:rPr>
              <w:t>Income (loss) from continuing operations attributable to common shareowners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b w:val="1"/>
                <w:bCs w:val="1"/>
                <w:color w:val="auto"/>
              </w:rPr>
              <w:t>51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Diluted earnings (loss) per share from continuing operations attributable to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0.01</w:t>
            </w:r>
          </w:p>
        </w:tc>
        <w:tc>
          <w:tcPr>
            <w:tcW w:w="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0.03</w:t>
            </w:r>
          </w:p>
        </w:tc>
        <w:tc>
          <w:tcPr>
            <w:tcW w:w="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7"/>
        </w:trPr>
        <w:tc>
          <w:tcPr>
            <w:tcW w:w="65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3"/>
                <w:szCs w:val="23"/>
                <w:color w:val="auto"/>
                <w:vertAlign w:val="superscript"/>
              </w:rPr>
              <w:t>(1)</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reflect a U.S. statutory tax rate of 21%, which approximates our tax rate on our EAC adjustments.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quarters ended September 30, 2021 and 2020, revenue was increased by $82 million and reduced by $231 million, respectively, for performance obligations satisfied (or partially satisfied) in previous periods. In the nine months ended September 30, 2021 and 2020, revenue was increased by $207 million and reduced by $432 million, respectively, for performance obligations satisfied (or partially satisfied) in previous periods. This relates to EAC adjustments that impacted revenue.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Raytheon Merger, Raytheon Company’s contracts accounted for on a percentage of completion basis were reset to zero percent complete as of the merger date, since only the unperformed portion of the contract at such date represents the obligation of the Company. For additional information related to the Raytheon Merger, see “Note 2: Acquisitions, Dispositions, Goodwill and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September 30, 2021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10,033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expected credit losses</w:t>
            </w:r>
          </w:p>
        </w:tc>
        <w:tc>
          <w:tcPr>
            <w:tcW w:w="2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9,538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various factoring agreements with third-party financial institutions to sell certain of its receivables. Under these arrangements, the Company factored receivables of $4.4 billion and $5.4 billion during the nine months ended September 30, 2021 and 2020, respectively, which includes amounts factored on certain aerospace receivables at the customers’ request for which we are compensated by the customer for the extended collection cycle. The cash received from these arrangements is reflected as cash provided by operating activities 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expected credit losses related to Accounts receivable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8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Current period provision for expected credit losses, net of recoveries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 for expected credit losses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0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bl>
    <w:p>
      <w:pPr>
        <w:spacing w:after="0" w:line="184" w:lineRule="exact"/>
        <w:rPr>
          <w:sz w:val="20"/>
          <w:szCs w:val="20"/>
          <w:color w:val="auto"/>
        </w:rPr>
      </w:pPr>
    </w:p>
    <w:p>
      <w:pPr>
        <w:ind w:left="340" w:hanging="332"/>
        <w:spacing w:after="0" w:line="250"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current provision for expected credit losses for the nine months ended September 30, 2020 includes $223 million of reserves driven by customer bankruptcies and additional reserves for credit losses primarily due to the current economic environment primarily caused by the COVID-19 pandemic.</w:t>
      </w:r>
    </w:p>
    <w:p>
      <w:pPr>
        <w:ind w:left="340" w:hanging="332"/>
        <w:spacing w:after="0" w:line="255" w:lineRule="auto"/>
        <w:tabs>
          <w:tab w:leader="none" w:pos="344"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net for the nine months ended September 30, 2020 includes a $34 million impact related to the January 1, 2020 adoption of Accounting Standards Update (ASU) 2016-13, Financial Instruments - Credit Losses (Topic 326): Measurement of Credit Losses on Financial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Contract Assets and Liabilities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as of September 30, 2021 and December 31, 2020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4"/>
              </w:rPr>
              <w:t>September 30, 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10,899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(12,543)</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(12,889)</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r>
    </w:tbl>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Contract assets increased $968 million during the nine months ended September 30, 2021 primarily due to sales in excess of billings at Pratt &amp; Whitney and contractual billing terms on U.S. government and foreign military sales contracts at RMD. Contract liabilities decreased $346 million during the nine months ended September 30, 2021 primarily due to $364 million of contract liability reduction related to a contract termination at Collins Aerospace in the second quarter of 2021, revenue recognized on certain U.S. government contracts with milestone payments at RIS and revenue recognized on certain international contracts with advances at RMD, partially offset by billings in excess of sales at Pratt &amp; Whitney. We recognized revenue of $960 million and $3,686 million during the quarter and nine months ended September 30, 2021, respectively, related to contract liabilities as of January 1, 2021 and $480 million and $2,288 million during the quarter and nine months ended September 30, 2020, respectively, related to contract liabilities as of January 1, 2020.</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our contract liabilities include approximately $440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include an allowance for credit losses of $250 million and $177 million as of September 30, 2021 and December 31, 2020,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Inventory,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September 30,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360" w:type="dxa"/>
            <w:vAlign w:val="bottom"/>
          </w:tcPr>
          <w:p>
            <w:pPr>
              <w:spacing w:after="0"/>
              <w:rPr>
                <w:sz w:val="19"/>
                <w:szCs w:val="19"/>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b w:val="1"/>
                <w:bCs w:val="1"/>
                <w:color w:val="auto"/>
              </w:rPr>
              <w:t>3,295</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2,924</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3,142</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inventory, net</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9,426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Raw materials, work-in-process and finished goods are net of total valuation reserves of $1,943 million and $1,788 million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 and Lines of Credit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September 30,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borrowings</w:t>
            </w:r>
          </w:p>
        </w:tc>
        <w:tc>
          <w:tcPr>
            <w:tcW w:w="30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46</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our maximum commercial paper borrowing limit was $5.0 billion as the commercial paper is backed by our $5.0 billion revolving credit agreement.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we renewed our $2.0 billion revolving credit agreement, which now expires in May 2022. As of September 30, 2021, we had revolving credit agreements with various banks permitting aggregate borrowings of up to $7.0 billion consisting of a $5.0 billion revolving credit agreement that became available upon completion of the Raytheon Merger on April 3, 2020, and the $2.0 billion revolving credit agreement, and there were no borrowings outstanding under these agreements.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2020, we completed an exchange offer of outstanding subsidiary notes with an aggregate principal amount of approximately $8.2 billion in exchange for approximately $8.2 billion of Raytheon Technologies notes with identical interest rates, maturity dates, and redemption provisions.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preparation for and in anticipation of the Separation Transactions and Distributions, the Company, Carrier and Otis issued and the Company repaid long-term debt in the nine months ended September 30, 2020, which are included in the tables below.</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the following issuances of long-term debt during the nine months ended September 30, 2021 and 2020, which is inclusive of issuances made by Carrier and Otis prior to the Distributions, the proceeds of which were primarily used by the Company to extinguish Raytheon Technologies short-term and long-term debt, and therefore, these issuances were treated as a distribution from discontinued operations within financing activities from continuing operations on our Condensed Consolidated Statement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Issuance Date</w:t>
            </w:r>
          </w:p>
        </w:tc>
        <w:tc>
          <w:tcPr>
            <w:tcW w:w="542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420" w:type="dxa"/>
            <w:vAlign w:val="bottom"/>
          </w:tcPr>
          <w:p>
            <w:pPr>
              <w:spacing w:after="0"/>
              <w:rPr>
                <w:sz w:val="14"/>
                <w:szCs w:val="14"/>
                <w:color w:val="auto"/>
              </w:rPr>
            </w:pPr>
          </w:p>
        </w:tc>
        <w:tc>
          <w:tcPr>
            <w:tcW w:w="226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auto"/>
            </w:tcBorders>
            <w:vMerge w:val="continue"/>
          </w:tcPr>
          <w:p>
            <w:pPr>
              <w:spacing w:after="0"/>
              <w:rPr>
                <w:sz w:val="16"/>
                <w:szCs w:val="16"/>
                <w:color w:val="auto"/>
              </w:rPr>
            </w:pPr>
          </w:p>
        </w:tc>
        <w:tc>
          <w:tcPr>
            <w:tcW w:w="54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10, 2021</w:t>
            </w:r>
          </w:p>
        </w:tc>
        <w:tc>
          <w:tcPr>
            <w:tcW w:w="542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 xml:space="preserve">1.900% notes due 2031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2.820% notes due 2051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18, 2020</w:t>
            </w: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2.250% notes due 2030</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3.125% notes due 2050</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27, 2020</w:t>
            </w: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Term Loan due 2023 (Otis)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Term Loan due 2023 (Carrier) </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2020</w:t>
            </w: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LIBOR plus 0.450% floating rate notes due 2023 </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(2)</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ind w:left="420"/>
              <w:spacing w:after="0" w:line="230" w:lineRule="exact"/>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(2)</w:t>
            </w: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net proceeds received from these debt issuances, along with cash on hand, were used to fund the repayment of our 2.800% and 2.500% notes due 2022.</w:t>
      </w:r>
    </w:p>
    <w:p>
      <w:pPr>
        <w:spacing w:after="0" w:line="13" w:lineRule="exact"/>
        <w:rPr>
          <w:rFonts w:ascii="Arial" w:cs="Arial" w:eastAsia="Arial" w:hAnsi="Arial"/>
          <w:sz w:val="14"/>
          <w:szCs w:val="14"/>
          <w:color w:val="auto"/>
        </w:rPr>
      </w:pPr>
    </w:p>
    <w:p>
      <w:pPr>
        <w:ind w:left="340" w:hanging="332"/>
        <w:spacing w:after="0" w:line="255" w:lineRule="auto"/>
        <w:tabs>
          <w:tab w:leader="none" w:pos="325"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debt issuances and term loan draws reflect debt incurred by Carrier and Otis. The net proceeds of these issuances were primarily utilized to extinguish Raytheon Technologies short-term and long-term debt in order to not exceed the maximum applicable net indebtedness required by the Raytheon Merger Agreement.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repayments of long-term debt during the nine months ended September 30, 2021 and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Repayment Date</w:t>
            </w:r>
          </w:p>
        </w:tc>
        <w:tc>
          <w:tcPr>
            <w:tcW w:w="654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Description of Notes</w:t>
            </w:r>
          </w:p>
        </w:tc>
        <w:tc>
          <w:tcPr>
            <w:tcW w:w="260" w:type="dxa"/>
            <w:vAlign w:val="bottom"/>
          </w:tcPr>
          <w:p>
            <w:pPr>
              <w:spacing w:after="0"/>
              <w:rPr>
                <w:sz w:val="14"/>
                <w:szCs w:val="14"/>
                <w:color w:val="auto"/>
              </w:rPr>
            </w:pPr>
          </w:p>
        </w:tc>
        <w:tc>
          <w:tcPr>
            <w:tcW w:w="226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88"/>
        </w:trPr>
        <w:tc>
          <w:tcPr>
            <w:tcW w:w="2180" w:type="dxa"/>
            <w:vAlign w:val="bottom"/>
            <w:tcBorders>
              <w:bottom w:val="single" w:sz="8" w:color="auto"/>
            </w:tcBorders>
            <w:vMerge w:val="continue"/>
          </w:tcPr>
          <w:p>
            <w:pPr>
              <w:spacing w:after="0"/>
              <w:rPr>
                <w:sz w:val="16"/>
                <w:szCs w:val="16"/>
                <w:color w:val="auto"/>
              </w:rPr>
            </w:pPr>
          </w:p>
        </w:tc>
        <w:tc>
          <w:tcPr>
            <w:tcW w:w="65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26, 2021</w:t>
            </w:r>
          </w:p>
        </w:tc>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2.800% notes due 2022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6540" w:type="dxa"/>
            <w:vAlign w:val="bottom"/>
          </w:tcPr>
          <w:p>
            <w:pPr>
              <w:ind w:left="380"/>
              <w:spacing w:after="0"/>
              <w:rPr>
                <w:sz w:val="20"/>
                <w:szCs w:val="20"/>
                <w:color w:val="auto"/>
              </w:rPr>
            </w:pPr>
            <w:r>
              <w:rPr>
                <w:rFonts w:ascii="Arial" w:cs="Arial" w:eastAsia="Arial" w:hAnsi="Arial"/>
                <w:sz w:val="18"/>
                <w:szCs w:val="18"/>
                <w:color w:val="auto"/>
              </w:rPr>
              <w:t>2.500% notes due 2022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8.750% notes due 2021</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May 19, 2020</w:t>
            </w: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15, 2020</w:t>
            </w: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w w:val="93"/>
              </w:rPr>
              <w:t>EURIBOR plus 0.20% floating rate notes due 2020 (€750 million principal value)</w:t>
            </w:r>
            <w:r>
              <w:rPr>
                <w:rFonts w:ascii="Arial" w:cs="Arial" w:eastAsia="Arial" w:hAnsi="Arial"/>
                <w:sz w:val="23"/>
                <w:szCs w:val="23"/>
                <w:color w:val="auto"/>
                <w:w w:val="93"/>
                <w:vertAlign w:val="superscript"/>
              </w:rPr>
              <w:t>(2)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March 29, 2020</w:t>
            </w: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 2020</w:t>
            </w: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March 2, 2020</w:t>
            </w: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28, 2020</w:t>
            </w: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ind w:left="380"/>
              <w:spacing w:after="0" w:line="23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(1)(2)</w:t>
            </w: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47" w:lineRule="auto"/>
        <w:tabs>
          <w:tab w:leader="none" w:pos="335"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connection with the early repayment of outstanding principal, Raytheon Technologies recorded debt extinguishment costs of $703 million for the nine months ended September 30, 2020, which are classified as discontinued operations in our Condensed Consolidated Statement of Operations as we would not have had to redeem the debt, except for the Separation Transactions. No proceeds of the notes issued May 18, 2020 were used to fund the May 19, 2020 redemption.</w:t>
      </w: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Extinguishment of Raytheon Technologies short-term and long-term debt in order to not exceed the maximum net indebtedness required by the Raytheon Merger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41" w:lineRule="exact"/>
        <w:rPr>
          <w:sz w:val="20"/>
          <w:szCs w:val="20"/>
          <w:color w:val="auto"/>
        </w:rPr>
      </w:pPr>
    </w:p>
    <w:p>
      <w:pPr>
        <w:ind w:left="20"/>
        <w:spacing w:after="0"/>
        <w:tabs>
          <w:tab w:leader="none" w:pos="8060" w:val="left"/>
          <w:tab w:leader="none" w:pos="9820" w:val="left"/>
        </w:tabs>
        <w:rPr>
          <w:sz w:val="20"/>
          <w:szCs w:val="20"/>
          <w:color w:val="auto"/>
        </w:rPr>
      </w:pPr>
      <w:r>
        <w:rPr>
          <w:rFonts w:ascii="Arial" w:cs="Arial" w:eastAsia="Arial" w:hAnsi="Arial"/>
          <w:sz w:val="14"/>
          <w:szCs w:val="14"/>
          <w:b w:val="1"/>
          <w:bCs w:val="1"/>
          <w:i w:val="1"/>
          <w:iCs w:val="1"/>
          <w:color w:val="auto"/>
        </w:rPr>
        <w:t>(dollars in millions)</w:t>
      </w:r>
      <w:r>
        <w:rPr>
          <w:sz w:val="20"/>
          <w:szCs w:val="20"/>
          <w:color w:val="auto"/>
        </w:rPr>
        <w:tab/>
      </w: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8.750% notes due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3.100% notes due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2.800% notes due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2.500% notes due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3.650% notes due 2023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3.700% notes due 2023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3.200% notes due 2024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3.150% notes due 2024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3.950% notes due 2025</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2.650% notes due 2026</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3.125% notes due 2027</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3.500% notes due 2027</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7.200% notes due 2027</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7.100% notes due 2027</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6.700% notes due 2028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7.000% notes due 2028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4.125% notes due 2028</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92" w:lineRule="exact"/>
        <w:rPr>
          <w:sz w:val="20"/>
          <w:szCs w:val="20"/>
          <w:color w:val="auto"/>
        </w:rPr>
      </w:pPr>
    </w:p>
    <w:p>
      <w:pPr>
        <w:ind w:left="160" w:hanging="160"/>
        <w:spacing w:after="0"/>
        <w:tabs>
          <w:tab w:leader="none" w:pos="1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(2)</w:t>
      </w:r>
    </w:p>
    <w:p>
      <w:pPr>
        <w:spacing w:after="0" w:line="103" w:lineRule="exact"/>
        <w:rPr>
          <w:rFonts w:ascii="Arial" w:cs="Arial" w:eastAsia="Arial" w:hAnsi="Arial"/>
          <w:sz w:val="11"/>
          <w:szCs w:val="11"/>
          <w:color w:val="auto"/>
        </w:rPr>
      </w:pPr>
    </w:p>
    <w:p>
      <w:pPr>
        <w:spacing w:after="0"/>
        <w:tabs>
          <w:tab w:leader="none" w:pos="0" w:val="left"/>
        </w:tabs>
        <w:numPr>
          <w:ilvl w:val="0"/>
          <w:numId w:val="15"/>
        </w:numPr>
        <w:rPr>
          <w:rFonts w:ascii="Arial" w:cs="Arial" w:eastAsia="Arial" w:hAnsi="Arial"/>
          <w:sz w:val="12"/>
          <w:szCs w:val="12"/>
          <w:color w:val="auto"/>
        </w:rPr>
      </w:pPr>
    </w:p>
    <w:p>
      <w:pPr>
        <w:spacing w:after="0" w:line="91" w:lineRule="exact"/>
        <w:rPr>
          <w:rFonts w:ascii="Arial" w:cs="Arial" w:eastAsia="Arial" w:hAnsi="Arial"/>
          <w:sz w:val="12"/>
          <w:szCs w:val="12"/>
          <w:color w:val="auto"/>
        </w:rPr>
      </w:pPr>
    </w:p>
    <w:p>
      <w:pPr>
        <w:spacing w:after="0"/>
        <w:tabs>
          <w:tab w:leader="none" w:pos="0" w:val="left"/>
        </w:tabs>
        <w:numPr>
          <w:ilvl w:val="0"/>
          <w:numId w:val="16"/>
        </w:numPr>
        <w:rPr>
          <w:rFonts w:ascii="Arial" w:cs="Arial" w:eastAsia="Arial" w:hAnsi="Arial"/>
          <w:sz w:val="12"/>
          <w:szCs w:val="12"/>
          <w:color w:val="auto"/>
        </w:rPr>
      </w:pPr>
    </w:p>
    <w:p>
      <w:pPr>
        <w:spacing w:after="0" w:line="91" w:lineRule="exact"/>
        <w:rPr>
          <w:rFonts w:ascii="Arial" w:cs="Arial" w:eastAsia="Arial" w:hAnsi="Arial"/>
          <w:sz w:val="12"/>
          <w:szCs w:val="12"/>
          <w:color w:val="auto"/>
        </w:rPr>
      </w:pPr>
    </w:p>
    <w:p>
      <w:pPr>
        <w:spacing w:after="0"/>
        <w:tabs>
          <w:tab w:leader="none" w:pos="0" w:val="left"/>
        </w:tabs>
        <w:numPr>
          <w:ilvl w:val="0"/>
          <w:numId w:val="17"/>
        </w:numPr>
        <w:rPr>
          <w:rFonts w:ascii="Arial" w:cs="Arial" w:eastAsia="Arial" w:hAnsi="Arial"/>
          <w:sz w:val="12"/>
          <w:szCs w:val="12"/>
          <w:color w:val="auto"/>
        </w:rPr>
      </w:pPr>
    </w:p>
    <w:p>
      <w:pPr>
        <w:spacing w:after="0" w:line="91" w:lineRule="exact"/>
        <w:rPr>
          <w:rFonts w:ascii="Arial" w:cs="Arial" w:eastAsia="Arial" w:hAnsi="Arial"/>
          <w:sz w:val="12"/>
          <w:szCs w:val="12"/>
          <w:color w:val="auto"/>
        </w:rPr>
      </w:pPr>
    </w:p>
    <w:p>
      <w:pPr>
        <w:ind w:left="160" w:hanging="160"/>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(2)</w:t>
      </w:r>
    </w:p>
    <w:p>
      <w:pPr>
        <w:spacing w:after="0" w:line="103" w:lineRule="exact"/>
        <w:rPr>
          <w:rFonts w:ascii="Arial" w:cs="Arial" w:eastAsia="Arial" w:hAnsi="Arial"/>
          <w:sz w:val="11"/>
          <w:szCs w:val="11"/>
          <w:color w:val="auto"/>
        </w:rPr>
      </w:pPr>
    </w:p>
    <w:p>
      <w:pPr>
        <w:spacing w:after="0"/>
        <w:tabs>
          <w:tab w:leader="none" w:pos="0" w:val="left"/>
        </w:tabs>
        <w:numPr>
          <w:ilvl w:val="0"/>
          <w:numId w:val="19"/>
        </w:numPr>
        <w:rPr>
          <w:rFonts w:ascii="Arial" w:cs="Arial" w:eastAsia="Arial" w:hAnsi="Arial"/>
          <w:sz w:val="12"/>
          <w:szCs w:val="12"/>
          <w:color w:val="auto"/>
        </w:rPr>
      </w:pPr>
    </w:p>
    <w:p>
      <w:pPr>
        <w:spacing w:after="0" w:line="91" w:lineRule="exact"/>
        <w:rPr>
          <w:rFonts w:ascii="Arial" w:cs="Arial" w:eastAsia="Arial" w:hAnsi="Arial"/>
          <w:sz w:val="12"/>
          <w:szCs w:val="12"/>
          <w:color w:val="auto"/>
        </w:rPr>
      </w:pPr>
    </w:p>
    <w:p>
      <w:pPr>
        <w:spacing w:after="0"/>
        <w:tabs>
          <w:tab w:leader="none" w:pos="0" w:val="left"/>
        </w:tabs>
        <w:numPr>
          <w:ilvl w:val="0"/>
          <w:numId w:val="20"/>
        </w:numPr>
        <w:rPr>
          <w:rFonts w:ascii="Arial" w:cs="Arial" w:eastAsia="Arial" w:hAnsi="Arial"/>
          <w:sz w:val="12"/>
          <w:szCs w:val="12"/>
          <w:color w:val="auto"/>
        </w:rPr>
      </w:pPr>
    </w:p>
    <w:p>
      <w:pPr>
        <w:spacing w:after="0" w:line="91" w:lineRule="exact"/>
        <w:rPr>
          <w:rFonts w:ascii="Arial" w:cs="Arial" w:eastAsia="Arial" w:hAnsi="Arial"/>
          <w:sz w:val="12"/>
          <w:szCs w:val="12"/>
          <w:color w:val="auto"/>
        </w:rPr>
      </w:pPr>
    </w:p>
    <w:p>
      <w:pPr>
        <w:spacing w:after="0"/>
        <w:tabs>
          <w:tab w:leader="none" w:pos="0" w:val="left"/>
        </w:tabs>
        <w:numPr>
          <w:ilvl w:val="0"/>
          <w:numId w:val="21"/>
        </w:numPr>
        <w:rPr>
          <w:rFonts w:ascii="Arial" w:cs="Arial" w:eastAsia="Arial" w:hAnsi="Arial"/>
          <w:sz w:val="12"/>
          <w:szCs w:val="12"/>
          <w:color w:val="auto"/>
        </w:rPr>
      </w:pPr>
    </w:p>
    <w:p>
      <w:pPr>
        <w:spacing w:after="0" w:line="91" w:lineRule="exact"/>
        <w:rPr>
          <w:rFonts w:ascii="Arial" w:cs="Arial" w:eastAsia="Arial" w:hAnsi="Arial"/>
          <w:sz w:val="12"/>
          <w:szCs w:val="12"/>
          <w:color w:val="auto"/>
        </w:rPr>
      </w:pPr>
    </w:p>
    <w:p>
      <w:pPr>
        <w:spacing w:after="0"/>
        <w:tabs>
          <w:tab w:leader="none" w:pos="0" w:val="left"/>
        </w:tabs>
        <w:numPr>
          <w:ilvl w:val="0"/>
          <w:numId w:val="22"/>
        </w:numPr>
        <w:rPr>
          <w:rFonts w:ascii="Arial" w:cs="Arial" w:eastAsia="Arial" w:hAnsi="Arial"/>
          <w:sz w:val="12"/>
          <w:szCs w:val="12"/>
          <w:color w:val="auto"/>
        </w:rPr>
      </w:pPr>
    </w:p>
    <w:p>
      <w:pPr>
        <w:spacing w:after="0" w:line="91" w:lineRule="exact"/>
        <w:rPr>
          <w:rFonts w:ascii="Arial" w:cs="Arial" w:eastAsia="Arial" w:hAnsi="Arial"/>
          <w:sz w:val="12"/>
          <w:szCs w:val="12"/>
          <w:color w:val="auto"/>
        </w:rPr>
      </w:pPr>
    </w:p>
    <w:p>
      <w:pPr>
        <w:ind w:left="160" w:hanging="160"/>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62" w:lineRule="exact"/>
        <w:rPr>
          <w:sz w:val="20"/>
          <w:szCs w:val="20"/>
          <w:color w:val="auto"/>
        </w:rPr>
      </w:pPr>
    </w:p>
    <w:p>
      <w:pPr>
        <w:ind w:left="160" w:hanging="160"/>
        <w:spacing w:after="0"/>
        <w:tabs>
          <w:tab w:leader="none" w:pos="1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(2)</w:t>
      </w:r>
    </w:p>
    <w:p>
      <w:pPr>
        <w:spacing w:after="0" w:line="103" w:lineRule="exact"/>
        <w:rPr>
          <w:rFonts w:ascii="Arial" w:cs="Arial" w:eastAsia="Arial" w:hAnsi="Arial"/>
          <w:sz w:val="11"/>
          <w:szCs w:val="11"/>
          <w:color w:val="auto"/>
        </w:rPr>
      </w:pPr>
    </w:p>
    <w:p>
      <w:pPr>
        <w:spacing w:after="0"/>
        <w:tabs>
          <w:tab w:leader="none" w:pos="0" w:val="left"/>
        </w:tabs>
        <w:numPr>
          <w:ilvl w:val="0"/>
          <w:numId w:val="25"/>
        </w:numPr>
        <w:rPr>
          <w:rFonts w:ascii="Arial" w:cs="Arial" w:eastAsia="Arial" w:hAnsi="Arial"/>
          <w:sz w:val="12"/>
          <w:szCs w:val="12"/>
          <w:color w:val="auto"/>
        </w:rPr>
      </w:pP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Pr>
          <w:p>
            <w:pPr>
              <w:jc w:val="right"/>
              <w:ind w:right="43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250</w:t>
            </w: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171</w:t>
            </w: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400</w:t>
            </w: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950</w:t>
            </w: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300</w:t>
            </w: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1,500</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719</w:t>
            </w:r>
          </w:p>
        </w:tc>
        <w:tc>
          <w:tcPr>
            <w:tcW w:w="92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1,100</w:t>
            </w:r>
          </w:p>
        </w:tc>
        <w:tc>
          <w:tcPr>
            <w:tcW w:w="92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1,300</w:t>
            </w:r>
          </w:p>
        </w:tc>
        <w:tc>
          <w:tcPr>
            <w:tcW w:w="92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382</w:t>
            </w:r>
          </w:p>
        </w:tc>
        <w:tc>
          <w:tcPr>
            <w:tcW w:w="9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141</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400</w:t>
            </w: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20" w:type="dxa"/>
            <w:vAlign w:val="bottom"/>
          </w:tcPr>
          <w:p>
            <w:pPr>
              <w:spacing w:after="0"/>
              <w:rPr>
                <w:sz w:val="19"/>
                <w:szCs w:val="19"/>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185</w:t>
            </w: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4"/>
        </w:trPr>
        <w:tc>
          <w:tcPr>
            <w:tcW w:w="620" w:type="dxa"/>
            <w:vAlign w:val="bottom"/>
          </w:tcPr>
          <w:p>
            <w:pPr>
              <w:spacing w:after="0"/>
              <w:rPr>
                <w:sz w:val="20"/>
                <w:szCs w:val="20"/>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b w:val="1"/>
                <w:bCs w:val="1"/>
                <w:color w:val="auto"/>
              </w:rPr>
              <w:t>3,000</w:t>
            </w:r>
          </w:p>
        </w:tc>
        <w:tc>
          <w:tcPr>
            <w:tcW w:w="92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-2185670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-1893570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-1602740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-1310640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-1019810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-728345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-436880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-145415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720" w:space="40"/>
            <w:col w:w="5400" w:space="720"/>
            <w:col w:w="3360"/>
          </w:cols>
          <w:pgMar w:left="320" w:top="121"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20" w:type="dxa"/>
            <w:vAlign w:val="bottom"/>
          </w:tcPr>
          <w:p>
            <w:pPr>
              <w:ind w:left="20"/>
              <w:spacing w:after="0"/>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3"/>
                <w:szCs w:val="23"/>
                <w:color w:val="auto"/>
                <w:vertAlign w:val="superscript"/>
              </w:rPr>
              <w:t>(1)</w:t>
            </w:r>
          </w:p>
        </w:tc>
        <w:tc>
          <w:tcPr>
            <w:tcW w:w="14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550</w:t>
            </w:r>
          </w:p>
        </w:tc>
        <w:tc>
          <w:tcPr>
            <w:tcW w:w="6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2.250% notes due 2030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1.900% notes due 2031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134</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7.000% notes due 2038</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4.875% notes due 2040 </w:t>
            </w:r>
            <w:r>
              <w:rPr>
                <w:rFonts w:ascii="Arial" w:cs="Arial" w:eastAsia="Arial" w:hAnsi="Arial"/>
                <w:sz w:val="23"/>
                <w:szCs w:val="23"/>
                <w:color w:val="auto"/>
                <w:vertAlign w:val="superscript"/>
              </w:rPr>
              <w:t>(1) (2)</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4.700% notes due 2041 </w:t>
            </w:r>
            <w:r>
              <w:rPr>
                <w:rFonts w:ascii="Arial" w:cs="Arial" w:eastAsia="Arial" w:hAnsi="Arial"/>
                <w:sz w:val="23"/>
                <w:szCs w:val="23"/>
                <w:color w:val="auto"/>
                <w:vertAlign w:val="superscript"/>
              </w:rPr>
              <w:t>(1) (2)</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425</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4.800% notes due 2043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4.200% notes due 2044 </w:t>
            </w:r>
            <w:r>
              <w:rPr>
                <w:rFonts w:ascii="Arial" w:cs="Arial" w:eastAsia="Arial" w:hAnsi="Arial"/>
                <w:sz w:val="23"/>
                <w:szCs w:val="23"/>
                <w:color w:val="auto"/>
                <w:vertAlign w:val="superscript"/>
              </w:rPr>
              <w:t>(1) (2)</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4.350% notes due 2047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3.125% notes due 2050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2.820% notes due 2051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(including finance leases)</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principal long-term debt</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30,973</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31,470</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(fair market value adjustments, (discounts)/premiums, and debt issuance costs)</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31,042</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31,576</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net of current portion</w:t>
            </w: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30,768</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31,026</w:t>
            </w:r>
          </w:p>
        </w:tc>
      </w:tr>
    </w:tbl>
    <w:p>
      <w:pPr>
        <w:spacing w:after="0" w:line="224"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Debt assumed in the Raytheon Merger.</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average maturity of our long-term debt at September 30, 2021 is approximately 15 years. The average interest expense rate on our total borrowings for the quarters and nine months ended September 30, 2021 and 2020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5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31"/>
        </w:trPr>
        <w:tc>
          <w:tcPr>
            <w:tcW w:w="6040" w:type="dxa"/>
            <w:vAlign w:val="bottom"/>
            <w:tcBorders>
              <w:bottom w:val="single" w:sz="8" w:color="auto"/>
            </w:tcBorders>
            <w:gridSpan w:val="2"/>
            <w:shd w:val="clear" w:color="auto" w:fill="CCEEFF"/>
          </w:tcPr>
          <w:p>
            <w:pPr>
              <w:jc w:val="right"/>
              <w:ind w:right="3828"/>
              <w:spacing w:after="0"/>
              <w:rPr>
                <w:sz w:val="20"/>
                <w:szCs w:val="20"/>
                <w:color w:val="auto"/>
              </w:rPr>
            </w:pPr>
            <w:r>
              <w:rPr>
                <w:rFonts w:ascii="Arial" w:cs="Arial" w:eastAsia="Arial" w:hAnsi="Arial"/>
                <w:sz w:val="18"/>
                <w:szCs w:val="18"/>
                <w:color w:val="auto"/>
                <w:w w:val="88"/>
              </w:rPr>
              <w:t>Average interest expense rate</w:t>
            </w:r>
          </w:p>
        </w:tc>
        <w:tc>
          <w:tcPr>
            <w:tcW w:w="15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b w:val="1"/>
                <w:bCs w:val="1"/>
                <w:color w:val="auto"/>
              </w:rPr>
              <w:t>4.2 %</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4.1 %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benefit pension and postretirement benefit (PRB)</w:t>
      </w:r>
      <w:r>
        <w:rPr>
          <w:rFonts w:ascii="Arial" w:cs="Arial" w:eastAsia="Arial" w:hAnsi="Arial"/>
          <w:sz w:val="18"/>
          <w:szCs w:val="18"/>
          <w:b w:val="1"/>
          <w:bCs w:val="1"/>
          <w:color w:val="auto"/>
        </w:rPr>
        <w:t xml:space="preserve"> </w:t>
      </w:r>
      <w:r>
        <w:rPr>
          <w:rFonts w:ascii="Arial" w:cs="Arial" w:eastAsia="Arial" w:hAnsi="Arial"/>
          <w:sz w:val="18"/>
          <w:szCs w:val="18"/>
          <w:color w:val="auto"/>
        </w:rPr>
        <w:t>plans and defined contribution plans.</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3, 2020, UTC completed the Separation Transactions, which included the transfer of certain defined benefit plans from UTC to Carrier and Otis. The plans transferred were primarily international plans with the majority of the UTC defined benefit liability remaining with Raytheon Technologies. Upon separation, the pension participants within Carrier and Otis were effectively terminated from Raytheon Technologies. The terminations triggered a mid-year remeasurement of the UTC domestic plans. The remeasurement, which was calculated using discount rates and asset values as of April 3, 2020 (using March 31, 2020 as a practical expedient), resulted in a $2.4 billion increase to our pension liability in the quarter ended June 30, 2020, primarily due to a decrease in the fair market value of the plans’ assets since December 31, 2019. All service cost previously associated with Carrier and Otis was reclassified to discontinued operations. For non-service pension (income)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 and pension liabilities, generally only the portions related to the defined benefit plans transferred to Carrier and Otis as part of the Separation Transactions were reclassified to discontinued operations.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Raytheon Company has both funded and unfunded domestic and foreign defined benefit pension and PRB plans. As of the merger date, the Raytheon Company plans were remeasured at fair value using accounting policies consistent with the UTC plans. The deferred pension and PRB plan losses included in Raytheon Company’s accumulated other comprehensive income (loss) as of the merger date were eliminated and are no longer subject to amortization in net periodic benefit (income) expense. Amounts prior to the merger date of April 3, 2020 do not include the Raytheon Company pension and PRB plan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our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3"/>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qualified defined benefit plans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International defined benefit plans</w:t>
            </w:r>
          </w:p>
        </w:tc>
        <w:tc>
          <w:tcPr>
            <w:tcW w:w="180" w:type="dxa"/>
            <w:vAlign w:val="bottom"/>
          </w:tcPr>
          <w:p>
            <w:pPr>
              <w:spacing w:after="0"/>
              <w:rPr>
                <w:sz w:val="19"/>
                <w:szCs w:val="19"/>
                <w:color w:val="auto"/>
              </w:rPr>
            </w:pPr>
          </w:p>
        </w:tc>
        <w:tc>
          <w:tcPr>
            <w:tcW w:w="1300" w:type="dxa"/>
            <w:vAlign w:val="bottom"/>
          </w:tcPr>
          <w:p>
            <w:pPr>
              <w:jc w:val="right"/>
              <w:ind w:right="356"/>
              <w:spacing w:after="0"/>
              <w:rPr>
                <w:sz w:val="20"/>
                <w:szCs w:val="20"/>
                <w:color w:val="auto"/>
              </w:rPr>
            </w:pPr>
            <w:r>
              <w:rPr>
                <w:rFonts w:ascii="Arial" w:cs="Arial" w:eastAsia="Arial" w:hAnsi="Arial"/>
                <w:sz w:val="18"/>
                <w:szCs w:val="18"/>
                <w:b w:val="1"/>
                <w:bCs w:val="1"/>
                <w:color w:val="auto"/>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54"/>
              <w:spacing w:after="0"/>
              <w:rPr>
                <w:sz w:val="20"/>
                <w:szCs w:val="20"/>
                <w:color w:val="auto"/>
              </w:rPr>
            </w:pPr>
            <w:r>
              <w:rPr>
                <w:rFonts w:ascii="Arial" w:cs="Arial" w:eastAsia="Arial" w:hAnsi="Arial"/>
                <w:sz w:val="18"/>
                <w:szCs w:val="18"/>
                <w:b w:val="1"/>
                <w:bCs w:val="1"/>
                <w:color w:val="auto"/>
              </w:rPr>
              <w:t>29</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PRB plans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6"/>
              <w:spacing w:after="0"/>
              <w:rPr>
                <w:sz w:val="20"/>
                <w:szCs w:val="20"/>
                <w:color w:val="auto"/>
              </w:rPr>
            </w:pPr>
            <w:r>
              <w:rPr>
                <w:rFonts w:ascii="Arial" w:cs="Arial" w:eastAsia="Arial" w:hAnsi="Arial"/>
                <w:sz w:val="18"/>
                <w:szCs w:val="18"/>
                <w:b w:val="1"/>
                <w:bCs w:val="1"/>
                <w:color w:val="auto"/>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Defined contribution plans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221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730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Condensed Consolidated Balance Sheet consist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September 30, 2021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pension assets (included in Other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Current pension and PRB liabilities (included in Accrued employee compensation)</w:t>
            </w:r>
          </w:p>
        </w:tc>
        <w:tc>
          <w:tcPr>
            <w:tcW w:w="80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b w:val="1"/>
                <w:bCs w:val="1"/>
                <w:color w:val="auto"/>
              </w:rPr>
              <w:t>314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36"/>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Future pension and postretirement benefit obligations</w:t>
            </w:r>
          </w:p>
        </w:tc>
        <w:tc>
          <w:tcPr>
            <w:tcW w:w="8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9,742</w:t>
            </w: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w:t>
            </w:r>
          </w:p>
        </w:tc>
      </w:tr>
      <w:tr>
        <w:trPr>
          <w:trHeight w:val="405"/>
        </w:trPr>
        <w:tc>
          <w:tcPr>
            <w:tcW w:w="7320" w:type="dxa"/>
            <w:vAlign w:val="bottom"/>
          </w:tcPr>
          <w:p>
            <w:pPr>
              <w:spacing w:after="0"/>
              <w:rPr>
                <w:sz w:val="20"/>
                <w:szCs w:val="20"/>
                <w:color w:val="auto"/>
              </w:rPr>
            </w:pPr>
            <w:r>
              <w:rPr>
                <w:rFonts w:ascii="Arial" w:cs="Arial" w:eastAsia="Arial" w:hAnsi="Arial"/>
                <w:sz w:val="18"/>
                <w:szCs w:val="18"/>
                <w:color w:val="auto"/>
                <w:w w:val="99"/>
              </w:rPr>
              <w:t>The amounts recognized in Future pension and postretirement benefit obligations consist of:</w:t>
            </w: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0"/>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September 30, 2021</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pension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8,638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Noncurrent PRB liabilities</w:t>
            </w:r>
          </w:p>
        </w:tc>
        <w:tc>
          <w:tcPr>
            <w:tcW w:w="80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b w:val="1"/>
                <w:bCs w:val="1"/>
                <w:color w:val="auto"/>
              </w:rPr>
              <w:t>1,039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57"/>
        </w:trPr>
        <w:tc>
          <w:tcPr>
            <w:tcW w:w="7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pension and PRB related items</w:t>
            </w:r>
          </w:p>
        </w:tc>
        <w:tc>
          <w:tcPr>
            <w:tcW w:w="8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65</w:t>
            </w: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Future pension and postretirement benefit obligations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9,742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components of net periodic benefit (income) expense for our defined pension and PRB plans: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89"/>
              </w:rPr>
              <w:t>Pension Benefits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86"/>
        </w:trPr>
        <w:tc>
          <w:tcPr>
            <w:tcW w:w="5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Quarter Ended September 30,</w:t>
            </w:r>
          </w:p>
        </w:tc>
        <w:tc>
          <w:tcPr>
            <w:tcW w:w="280" w:type="dxa"/>
            <w:vAlign w:val="bottom"/>
          </w:tcPr>
          <w:p>
            <w:pPr>
              <w:spacing w:after="0"/>
              <w:rPr>
                <w:sz w:val="16"/>
                <w:szCs w:val="16"/>
                <w:color w:val="auto"/>
              </w:rPr>
            </w:pPr>
          </w:p>
        </w:tc>
        <w:tc>
          <w:tcPr>
            <w:tcW w:w="250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Quarter Ended September 30,</w:t>
            </w:r>
          </w:p>
        </w:tc>
      </w:tr>
      <w:tr>
        <w:trPr>
          <w:trHeight w:val="18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6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312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Amortization of prior service cost (credit)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actuarial net loss (gain)</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109</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Net settlement, curtailment and special termination benefit loss</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 expense</w:t>
            </w:r>
          </w:p>
        </w:tc>
        <w:tc>
          <w:tcPr>
            <w:tcW w:w="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986"/>
        </w:trPr>
        <w:tc>
          <w:tcPr>
            <w:tcW w:w="5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9"/>
              </w:rPr>
              <w:t>Pension Benefits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86"/>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6"/>
                <w:szCs w:val="16"/>
                <w:color w:val="auto"/>
              </w:rPr>
            </w:pPr>
          </w:p>
        </w:tc>
        <w:tc>
          <w:tcPr>
            <w:tcW w:w="25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393</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937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18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(2,608)</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actuarial net loss (gain)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327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settlement, curtailment and special termination benefit loss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 expense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(1,466)</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(1,073)</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September 30, 2021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December 31, 2020</w:t>
            </w:r>
          </w:p>
        </w:tc>
      </w:tr>
      <w:tr>
        <w:trPr>
          <w:trHeight w:val="236"/>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 held in trusts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tax rate was 0.2% and 45.1% in the quarters ended September 30, 2021 and 2020, respectively. Tax expense in the quarter ended September 30, 2021 includes deferred tax benefits of $244 million associated with legal entity and operational reorganizations implemented in the third quarter. Tax expense in the quarter ended September 30, 2020 includes tax charges incremental to the U.S. statutory rate of $206 million associated with the sales of the Collins Aerospace businesses, as described in “Note 2: Acquisitions, Dispositions, Goodwill and Intangible Assets.”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effective tax rate was 17.0% and (31.5)% in the nine months ended September 30, 2021 and 2020, respectively. Tax expense in the nine months ended September 30, 2021 includes deferred tax benefits of $244 million associated with legal entity and operational reorganizations implemented in the third quarter, tax charges of $148 million associated with the sale of the Forcepoint business and tax charges of $73 million associated with the revaluation of deferred taxes resulting from the increase in the United Kingdom (U.K.) corporate tax rate to 25% effective in 2023. The loss from continuing operations before income taxes for the nine months ended September 30, 2020 includes the $3.2 billion goodwill impairment as described in “Note 2: Acquisitions, Dispositions, Goodwill and Intangible Assets,” most of which is non-deductible for tax purposes. Tax expense in the nine months ended September 30, 2020 includes tax charges of $430 million resulting from the Separation Transactions or the Raytheon Merger, primarily related to the impairment of deferred tax assets and the revaluation of certain international tax incentives, and $228 million of tax charges incremental to the U.S. statutory rate associated with the sales of the Collins Aerospace and RIS businesses.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Poland, India, Saudi Arabia, Singapore, Switzerland, the United Kingdom and the United States. With few exceptions, we are no longer subject to U.S. federal, state and local, or non-U.S. income tax examinations for years before 2012.</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$45 million to $440 million of unrecognized tax benefits may occur within the next 12 months as a result of the revaluation of uncertain tax positions arising from the issuance of legislation, regulatory or other guidance or developments in examinations, in appeals, or in the courts, or the closure of tax statutes. Interest recognized during the quarters ended September 30, 2021 and 2020 was $9 million and $12 million, respectively. Interest recognized during the nine months ended September 30, 2021 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2020 was $28 million and $33 million, respectively. Accrued interest on unrecognized tax benefits was $158 million and $141 million, at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December 31, 2020, respectively.</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Examination Division of the Internal Revenue Service (IRS) is currently auditing Raytheon Technologies tax years 2017 and 2018 and pre-merger Raytheon Company tax periods 2017, 2018 and 2019 as well as certain refund claims of Raytheon Company for tax years 2014, 2015 and 2016 filed prior to the Raytheon Merger.</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Examination Division of the IRS is also auditing pre-acquisition Rockwell Collins fiscal tax years 2016 and 2017, which is projected to close in the next six to nine months. As a result of the projected closure of the audit of Rockwell Collins fiscal tax years 2016 and 2017, it is reasonably possible that the Company may recognize non-cash gains in the range of $20 million to $100 million in the next six to nine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Costs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Restructuring costs are generally expensed as incurred. All U.S. government unallowable restructuring costs related to the Raytheon Merger are recorded within Corporate expenses and other unallocated items, as these costs are not included in management’s evaluation of the segments’ performance, and as a result, there are no unallowable restructuring costs at the RIS and RMD segments. During the quarter and nine months ended September 30, 2021, we recorded net pre-tax restructuring costs totaling $19 million and $118 million, respectively, for new and ongoing restructuring actions.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580" w:type="dxa"/>
            <w:vAlign w:val="bottom"/>
          </w:tcPr>
          <w:p>
            <w:pPr>
              <w:jc w:val="right"/>
              <w:ind w:right="59"/>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auto"/>
            </w:tcBorders>
            <w:vMerge w:val="continue"/>
          </w:tcPr>
          <w:p>
            <w:pPr>
              <w:spacing w:after="0"/>
              <w:rPr>
                <w:sz w:val="16"/>
                <w:szCs w:val="16"/>
                <w:color w:val="auto"/>
              </w:rPr>
            </w:pP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3580" w:type="dxa"/>
            <w:vAlign w:val="bottom"/>
            <w:shd w:val="clear" w:color="auto" w:fill="CCEEFF"/>
          </w:tcPr>
          <w:p>
            <w:pPr>
              <w:jc w:val="right"/>
              <w:ind w:right="1259"/>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3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35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15</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tcPr>
          <w:p>
            <w:pPr>
              <w:jc w:val="right"/>
              <w:ind w:right="1259"/>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incurred during the quarter and nine months ended September 30, 2021 primarily relate to actions initiated during 2021 and 2020, and were recorded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60" w:type="dxa"/>
            <w:vAlign w:val="bottom"/>
          </w:tcPr>
          <w:p>
            <w:pPr>
              <w:jc w:val="right"/>
              <w:ind w:right="39"/>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vMerge w:val="continue"/>
          </w:tcPr>
          <w:p>
            <w:pPr>
              <w:spacing w:after="0"/>
              <w:rPr>
                <w:sz w:val="16"/>
                <w:szCs w:val="16"/>
                <w:color w:val="auto"/>
              </w:rPr>
            </w:pP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060" w:type="dxa"/>
            <w:vAlign w:val="bottom"/>
            <w:shd w:val="clear" w:color="auto" w:fill="CCEEFF"/>
          </w:tcPr>
          <w:p>
            <w:pPr>
              <w:jc w:val="right"/>
              <w:ind w:right="1259"/>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4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15</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2021 Actions. </w:t>
      </w:r>
      <w:r>
        <w:rPr>
          <w:rFonts w:ascii="Arial" w:cs="Arial" w:eastAsia="Arial" w:hAnsi="Arial"/>
          <w:sz w:val="16"/>
          <w:szCs w:val="16"/>
          <w:color w:val="auto"/>
        </w:rPr>
        <w:t>During the quarter ended September 30, 2021, we recorded net pre-tax restructuring costs of $12 million, comprised of $5 million in Selling,</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and administrative expenses and $7 million in Cost of sales. During the nine months ended September 30, 2021, we recorded net pre-tax restructuring costs of $113 million, comprised of $81 million in Selling, general and administrative expenses and $32 million in Cost of sales. The 2021 actions primarily consist of severance costs related to ongoing cost reduction efforts, and to a much lesser extent, the exit and consolidation of facilities.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accrual balance and utilization for the 2021 restructuring actions for the nine months ended September 30,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Net pre-tax restructuring costs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2021</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418"/>
        </w:trPr>
        <w:tc>
          <w:tcPr>
            <w:tcW w:w="9540" w:type="dxa"/>
            <w:vAlign w:val="bottom"/>
            <w:gridSpan w:val="9"/>
          </w:tcPr>
          <w:p>
            <w:pPr>
              <w:spacing w:after="0"/>
              <w:rPr>
                <w:sz w:val="20"/>
                <w:szCs w:val="20"/>
                <w:color w:val="auto"/>
              </w:rPr>
            </w:pPr>
            <w:r>
              <w:rPr>
                <w:rFonts w:ascii="Arial" w:cs="Arial" w:eastAsia="Arial" w:hAnsi="Arial"/>
                <w:sz w:val="18"/>
                <w:szCs w:val="18"/>
                <w:color w:val="auto"/>
              </w:rPr>
              <w:t>The following table summarizes expected, incurred and remaining costs for the 2021 restructuring actions by segment:</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Expected</w:t>
            </w:r>
          </w:p>
        </w:tc>
        <w:tc>
          <w:tcPr>
            <w:tcW w:w="22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14"/>
                <w:szCs w:val="14"/>
                <w:b w:val="1"/>
                <w:bCs w:val="1"/>
                <w:color w:val="auto"/>
              </w:rPr>
              <w:t>Costs Incurred</w:t>
            </w:r>
          </w:p>
        </w:tc>
        <w:tc>
          <w:tcPr>
            <w:tcW w:w="180" w:type="dxa"/>
            <w:vAlign w:val="bottom"/>
          </w:tcPr>
          <w:p>
            <w:pPr>
              <w:spacing w:after="0"/>
              <w:rPr>
                <w:sz w:val="23"/>
                <w:szCs w:val="23"/>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Costs Incurred</w:t>
            </w: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Costs Incurred Quarter</w:t>
            </w:r>
          </w:p>
        </w:tc>
        <w:tc>
          <w:tcPr>
            <w:tcW w:w="220" w:type="dxa"/>
            <w:vAlign w:val="bottom"/>
          </w:tcPr>
          <w:p>
            <w:pPr>
              <w:spacing w:after="0"/>
              <w:rPr>
                <w:sz w:val="23"/>
                <w:szCs w:val="23"/>
                <w:color w:val="auto"/>
              </w:rPr>
            </w:pPr>
          </w:p>
        </w:tc>
        <w:tc>
          <w:tcPr>
            <w:tcW w:w="14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Remaining Costs at</w:t>
            </w:r>
          </w:p>
        </w:tc>
        <w:tc>
          <w:tcPr>
            <w:tcW w:w="0" w:type="dxa"/>
            <w:vAlign w:val="bottom"/>
          </w:tcPr>
          <w:p>
            <w:pPr>
              <w:spacing w:after="0"/>
              <w:rPr>
                <w:sz w:val="1"/>
                <w:szCs w:val="1"/>
                <w:color w:val="auto"/>
              </w:rPr>
            </w:pPr>
          </w:p>
        </w:tc>
      </w:tr>
      <w:tr>
        <w:trPr>
          <w:trHeight w:val="135"/>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1"/>
                <w:szCs w:val="11"/>
                <w:color w:val="auto"/>
              </w:rPr>
            </w:pPr>
          </w:p>
        </w:tc>
        <w:tc>
          <w:tcPr>
            <w:tcW w:w="11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220" w:type="dxa"/>
            <w:vAlign w:val="bottom"/>
          </w:tcPr>
          <w:p>
            <w:pPr>
              <w:spacing w:after="0"/>
              <w:rPr>
                <w:sz w:val="11"/>
                <w:szCs w:val="11"/>
                <w:color w:val="auto"/>
              </w:rPr>
            </w:pPr>
          </w:p>
        </w:tc>
        <w:tc>
          <w:tcPr>
            <w:tcW w:w="15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Costs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1"/>
              </w:rPr>
              <w:t>September 30, 2021</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center"/>
              <w:ind w:left="678"/>
              <w:spacing w:after="0"/>
              <w:rPr>
                <w:sz w:val="20"/>
                <w:szCs w:val="20"/>
                <w:color w:val="auto"/>
              </w:rPr>
            </w:pPr>
            <w:r>
              <w:rPr>
                <w:rFonts w:ascii="Arial" w:cs="Arial" w:eastAsia="Arial" w:hAnsi="Arial"/>
                <w:sz w:val="18"/>
                <w:szCs w:val="18"/>
                <w:b w:val="1"/>
                <w:bCs w:val="1"/>
                <w:color w:val="auto"/>
                <w:w w:val="93"/>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38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220" w:type="dxa"/>
            <w:vAlign w:val="bottom"/>
          </w:tcPr>
          <w:p>
            <w:pPr>
              <w:jc w:val="center"/>
              <w:ind w:left="678"/>
              <w:spacing w:after="0"/>
              <w:rPr>
                <w:sz w:val="20"/>
                <w:szCs w:val="20"/>
                <w:color w:val="auto"/>
              </w:rPr>
            </w:pPr>
            <w:r>
              <w:rPr>
                <w:rFonts w:ascii="Arial" w:cs="Arial" w:eastAsia="Arial" w:hAnsi="Arial"/>
                <w:sz w:val="18"/>
                <w:szCs w:val="18"/>
                <w:b w:val="1"/>
                <w:bCs w:val="1"/>
                <w:color w:val="auto"/>
                <w:w w:val="93"/>
              </w:rPr>
              <w:t>(16)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Corporate expenses and other unallocated items</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8"/>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center"/>
              <w:ind w:left="678"/>
              <w:spacing w:after="0"/>
              <w:rPr>
                <w:sz w:val="20"/>
                <w:szCs w:val="20"/>
                <w:color w:val="auto"/>
              </w:rPr>
            </w:pPr>
            <w:r>
              <w:rPr>
                <w:rFonts w:ascii="Arial" w:cs="Arial" w:eastAsia="Arial" w:hAnsi="Arial"/>
                <w:sz w:val="18"/>
                <w:szCs w:val="18"/>
                <w:b w:val="1"/>
                <w:bCs w:val="1"/>
                <w:color w:val="auto"/>
                <w:w w:val="93"/>
              </w:rPr>
              <w:t>(36)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are targeting to complete the majority of the remaining workforce and facility related cost reduction actions during the remainder of 2021 and 2022.</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2020 Actions. </w:t>
      </w:r>
      <w:r>
        <w:rPr>
          <w:rFonts w:ascii="Arial" w:cs="Arial" w:eastAsia="Arial" w:hAnsi="Arial"/>
          <w:sz w:val="17"/>
          <w:szCs w:val="17"/>
          <w:color w:val="auto"/>
        </w:rPr>
        <w:t>During the quarter ended September 30, 2021, we recorded a net $1 million of pre-tax restructuring costs for restructuring actions initiated</w:t>
      </w:r>
      <w:r>
        <w:rPr>
          <w:rFonts w:ascii="Arial" w:cs="Arial" w:eastAsia="Arial" w:hAnsi="Arial"/>
          <w:sz w:val="17"/>
          <w:szCs w:val="17"/>
          <w:b w:val="1"/>
          <w:bCs w:val="1"/>
          <w:color w:val="auto"/>
        </w:rPr>
        <w:t xml:space="preserve"> </w:t>
      </w:r>
      <w:r>
        <w:rPr>
          <w:rFonts w:ascii="Arial" w:cs="Arial" w:eastAsia="Arial" w:hAnsi="Arial"/>
          <w:sz w:val="17"/>
          <w:szCs w:val="17"/>
          <w:color w:val="auto"/>
        </w:rPr>
        <w:t>in 2020, comprised of $7 million in Selling, general and administrative expenses and a reversal of $6 million in Cost of sales. During the nine months ended September 30, 2021, we reversed $19 million net pre-tax restructuring costs for restructuring actions initiated in 2020, including a reversal of $5 million in Selling, general and administrative expenses and a reversal of $14 million in Cost of sales. The 2020 actions primarily consist of severance costs principally related to restructuring actions at Pratt &amp; Whitney and Collins Aerospace in response to the impact on our operating results related to the economic environment primarily caused by the COVID-19 pandemic, actions at Corporate related to the Raytheon Merger, and ongoing cost reduction efforts including workforce reductions, and to a lesser extent, consolidation of field operations.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accrual balances and utilization for the 2020 restructuring actions for the nine months ended September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88"/>
        </w:trPr>
        <w:tc>
          <w:tcPr>
            <w:tcW w:w="30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Net pre-tax restructuring costs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2021</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419"/>
        </w:trPr>
        <w:tc>
          <w:tcPr>
            <w:tcW w:w="9560" w:type="dxa"/>
            <w:vAlign w:val="bottom"/>
            <w:gridSpan w:val="11"/>
          </w:tcPr>
          <w:p>
            <w:pPr>
              <w:spacing w:after="0"/>
              <w:rPr>
                <w:sz w:val="20"/>
                <w:szCs w:val="20"/>
                <w:color w:val="auto"/>
              </w:rPr>
            </w:pPr>
            <w:r>
              <w:rPr>
                <w:rFonts w:ascii="Arial" w:cs="Arial" w:eastAsia="Arial" w:hAnsi="Arial"/>
                <w:sz w:val="18"/>
                <w:szCs w:val="18"/>
                <w:color w:val="auto"/>
              </w:rPr>
              <w:t>The following table summarizes expected, incurred, and remaining costs for the 2020 restructuring actions by segment:</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23"/>
                <w:szCs w:val="23"/>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Costs (Incurred)</w:t>
            </w:r>
          </w:p>
        </w:tc>
        <w:tc>
          <w:tcPr>
            <w:tcW w:w="160" w:type="dxa"/>
            <w:vAlign w:val="bottom"/>
          </w:tcPr>
          <w:p>
            <w:pPr>
              <w:spacing w:after="0"/>
              <w:rPr>
                <w:sz w:val="23"/>
                <w:szCs w:val="23"/>
                <w:color w:val="auto"/>
              </w:rPr>
            </w:pPr>
          </w:p>
        </w:tc>
        <w:tc>
          <w:tcPr>
            <w:tcW w:w="12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Costs (Incurred)</w:t>
            </w:r>
          </w:p>
        </w:tc>
        <w:tc>
          <w:tcPr>
            <w:tcW w:w="220" w:type="dxa"/>
            <w:vAlign w:val="bottom"/>
          </w:tcPr>
          <w:p>
            <w:pPr>
              <w:spacing w:after="0"/>
              <w:rPr>
                <w:sz w:val="23"/>
                <w:szCs w:val="23"/>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Costs (Incurred)</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9"/>
              </w:rPr>
              <w:t>Expected</w:t>
            </w: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3"/>
              </w:rPr>
              <w:t>Reversed Quarter</w:t>
            </w: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Reversed Quarter</w:t>
            </w:r>
          </w:p>
        </w:tc>
        <w:tc>
          <w:tcPr>
            <w:tcW w:w="220" w:type="dxa"/>
            <w:vAlign w:val="bottom"/>
          </w:tcPr>
          <w:p>
            <w:pPr>
              <w:spacing w:after="0"/>
              <w:rPr>
                <w:sz w:val="11"/>
                <w:szCs w:val="11"/>
                <w:color w:val="auto"/>
              </w:rPr>
            </w:pPr>
          </w:p>
        </w:tc>
        <w:tc>
          <w:tcPr>
            <w:tcW w:w="15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88"/>
              </w:rPr>
              <w:t>Reversed</w:t>
            </w:r>
          </w:p>
        </w:tc>
        <w:tc>
          <w:tcPr>
            <w:tcW w:w="220" w:type="dxa"/>
            <w:vAlign w:val="bottom"/>
          </w:tcPr>
          <w:p>
            <w:pPr>
              <w:spacing w:after="0"/>
              <w:rPr>
                <w:sz w:val="11"/>
                <w:szCs w:val="11"/>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3"/>
              </w:rPr>
              <w:t>Remaining Costs at</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6"/>
              </w:rPr>
              <w:t>Incurred in</w:t>
            </w:r>
          </w:p>
        </w:tc>
        <w:tc>
          <w:tcPr>
            <w:tcW w:w="160" w:type="dxa"/>
            <w:vAlign w:val="bottom"/>
          </w:tcPr>
          <w:p>
            <w:pPr>
              <w:spacing w:after="0"/>
              <w:rPr>
                <w:sz w:val="11"/>
                <w:szCs w:val="11"/>
                <w:color w:val="auto"/>
              </w:rPr>
            </w:pPr>
          </w:p>
        </w:tc>
        <w:tc>
          <w:tcPr>
            <w:tcW w:w="126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5"/>
              </w:rPr>
              <w:t>Ended March 31,</w:t>
            </w:r>
          </w:p>
        </w:tc>
        <w:tc>
          <w:tcPr>
            <w:tcW w:w="160" w:type="dxa"/>
            <w:vAlign w:val="bottom"/>
          </w:tcPr>
          <w:p>
            <w:pPr>
              <w:spacing w:after="0"/>
              <w:rPr>
                <w:sz w:val="11"/>
                <w:szCs w:val="11"/>
                <w:color w:val="auto"/>
              </w:rPr>
            </w:pPr>
          </w:p>
        </w:tc>
        <w:tc>
          <w:tcPr>
            <w:tcW w:w="12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1"/>
              </w:rPr>
              <w:t>Ended June 30,</w:t>
            </w:r>
          </w:p>
        </w:tc>
        <w:tc>
          <w:tcPr>
            <w:tcW w:w="220" w:type="dxa"/>
            <w:vAlign w:val="bottom"/>
          </w:tcPr>
          <w:p>
            <w:pPr>
              <w:spacing w:after="0"/>
              <w:rPr>
                <w:sz w:val="11"/>
                <w:szCs w:val="11"/>
                <w:color w:val="auto"/>
              </w:rPr>
            </w:pPr>
          </w:p>
        </w:tc>
        <w:tc>
          <w:tcPr>
            <w:tcW w:w="150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2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Costs</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September 30, 2021</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16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9"/>
                <w:szCs w:val="19"/>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8"/>
              </w:rPr>
              <w:t>Corporate expenses and other unallocated</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items</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2019 and Prior Actions. </w:t>
      </w:r>
      <w:r>
        <w:rPr>
          <w:rFonts w:ascii="Arial" w:cs="Arial" w:eastAsia="Arial" w:hAnsi="Arial"/>
          <w:sz w:val="18"/>
          <w:szCs w:val="18"/>
          <w:color w:val="auto"/>
        </w:rPr>
        <w:t>During the quarter and nine months ended September 30, 2021, we had net pre-tax restructuring costs of $6 million and $24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respectively, for restructuring actions initiated in 2019 and prior. As of September 30, 2021, we have approximately $28 million of accrual balances remaining related to 2019 and prior actions.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aggregate notional amount of our outstanding foreign currency hedges was $9.0 billion and $11.6 billion at September 30, 2021 and December 31, 2020,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and presentation in the Condensed Consolidated Balance Sheet for derivative instruments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September 30, 2021</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tcPr>
          <w:p>
            <w:pPr>
              <w:ind w:left="480"/>
              <w:spacing w:after="0"/>
              <w:rPr>
                <w:sz w:val="20"/>
                <w:szCs w:val="20"/>
                <w:color w:val="auto"/>
              </w:rPr>
            </w:pPr>
            <w:r>
              <w:rPr>
                <w:rFonts w:ascii="Arial" w:cs="Arial" w:eastAsia="Arial" w:hAnsi="Arial"/>
                <w:sz w:val="18"/>
                <w:szCs w:val="18"/>
                <w:color w:val="auto"/>
              </w:rPr>
              <w:t>Other assets, current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4"/>
              <w:spacing w:after="0"/>
              <w:rPr>
                <w:sz w:val="20"/>
                <w:szCs w:val="20"/>
                <w:color w:val="auto"/>
              </w:rPr>
            </w:pPr>
            <w:r>
              <w:rPr>
                <w:rFonts w:ascii="Arial" w:cs="Arial" w:eastAsia="Arial" w:hAnsi="Arial"/>
                <w:sz w:val="18"/>
                <w:szCs w:val="18"/>
                <w:b w:val="1"/>
                <w:bCs w:val="1"/>
                <w:color w:val="auto"/>
              </w:rPr>
              <w:t>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accrued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111</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w w:val="99"/>
              </w:rPr>
              <w:t>Derivatives not designated as hedging instruments:</w:t>
            </w:r>
          </w:p>
        </w:tc>
        <w:tc>
          <w:tcPr>
            <w:tcW w:w="2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 current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 accrued liabilities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of cash flow hedging relationships on Accumulated other comprehensive income (loss) and on the Condensed Consolidated Statement of Operations for the quarters and nine months ended September 30, 2021 and 2020 are presented in the table below. The amounts of gain or loss are attributable to foreign exchange contract activity and are primarily recorded as a component of Products sales when reclassified from Accumulated other comprehensive income (loss).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8"/>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4"/>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recorded in Accumulated other comprehensive loss</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(175)</w:t>
            </w:r>
          </w:p>
        </w:tc>
        <w:tc>
          <w:tcPr>
            <w:tcW w:w="96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loss reclassified from Accumulated other comprehensive loss</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have €500 million of euro-denominated long-term debt outstanding, which qualifies as a net investment hedge against our investments in European businesses, which is deemed to be effective.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Assuming current market conditions continue, $3 million of pre-tax losses are expected to be reclassified from Accumulated other comprehensive loss to reflect the fixed prices obtained from foreign exchange hedging within the next 12 months. At September 30, 2021, all derivative contracts accounted for as cash flow hedges will mature by January 2028.</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derivatives not designated as hedging instruments within Other income, net, on the Condensed Consolidated Statement of Operations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6"/>
                <w:szCs w:val="16"/>
                <w:color w:val="auto"/>
              </w:rPr>
            </w:pPr>
          </w:p>
        </w:tc>
        <w:tc>
          <w:tcPr>
            <w:tcW w:w="260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31"/>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 (loss) on non-designated foreign exchange contracts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basis in our Condensed Consolidated Balance Sheet as of September 30, 2021 and December 31, 2020:</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September 30, 2021</w:t>
            </w:r>
          </w:p>
        </w:tc>
        <w:tc>
          <w:tcPr>
            <w:tcW w:w="1380" w:type="dxa"/>
            <w:vAlign w:val="bottom"/>
            <w:tcBorders>
              <w:bottom w:val="single" w:sz="8" w:color="auto"/>
            </w:tcBorders>
          </w:tcPr>
          <w:p>
            <w:pPr>
              <w:spacing w:after="0"/>
              <w:rPr>
                <w:sz w:val="16"/>
                <w:szCs w:val="16"/>
                <w:color w:val="auto"/>
              </w:rPr>
            </w:pPr>
          </w:p>
        </w:tc>
      </w:tr>
      <w:tr>
        <w:trPr>
          <w:trHeight w:val="186"/>
        </w:trPr>
        <w:tc>
          <w:tcPr>
            <w:tcW w:w="56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ind w:left="520"/>
              <w:spacing w:after="0"/>
              <w:rPr>
                <w:sz w:val="20"/>
                <w:szCs w:val="20"/>
                <w:color w:val="auto"/>
              </w:rPr>
            </w:pPr>
            <w:r>
              <w:rPr>
                <w:rFonts w:ascii="Arial" w:cs="Arial" w:eastAsia="Arial" w:hAnsi="Arial"/>
                <w:sz w:val="14"/>
                <w:szCs w:val="14"/>
                <w:b w:val="1"/>
                <w:bCs w:val="1"/>
                <w:color w:val="auto"/>
              </w:rPr>
              <w:t>Level 1</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Recurring fair value measurements: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965</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b w:val="1"/>
                <w:bCs w:val="1"/>
                <w:color w:val="auto"/>
              </w:rPr>
              <w:t>890</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75</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780"/>
              <w:spacing w:after="0"/>
              <w:rPr>
                <w:sz w:val="20"/>
                <w:szCs w:val="20"/>
                <w:color w:val="auto"/>
              </w:rPr>
            </w:pPr>
            <w:r>
              <w:rPr>
                <w:rFonts w:ascii="Arial" w:cs="Arial" w:eastAsia="Arial" w:hAnsi="Arial"/>
                <w:sz w:val="18"/>
                <w:szCs w:val="18"/>
                <w:b w:val="1"/>
                <w:bCs w:val="1"/>
                <w:color w:val="auto"/>
              </w:rPr>
              <w:t>—</w:t>
            </w: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r>
      <w:tr>
        <w:trPr>
          <w:trHeight w:val="237"/>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r>
      <w:tr>
        <w:trPr>
          <w:trHeight w:val="398"/>
        </w:trPr>
        <w:tc>
          <w:tcPr>
            <w:tcW w:w="5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8"/>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881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773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6"/>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derivative assets and liabilities include foreign exchange contracts that are measured at fair value using internal models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observable market inputs such as forward rates, interest rates, our own credit risk and our counterparties’ credit risks.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2021,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September 30, 2021 and December 31,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6"/>
                <w:szCs w:val="16"/>
                <w:color w:val="auto"/>
              </w:rPr>
            </w:pPr>
          </w:p>
        </w:tc>
        <w:tc>
          <w:tcPr>
            <w:tcW w:w="252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38"/>
              <w:spacing w:after="0" w:line="135" w:lineRule="exact"/>
              <w:rPr>
                <w:sz w:val="20"/>
                <w:szCs w:val="20"/>
                <w:color w:val="auto"/>
              </w:rPr>
            </w:pPr>
            <w:r>
              <w:rPr>
                <w:rFonts w:ascii="Arial" w:cs="Arial" w:eastAsia="Arial" w:hAnsi="Arial"/>
                <w:sz w:val="14"/>
                <w:szCs w:val="14"/>
                <w:b w:val="1"/>
                <w:bCs w:val="1"/>
                <w:color w:val="auto"/>
              </w:rPr>
              <w:t>Carrying</w:t>
            </w:r>
          </w:p>
        </w:tc>
        <w:tc>
          <w:tcPr>
            <w:tcW w:w="3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36"/>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38"/>
              <w:spacing w:after="0" w:line="135" w:lineRule="exact"/>
              <w:rPr>
                <w:sz w:val="20"/>
                <w:szCs w:val="20"/>
                <w:color w:val="auto"/>
              </w:rPr>
            </w:pPr>
            <w:r>
              <w:rPr>
                <w:rFonts w:ascii="Arial" w:cs="Arial" w:eastAsia="Arial" w:hAnsi="Arial"/>
                <w:sz w:val="14"/>
                <w:szCs w:val="14"/>
                <w:b w:val="1"/>
                <w:bCs w:val="1"/>
                <w:color w:val="auto"/>
              </w:rPr>
              <w:t>Carrying</w:t>
            </w:r>
          </w:p>
        </w:tc>
        <w:tc>
          <w:tcPr>
            <w:tcW w:w="3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436"/>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299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(30,942)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September 30, 2021 and December 31, 2020:</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September 30, 2021</w:t>
            </w:r>
          </w:p>
        </w:tc>
        <w:tc>
          <w:tcPr>
            <w:tcW w:w="1380" w:type="dxa"/>
            <w:vAlign w:val="bottom"/>
            <w:tcBorders>
              <w:bottom w:val="single" w:sz="8" w:color="auto"/>
            </w:tcBorders>
          </w:tcPr>
          <w:p>
            <w:pPr>
              <w:spacing w:after="0"/>
              <w:rPr>
                <w:sz w:val="16"/>
                <w:szCs w:val="16"/>
                <w:color w:val="auto"/>
              </w:rPr>
            </w:pPr>
          </w:p>
        </w:tc>
      </w:tr>
      <w:tr>
        <w:trPr>
          <w:trHeight w:val="186"/>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1460" w:type="dxa"/>
            <w:vAlign w:val="bottom"/>
          </w:tcPr>
          <w:p>
            <w:pPr>
              <w:ind w:left="520"/>
              <w:spacing w:after="0"/>
              <w:rPr>
                <w:sz w:val="20"/>
                <w:szCs w:val="20"/>
                <w:color w:val="auto"/>
              </w:rPr>
            </w:pPr>
            <w:r>
              <w:rPr>
                <w:rFonts w:ascii="Arial" w:cs="Arial" w:eastAsia="Arial" w:hAnsi="Arial"/>
                <w:sz w:val="14"/>
                <w:szCs w:val="14"/>
                <w:b w:val="1"/>
                <w:bCs w:val="1"/>
                <w:color w:val="auto"/>
              </w:rPr>
              <w:t>Level 1</w:t>
            </w:r>
          </w:p>
        </w:tc>
        <w:tc>
          <w:tcPr>
            <w:tcW w:w="1420" w:type="dxa"/>
            <w:vAlign w:val="bottom"/>
          </w:tcPr>
          <w:p>
            <w:pPr>
              <w:ind w:left="48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326</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326</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32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340" w:type="dxa"/>
            <w:vAlign w:val="bottom"/>
          </w:tcPr>
          <w:p>
            <w:pPr>
              <w:spacing w:after="0"/>
              <w:rPr>
                <w:sz w:val="19"/>
                <w:szCs w:val="19"/>
                <w:color w:val="auto"/>
              </w:rPr>
            </w:pPr>
          </w:p>
        </w:tc>
        <w:tc>
          <w:tcPr>
            <w:tcW w:w="1040" w:type="dxa"/>
            <w:vAlign w:val="bottom"/>
          </w:tcPr>
          <w:p>
            <w:pPr>
              <w:jc w:val="center"/>
              <w:ind w:left="612"/>
              <w:spacing w:after="0"/>
              <w:rPr>
                <w:sz w:val="20"/>
                <w:szCs w:val="20"/>
                <w:color w:val="auto"/>
              </w:rPr>
            </w:pPr>
            <w:r>
              <w:rPr>
                <w:rFonts w:ascii="Arial" w:cs="Arial" w:eastAsia="Arial" w:hAnsi="Arial"/>
                <w:sz w:val="18"/>
                <w:szCs w:val="18"/>
                <w:b w:val="1"/>
                <w:bCs w:val="1"/>
                <w:color w:val="auto"/>
                <w:w w:val="93"/>
              </w:rPr>
              <w:t>(46)</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(36,200)</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(36,147)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b w:val="1"/>
                <w:bCs w:val="1"/>
                <w:color w:val="auto"/>
                <w:w w:val="93"/>
              </w:rPr>
              <w:t>(53)</w:t>
            </w:r>
          </w:p>
        </w:tc>
      </w:tr>
      <w:tr>
        <w:trPr>
          <w:trHeight w:val="23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b w:val="1"/>
                <w:bCs w:val="1"/>
                <w:color w:val="auto"/>
                <w:w w:val="99"/>
              </w:rPr>
              <w:t>—</w:t>
            </w:r>
          </w:p>
        </w:tc>
      </w:tr>
      <w:tr>
        <w:trPr>
          <w:trHeight w:val="412"/>
        </w:trPr>
        <w:tc>
          <w:tcPr>
            <w:tcW w:w="5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9"/>
                <w:szCs w:val="19"/>
                <w:color w:val="auto"/>
              </w:rPr>
            </w:pPr>
          </w:p>
        </w:tc>
        <w:tc>
          <w:tcPr>
            <w:tcW w:w="1040" w:type="dxa"/>
            <w:vAlign w:val="bottom"/>
          </w:tcPr>
          <w:p>
            <w:pPr>
              <w:jc w:val="center"/>
              <w:ind w:left="612"/>
              <w:spacing w:after="0"/>
              <w:rPr>
                <w:sz w:val="20"/>
                <w:szCs w:val="20"/>
                <w:color w:val="auto"/>
              </w:rPr>
            </w:pPr>
            <w:r>
              <w:rPr>
                <w:rFonts w:ascii="Arial" w:cs="Arial" w:eastAsia="Arial" w:hAnsi="Arial"/>
                <w:sz w:val="18"/>
                <w:szCs w:val="18"/>
                <w:color w:val="auto"/>
                <w:w w:val="93"/>
              </w:rPr>
              <w:t>(87)</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3"/>
              </w:rPr>
              <w:t>(75)</w:t>
            </w:r>
          </w:p>
        </w:tc>
      </w:tr>
      <w:tr>
        <w:trPr>
          <w:trHeight w:val="23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Variable Interest Entities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September 30,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7,026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2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w:t>
            </w:r>
          </w:p>
        </w:tc>
        <w:tc>
          <w:tcPr>
            <w:tcW w:w="3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826</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4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7,852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b w:val="1"/>
                <w:bCs w:val="1"/>
                <w:color w:val="auto"/>
              </w:rPr>
              <w:t>7,664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7,365</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72</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liabilities</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7,736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Guarantees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These instruments expire on various dates through 2024. Additional guarantees of project performance for which there is no stated value also remain outstanding. As of September 30, 2021 and December 31, 2020, the following guarantees were outstanding: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4"/>
          </w:tcPr>
          <w:p>
            <w:pPr>
              <w:ind w:left="840"/>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6"/>
                <w:szCs w:val="16"/>
                <w:color w:val="auto"/>
              </w:rPr>
            </w:pPr>
          </w:p>
        </w:tc>
        <w:tc>
          <w:tcPr>
            <w:tcW w:w="3140" w:type="dxa"/>
            <w:vAlign w:val="bottom"/>
            <w:gridSpan w:val="3"/>
          </w:tcPr>
          <w:p>
            <w:pPr>
              <w:jc w:val="right"/>
              <w:ind w:right="103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Maximum Potential</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Carrying Amount of</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1"/>
              <w:spacing w:after="0" w:line="135" w:lineRule="exact"/>
              <w:rPr>
                <w:sz w:val="20"/>
                <w:szCs w:val="20"/>
                <w:color w:val="auto"/>
              </w:rPr>
            </w:pPr>
            <w:r>
              <w:rPr>
                <w:rFonts w:ascii="Arial" w:cs="Arial" w:eastAsia="Arial" w:hAnsi="Arial"/>
                <w:sz w:val="14"/>
                <w:szCs w:val="14"/>
                <w:b w:val="1"/>
                <w:bCs w:val="1"/>
                <w:color w:val="auto"/>
              </w:rPr>
              <w:t>Maximum Potential</w:t>
            </w:r>
          </w:p>
        </w:tc>
        <w:tc>
          <w:tcPr>
            <w:tcW w:w="2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Carrying Amount of</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Payment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Liability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Payment</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aerospace financing arrangements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314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Third party guarantees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376</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386</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is $144 million and $142 million at September 30, 2021 and December 31, 2020, respectively.</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$114 million and $120 million at September 30, 2021 and December 31, 2020, respectively. For additional information regarding the environmental indemnifications, see “Note 17: Commitments and Contingencies.”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The changes in the carrying amount of service and product warranties and product performance guarantees for the nine months ended September 30, 2021 and 2020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247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1,089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financial condition, results of operations, or liquidity.</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At both September 30, 2021 and December 31, 2020, we had $835 million reserved for environmental remediation.</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Commercial Aerospace Financing and Other Commitments. </w:t>
      </w:r>
      <w:r>
        <w:rPr>
          <w:rFonts w:ascii="Arial" w:cs="Arial" w:eastAsia="Arial" w:hAnsi="Arial"/>
          <w:sz w:val="17"/>
          <w:szCs w:val="17"/>
          <w:color w:val="auto"/>
        </w:rPr>
        <w:t>We had commercial aerospace financing commitments and other contractual commitments</w:t>
      </w:r>
      <w:r>
        <w:rPr>
          <w:rFonts w:ascii="Arial" w:cs="Arial" w:eastAsia="Arial" w:hAnsi="Arial"/>
          <w:sz w:val="17"/>
          <w:szCs w:val="17"/>
          <w:b w:val="1"/>
          <w:bCs w:val="1"/>
          <w:color w:val="auto"/>
        </w:rPr>
        <w:t xml:space="preserve"> </w:t>
      </w:r>
      <w:r>
        <w:rPr>
          <w:rFonts w:ascii="Arial" w:cs="Arial" w:eastAsia="Arial" w:hAnsi="Arial"/>
          <w:sz w:val="17"/>
          <w:szCs w:val="17"/>
          <w:color w:val="auto"/>
        </w:rPr>
        <w:t>of approximately $13.6 billion and $13.4 billion as of September 30, 2021 and December 31, 2020,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Our financing commitments with customers are contingent upon maintenance of certain levels of financial condition by the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the customers. As a result, the fair value of these financing commitments is expected to equal the amounts funded.</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contractual commitments, are being capitalized as collaboration intangible assets.</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Financing Arrangements. </w:t>
      </w:r>
      <w:r>
        <w:rPr>
          <w:rFonts w:ascii="Arial" w:cs="Arial" w:eastAsia="Arial" w:hAnsi="Arial"/>
          <w:sz w:val="18"/>
          <w:szCs w:val="18"/>
          <w:color w:val="auto"/>
        </w:rPr>
        <w:t>We have entered into standby letters of credit and surety bonds with financial institutions to meet various bid,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$4.0 billion as of September 30, 2021.</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Offset Obligations. </w:t>
      </w:r>
      <w:r>
        <w:rPr>
          <w:rFonts w:ascii="Arial" w:cs="Arial" w:eastAsia="Arial" w:hAnsi="Arial"/>
          <w:sz w:val="16"/>
          <w:szCs w:val="16"/>
          <w:color w:val="auto"/>
        </w:rPr>
        <w:t>We have entered into industrial cooperation agreements, sometimes in the form of either offset agreements or ICIP agreements, as a</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to obtaining orders for our products and services from certain customers in foreign countries. At September 30, 2021, the aggregate amount of our offset agreements, both agreed to and anticipated to be agreed to, had an outstanding notional value of approximately $11.3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5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Government Oversight. </w:t>
      </w:r>
      <w:r>
        <w:rPr>
          <w:rFonts w:ascii="Arial" w:cs="Arial" w:eastAsia="Arial" w:hAnsi="Arial"/>
          <w:sz w:val="16"/>
          <w:szCs w:val="16"/>
          <w:color w:val="auto"/>
        </w:rPr>
        <w:t>In the ordinary course of business, the Company and its subsidiaries and our properties are subject to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w:t>
      </w:r>
      <w:r>
        <w:rPr>
          <w:rFonts w:ascii="Arial" w:cs="Arial" w:eastAsia="Arial" w:hAnsi="Arial"/>
          <w:sz w:val="16"/>
          <w:szCs w:val="16"/>
          <w:color w:val="212529"/>
        </w:rPr>
        <w:t>Agencies that oversee contract performance include: the Defense Contract</w:t>
      </w:r>
      <w:r>
        <w:rPr>
          <w:rFonts w:ascii="Arial" w:cs="Arial" w:eastAsia="Arial" w:hAnsi="Arial"/>
          <w:sz w:val="16"/>
          <w:szCs w:val="16"/>
          <w:color w:val="auto"/>
        </w:rPr>
        <w:t xml:space="preserve"> </w:t>
      </w:r>
      <w:r>
        <w:rPr>
          <w:rFonts w:ascii="Arial" w:cs="Arial" w:eastAsia="Arial" w:hAnsi="Arial"/>
          <w:sz w:val="16"/>
          <w:szCs w:val="16"/>
          <w:color w:val="212529"/>
        </w:rPr>
        <w:t xml:space="preserve">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w:t>
      </w:r>
      <w:r>
        <w:rPr>
          <w:rFonts w:ascii="Arial" w:cs="Arial" w:eastAsia="Arial" w:hAnsi="Arial"/>
          <w:sz w:val="16"/>
          <w:szCs w:val="16"/>
          <w:color w:val="000000"/>
        </w:rPr>
        <w:t>The U.S. government also reserves the right to debar a contractor from receiving new government contracts for fraudulent, criminal or other</w:t>
      </w:r>
      <w:r>
        <w:rPr>
          <w:rFonts w:ascii="Arial" w:cs="Arial" w:eastAsia="Arial" w:hAnsi="Arial"/>
          <w:sz w:val="16"/>
          <w:szCs w:val="16"/>
          <w:color w:val="212529"/>
        </w:rPr>
        <w:t xml:space="preserve"> </w:t>
      </w:r>
      <w:r>
        <w:rPr>
          <w:rFonts w:ascii="Arial" w:cs="Arial" w:eastAsia="Arial" w:hAnsi="Arial"/>
          <w:sz w:val="16"/>
          <w:szCs w:val="16"/>
          <w:color w:val="000000"/>
        </w:rPr>
        <w:t xml:space="preserve">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w:t>
      </w:r>
      <w:r>
        <w:rPr>
          <w:rFonts w:ascii="Arial" w:cs="Arial" w:eastAsia="Arial" w:hAnsi="Arial"/>
          <w:sz w:val="16"/>
          <w:szCs w:val="16"/>
          <w:color w:val="212529"/>
        </w:rPr>
        <w:t>Our final allowable incurred costs for each year are also subject to audit and have, from time to time, resulted in disputes</w:t>
      </w:r>
      <w:r>
        <w:rPr>
          <w:rFonts w:ascii="Arial" w:cs="Arial" w:eastAsia="Arial" w:hAnsi="Arial"/>
          <w:sz w:val="16"/>
          <w:szCs w:val="16"/>
          <w:color w:val="000000"/>
        </w:rPr>
        <w:t xml:space="preserve"> </w:t>
      </w:r>
      <w:r>
        <w:rPr>
          <w:rFonts w:ascii="Arial" w:cs="Arial" w:eastAsia="Arial" w:hAnsi="Arial"/>
          <w:sz w:val="16"/>
          <w:szCs w:val="16"/>
          <w:color w:val="212529"/>
        </w:rPr>
        <w:t xml:space="preserve">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w:t>
      </w:r>
      <w:r>
        <w:rPr>
          <w:rFonts w:ascii="Arial" w:cs="Arial" w:eastAsia="Arial" w:hAnsi="Arial"/>
          <w:sz w:val="16"/>
          <w:szCs w:val="16"/>
          <w:color w:val="000000"/>
        </w:rPr>
        <w:t>In addition, we accrue for liabilities</w:t>
      </w:r>
      <w:r>
        <w:rPr>
          <w:rFonts w:ascii="Arial" w:cs="Arial" w:eastAsia="Arial" w:hAnsi="Arial"/>
          <w:sz w:val="16"/>
          <w:szCs w:val="16"/>
          <w:color w:val="212529"/>
        </w:rPr>
        <w:t xml:space="preserve"> </w:t>
      </w:r>
      <w:r>
        <w:rPr>
          <w:rFonts w:ascii="Arial" w:cs="Arial" w:eastAsia="Arial" w:hAnsi="Arial"/>
          <w:sz w:val="16"/>
          <w:szCs w:val="16"/>
          <w:color w:val="000000"/>
        </w:rPr>
        <w:t>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financial condition, results of operations or liquidity, either individually or in the aggregate.</w:t>
      </w:r>
    </w:p>
    <w:p>
      <w:pPr>
        <w:spacing w:after="0" w:line="2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The Company and its subsidiaries are subject to various contract pricing disputes, government investigations and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jurisdictions, updates to certain of which are set forth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April 2019, a Divisional Administrative Contracting Officer (DACO) of the United States DCMA asserted a claim against Pratt &amp; Whitney to recover overpayments of approximately $1.73 billion plus interest ($711 million at September 30, 2021).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previously disclosed, in December 2013, a DCMA DACO asserted a claim against Pratt &amp; Whitney to recover overpayments of approximately $177 million plus interest ($116 million at September 30, 2021). The claim is based on Pratt &amp;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The parties concluded post-hearing briefing in January 2020, and now await a decision from the ASBCA. We continue to believe that the claim is without merit. In December 2018, a DCMA DACO issued a second claim against Pratt &amp; Whitney that similarly alleges that its method of determining the cost of collaborator parts does not comply with the CAS for calendar years 2013 through 2017. This second claim demands payment of $269 million plus interest ($77 million at September 30, 2021), which we also believe is without merit and which Pratt &amp; Whitney appealed to the ASBCA in January 2019.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Thales-Raytheon Systems Matter</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previously disclosed, in 2019, Raytheon Company received a subpoena from the Securities and Exchange Commission (SEC) seeking information in connection with an investigation into whether there were improper payments made by Thales-Raytheon Systems (TRS) or anyone acting on their behalf in connection with TRS or Raytheon Company contracts in certain Middle East countries since 2014. In the first quarter of 2020, the DOJ advised Raytheon Company it had opened a parallel investigation. In the third quarter of 2020, Raytheon Company received an additional subpoena from the SEC, seeking information and documents as part of its ongoing investigation. Raytheon Company maintains a rigorous anti-corruption compliance program, is cooperating fully with the SEC’s inquiry, and is examining whether there has been any conduct that is in violation of Raytheon Company policy. At this time, the Company is unable to predict the outcome of the SEC’s or DOJ’s inquiry. Based on the information available to date, however, we do not believe the results of this inquiry will have a material adverse effect on our financial condition, results of operations or liquidity.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 Investigation, Contract Pricing Disputes and Related Civil Litigation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w:t>
      </w:r>
    </w:p>
    <w:p>
      <w:pPr>
        <w:jc w:val="both"/>
        <w:ind w:firstLine="8"/>
        <w:spacing w:after="0" w:line="251" w:lineRule="auto"/>
        <w:tabs>
          <w:tab w:leader="none" w:pos="2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Defense business (RMD) since 2009. The investigation involves multi-year contracts subject to governmental regulation, including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and will continue to review the issues raised by, the DOJ’s ongoing investigation. Although we believe we have defenses to the potential claims, the Company has determined that there is a meaningful risk of civil liability for damages, interest and potential penalties. While the Company is unable to predict either the outcome of the criminal investigation or the outcome of any potential civil claims based on facts revealed in, or related to, the investigation, based on the information available to date, which may evolve as the investigation and our review of these matters continue, we do not believe the results of the investigation or of any potential civil litigation will have a material adverse effect on our financial condition, results of operations or liquidity.</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Four shareholder lawsuits were filed against the Company after the DOJ investigation was first disclosed. A putative securities class action lawsuit was filed in the United States District Court for the District of Arizona against the Company and certain of its executives alleging that the defendants violated federal securities laws by making material misstatements in regulatory filings regarding internal controls over financial reporting in RMD. Three shareholder derivative lawsuits were filed in the United States District Court for the District of Delaware against the former Raytheon Company Board of Directors, the 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We believe that each of these lawsuits lacks merit.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Darnis, et al.</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previously disclosed, on August 12, 2020, several former employees of UTC or its subsidiaries filed a putative class action complaint in the United States District Court for the District of Connecticut against the Company, Otis, Carrier, the former members of the UTC Board of Directors, and the members of the Carrier and Otis Boards of Directors (Geraud Darnis, et al. v. Raytheon Technologies Corporation, et al.). The complaint challenged the method by which UTC equity awards were converted to Company, Otis, and Carrier equity awards following the separation of UTC into three independent, publicly-traded companies on April 3, 2020. The complaint also claimed that the defendants are liable for breach of certain equity compensation plans and also asserted claims under certain provisions of the Employee Retirement Income Security Act of 1974 (ERISA). On September 13, 2021, Plaintiffs filed an amended complaint which supersedes the initial complaint and continues to assert claims for breach of the equity compensation plans against the Company, Otis and Carrier, but no longer asserts ERISA claims. Further, no claim is made in the amended complaint against any current or former director of any of the three companies. Plaintiffs seek money damages, attorneys’ fees and other relief. We continue to believe that the Company has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meritorious defenses to these claims. At this time, the Company is unable to predict the outcome; however, based on the information available to date, we do not believe that this matter will have a material adverse effect upon our financial condition, results of operations or liquidity.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Where appropriate, we have recorded loss contingency accruals for the above-referenced matters, and the amount in aggregate is not material.</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As described in “Note 16: Guarantees,” we extend performance and operating cost guarantees beyond our normal warranty and service policies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financial condition,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each component of Accumulated other comprehensive loss, net of tax for the quarters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 is provided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5"/>
              </w:rPr>
              <w:t>Foreign Currency</w:t>
            </w:r>
          </w:p>
        </w:tc>
        <w:tc>
          <w:tcPr>
            <w:tcW w:w="220" w:type="dxa"/>
            <w:vAlign w:val="bottom"/>
          </w:tcPr>
          <w:p>
            <w:pPr>
              <w:spacing w:after="0"/>
              <w:rPr>
                <w:sz w:val="14"/>
                <w:szCs w:val="14"/>
                <w:color w:val="auto"/>
              </w:rPr>
            </w:pPr>
          </w:p>
        </w:tc>
        <w:tc>
          <w:tcPr>
            <w:tcW w:w="140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Unrealized Hedging</w:t>
            </w:r>
          </w:p>
        </w:tc>
        <w:tc>
          <w:tcPr>
            <w:tcW w:w="200" w:type="dxa"/>
            <w:vAlign w:val="bottom"/>
          </w:tcPr>
          <w:p>
            <w:pPr>
              <w:spacing w:after="0"/>
              <w:rPr>
                <w:sz w:val="14"/>
                <w:szCs w:val="14"/>
                <w:color w:val="auto"/>
              </w:rPr>
            </w:pPr>
          </w:p>
        </w:tc>
        <w:tc>
          <w:tcPr>
            <w:tcW w:w="140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0"/>
              </w:rPr>
              <w:t>Pension and Post-</w:t>
            </w: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retirement Plans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Gains (Losses)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 2021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b w:val="1"/>
                <w:bCs w:val="1"/>
                <w:color w:val="auto"/>
              </w:rPr>
              <w:t>64</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39</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(3,939)</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w w:val="92"/>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5"/>
              </w:rPr>
              <w:t>Foreign Currency</w:t>
            </w:r>
          </w:p>
        </w:tc>
        <w:tc>
          <w:tcPr>
            <w:tcW w:w="220" w:type="dxa"/>
            <w:vAlign w:val="bottom"/>
          </w:tcPr>
          <w:p>
            <w:pPr>
              <w:spacing w:after="0"/>
              <w:rPr>
                <w:sz w:val="14"/>
                <w:szCs w:val="14"/>
                <w:color w:val="auto"/>
              </w:rPr>
            </w:pPr>
          </w:p>
        </w:tc>
        <w:tc>
          <w:tcPr>
            <w:tcW w:w="140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Unrealized Hedging</w:t>
            </w:r>
          </w:p>
        </w:tc>
        <w:tc>
          <w:tcPr>
            <w:tcW w:w="200" w:type="dxa"/>
            <w:vAlign w:val="bottom"/>
          </w:tcPr>
          <w:p>
            <w:pPr>
              <w:spacing w:after="0"/>
              <w:rPr>
                <w:sz w:val="14"/>
                <w:szCs w:val="14"/>
                <w:color w:val="auto"/>
              </w:rPr>
            </w:pPr>
          </w:p>
        </w:tc>
        <w:tc>
          <w:tcPr>
            <w:tcW w:w="140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0"/>
              </w:rPr>
              <w:t>Pension and Post-</w:t>
            </w: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retirement Plans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Gains (Losses)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 2020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2020</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w w:val="92"/>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Separation of Carrier and Otis,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3,287</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Financial Data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for the periods presented herein, are classified into four principal segments: Collins Aerospace, Pratt &amp; Whitney, RIS and RMD. The segments are generally based on the management structure of the businesses and the grouping of similar operating companies, where each management organization has general operating autonomy over diversified products and services. The results of RIS and RMD reflect the period subsequent to the completion of the Raytheon Merger on April 3,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announced, effective January 1, 2021, we reorganized certain product areas of our RIS and RMD businesses to more efficiently leverage our capabilities. The amounts and presentation of our business segments, including intersegment activity, set forth in this Form 10-Q reflect this reorganization. The reorganization does not impact our previously reported Collins Aerospace Systems and Pratt &amp; Whitney segment results, or our consolidated balance sheets, statements of operations or statements of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Revised financial results for the fiscal quarters and year ended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8"/>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Q1</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Q2</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Q3</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Q4</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FY</w:t>
            </w: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7"/>
                <w:szCs w:val="17"/>
                <w:color w:val="auto"/>
              </w:rPr>
              <w:t>Collins Aerospace Systems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6,438</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4,202</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4,274</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4,374</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360"/>
              <w:spacing w:after="0"/>
              <w:rPr>
                <w:sz w:val="20"/>
                <w:szCs w:val="20"/>
                <w:color w:val="auto"/>
              </w:rPr>
            </w:pPr>
            <w:r>
              <w:rPr>
                <w:rFonts w:ascii="Arial" w:cs="Arial" w:eastAsia="Arial" w:hAnsi="Arial"/>
                <w:sz w:val="17"/>
                <w:szCs w:val="17"/>
                <w:color w:val="auto"/>
                <w:w w:val="99"/>
              </w:rPr>
              <w:t>19,288</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Pratt &amp; Whitney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3,494</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9"/>
              </w:rPr>
              <w:t>16,799</w:t>
            </w:r>
          </w:p>
        </w:tc>
      </w:tr>
      <w:tr>
        <w:trPr>
          <w:trHeight w:val="216"/>
        </w:trPr>
        <w:tc>
          <w:tcPr>
            <w:tcW w:w="5240" w:type="dxa"/>
            <w:vAlign w:val="bottom"/>
          </w:tcPr>
          <w:p>
            <w:pPr>
              <w:ind w:left="20"/>
              <w:spacing w:after="0"/>
              <w:rPr>
                <w:sz w:val="20"/>
                <w:szCs w:val="20"/>
                <w:color w:val="auto"/>
              </w:rPr>
            </w:pPr>
            <w:r>
              <w:rPr>
                <w:rFonts w:ascii="Arial" w:cs="Arial" w:eastAsia="Arial" w:hAnsi="Arial"/>
                <w:sz w:val="17"/>
                <w:szCs w:val="17"/>
                <w:color w:val="auto"/>
              </w:rPr>
              <w:t>Raytheon Intelligence &amp; Space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3,387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3,749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3,933</w:t>
            </w:r>
          </w:p>
        </w:tc>
        <w:tc>
          <w:tcPr>
            <w:tcW w:w="300" w:type="dxa"/>
            <w:vAlign w:val="bottom"/>
          </w:tcPr>
          <w:p>
            <w:pPr>
              <w:spacing w:after="0"/>
              <w:rPr>
                <w:sz w:val="18"/>
                <w:szCs w:val="18"/>
                <w:color w:val="auto"/>
              </w:rPr>
            </w:pPr>
          </w:p>
        </w:tc>
        <w:tc>
          <w:tcPr>
            <w:tcW w:w="900" w:type="dxa"/>
            <w:vAlign w:val="bottom"/>
          </w:tcPr>
          <w:p>
            <w:pPr>
              <w:ind w:left="360"/>
              <w:spacing w:after="0"/>
              <w:rPr>
                <w:sz w:val="20"/>
                <w:szCs w:val="20"/>
                <w:color w:val="auto"/>
              </w:rPr>
            </w:pPr>
            <w:r>
              <w:rPr>
                <w:rFonts w:ascii="Arial" w:cs="Arial" w:eastAsia="Arial" w:hAnsi="Arial"/>
                <w:sz w:val="17"/>
                <w:szCs w:val="17"/>
                <w:color w:val="auto"/>
                <w:w w:val="99"/>
              </w:rPr>
              <w:t>11,069</w:t>
            </w:r>
          </w:p>
        </w:tc>
      </w:tr>
      <w:tr>
        <w:trPr>
          <w:trHeight w:val="21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Raytheon Missiles &amp; Defense</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3,506</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3,706</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4,184</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9"/>
              </w:rPr>
              <w:t>11,396</w:t>
            </w:r>
          </w:p>
        </w:tc>
      </w:tr>
      <w:tr>
        <w:trPr>
          <w:trHeight w:val="210"/>
        </w:trPr>
        <w:tc>
          <w:tcPr>
            <w:tcW w:w="5240" w:type="dxa"/>
            <w:vAlign w:val="bottom"/>
          </w:tcPr>
          <w:p>
            <w:pPr>
              <w:ind w:left="20"/>
              <w:spacing w:after="0"/>
              <w:rPr>
                <w:sz w:val="20"/>
                <w:szCs w:val="20"/>
                <w:color w:val="auto"/>
              </w:rPr>
            </w:pPr>
            <w:r>
              <w:rPr>
                <w:rFonts w:ascii="Arial" w:cs="Arial" w:eastAsia="Arial" w:hAnsi="Arial"/>
                <w:sz w:val="17"/>
                <w:szCs w:val="17"/>
                <w:color w:val="auto"/>
              </w:rPr>
              <w:t>Total segments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11,791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14,582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15,223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16,956</w:t>
            </w:r>
          </w:p>
        </w:tc>
        <w:tc>
          <w:tcPr>
            <w:tcW w:w="300" w:type="dxa"/>
            <w:vAlign w:val="bottom"/>
          </w:tcPr>
          <w:p>
            <w:pPr>
              <w:spacing w:after="0"/>
              <w:rPr>
                <w:sz w:val="18"/>
                <w:szCs w:val="18"/>
                <w:color w:val="auto"/>
              </w:rPr>
            </w:pPr>
          </w:p>
        </w:tc>
        <w:tc>
          <w:tcPr>
            <w:tcW w:w="900" w:type="dxa"/>
            <w:vAlign w:val="bottom"/>
          </w:tcPr>
          <w:p>
            <w:pPr>
              <w:ind w:left="360"/>
              <w:spacing w:after="0"/>
              <w:rPr>
                <w:sz w:val="20"/>
                <w:szCs w:val="20"/>
                <w:color w:val="auto"/>
              </w:rPr>
            </w:pPr>
            <w:r>
              <w:rPr>
                <w:rFonts w:ascii="Arial" w:cs="Arial" w:eastAsia="Arial" w:hAnsi="Arial"/>
                <w:sz w:val="17"/>
                <w:szCs w:val="17"/>
                <w:color w:val="auto"/>
                <w:w w:val="99"/>
              </w:rPr>
              <w:t>58,552</w:t>
            </w:r>
          </w:p>
        </w:tc>
      </w:tr>
      <w:tr>
        <w:trPr>
          <w:trHeight w:val="21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Eliminations and other</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92"/>
              </w:rPr>
              <w:t>(1,965)</w:t>
            </w:r>
          </w:p>
        </w:tc>
      </w:tr>
      <w:tr>
        <w:trPr>
          <w:trHeight w:val="21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11,360</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14,061</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14,747</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16,419</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w w:val="99"/>
              </w:rPr>
              <w:t>56,587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Profit (Loss)</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7"/>
                <w:szCs w:val="17"/>
                <w:color w:val="auto"/>
              </w:rPr>
              <w:t>Collins Aerospace Systems</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1,246</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(317)</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526</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15"/>
              <w:spacing w:after="0"/>
              <w:rPr>
                <w:sz w:val="20"/>
                <w:szCs w:val="20"/>
                <w:color w:val="auto"/>
              </w:rPr>
            </w:pPr>
            <w:r>
              <w:rPr>
                <w:rFonts w:ascii="Arial" w:cs="Arial" w:eastAsia="Arial" w:hAnsi="Arial"/>
                <w:sz w:val="17"/>
                <w:szCs w:val="17"/>
                <w:color w:val="auto"/>
              </w:rPr>
              <w:t>1,466</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Pratt &amp; Whitney</w:t>
            </w: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475</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(457)</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(615)</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(564)</w:t>
            </w:r>
          </w:p>
        </w:tc>
      </w:tr>
      <w:tr>
        <w:trPr>
          <w:trHeight w:val="230"/>
        </w:trPr>
        <w:tc>
          <w:tcPr>
            <w:tcW w:w="4080" w:type="dxa"/>
            <w:vAlign w:val="bottom"/>
          </w:tcPr>
          <w:p>
            <w:pPr>
              <w:ind w:left="20"/>
              <w:spacing w:after="0"/>
              <w:rPr>
                <w:sz w:val="20"/>
                <w:szCs w:val="20"/>
                <w:color w:val="auto"/>
              </w:rPr>
            </w:pPr>
            <w:r>
              <w:rPr>
                <w:rFonts w:ascii="Arial" w:cs="Arial" w:eastAsia="Arial" w:hAnsi="Arial"/>
                <w:sz w:val="17"/>
                <w:szCs w:val="17"/>
                <w:color w:val="auto"/>
              </w:rPr>
              <w:t>Raytheon Intelligence &amp; Space</w:t>
            </w:r>
          </w:p>
        </w:tc>
        <w:tc>
          <w:tcPr>
            <w:tcW w:w="116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309</w:t>
            </w:r>
          </w:p>
        </w:tc>
        <w:tc>
          <w:tcPr>
            <w:tcW w:w="40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361</w:t>
            </w:r>
          </w:p>
        </w:tc>
        <w:tc>
          <w:tcPr>
            <w:tcW w:w="38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auto"/>
              </w:rPr>
              <w:t>1,020</w:t>
            </w:r>
          </w:p>
        </w:tc>
      </w:tr>
      <w:tr>
        <w:trPr>
          <w:trHeight w:val="229"/>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Raytheon Missiles &amp; Defense</w:t>
            </w:r>
          </w:p>
        </w:tc>
        <w:tc>
          <w:tcPr>
            <w:tcW w:w="1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398</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449</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880</w:t>
            </w:r>
          </w:p>
        </w:tc>
      </w:tr>
      <w:tr>
        <w:trPr>
          <w:trHeight w:val="209"/>
        </w:trPr>
        <w:tc>
          <w:tcPr>
            <w:tcW w:w="4080" w:type="dxa"/>
            <w:vAlign w:val="bottom"/>
          </w:tcPr>
          <w:p>
            <w:pPr>
              <w:ind w:left="20"/>
              <w:spacing w:after="0"/>
              <w:rPr>
                <w:sz w:val="20"/>
                <w:szCs w:val="20"/>
                <w:color w:val="auto"/>
              </w:rPr>
            </w:pPr>
            <w:r>
              <w:rPr>
                <w:rFonts w:ascii="Arial" w:cs="Arial" w:eastAsia="Arial" w:hAnsi="Arial"/>
                <w:sz w:val="17"/>
                <w:szCs w:val="17"/>
                <w:color w:val="auto"/>
              </w:rPr>
              <w:t>Total segments</w:t>
            </w:r>
          </w:p>
        </w:tc>
        <w:tc>
          <w:tcPr>
            <w:tcW w:w="116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7"/>
                <w:szCs w:val="17"/>
                <w:color w:val="auto"/>
              </w:rPr>
              <w:t>1,721</w:t>
            </w:r>
          </w:p>
        </w:tc>
        <w:tc>
          <w:tcPr>
            <w:tcW w:w="3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7"/>
                <w:szCs w:val="17"/>
                <w:color w:val="auto"/>
              </w:rPr>
              <w:t>(67)</w:t>
            </w:r>
          </w:p>
        </w:tc>
        <w:tc>
          <w:tcPr>
            <w:tcW w:w="40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7"/>
                <w:szCs w:val="17"/>
                <w:color w:val="auto"/>
              </w:rPr>
              <w:t>710</w:t>
            </w:r>
          </w:p>
        </w:tc>
        <w:tc>
          <w:tcPr>
            <w:tcW w:w="4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7"/>
                <w:szCs w:val="17"/>
                <w:color w:val="auto"/>
              </w:rPr>
              <w:t>438</w:t>
            </w:r>
          </w:p>
        </w:tc>
        <w:tc>
          <w:tcPr>
            <w:tcW w:w="380" w:type="dxa"/>
            <w:vAlign w:val="bottom"/>
          </w:tcPr>
          <w:p>
            <w:pPr>
              <w:spacing w:after="0"/>
              <w:rPr>
                <w:sz w:val="18"/>
                <w:szCs w:val="18"/>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auto"/>
              </w:rPr>
              <w:t>2,802</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Eliminations and other</w:t>
            </w: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(107)</w:t>
            </w:r>
          </w:p>
        </w:tc>
      </w:tr>
      <w:tr>
        <w:trPr>
          <w:trHeight w:val="229"/>
        </w:trPr>
        <w:tc>
          <w:tcPr>
            <w:tcW w:w="4080" w:type="dxa"/>
            <w:vAlign w:val="bottom"/>
          </w:tcPr>
          <w:p>
            <w:pPr>
              <w:ind w:left="20"/>
              <w:spacing w:after="0"/>
              <w:rPr>
                <w:sz w:val="20"/>
                <w:szCs w:val="20"/>
                <w:color w:val="auto"/>
              </w:rPr>
            </w:pPr>
            <w:r>
              <w:rPr>
                <w:rFonts w:ascii="Arial" w:cs="Arial" w:eastAsia="Arial" w:hAnsi="Arial"/>
                <w:sz w:val="17"/>
                <w:szCs w:val="17"/>
                <w:color w:val="auto"/>
              </w:rPr>
              <w:t>Corporate expenses and other unallocated items</w:t>
            </w:r>
          </w:p>
        </w:tc>
        <w:tc>
          <w:tcPr>
            <w:tcW w:w="116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(277)</w:t>
            </w:r>
          </w:p>
        </w:tc>
        <w:tc>
          <w:tcPr>
            <w:tcW w:w="40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(590)</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FAS/CAS operating adjustment</w:t>
            </w: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380</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370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1,106</w:t>
            </w: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Acquisition accounting adjustments</w:t>
            </w:r>
          </w:p>
        </w:tc>
        <w:tc>
          <w:tcPr>
            <w:tcW w:w="1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(271)</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(3,745)</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(523)</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(561)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(5,100)</w:t>
            </w:r>
          </w:p>
        </w:tc>
      </w:tr>
      <w:tr>
        <w:trPr>
          <w:trHeight w:val="217"/>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w:t>
            </w:r>
          </w:p>
        </w:tc>
        <w:tc>
          <w:tcPr>
            <w:tcW w:w="11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7"/>
                <w:szCs w:val="17"/>
                <w:color w:val="auto"/>
              </w:rPr>
              <w:t>1,295</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7"/>
                <w:szCs w:val="17"/>
                <w:color w:val="auto"/>
              </w:rPr>
              <w:t>(3,760)</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7"/>
                <w:szCs w:val="17"/>
                <w:color w:val="auto"/>
              </w:rPr>
              <w:t>434</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7"/>
                <w:szCs w:val="17"/>
                <w:color w:val="auto"/>
              </w:rPr>
              <w:t>142</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(1,889)</w:t>
            </w:r>
          </w:p>
        </w:tc>
      </w:tr>
      <w:tr>
        <w:trPr>
          <w:trHeight w:val="243"/>
        </w:trPr>
        <w:tc>
          <w:tcPr>
            <w:tcW w:w="4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Operating Profit (Loss) Margin</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7"/>
                <w:szCs w:val="17"/>
                <w:color w:val="auto"/>
              </w:rPr>
              <w:t>Collins Aerospace Systems</w:t>
            </w:r>
          </w:p>
        </w:tc>
        <w:tc>
          <w:tcPr>
            <w:tcW w:w="1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19.4 %</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12.3 %</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0.3 %</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7.6 %</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Pratt &amp; Whitney</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6"/>
        </w:trPr>
        <w:tc>
          <w:tcPr>
            <w:tcW w:w="4080" w:type="dxa"/>
            <w:vAlign w:val="bottom"/>
          </w:tcPr>
          <w:p>
            <w:pPr>
              <w:ind w:left="20"/>
              <w:spacing w:after="0"/>
              <w:rPr>
                <w:sz w:val="20"/>
                <w:szCs w:val="20"/>
                <w:color w:val="auto"/>
              </w:rPr>
            </w:pPr>
            <w:r>
              <w:rPr>
                <w:rFonts w:ascii="Arial" w:cs="Arial" w:eastAsia="Arial" w:hAnsi="Arial"/>
                <w:sz w:val="17"/>
                <w:szCs w:val="17"/>
                <w:color w:val="auto"/>
              </w:rPr>
              <w:t>Raytheon Intelligence &amp; Space</w:t>
            </w:r>
          </w:p>
        </w:tc>
        <w:tc>
          <w:tcPr>
            <w:tcW w:w="1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NM</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9.1 %</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9.3 %</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9.2 %</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9.2 %</w:t>
            </w:r>
          </w:p>
        </w:tc>
      </w:tr>
      <w:tr>
        <w:trPr>
          <w:trHeight w:val="216"/>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Raytheon Missiles &amp; Defense</w:t>
            </w:r>
          </w:p>
        </w:tc>
        <w:tc>
          <w:tcPr>
            <w:tcW w:w="1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11.4 %</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12.1 %</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7.7 %</w:t>
            </w:r>
          </w:p>
        </w:tc>
      </w:tr>
      <w:tr>
        <w:trPr>
          <w:trHeight w:val="21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segment</w:t>
            </w: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14.6 %</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4.7 %</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2.6 %</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4.8 %</w:t>
            </w: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Raytheon Merger, we now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We generally expect to recover the related RIS and RMD pension and PRB liabilities over time through the pricing of our products and services to the U.S. government. Because the Collins Aerospace and Pratt &amp; Whitney segments generally record pension and PRB expense on a FAS basis, historical results were not impacted by this change in segment reporting.</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sales and operating profit by segment include inter-segment sales which are generally recorded at prices approximating those that the selling entity is able to obtain on external sales for our Collins Aerospace and Pratt &amp; Whitney segments, and at cost-plus a specified fee, which may differ from what the selling entity would be able to obtain on sales to external customers, for our RIS and RMD segments. Results for the quarters ended September 30, 2021 and 2020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Operating Profit (Loss)</w:t>
            </w:r>
          </w:p>
        </w:tc>
        <w:tc>
          <w:tcPr>
            <w:tcW w:w="24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b w:val="1"/>
                <w:bCs w:val="1"/>
                <w:color w:val="auto"/>
              </w:rPr>
              <w:t>Operating Profit (Loss) Margins</w:t>
            </w:r>
          </w:p>
        </w:tc>
      </w:tr>
      <w:tr>
        <w:trPr>
          <w:trHeight w:val="188"/>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4,592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4,274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478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526</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10.4 %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4,725</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3,494</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187</w:t>
            </w:r>
          </w:p>
        </w:tc>
        <w:tc>
          <w:tcPr>
            <w:tcW w:w="30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(615)</w:t>
            </w:r>
          </w:p>
        </w:tc>
        <w:tc>
          <w:tcPr>
            <w:tcW w:w="1440" w:type="dxa"/>
            <w:vAlign w:val="bottom"/>
          </w:tcPr>
          <w:p>
            <w:pPr>
              <w:jc w:val="right"/>
              <w:ind w:right="215"/>
              <w:spacing w:after="0"/>
              <w:rPr>
                <w:sz w:val="20"/>
                <w:szCs w:val="20"/>
                <w:color w:val="auto"/>
              </w:rPr>
            </w:pPr>
            <w:r>
              <w:rPr>
                <w:rFonts w:ascii="Arial" w:cs="Arial" w:eastAsia="Arial" w:hAnsi="Arial"/>
                <w:sz w:val="18"/>
                <w:szCs w:val="18"/>
                <w:b w:val="1"/>
                <w:bCs w:val="1"/>
                <w:color w:val="auto"/>
              </w:rPr>
              <w:t>4.0 %</w:t>
            </w: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3,740</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3,749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391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350</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10.5 %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3,902</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3,706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490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449</w:t>
            </w: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12.6 %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12.1 %</w:t>
            </w:r>
          </w:p>
        </w:tc>
      </w:tr>
      <w:tr>
        <w:trPr>
          <w:trHeight w:val="22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16,959</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15,223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1,546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710</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9.1 %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Eliminations and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Corporate expenses and other unallocated items </w:t>
            </w:r>
            <w:r>
              <w:rPr>
                <w:rFonts w:ascii="Arial" w:cs="Arial" w:eastAsia="Arial" w:hAnsi="Arial"/>
                <w:sz w:val="23"/>
                <w:szCs w:val="23"/>
                <w:color w:val="auto"/>
                <w:w w:val="94"/>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c>
          <w:tcPr>
            <w:tcW w:w="1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499</w:t>
            </w:r>
          </w:p>
        </w:tc>
        <w:tc>
          <w:tcPr>
            <w:tcW w:w="30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380</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(523)</w:t>
            </w:r>
          </w:p>
        </w:tc>
        <w:tc>
          <w:tcPr>
            <w:tcW w:w="1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16,213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14,747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1,343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434</w:t>
            </w: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8.3 %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r>
    </w:tbl>
    <w:p>
      <w:pPr>
        <w:spacing w:after="0" w:line="170" w:lineRule="exact"/>
        <w:rPr>
          <w:sz w:val="20"/>
          <w:szCs w:val="20"/>
          <w:color w:val="auto"/>
        </w:rPr>
      </w:pPr>
    </w:p>
    <w:p>
      <w:pPr>
        <w:ind w:left="340" w:hanging="332"/>
        <w:spacing w:after="0" w:line="250" w:lineRule="auto"/>
        <w:tabs>
          <w:tab w:leader="none" w:pos="3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 2020 amounts include Forcepoint, which was acquired as part of the Raytheon Merger and subsequently disposed of on January 8, 2021.</w:t>
      </w: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Corporate expenses and other unallocated items include the net expenses related to the U.S. Army’s Lower Tier Air and Missile Defense Sensor (LTAMDS) project.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nine months ended September 30, 2021 and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Operating Profit (Loss)</w:t>
            </w:r>
          </w:p>
        </w:tc>
        <w:tc>
          <w:tcPr>
            <w:tcW w:w="24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b w:val="1"/>
                <w:bCs w:val="1"/>
                <w:color w:val="auto"/>
              </w:rPr>
              <w:t>Operating Profit (Loss) Margins</w:t>
            </w:r>
          </w:p>
        </w:tc>
      </w:tr>
      <w:tr>
        <w:trPr>
          <w:trHeight w:val="188"/>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13,507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14,914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1,298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1,455</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9.6 %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13,035</w:t>
            </w:r>
          </w:p>
        </w:tc>
        <w:tc>
          <w:tcPr>
            <w:tcW w:w="3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12,334</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319</w:t>
            </w: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(597)</w:t>
            </w:r>
          </w:p>
        </w:tc>
        <w:tc>
          <w:tcPr>
            <w:tcW w:w="1440" w:type="dxa"/>
            <w:vAlign w:val="bottom"/>
          </w:tcPr>
          <w:p>
            <w:pPr>
              <w:jc w:val="right"/>
              <w:ind w:right="215"/>
              <w:spacing w:after="0"/>
              <w:rPr>
                <w:sz w:val="20"/>
                <w:szCs w:val="20"/>
                <w:color w:val="auto"/>
              </w:rPr>
            </w:pPr>
            <w:r>
              <w:rPr>
                <w:rFonts w:ascii="Arial" w:cs="Arial" w:eastAsia="Arial" w:hAnsi="Arial"/>
                <w:sz w:val="18"/>
                <w:szCs w:val="18"/>
                <w:b w:val="1"/>
                <w:bCs w:val="1"/>
                <w:color w:val="auto"/>
              </w:rPr>
              <w:t>2.4 %</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11,310</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7,136</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1,194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659</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10.6 %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11,680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7,212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1,518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847</w:t>
            </w: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13.0 %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11.7 %</w:t>
            </w:r>
          </w:p>
        </w:tc>
      </w:tr>
      <w:tr>
        <w:trPr>
          <w:trHeight w:val="22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49,532</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41,596</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4,329</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2,364</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8.7 %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Eliminations and other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(2,188)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Corporate expenses and other unallocated items </w:t>
            </w:r>
            <w:r>
              <w:rPr>
                <w:rFonts w:ascii="Arial" w:cs="Arial" w:eastAsia="Arial" w:hAnsi="Arial"/>
                <w:sz w:val="23"/>
                <w:szCs w:val="23"/>
                <w:color w:val="auto"/>
                <w:w w:val="94"/>
                <w:vertAlign w:val="superscript"/>
              </w:rPr>
              <w:t>(2)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(491)</w:t>
            </w:r>
          </w:p>
        </w:tc>
        <w:tc>
          <w:tcPr>
            <w:tcW w:w="1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1,347</w:t>
            </w:r>
          </w:p>
        </w:tc>
        <w:tc>
          <w:tcPr>
            <w:tcW w:w="32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736</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(4,539)</w:t>
            </w:r>
          </w:p>
        </w:tc>
        <w:tc>
          <w:tcPr>
            <w:tcW w:w="1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47,344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40,168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3,638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(2,031)</w:t>
            </w: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7.7 %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bl>
    <w:p>
      <w:pPr>
        <w:spacing w:after="0" w:line="184" w:lineRule="exact"/>
        <w:rPr>
          <w:sz w:val="20"/>
          <w:szCs w:val="20"/>
          <w:color w:val="auto"/>
        </w:rPr>
      </w:pPr>
    </w:p>
    <w:p>
      <w:pPr>
        <w:ind w:left="340" w:hanging="332"/>
        <w:spacing w:after="0" w:line="250" w:lineRule="auto"/>
        <w:tabs>
          <w:tab w:leader="none" w:pos="3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 2020 amounts include Forcepoint, which was acquired as part of the Raytheon Merger and subsequently disposed of on January 8, 2021.</w:t>
      </w: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Corporate expenses and other unallocated items include the net expenses related to the U.S. Army’s LTAMDS project.</w:t>
      </w:r>
    </w:p>
    <w:p>
      <w:pPr>
        <w:spacing w:after="0" w:line="1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disaggregate our contracts from customers by geographic location based on customer location, by customer and by sales type. Our geographic location based on customer location uses end user customer location where known or practical to determine, or in instances where the end user customer is not known or not practical to determine,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 Historical results have been recast to reflect the presentation of this disaggregation.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quarters ended September 30, 2021 and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800" w:type="dxa"/>
            <w:vAlign w:val="bottom"/>
          </w:tcPr>
          <w:p>
            <w:pPr>
              <w:jc w:val="center"/>
              <w:ind w:right="89"/>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2,334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2,977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10,096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9,566</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1,007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335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Middle East and</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Africa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1,066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943</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2,408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Canada and All</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4,227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4,725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3,427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3,835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16,213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3,963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3,491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3,466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3,648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14,747</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Inter-segment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313</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(745)</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16,213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nine months ended September 30, 2021 and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780" w:type="dxa"/>
            <w:vAlign w:val="bottom"/>
          </w:tcPr>
          <w:p>
            <w:pPr>
              <w:jc w:val="center"/>
              <w:ind w:right="6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2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Intelligence &amp;</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Defense</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8,962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29,697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24,224</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2,771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608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1,061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5,780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2,980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5,462</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Middle East and</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Africa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3,207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2,376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339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949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6,871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3,497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2,101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6,532</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Canada and All</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646</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907</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1,697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12,438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13,035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10,373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11,483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47,344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13,864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12,328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40,168</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Inter-segment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1,069</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937</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(2,203)</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11,310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47,344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customer for the quarters ended September 30, 2021 and 2020 are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ind w:right="13"/>
              <w:spacing w:after="0" w:line="136" w:lineRule="exact"/>
              <w:rPr>
                <w:sz w:val="20"/>
                <w:szCs w:val="20"/>
                <w:color w:val="auto"/>
              </w:rPr>
            </w:pPr>
            <w:r>
              <w:rPr>
                <w:rFonts w:ascii="Arial" w:cs="Arial" w:eastAsia="Arial" w:hAnsi="Arial"/>
                <w:sz w:val="13"/>
                <w:szCs w:val="13"/>
                <w:b w:val="1"/>
                <w:bCs w:val="1"/>
                <w:color w:val="auto"/>
                <w:w w:val="91"/>
              </w:rPr>
              <w:t>Raytheon</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4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6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Other</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6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28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0"/>
              </w:rPr>
              <w:t>Defense</w:t>
            </w:r>
          </w:p>
        </w:tc>
        <w:tc>
          <w:tcPr>
            <w:tcW w:w="6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U.S. government</w:t>
            </w:r>
          </w:p>
        </w:tc>
        <w:tc>
          <w:tcPr>
            <w:tcW w:w="3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r>
      <w:tr>
        <w:trPr>
          <w:trHeight w:val="128"/>
        </w:trPr>
        <w:tc>
          <w:tcPr>
            <w:tcW w:w="128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(1)</w:t>
            </w:r>
          </w:p>
        </w:tc>
        <w:tc>
          <w:tcPr>
            <w:tcW w:w="300" w:type="dxa"/>
            <w:vAlign w:val="bottom"/>
            <w:tcBorders>
              <w:bottom w:val="single" w:sz="8" w:color="CCEEFF"/>
            </w:tcBorders>
            <w:shd w:val="clear" w:color="auto" w:fill="CCEEFF"/>
          </w:tcPr>
          <w:p>
            <w:pPr>
              <w:jc w:val="right"/>
              <w:ind w:right="128"/>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1,101</w:t>
            </w:r>
          </w:p>
        </w:tc>
        <w:tc>
          <w:tcPr>
            <w:tcW w:w="260" w:type="dxa"/>
            <w:vAlign w:val="bottom"/>
            <w:tcBorders>
              <w:bottom w:val="single" w:sz="8" w:color="CCEEFF"/>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1,295</w:t>
            </w:r>
          </w:p>
        </w:tc>
        <w:tc>
          <w:tcPr>
            <w:tcW w:w="360" w:type="dxa"/>
            <w:vAlign w:val="bottom"/>
            <w:tcBorders>
              <w:bottom w:val="single" w:sz="8" w:color="CCEEFF"/>
            </w:tcBorders>
            <w:shd w:val="clear" w:color="auto" w:fill="CCEEFF"/>
          </w:tcPr>
          <w:p>
            <w:pPr>
              <w:jc w:val="right"/>
              <w:ind w:right="168"/>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2,923</w:t>
            </w:r>
          </w:p>
        </w:tc>
        <w:tc>
          <w:tcPr>
            <w:tcW w:w="300" w:type="dxa"/>
            <w:vAlign w:val="bottom"/>
            <w:tcBorders>
              <w:bottom w:val="single" w:sz="8" w:color="CCEEFF"/>
            </w:tcBorders>
            <w:shd w:val="clear" w:color="auto" w:fill="CCEEFF"/>
          </w:tcPr>
          <w:p>
            <w:pPr>
              <w:jc w:val="right"/>
              <w:ind w:right="128"/>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2,414</w:t>
            </w:r>
          </w:p>
        </w:tc>
        <w:tc>
          <w:tcPr>
            <w:tcW w:w="220" w:type="dxa"/>
            <w:vAlign w:val="bottom"/>
            <w:tcBorders>
              <w:bottom w:val="single" w:sz="8" w:color="CCEEFF"/>
            </w:tcBorders>
            <w:shd w:val="clear" w:color="auto" w:fill="CCEEFF"/>
          </w:tcPr>
          <w:p>
            <w:pPr>
              <w:jc w:val="right"/>
              <w:ind w:right="48"/>
              <w:spacing w:after="0" w:line="129"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4</w:t>
            </w:r>
          </w:p>
        </w:tc>
        <w:tc>
          <w:tcPr>
            <w:tcW w:w="200" w:type="dxa"/>
            <w:vAlign w:val="bottom"/>
            <w:tcBorders>
              <w:bottom w:val="single" w:sz="8" w:color="CCEEFF"/>
            </w:tcBorders>
            <w:shd w:val="clear" w:color="auto" w:fill="CCEEFF"/>
          </w:tcPr>
          <w:p>
            <w:pPr>
              <w:jc w:val="right"/>
              <w:ind w:right="28"/>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shd w:val="clear" w:color="auto" w:fill="CCEEFF"/>
          </w:tcPr>
          <w:p>
            <w:pPr>
              <w:jc w:val="right"/>
              <w:ind w:right="28"/>
              <w:spacing w:after="0" w:line="129" w:lineRule="exact"/>
              <w:rPr>
                <w:sz w:val="20"/>
                <w:szCs w:val="20"/>
                <w:color w:val="auto"/>
              </w:rPr>
            </w:pPr>
            <w:r>
              <w:rPr>
                <w:rFonts w:ascii="Arial" w:cs="Arial" w:eastAsia="Arial" w:hAnsi="Arial"/>
                <w:sz w:val="14"/>
                <w:szCs w:val="14"/>
                <w:b w:val="1"/>
                <w:bCs w:val="1"/>
                <w:color w:val="auto"/>
              </w:rPr>
              <w:t>7,737</w:t>
            </w:r>
          </w:p>
        </w:tc>
        <w:tc>
          <w:tcPr>
            <w:tcW w:w="380" w:type="dxa"/>
            <w:vAlign w:val="bottom"/>
            <w:tcBorders>
              <w:bottom w:val="single" w:sz="8" w:color="CCEEFF"/>
            </w:tcBorders>
            <w:shd w:val="clear" w:color="auto" w:fill="CCEEFF"/>
          </w:tcPr>
          <w:p>
            <w:pPr>
              <w:jc w:val="right"/>
              <w:ind w:right="148"/>
              <w:spacing w:after="0" w:line="12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1,238</w:t>
            </w:r>
          </w:p>
        </w:tc>
        <w:tc>
          <w:tcPr>
            <w:tcW w:w="280" w:type="dxa"/>
            <w:vAlign w:val="bottom"/>
            <w:tcBorders>
              <w:bottom w:val="single" w:sz="8" w:color="CCEEFF"/>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1,270</w:t>
            </w:r>
          </w:p>
        </w:tc>
        <w:tc>
          <w:tcPr>
            <w:tcW w:w="340" w:type="dxa"/>
            <w:vAlign w:val="bottom"/>
            <w:tcBorders>
              <w:bottom w:val="single" w:sz="8" w:color="CCEEFF"/>
            </w:tcBorders>
            <w:shd w:val="clear" w:color="auto" w:fill="CCEEFF"/>
          </w:tcPr>
          <w:p>
            <w:pPr>
              <w:jc w:val="right"/>
              <w:ind w:right="168"/>
              <w:spacing w:after="0" w:line="12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2,944</w:t>
            </w:r>
          </w:p>
        </w:tc>
        <w:tc>
          <w:tcPr>
            <w:tcW w:w="300" w:type="dxa"/>
            <w:vAlign w:val="bottom"/>
            <w:tcBorders>
              <w:bottom w:val="single" w:sz="8" w:color="CCEEFF"/>
            </w:tcBorders>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2,223</w:t>
            </w:r>
          </w:p>
        </w:tc>
        <w:tc>
          <w:tcPr>
            <w:tcW w:w="220" w:type="dxa"/>
            <w:vAlign w:val="bottom"/>
            <w:tcBorders>
              <w:bottom w:val="single" w:sz="8" w:color="CCEEFF"/>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72</w:t>
            </w:r>
          </w:p>
        </w:tc>
        <w:tc>
          <w:tcPr>
            <w:tcW w:w="200" w:type="dxa"/>
            <w:vAlign w:val="bottom"/>
            <w:tcBorders>
              <w:bottom w:val="single" w:sz="8" w:color="CCEEFF"/>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7,747</w:t>
            </w: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Foreign military</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sales through the</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322</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778</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1,364</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325</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1,372</w:t>
            </w:r>
          </w:p>
        </w:tc>
      </w:tr>
      <w:tr>
        <w:trPr>
          <w:trHeight w:val="169"/>
        </w:trPr>
        <w:tc>
          <w:tcPr>
            <w:tcW w:w="1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government direct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sales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1,242</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aerospace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commercial</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2,982</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5,870</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2,461</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4,442</w:t>
            </w: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3"/>
              </w:rPr>
              <w:t>Consolidated net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2"/>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4,227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4,725</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3,427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16,213</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14,747</w:t>
            </w: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365</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9"/>
        </w:trPr>
        <w:tc>
          <w:tcPr>
            <w:tcW w:w="1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4,592</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4,725</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3,740</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3,902</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(746)</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16,213</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14,747</w:t>
            </w: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customer for the nine months ended September 30, 2021 and 2020 are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4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Intelligence &amp;</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Other</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6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28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0"/>
              </w:rPr>
              <w:t>Defense</w:t>
            </w:r>
          </w:p>
        </w:tc>
        <w:tc>
          <w:tcPr>
            <w:tcW w:w="7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U.S. government</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3,470</w:t>
            </w:r>
          </w:p>
        </w:tc>
        <w:tc>
          <w:tcPr>
            <w:tcW w:w="2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3,748</w:t>
            </w:r>
          </w:p>
        </w:tc>
        <w:tc>
          <w:tcPr>
            <w:tcW w:w="32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8,767</w:t>
            </w:r>
          </w:p>
        </w:tc>
        <w:tc>
          <w:tcPr>
            <w:tcW w:w="2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7,155</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23,155</w:t>
            </w:r>
          </w:p>
        </w:tc>
        <w:tc>
          <w:tcPr>
            <w:tcW w:w="34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2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3,792</w:t>
            </w: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5,504</w:t>
            </w: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4,301</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17,603</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(1)</w:t>
            </w:r>
          </w:p>
        </w:tc>
        <w:tc>
          <w:tcPr>
            <w:tcW w:w="28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Foreign military</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sales through the</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961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627</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2,449</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4,156</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877</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419</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1,578</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3,040</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government direct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sales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3,735</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aerospace and</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commercial</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8,045</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7,934</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16,298</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9,159</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7,279</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16,872</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3"/>
              </w:rPr>
              <w:t>Consolidated net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12,438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13,035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10,373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11,483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47,344</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12,328</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40,168</w:t>
            </w: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1,069</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937</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(2,203)</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13,507</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13,035</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11,310</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(2,188)</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47,344</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14,914</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12,334</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7,136</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40,168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quarters ended September 30, 2021 and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80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6"/>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1"/>
              </w:rPr>
              <w:t>Raytheon</w:t>
            </w:r>
          </w:p>
        </w:tc>
        <w:tc>
          <w:tcPr>
            <w:tcW w:w="10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7"/>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12,331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2,615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11,469</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891</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1,848</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3,882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851</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3,278</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4,227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16,213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14,747</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365</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(745)</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16,213</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3,749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nine months ended September 30, 2021 and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6"/>
              </w:rPr>
              <w:t>Collins</w:t>
            </w:r>
          </w:p>
        </w:tc>
        <w:tc>
          <w:tcPr>
            <w:tcW w:w="1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780" w:type="dxa"/>
            <w:vAlign w:val="bottom"/>
          </w:tcPr>
          <w:p>
            <w:pPr>
              <w:jc w:val="center"/>
              <w:ind w:right="70"/>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87"/>
              </w:rPr>
              <w:t>Aerospace</w:t>
            </w: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Intelligence &amp;</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4"/>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Defense</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9,867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7,882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7,964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30,402</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2,571</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5,153</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2,409</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1,037</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11,170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5,043</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9,766</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12,438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10,373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11,483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40,168</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1,069</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937</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(2,203)</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11,310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(2,188)</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47,344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RIS and RMD segment sales disaggregated by contract type for the quarters ended September 30, 2021 and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0" w:type="dxa"/>
            <w:vAlign w:val="bottom"/>
          </w:tcPr>
          <w:p>
            <w:pPr>
              <w:spacing w:after="0"/>
              <w:rPr>
                <w:sz w:val="1"/>
                <w:szCs w:val="1"/>
                <w:color w:val="auto"/>
              </w:rPr>
            </w:pPr>
          </w:p>
        </w:tc>
      </w:tr>
      <w:tr>
        <w:trPr>
          <w:trHeight w:val="188"/>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1,506</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3,427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Inter-segments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3,740</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3,902</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RIS and RMD segment sales disaggregated by contract type for the nine months ended September 30, 2021 and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0" w:type="dxa"/>
            <w:vAlign w:val="bottom"/>
          </w:tcPr>
          <w:p>
            <w:pPr>
              <w:spacing w:after="0"/>
              <w:rPr>
                <w:sz w:val="1"/>
                <w:szCs w:val="1"/>
                <w:color w:val="auto"/>
              </w:rPr>
            </w:pPr>
          </w:p>
        </w:tc>
      </w:tr>
      <w:tr>
        <w:trPr>
          <w:trHeight w:val="188"/>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4,533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5,840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4,429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3,776</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10,373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6,557</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7,091</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Inter-segments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937</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11,310</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11,680</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Remaining Performance Obligations (RPO)</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RPO represent the aggregate amount of total contract transaction price that is unsatisfied or partially unsatisfied. Total RPO was $156.1 billion and $150.1 billion as of September 30, 2021 and December 31, 2020, respectively. Of the total RPO as of September 30, 2021, we expect approximately 30% will be recognized as sales over the next 12 months. This percentage of RPO to be recognized as sales over the next 12 months depends on future developments, which are highly uncertain and cannot be predicted, including new information which may continue to emerge concerning the scope, severity and duration of the COVID-19 pandemic, as well as any worsening of the pandemic, the effect of additional variants, the efficacy, acceptance, distribution and availability of vaccines, new or continued actions to contain the pandemic’s spread or treat its impact, and governmental, business and individual personal actions taken in response to the pandemic, which may result in customer delays or order cancellations.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Accounting Pronouncements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2016, the Financial Accounting Standards Board (FASB) issued Accounting Standards Update (ASU) 2016-13, Financial Instruments - Credit Losses (Topic 326): Measurement of Credit Losses on Financial Instruments. This ASU and its related amendments (collectively, the Credit Loss Standard) modifies the impairment model to utilize an expected loss methodology in place of the incurred loss methodology for financial instruments, including trade receivables, contract assets and off-balance sheet credit exposures. The Credit Loss Standard requires consideration of a broader range of information to estimate expected credit losses, including historical information, current economic conditions and a reasonable forecast period. This ASU requires that the statement of operations reflect estimates of expected credit losses for newly recognized financial assets as well as changes in the estimate of expected credit losses that have taken place during the period, which may result in earlier recognition of certain losses. We adopted this standard effective January 1, 2020 utilizing a modified retrospective approach. A cumulative-effect non-cash adjustment to retained earnings as of January 1, 2020 was recorded in the amount of $59 million. The adoption of this standard did not have a material impact on the Company’s Condensed Consolidated Financial Statements.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amendments in this update remove certain exceptions of Topic 740 including the exception to the incremental approach for intraperiod tax allocation when there is a loss from continuing operations and income from other items; the exception to the requirement to recognize a deferred tax liability for equity method investments when a foreign subsidiary becomes an equity method investment; the exception to the ability to reverse a deferred tax liability for a foreign subsidiary when a foreign equity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method investment becomes a subsidiary; and the exception to the general methodology for calculating income taxes in an interim period when a year-to-date loss exceeds the anticipated loss for the year. There are also additional areas of guidance related to franchise and other taxes partially based on income and the interim recognition of enactment of tax laws and rate changes. We adopted the new standard effective January 1, 2021. The adoption of this standard did not, and is not expected to, have an impact on the Company’s Condensed Consolidated Financial Statements.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new pronouncements issued but not effective until after September 30, 2021 are not expected to have a material impact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unaudited condensed consolidated financial information of Raytheon Technologies for the quarters and nine months ended September 30, 2021 and 2020, PricewaterhouseCoopers LLP (PwC) reported that it has applied limited procedures in accordance with professional standards for a review of such information. However, its report dated October 26, 2021,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0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Raytheon Technologies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Interim Financial Information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reviewed the accompanying condensed consolidated balance sheet of Raytheon Technologies Corporation and its subsidiaries (the “Company”) as of September 30, 2021, and the related condensed consolidated statements of operations, of comprehensive income (loss), and of changes in equity for the three-month and nine-month periods ended September 30, 2021 and 2020 and the condensed consolidated statement of cash flows for the nine-month periods ended September 30, 2021 and 2020,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Company as of December 31, 2020, and the related consolidated statements of operations, of comprehensive income (loss), of changes in equity and of cash flows for the year then ended (not presented herein), and in our report dated February 8, 2021, which included a paragraph describing a change in the manner of accounting for leases in the 2019 financial statements, we expressed an unqualified opinion on those consolidated financial statements. In our opinion, the information set forth in the accompanying condensed consolidated balance sheet as of December 31, 2020, is fairly stated, in all material respects, in relation to the consolidated balance sheet from which it has been derived.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global premier systems provider of high technology products and services to the aerospace and defense industries. On April 3, 2020, United Technologies Corporation (UTC) completed the separation of its business into three independent, publicly traded companies – UTC, Carrier Global Corporation (Carrier) and Otis Worldwide Corporation (Otis)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effective at 12:01 a.m., Eastern Time, on April 3, 2020. Immediately following the Separation Transactions and Distributions, on April 3, 2020, UTC and Raytheon Company completed their all-stock merger of equals transaction (the Raytheon Merger), pursuant to which Raytheon Company became a wholly-owned subsidiary of UTC and UTC was renamed Raytheon Technologies Corporation (RTC). As a result of these transactions, we now operate in four principal business segments: Collins Aerospace Systems (Collins Aerospace), Pratt &amp; Whitney, Raytheon Intelligence &amp; Space (RIS) and Raytheon Missiles &amp; Defense (RMD).</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UTC was determined to be the accounting acquirer in the Raytheon Merger, and, as a result, the financial statements of Raytheon Technologies include Raytheon Company’s financial position and results of operations for all periods subsequent to the completion of the Raytheon Merger on April 3, 2020. RIS and RMD follow a 4-4-5 fiscal calendar while Collins Aerospace and Pratt &amp; Whitney continue to use a quarter calendar end of September 30, 2021. Throughout this Quarterly Report on Form 10-Q, when we refer to the quarters ended September 30, 2021 and September 30, 2020 with respect to RIS or RMD, we are referring to their October 3, 2021 and September 27, 2020 fiscal quarter ends, respectively. The historical results of Carrier and Otis are presented as discontinued operations and, as such, have been excluded from both continuing operations and segment results for all periods presented. See “Note 3: Discontinued Operations” within Item 1 of this Form 10-Q for additional information. Throughout this Quarterly Report on Form 10-Q, unless otherwise indicated, amounts and activity are presented on a continuing operations basis.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status of significant factors affecting our business environment in 2021 is discussed below. For additional discussion, refer to the “Business Overview” section in Management’s Discussion and Analysis of Financial Condition and Results of Operations (MD&amp;A) in our 2020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Considerations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on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Government legislation, policies and regulations, including regulations related to global warming, carbon footprint and fuel efficiency, can have a negative impact on our worldwide operations. Government and industry-driven safety and performance regulations, restrictions on aircraft engine noise and emissions, government imposed travel restrictions, and government procurement practices can impact our businesses.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Collins Aerospace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operations’ customers are covered under long-term aftermarket service agreements at both Collins Aerospace and Pratt &amp; Whitney, which are inclusive of both spare parts and services.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RIS, RMD, and the defense operations of Collins Aerospace and Pratt &amp; Whitney are affected by U.S. Department of Defense (DoD) budget and spending levels, changes in demand, changes in policy positions or priorities from a new U.S. Administration and the global political environment. Total sales to the U.S. government, excluding foreign military sales, were $7.7 billion for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both the quarters ended September 30, 2021 and 2020, or 48% and 53% of total net sales for those periods, respectively. Total sales to the U.S. government were $23.2 billion and $17.6 billion for the nine months ended September 30, 2021 and 2020, or 49% and 44% of total sales for those periods,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Impact of the COVID-19 Pandemic</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2020, the coronavirus disease 2019 (COVID-19) negatively impacted the global economy, our business and operations, and the industries in which we operate. The continued disruption to air travel and commercial activities and the significant restrictions and limitations on businesses, particularly within the aerospace and commercial airline industries, have negatively impacted global supply, demand and distribution capabilities. In particular, the unprecedented decrease in air travel resulting from the COVID-19 pandemic has adversely affected our airline and airframer customers, and their demand for the products and services of our Collins Aerospace and Pratt &amp; Whitney businesses.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nine months ended September 30, 2020 we recorded write-downs of assets and significant unfavorable Estimate at Completion (EAC) adjustments in our Collins Aerospace and Pratt &amp; Whitney businesses primarily related to:</w:t>
      </w:r>
    </w:p>
    <w:p>
      <w:pPr>
        <w:spacing w:after="0" w:line="1" w:lineRule="exact"/>
        <w:rPr>
          <w:sz w:val="20"/>
          <w:szCs w:val="20"/>
          <w:color w:val="auto"/>
        </w:rPr>
      </w:pPr>
    </w:p>
    <w:p>
      <w:pPr>
        <w:ind w:left="660" w:right="20" w:hanging="328"/>
        <w:spacing w:after="0" w:line="265" w:lineRule="auto"/>
        <w:tabs>
          <w:tab w:leader="none" w:pos="655"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color w:val="auto"/>
        </w:rPr>
        <w:t>Goodwill impairment charges of $3.2 billion in the quarter ended June 30, 2020 related to two of our Collins Aerospace reporting units. Refer to “Note 2: Acquisitions, Dispositions, Goodwill and Intangible Assets” within Item 1 of this Form 10-Q for additional information,</w:t>
      </w: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estimated credit losses on both our receivables and contract assets of $48 million and $357 million in the quarter and nine months ended September 30, 2020, respectively,</w:t>
      </w:r>
    </w:p>
    <w:p>
      <w:pPr>
        <w:ind w:left="660" w:hanging="328"/>
        <w:spacing w:after="0" w:line="265"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unfavorable EAC adjustment $334 million on a Pratt &amp; Whitney commercial engine aftermarket contract due to lower estimated revenues driven by a change in the estimated maintenance coverage period in both the quarter and nine months ended September 30, 2020,</w:t>
      </w:r>
    </w:p>
    <w:p>
      <w:pPr>
        <w:jc w:val="both"/>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 asset and inventory impairments at Collins Aerospace due to the impact of lower estimated future customer activity resulting from the expected acceleration of fleet retirements of a commercial aircraft of $13 million and $146 million in the quarter and nine months ended September 30, 2020, respectively,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unfavorable EAC adjustment of $129 million related to lower estimated revenues due to the restructuring of a customer contract at Pratt &amp; Whitney in both the quarter and nine months ended September 30, 2020,</w:t>
      </w: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$89 million impairment of commercial aircraft program assets at Pratt &amp; Whitney in both the quarter and nine months ended September 30, 2020,</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impairment of a Collins Aerospace trade name of $57 million in total, in the first and second quarters of 2020,</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EAC adjustments on commercial aftermarket contracts at Pratt &amp; Whitney based on a change in estimated future customer activity of $48 million in total, in the second and third quarters of 2020, and</w:t>
      </w:r>
    </w:p>
    <w:p>
      <w:pPr>
        <w:ind w:left="660" w:right="2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unfavorable EAC adjustment at Pratt &amp; Whitney related to a shift in overhead costs to military contracts of $44 million in the second quarter of 2020.</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RIS and RMD businesses, although experiencing minor impacts, have not experienced significant business disruptions as a result of the COVID-19 pandemic.</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Given the significant reduction in business and leisure passenger air travel, continued travel restrictions that have resulted from the ongoing COVID-19 pandemic, and the resulting impacts on our customers and their business activities, we expect our future operating results, particularly those of our Collins Aerospace and Pratt &amp; Whitney businesses, to continue to be negatively impacted when compared to pre-COVID-19 (2019) results.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continues to be uncertainty with respect to the point at which commercial air traffic capacity will return to and/or exceed pre-COVID-19 levels. We have seen indications that commercial air travel is continuing to recover in certain areas of demand; however, other areas continue to lag. In addition, while global vaccination rates have increased, infection from COVID-19 variants have continued, which may impact the pace of the commercial aerospace recovery. However, we continue to estimate that a full recovery may occur in 2023 or 2024. New information may continue to emerge concerning the scope, severity and duration of the COVID-19 pandemic, as well as any worsening of the pandemic, the effect of additional variants, the efficacy, acceptance, distribution and availability of vaccines, new or continued actions to contain the pandemic’s spread or treat its impact, and governmental, business and individual personal actions taken in response to the pandemic (including restrictions and limitations on travel and transportation, and changes in leisure and business travel patterns and work environments) among others. Some of these actions and related impacts may be trends that continue in the future even after the pandemic no longer poses a significant public health risk. As our commercial aerospace business begins to recover, we expect certain employee-related and discretionary costs, which were subject to prior year cost reduction actions, to return in 2021 and beyond. A recovery may also impact our judgments around credit risk related to estimated credit losses.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24, 2021, in furtherance of an executive order, the U.S. Safer Federal Workforce Task Force (Task Force) issued guidance requiring federal contractors and subcontractors to comply with COVID-19 safety protocols, including requiring certain employees to be fully vaccinated against COVID-19 by December 8, 2021 except in limited circumstances. The vaccination requirements will be incorporated in new government contracts, renewals, extensions and other modifications signed on and after October 15, 2021, and will apply to employees working on or in connection with such contracts, as well as to employees working at a location at which an employee working on such contract is likely to be present. We had previously announced an internal vaccine mandate with a January 1, 2022 deadline for all U.S. based employees. We do not expect all of our employees who are covered by the U.S. federal contractor mandate to become fully vaccinated by December 8, 2021, but we will comply with the requirements of the Task Force’s implementing guidance and the associated executive order. While this mandate may have an impact on our operations, we do not expect this to have a material adverse effect on our financial condition, results of operations or liquidity. Our ability to perform on our contracts is also dependent upon our subcontractors and suppliers. Our subcontractors and suppliers who are subject to the U.S. federal contractor vaccine mandate may be impacted by an inability to comply or loss of personnel, which could disrupt subcontractor or supplier performance or deliveries, and negatively impact our business.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March 2021, Congress passed the American Rescue Plan Act of 2021 (ARPA) which included pension funding relief provisions. For further discussion, refer to the “FAS/CAS operating adjustment” subsection under the “Segment Review” section below. We continue to monitor for any ongoing government guidance related to COVID-19 that may be issued.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Matters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Global economic and political conditions, changes in raw material and commodity prices, interest rates, foreign currency exchange rates, energy costs, levels of air travel, the financial condition of commercial airlines, and the impact from natural disasters and weather conditions create uncertainties that could impact our business for the remainder of 2021 and in the future. With regard to political conditions, in July 2019, the U.S. government suspended Turkey’s participation in the F-35 Joint Strike Fighter program because Turkey accepted delivery of the Russian-built S-400 air and missile defense system. The U.S. has imposed, and may impose additional, sanctions on Turkey as a result of this or other political disputes. Turkish companies supply us with components, some of which are sole-sourced, primarily in our aerospace operations for commercial and military engines and aerospace products. Depending upon the scope and timing of U.S. sanctions on Turkey and potential reciprocal actions, if any, such sanctions or actions could impact our sources of supply and could have a material adverse effect on our results of operations, cash flows or financial condition. In addition, in October 2020, the People’s Republic of China (China) announced that it may sanction RTC in connection with a possible Foreign Military Sale to Taiwan of six MS-110 Reconnaissance Pods and related equipment manufactured by Collins Aerospace. Foreign Military Sales are government-to-government transactions that are initiated by, and carried out at the direction of, the U.S. government. To date, the Chinese government has not imposed sanctions on RTC or indicated the nature or timing of any future potential sanctions or other actions. If China were to impose sanctions or take other regulatory action against RTC, our suppliers, affiliates or partners, it could potentially disrupt our business operations. The impact of potential sanctions or other actions by China cannot be determined at this time.</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 in the U.S. administration could result in changes to the U.S. government’s foreign policies that may impact regulatory approval for direct commercial sales contracts for certain of our products and services to certain foreign customers. Likewise, regulatory approvals previously granted for prior sales can be paused or revoked if the products and services have not yet been delivered to the customer. If we ultimately do not receive all of the regulatory approvals, or those approvals are revoked, it could have a material effect on our financial results. In particular, as of September 30, 2021, our contract liabilities include approximately $440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U.S. (federal or state) or international tax laws and regulations, or their interpretation and application, including the amortization for research or experimental expenditures, could significantly impact our provision for income taxes, the amount of taxes payable, and our deferred tax asset and liability balances. Recent proposals to increase the U.S. corporate income tax rate would require us to revalue our deferred tax assets and liabilities upon enactment of new tax legislation, which may result in a material, one-time, noncash increase in income tax expense as well as material increases to our income tax expense and payments in subsequent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in our 2020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2020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our “Cautionary Note Regarding Forward-Looking Statements” in this Form 10-Q, our interim period results of operations and period-to-period comparisons of such results, particularly at a segment level, may not be indicative of our future operating results. The following discussions of comparative results among periods, including the discussion of segment results, should be viewed in this context. As discussed further above in “Business Overview,” the results of RIS and RMD reflect the period subsequent to the completion of the Raytheon Merger on April 3, 2020. As such, the results of RIS and RMD for the second quarter of 2020 exclude results prior to the merger date, the estimated impact of which is approximately $400 million of sales and approximately $45 million of operating profit. These amounts have been excluded from the nine months ended September 30, 2021 organic changes disclosed throughout our Results of Operations discussion. In addition, as a result of the Separation Transactions and the Distributions, the historical results of Carrier and Otis are presented as discontinued operations and, as such, have been excluded from both continuing operations and segment results for all periods presented.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Quarter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31"/>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16,213</w:t>
            </w:r>
          </w:p>
        </w:tc>
        <w:tc>
          <w:tcPr>
            <w:tcW w:w="11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14,747</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47,344</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factors contributing to the total change year-over-year in total net sales for the quarter and nine months ended September 30, 2021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60" w:type="dxa"/>
            <w:vAlign w:val="bottom"/>
          </w:tcPr>
          <w:p>
            <w:pPr>
              <w:spacing w:after="0"/>
              <w:rPr>
                <w:sz w:val="14"/>
                <w:szCs w:val="14"/>
                <w:color w:val="auto"/>
              </w:rPr>
            </w:pPr>
          </w:p>
        </w:tc>
        <w:tc>
          <w:tcPr>
            <w:tcW w:w="1520" w:type="dxa"/>
            <w:vAlign w:val="bottom"/>
          </w:tcPr>
          <w:p>
            <w:pPr>
              <w:jc w:val="right"/>
              <w:ind w:right="296"/>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48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4"/>
              </w:rPr>
              <w:t>September 30, 2021</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1,664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28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6,988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change</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1,466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7,176</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52" w:lineRule="auto"/>
        <w:tabs>
          <w:tab w:leader="none" w:pos="348"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provide the organic change in net sales for our consolidated results of operations.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fluctuations and other significant non-recurring and non-operational items (“Other”). A reconciliation of this measure to reported U.S Generally Accepted Accounting Principles (GAAP) amounts is provided in the table above.</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increased $1,664 million organically in the quarter ended September 30, 2021 compared to the quarter ended September 30, 2020 primarily due to higher organic sales of $1.2 billion at Pratt &amp; Whitney and $0.4 billion at Collins Aerospace. The increase at Pratt &amp; Whitney was primarily driven by higher commercial aftermarket sales, primarily due to an increase in shop visits and related spare part sales, and higher commercial OEM sales, primarily due to an increase in commercial engine deliveries, all driven by the recovery from the prior year’s unfavorable economic environment largely due to the COVID-19 pandemic. The increase in Pratt &amp; Whitney commercial aftermarket sales was also due to the absence of unfavorable contract adjustments of $0.3 billion in the prior year. The increase at Collins Aerospace was primarily driven by higher commercial aerospace aftermarket sales primarily due to an increase in flight hours and aircraft fleet utilization as commercial aerospace continues to recover from the prior year’s unfavorable economic environment principally driven by the COVID-19 pandemic. The $215 million decrease in net sales related to Acquisitions and divestitures, net for the quarter ended September 30, 2021 compared to the quarter ended September 30, 2020, was primarily driven by the sale of our Forcepoint business in the first quarter of 2021.</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Organic sales in the nine months ended September 30, 2021 were relatively consistent compared to the nine months ended September 30, 2020 as higher organic sales of $0.6 billion at Pratt &amp; Whitney and $0.5 billion at RMD were offset by lower organic sales of $1.1 billion at Collins Aerospace. The higher organic sales at Pratt &amp; Whitney were primarily driven by higher commercial aftermarket sales, primarily due to an increase in shop visits and related spare part sales, principally driven by recovery from the prior year’s unfavorable economic environment principally driven by the COVID-19 pandemic. The increase in Pratt &amp; Whitney commercial aftermarket sales was also due to the absence of unfavorable contract adjustments of $0.3 billion in the prior year. The higher organic sales at RMD were primarily driven by higher sales on an international Patriot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program, higher sales to an international customer primarily for National Advanced Surface to Air Missile System (NASAMS), higher sales on the Advanced Medium-Range Air-to-Air Missile (AMRAAM) program and higher sales on the StormBreaker program, partially offset by lower sales on direct commercial sales contracts for precision guided munitions with a Middle East customer. The lower organic sales at Collins Aerospace was primarily driven by lower commercial aerospace OEM sales and lower commercial aerospace aftermarket sales, primarily due to the change in the economic environment principally driven by the COVID-19 pandemic. The $6,988 million increase in net sales related to Acquisitions and divestitures, net for the nine months ended September 30, 2021 compared to the nine months ended September 30, 2020, was primarily driven by the Raytheon Merger on April 3, 2020, partially offset by the sale of our Forcepoint business in the first quarter of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Arial" w:cs="Arial" w:eastAsia="Arial" w:hAnsi="Arial"/>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7"/>
              <w:spacing w:after="0"/>
              <w:rPr>
                <w:sz w:val="20"/>
                <w:szCs w:val="20"/>
                <w:color w:val="auto"/>
              </w:rPr>
            </w:pPr>
            <w:r>
              <w:rPr>
                <w:rFonts w:ascii="Arial" w:cs="Arial" w:eastAsia="Arial" w:hAnsi="Arial"/>
                <w:sz w:val="18"/>
                <w:szCs w:val="18"/>
                <w:b w:val="1"/>
                <w:bCs w:val="1"/>
                <w:color w:val="auto"/>
              </w:rPr>
              <w:t>12,331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76.1 %</w:t>
            </w:r>
          </w:p>
        </w:tc>
        <w:tc>
          <w:tcPr>
            <w:tcW w:w="1080" w:type="dxa"/>
            <w:vAlign w:val="bottom"/>
          </w:tcPr>
          <w:p>
            <w:pPr>
              <w:jc w:val="right"/>
              <w:spacing w:after="0"/>
              <w:rPr>
                <w:sz w:val="20"/>
                <w:szCs w:val="20"/>
                <w:color w:val="auto"/>
              </w:rPr>
            </w:pPr>
            <w:r>
              <w:rPr>
                <w:rFonts w:ascii="Arial" w:cs="Arial" w:eastAsia="Arial" w:hAnsi="Arial"/>
                <w:sz w:val="18"/>
                <w:szCs w:val="18"/>
                <w:color w:val="auto"/>
              </w:rPr>
              <w:t>77.8 %</w:t>
            </w: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3,882</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23.9 %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16,213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14,747</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19: Segment Financial Data” within Item 1 of this Form 10-Q for the composition of external net sales by products and services by segment.</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products sales increased $862 million in the quarter ended September 30, 2021 compared to the quarter ended September 30, 2020 primarily due to an increase in external products sales of $0.7 billion at Pratt &amp; Whitney.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services sales increased $604 million in the quarter ended September 30, 2021 compared to the quarter ended September 30, 2020 primarily due to an increase in external services sales of $0.5 billion at Pratt &amp; Whitney.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7"/>
              <w:spacing w:after="0"/>
              <w:rPr>
                <w:sz w:val="20"/>
                <w:szCs w:val="20"/>
                <w:color w:val="auto"/>
              </w:rPr>
            </w:pPr>
            <w:r>
              <w:rPr>
                <w:rFonts w:ascii="Arial" w:cs="Arial" w:eastAsia="Arial" w:hAnsi="Arial"/>
                <w:sz w:val="18"/>
                <w:szCs w:val="18"/>
                <w:b w:val="1"/>
                <w:bCs w:val="1"/>
                <w:color w:val="auto"/>
              </w:rPr>
              <w:t>36,174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30,402</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76.4 %</w:t>
            </w:r>
          </w:p>
        </w:tc>
        <w:tc>
          <w:tcPr>
            <w:tcW w:w="1080" w:type="dxa"/>
            <w:vAlign w:val="bottom"/>
          </w:tcPr>
          <w:p>
            <w:pPr>
              <w:jc w:val="right"/>
              <w:spacing w:after="0"/>
              <w:rPr>
                <w:sz w:val="20"/>
                <w:szCs w:val="20"/>
                <w:color w:val="auto"/>
              </w:rPr>
            </w:pPr>
            <w:r>
              <w:rPr>
                <w:rFonts w:ascii="Arial" w:cs="Arial" w:eastAsia="Arial" w:hAnsi="Arial"/>
                <w:sz w:val="18"/>
                <w:szCs w:val="18"/>
                <w:color w:val="auto"/>
              </w:rPr>
              <w:t>75.7 %</w:t>
            </w: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11,170</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9,766</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23.6 %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47,344</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40,168</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products sales increased $5,772 million in the nine months ended September 30, 2021 compared to the nine months ended September 30, 2020 primarily due to an increase in external products sales of $4.0 billion at RMD and $2.9 billion at RIS, both primarily due to the Raytheon Merger on April 3, 2020, and an increase in external products sales of $0.6 billion at Pratt &amp; Whitney, partially offset by a decrease in external products sales of $1.5 billion at Collins Aerospace.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services sales increased $1,404 million in the nine months ended September 30, 2021 compared to the nine months ended September 30, 2020 primarily due to an increase in external services sales of $0.9 billion at RIS and $0.4 billion at RMD, both primarily due to the Raytheon Merger on April 3,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sales to major customers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of Total Net Sales</w:t>
            </w:r>
          </w:p>
        </w:tc>
        <w:tc>
          <w:tcPr>
            <w:tcW w:w="980" w:type="dxa"/>
            <w:vAlign w:val="bottom"/>
            <w:tcBorders>
              <w:bottom w:val="single" w:sz="8" w:color="auto"/>
            </w:tcBorders>
          </w:tcPr>
          <w:p>
            <w:pPr>
              <w:spacing w:after="0"/>
              <w:rPr>
                <w:sz w:val="16"/>
                <w:szCs w:val="16"/>
                <w:color w:val="auto"/>
              </w:rPr>
            </w:pPr>
          </w:p>
        </w:tc>
      </w:tr>
      <w:tr>
        <w:trPr>
          <w:trHeight w:val="18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48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7,737</w:t>
            </w:r>
          </w:p>
        </w:tc>
        <w:tc>
          <w:tcPr>
            <w:tcW w:w="94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47.7 %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1,364</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Arial" w:cs="Arial" w:eastAsia="Arial" w:hAnsi="Arial"/>
                <w:sz w:val="18"/>
                <w:szCs w:val="18"/>
                <w:b w:val="1"/>
                <w:bCs w:val="1"/>
                <w:color w:val="auto"/>
              </w:rPr>
              <w:t>8.4 %</w:t>
            </w:r>
          </w:p>
        </w:tc>
        <w:tc>
          <w:tcPr>
            <w:tcW w:w="9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1,242</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7.7 %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5,870</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36.2 %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30.1 %</w:t>
            </w: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16,213</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14,747</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4100" w:type="dxa"/>
            <w:vAlign w:val="bottom"/>
            <w:gridSpan w:val="6"/>
          </w:tcPr>
          <w:p>
            <w:pPr>
              <w:jc w:val="right"/>
              <w:ind w:right="1448"/>
              <w:spacing w:after="0"/>
              <w:rPr>
                <w:sz w:val="20"/>
                <w:szCs w:val="20"/>
                <w:color w:val="auto"/>
              </w:rPr>
            </w:pPr>
            <w:r>
              <w:rPr>
                <w:rFonts w:ascii="Arial" w:cs="Arial" w:eastAsia="Arial" w:hAnsi="Arial"/>
                <w:sz w:val="14"/>
                <w:szCs w:val="14"/>
                <w:b w:val="1"/>
                <w:bCs w:val="1"/>
                <w:color w:val="auto"/>
              </w:rPr>
              <w:t>Nine Months Ended September 30,</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4"/>
              </w:rPr>
              <w:t>% of Total Net Sales</w:t>
            </w:r>
          </w:p>
        </w:tc>
        <w:tc>
          <w:tcPr>
            <w:tcW w:w="980" w:type="dxa"/>
            <w:vAlign w:val="bottom"/>
          </w:tcPr>
          <w:p>
            <w:pPr>
              <w:spacing w:after="0"/>
              <w:rPr>
                <w:sz w:val="16"/>
                <w:szCs w:val="16"/>
                <w:color w:val="auto"/>
              </w:rPr>
            </w:pPr>
          </w:p>
        </w:tc>
      </w:tr>
      <w:tr>
        <w:trPr>
          <w:trHeight w:val="18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48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23,155</w:t>
            </w:r>
          </w:p>
        </w:tc>
        <w:tc>
          <w:tcPr>
            <w:tcW w:w="94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48.9 %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43.8 %</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4,156</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Arial" w:cs="Arial" w:eastAsia="Arial" w:hAnsi="Arial"/>
                <w:sz w:val="18"/>
                <w:szCs w:val="18"/>
                <w:b w:val="1"/>
                <w:bCs w:val="1"/>
                <w:color w:val="auto"/>
              </w:rPr>
              <w:t>8.8 %</w:t>
            </w:r>
          </w:p>
        </w:tc>
        <w:tc>
          <w:tcPr>
            <w:tcW w:w="98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3,735</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7.9 %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2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16,298</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16,872</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34.4 %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42.0 %</w:t>
            </w: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47,344</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40,168</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Cost of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796"/>
              <w:spacing w:after="0"/>
              <w:rPr>
                <w:sz w:val="20"/>
                <w:szCs w:val="20"/>
                <w:color w:val="auto"/>
              </w:rPr>
            </w:pPr>
            <w:r>
              <w:rPr>
                <w:rFonts w:ascii="Arial" w:cs="Arial" w:eastAsia="Arial" w:hAnsi="Arial"/>
                <w:sz w:val="14"/>
                <w:szCs w:val="14"/>
                <w:b w:val="1"/>
                <w:bCs w:val="1"/>
                <w:color w:val="auto"/>
              </w:rPr>
              <w:t>Quarter Ended September 30,</w:t>
            </w:r>
          </w:p>
        </w:tc>
        <w:tc>
          <w:tcPr>
            <w:tcW w:w="4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13,089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13,004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38,281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33,790</w:t>
            </w:r>
          </w:p>
        </w:tc>
      </w:tr>
      <w:tr>
        <w:trPr>
          <w:trHeight w:val="23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80.7 %</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88.2 %</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factors contributing to the change year-over-year in total cost of sales for the quarter and nine months ended September 30, 2021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760" w:type="dxa"/>
            <w:vAlign w:val="bottom"/>
          </w:tcPr>
          <w:p>
            <w:pPr>
              <w:spacing w:after="0"/>
              <w:rPr>
                <w:sz w:val="14"/>
                <w:szCs w:val="14"/>
                <w:color w:val="auto"/>
              </w:rPr>
            </w:pPr>
          </w:p>
        </w:tc>
        <w:tc>
          <w:tcPr>
            <w:tcW w:w="1540" w:type="dxa"/>
            <w:vAlign w:val="bottom"/>
          </w:tcPr>
          <w:p>
            <w:pPr>
              <w:jc w:val="right"/>
              <w:ind w:right="314"/>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48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4"/>
              </w:rPr>
              <w:t>September 30, 2021</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2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5,854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77" w:lineRule="auto"/>
        <w:tabs>
          <w:tab w:leader="none" w:pos="402"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provide the organic change in cost of sales for our consolidated results of operations. We believe that this measure is useful to investors because it provides transparency to the underlying performance of our business, which allows for better year-over-year comparability. The organic change excludes acquisitions and divestitures, net; restructuring costs; the FAS/CAS operating adjustment; costs related to certain acquisition accounting adjustments; and the effect of foreign currency exchange rate translation fluctuations and other significant non-recurring and non-operational items (“Other”). A reconciliation of this measure to reported U.S. GAAP amounts is provided in the table above.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organic increase in total cost of sales of $416 million for the quarter ended September 30, 2021 compared to the quarter ended September 30, 2020 was primarily driven by the organic sales increases at Pratt &amp; Whitney noted above. The change in organic cost of sales includes a decrease primarily due to favorable commercial aerospace aftermarket and OEM product mix at Collins Aerospace.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other cost of sales of $86 million for the quarter ended September 30, 2021 compared to the quarter ended September 30, 2020, is primarily driven by the absence of a prior year impairment of commercial aircraft program assets at Pratt &amp; Whitney for $89 million.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organic decrease in total cost of sales of $818 million for the nine months ended September 30, 2021 compared to the nine months ended September 30, 2020, was primarily driven by due to the organic sales decrease at Collins Aerospace noted above, partially offset by the organic sales increases at RMD and Pratt &amp; Whitney noted above. The increase in cost of sales related to Acquisitions and divestitures, net of $5,854 million for the nine months ended September 30, 2021 compared to the nine months ended September 30, 2020 is primarily driven by the Raytheon Merger on April 3, 2020, partially offset by the sale of our Forcepoint business in the first quarter of 2021 and the sale of the Collins Aerospace military GPS and space-based precision optics businesses in the third quarter of 2020.</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cost of sales for the nine months ended September 30, 2021 compared to the nine months ended September 30, 2020, includes the absence of a prior year impairment of commercial aircraft program assets at Pratt &amp; Whitney for $89 million, which was more than offset by an unfavorable impact of foreign exchange.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discussion on Restructuring costs see the “Restructuring Costs” section below. For further discussion on FAS/CAS operating adjustment see the “FAS/CAS operating adjustment” subsection under the “Segment Review” section below. For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discussion on Acquisition accounting adjustments, see the “Acquisition accounting adjustments” subsection under the “Segment Review” section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Arial" w:cs="Arial" w:eastAsia="Arial" w:hAnsi="Arial"/>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7"/>
              <w:spacing w:after="0"/>
              <w:rPr>
                <w:sz w:val="20"/>
                <w:szCs w:val="20"/>
                <w:color w:val="auto"/>
              </w:rPr>
            </w:pPr>
            <w:r>
              <w:rPr>
                <w:rFonts w:ascii="Arial" w:cs="Arial" w:eastAsia="Arial" w:hAnsi="Arial"/>
                <w:sz w:val="18"/>
                <w:szCs w:val="18"/>
                <w:b w:val="1"/>
                <w:bCs w:val="1"/>
                <w:color w:val="auto"/>
              </w:rPr>
              <w:t>10,296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63.5 %</w:t>
            </w:r>
          </w:p>
        </w:tc>
        <w:tc>
          <w:tcPr>
            <w:tcW w:w="108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2,793</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17.2 %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13,089</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80.7 %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88.2 %</w:t>
            </w:r>
          </w:p>
        </w:tc>
      </w:tr>
    </w:tbl>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products cost of sales in the quarter ended September 30, 2021 was relatively consistent compared to the quarter ended September 30, 2020. Included in the change was an increase in external products cost of sales at Pratt &amp; Whitney principally driven by the product sales increase noted above and a decrease in products cost of sales at Collins Aerospace primarily due to favorable commercial aerospace aftermarket and OEM product mix, a decrease in restructuring costs, and the impact of the sale of the military GPS and space-based precision optics businesses in the third quarter of 2020.</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services cost of sales in the quarter ended September 30, 2021 was relatively consistent compared to the quarter ended September 30, 2020. Included in the change was an increase in external services cost of sales at Pratt &amp; Whitney principally driven by the services sales increase noted above, largely offset by the absence of prior year significant unfavorable contract adjustments as discussed in the “Segment Review” section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7"/>
              <w:spacing w:after="0"/>
              <w:rPr>
                <w:sz w:val="20"/>
                <w:szCs w:val="20"/>
                <w:color w:val="auto"/>
              </w:rPr>
            </w:pPr>
            <w:r>
              <w:rPr>
                <w:rFonts w:ascii="Arial" w:cs="Arial" w:eastAsia="Arial" w:hAnsi="Arial"/>
                <w:sz w:val="18"/>
                <w:szCs w:val="18"/>
                <w:b w:val="1"/>
                <w:bCs w:val="1"/>
                <w:color w:val="auto"/>
              </w:rPr>
              <w:t>30,267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26,571</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63.9 %</w:t>
            </w:r>
          </w:p>
        </w:tc>
        <w:tc>
          <w:tcPr>
            <w:tcW w:w="1080" w:type="dxa"/>
            <w:vAlign w:val="bottom"/>
          </w:tcPr>
          <w:p>
            <w:pPr>
              <w:jc w:val="right"/>
              <w:spacing w:after="0"/>
              <w:rPr>
                <w:sz w:val="20"/>
                <w:szCs w:val="20"/>
                <w:color w:val="auto"/>
              </w:rPr>
            </w:pPr>
            <w:r>
              <w:rPr>
                <w:rFonts w:ascii="Arial" w:cs="Arial" w:eastAsia="Arial" w:hAnsi="Arial"/>
                <w:sz w:val="18"/>
                <w:szCs w:val="18"/>
                <w:color w:val="auto"/>
              </w:rPr>
              <w:t>66.1 %</w:t>
            </w: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8,014</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16.9 %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38,281</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33,790</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80.9 %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84.1 %</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products cost of sales increased $3,696 million in the nine months ended September 30, 2021 compared to the nine months ended September 30, 2020 primarily due to an increase in external products cost of sales at RMD and RIS principally due to the Raytheon Merger on April 3, 2020, partially offset by a decrease in external products cost of sales at Collins Aerospace, principally driven by the products sales decrease noted above.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services cost of sales increased $795 million in the nine months ended September 30, 2021 compared to the nine months ended September 30, 2020 primarily due to an increase in external services cost of sales at RIS and RMD principally due to the Raytheon Merger on April 3, 2020, partially offset by a decrease in external services cost of sales at Pratt &amp; Whitney, principally driven by the absence of prior year significant unfavorable contract adjustments as discussed in the “Segment Review” section below.</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Quarter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Company-funded</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676</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1,922</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1,872</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4.2 %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Customer-funded </w:t>
            </w:r>
            <w:r>
              <w:rPr>
                <w:rFonts w:ascii="Arial" w:cs="Arial" w:eastAsia="Arial" w:hAnsi="Arial"/>
                <w:sz w:val="23"/>
                <w:szCs w:val="23"/>
                <w:color w:val="auto"/>
                <w:vertAlign w:val="superscript"/>
              </w:rPr>
              <w:t>(1)</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1,125</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3,414</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3,032</w:t>
            </w: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7.2 %</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Customer-funded research and development costs are included in cost of sales in our Condensed Consolidated Statement of Operations.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company-funded research and development of $34 million for the quarter ended September 30, 2021 compared to the quarter ended September 30, 2020 was primarily driven by higher expenses of $37 million spread across various commercial programs at Pratt &amp; Whitney and higher expenses of $28 million at RIS related to continued investment in classified advanced capabilities, partially offset by lower expenses of $32 million within Eliminations and other primarily due to the sale of our Forcepoint business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customer-funded research and development of $82 million for the quarter ended September 30, 2021 compared to the quarter ended September 30, 2020, was primarily driven by lower expenses of $80 million on various commercial and military programs at Pratt &amp; Whitney.</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company-funded research and development of $50 million for the nine months ended September 30, 2021 compared to the nine months ended September 30, 2020 was primarily driven by $0.2 billion related to the Raytheon Merger on April 3, 2020, partially offset by lower expenses of $0.1 billion across various commercial programs at Collins Aerospace, which includes the impact of cost reduction initiatives.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customer-funded research and development of $382 million for the nine months ended September 30, 2021 compared to the nine months ended September 30, 2020, was primarily driven by $0.6 billion related to the Raytheon Merger on April 3, 2020, partially offset by lower expenses of $0.1 billion on various commercial and military programs at Pratt &amp; Whitney and lower expenses of $0.1 billion at Collins Aerospace primarily related to the sale of the military GPS and space-based precision optics businesses in the third quarter of 2020.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Arial" w:cs="Arial" w:eastAsia="Arial" w:hAnsi="Arial"/>
                <w:sz w:val="14"/>
                <w:szCs w:val="14"/>
                <w:b w:val="1"/>
                <w:bCs w:val="1"/>
                <w:color w:val="auto"/>
              </w:rPr>
              <w:t>Quarter Ended September 30,</w:t>
            </w:r>
          </w:p>
        </w:tc>
        <w:tc>
          <w:tcPr>
            <w:tcW w:w="400" w:type="dxa"/>
            <w:vAlign w:val="bottom"/>
          </w:tcPr>
          <w:p>
            <w:pPr>
              <w:spacing w:after="0"/>
              <w:rPr>
                <w:sz w:val="16"/>
                <w:szCs w:val="16"/>
                <w:color w:val="auto"/>
              </w:rPr>
            </w:pPr>
          </w:p>
        </w:tc>
        <w:tc>
          <w:tcPr>
            <w:tcW w:w="312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1,229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3,817</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4,189</w:t>
            </w: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2"/>
              </w:rPr>
              <w:t>10.4 %</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$172 million in the quarter ended September 30, 2021 compared to the quarter ended September 30, 2020 primarily driven by lower costs of $101 million due to the sale of our Forcepoint business in the first quarter of 2021, and lower selling, general and administrative restructuring costs of $88 million primarily related to restructuring actions taken at our Collins Aerospace and Pratt &amp; Whitney segments in the prior year.</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decreased $372 million in the nine months ended September 30, 2021 compared to the nine months ended September 30, 2020 primarily driven by $352 million of prior year charges related to increased estimates of expected credit losses due to customer bankruptcies and additional allowances for credit losses at our Pratt &amp; Whitney and Collins Aerospace segments, lower general and administrative restructuring costs of $257 million primarily related to restructuring actions taken at Collins Aerospace and Corporate in the prior year and lower costs of $184 million due to the sale of our Forcepoint business in the first quarter of 2021, partially offset by an increase in expenses of $0.4 billion related to the Raytheon Merger.</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continuously evaluating our cost structure and have implemented restructuring actions in an effort to keep our cost structure competitive. As appropriate, the amounts reflected above include the beneficial impact of previous restructuring actions on Selling, general and administrative expenses. See “Note 12: Restructuring Costs” within Item 1 of this Form 10-Q and Restructuring Costs, below, for further discussion.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r>
      <w:tr>
        <w:trPr>
          <w:trHeight w:val="231"/>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2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314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income, net includes equity earnings in unconsolidated entities, royalty income, foreign exchange gains and losses, and other ongoing and nonrecurring items. The decrease in Other income, net of $610 million for the quarter ended September 30, 2021, compared to the quarter ended September 30, 2020 was primarily due to the absence of $608 million of gains on the sales of the Collins Aerospace businesses in the third quarter of 2020, as further discussed in “Note 2: Acquisitions, Dispositions, Goodwill and Other Intangible Assets” within Item 1 of this Form 10-Q. Included in the change in Other income, net was a decrease of approximately $90 million of foreign government wage subsidies related to COVID-19 at Pratt &amp; Whitney and Collins Aerospace, with the remaining change spread across multiple items with no common or significant driver.</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Other income, net of $521 million for the nine months ended September 30, 2021 compared to the nine months ended September 30, 2020 was primarily due to the absence of $608 million of gains on the sales of the Collins Aerospace businesses in the third quarter of 2020, and a $121 million decrease in foreign government wage subsidies related to COVID-19 at Pratt &amp; Whitney and Collins Aerospace, partially offset by the absence of a prior year impairment of a Collins Aerospace tradename of $57 million resulting from the projected impact of COVID-19 with the remaining change spread across multiple items with no common or significant driver.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Operating Profit (Loss)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Quarter Ended 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1,343</w:t>
            </w:r>
          </w:p>
        </w:tc>
        <w:tc>
          <w:tcPr>
            <w:tcW w:w="116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3,638</w:t>
            </w:r>
          </w:p>
        </w:tc>
        <w:tc>
          <w:tcPr>
            <w:tcW w:w="108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(2,031)</w:t>
            </w: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 (loss) margin</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8.3 %</w:t>
            </w: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7.7 %</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Operating profit (loss) of $909 million for the quarter ended September 30, 2021 compared to the quarter ended September 30, 2020 was primarily driven by the operating performance at our segments as described below in the individual segment results. Included in the increase in Operating profit was a decrease in restructuring costs of $226 million primarily related to restructuring actions taken at our Collins Aerospace and Pratt &amp; Whitney segments in the prior year.</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change in Operating profit (loss) of $5,669 million for the nine months ended September 30, 2021 compared to the nine months ended September 30, 2020 was primarily driven by the absence of the prior year goodwill impairment loss of $3,183 million related to two Collins Aerospace reporting units, the operating performance at our operating segments almost half of which was due to the Raytheon Merger, and an increase in our FAS/CAS operating adjustment of $611 million primarily as a result of the Raytheon Merger. Included in the increase in Operating profit was a decrease in restructuring costs of $562 million primarily related to restructuring actions taken at our Collins Aerospace and Pratt &amp; Whitney segments in the prior year.</w:t>
      </w:r>
    </w:p>
    <w:p>
      <w:pPr>
        <w:spacing w:after="0" w:line="53"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u w:val="single" w:color="auto"/>
          <w:color w:val="auto"/>
        </w:rPr>
        <w:t>Non-service Pension (Income)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4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(dollars in millions)</w:t>
            </w:r>
          </w:p>
        </w:tc>
        <w:tc>
          <w:tcPr>
            <w:tcW w:w="7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31"/>
        </w:trPr>
        <w:tc>
          <w:tcPr>
            <w:tcW w:w="34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6"/>
              </w:rPr>
              <w:t>Non-service pension (income) expense</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b w:val="1"/>
                <w:bCs w:val="1"/>
                <w:color w:val="auto"/>
              </w:rPr>
              <w:t>(491)</w:t>
            </w:r>
          </w:p>
        </w:tc>
        <w:tc>
          <w:tcPr>
            <w:tcW w:w="120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b w:val="1"/>
                <w:bCs w:val="1"/>
                <w:color w:val="auto"/>
              </w:rPr>
              <w:t>(1,472)</w:t>
            </w: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Non-service pension (income) expense of $238 million for the quarter ended September 30, 2021 compared to the quarter ended September 30, 2020 was primarily driven by a decrease in the discount rate, the Raytheon domestic defined benefit pension plan amendment described below, and prior year pension asset returns exceeding our expected return on assets (EROA) assumption.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Non-service pension (income) expense of $814 million for the nine months ended September 30, 2021 compared to the nine months ended September 30, 2020 was primarily driven by the inclusion of the Raytheon Company plans as a result of the Raytheon Merger, and to a lesser extent, a decrease in the discount rate, prior year pension asset returns exceeding our EROA assumption and the Raytheon domestic defined benefit pension plan amendment described below.</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we approved a change to the Raytheon domestic defined benefit pension plans for non-union participants to cease future benefit accruals based on an employee’s years of service and compensation effective December 31, 2022. The plan change does not impact participants’ historical benefit accruals. Benefits for service after December 31, 2022 will be based on a cash balance formula.</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Quarter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367</w:t>
            </w:r>
          </w:p>
        </w:tc>
        <w:tc>
          <w:tcPr>
            <w:tcW w:w="116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1,070</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r>
      <w:tr>
        <w:trPr>
          <w:trHeight w:val="22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r>
      <w:tr>
        <w:trPr>
          <w:trHeight w:val="223"/>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358</w:t>
            </w:r>
          </w:p>
        </w:tc>
        <w:tc>
          <w:tcPr>
            <w:tcW w:w="116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1,046</w:t>
            </w:r>
          </w:p>
        </w:tc>
        <w:tc>
          <w:tcPr>
            <w:tcW w:w="11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interest expense rate</w:t>
            </w:r>
          </w:p>
        </w:tc>
        <w:tc>
          <w:tcPr>
            <w:tcW w:w="1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4.2 %</w:t>
            </w: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4.1 %</w:t>
            </w: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r>
    </w:tbl>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net in the quarter ended September 30, 2021, was relatively consistent with the quarter ended September 30, 2020. Included in interest expense was $32 million of net debt extinguishment costs in connection with the early repayment of outstanding principal, and a decrease in interest expense primarily due the repayment of long-term debt. The average maturity of long-term debt at September 30, 2021 is approximately 15 years.</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net in the nine months ended September 30, 2021, was relatively consistent with the nine months ended September 30, 2020. Included in interest expense was a $74 million unfavorable change in the mark-to-market fair value of marketable securities held in trusts associated with certain of our nonqualified deferred compensation and employee benefit plans and $32 million of net debt extinguishment costs in connection with the early repayment of outstanding principal, partially offset by a decrease in interest expense primarily due the repayment of long-term debt.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8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Quarter Ended 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r>
      <w:tr>
        <w:trPr>
          <w:trHeight w:val="187"/>
        </w:trPr>
        <w:tc>
          <w:tcPr>
            <w:tcW w:w="4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r>
      <w:tr>
        <w:trPr>
          <w:trHeight w:val="231"/>
        </w:trPr>
        <w:tc>
          <w:tcPr>
            <w:tcW w:w="5220" w:type="dxa"/>
            <w:vAlign w:val="bottom"/>
            <w:tcBorders>
              <w:bottom w:val="single" w:sz="8" w:color="auto"/>
            </w:tcBorders>
            <w:gridSpan w:val="2"/>
            <w:shd w:val="clear" w:color="auto" w:fill="CCEEFF"/>
          </w:tcPr>
          <w:p>
            <w:pPr>
              <w:jc w:val="right"/>
              <w:ind w:right="3308"/>
              <w:spacing w:after="0"/>
              <w:rPr>
                <w:sz w:val="20"/>
                <w:szCs w:val="20"/>
                <w:color w:val="auto"/>
              </w:rPr>
            </w:pPr>
            <w:r>
              <w:rPr>
                <w:rFonts w:ascii="Arial" w:cs="Arial" w:eastAsia="Arial" w:hAnsi="Arial"/>
                <w:sz w:val="18"/>
                <w:szCs w:val="18"/>
                <w:color w:val="auto"/>
                <w:w w:val="92"/>
              </w:rPr>
              <w:t>Effective income tax rate</w:t>
            </w:r>
          </w:p>
        </w:tc>
        <w:tc>
          <w:tcPr>
            <w:tcW w:w="178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b w:val="1"/>
                <w:bCs w:val="1"/>
                <w:color w:val="auto"/>
              </w:rPr>
              <w:t>0.2 %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b w:val="1"/>
                <w:bCs w:val="1"/>
                <w:color w:val="auto"/>
              </w:rPr>
              <w:t>17.0 %</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(31.5)%</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the quarter ended September 30, 2021 includes deferred tax benefits of $244 million associated with legal entity and operational reorganizations implemented in the third quarter. The effective tax rate for the quarter ended September 30, 2020 includes tax charges incremental to the U.S. statutory rate of $206 million associated with the sales of the Collins Aerospace businesses, as described in “Note 2: Acquisitions, Dispositions, Goodwill and Intangible Assets” within Item 1 of this Form 10-Q.</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effective tax rate for the nine months ended September 30, 2021 includes deferred tax benefits of $244 million associated with legal entity and operational reorganizations implemented in the third quarter, tax charges of $148 million associated with the sale of the Forcepoint business and tax charges of $73 million associated with the revaluation of deferred taxes resulting from the increase in the United Kingdom (U.K.) corporate tax rate to 25% effective in 2023. The loss from continuing operations before income taxes for the nine months ended September 30, 2020 includes the $3.2 billion goodwill impairment, as described in “Note 2: Acquisitions, Dispositions, Goodwill and Intangible Assets” within Item 1 of this Form 10-Q, most of which is non-deductible for tax purposes. The effective tax rate for the nine months ended September 30, 2020 also includes tax charges of $430 million resulting from the Separation Transactions or the Raytheon Merger, primarily related to the impairment of deferred tax assets and the revaluation of certain international tax incentives, and $228 million of tax charges incremental to the U.S. statutory rate associated with the sales of the Collins Aerospace and RIS businesses.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(Loss) from Continuing Operations Attributable to Common Shareowners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September 30,</w:t>
            </w:r>
          </w:p>
        </w:tc>
        <w:tc>
          <w:tcPr>
            <w:tcW w:w="340" w:type="dxa"/>
            <w:vAlign w:val="bottom"/>
          </w:tcPr>
          <w:p>
            <w:pPr>
              <w:spacing w:after="0"/>
              <w:rPr>
                <w:sz w:val="16"/>
                <w:szCs w:val="16"/>
                <w:color w:val="auto"/>
              </w:rPr>
            </w:pPr>
          </w:p>
        </w:tc>
        <w:tc>
          <w:tcPr>
            <w:tcW w:w="30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44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3"/>
              </w:rPr>
              <w:t>Net income (loss) from continuing operations attributable to</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1,400</w:t>
            </w:r>
          </w:p>
        </w:tc>
        <w:tc>
          <w:tcPr>
            <w:tcW w:w="4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3,212</w:t>
            </w:r>
          </w:p>
        </w:tc>
        <w:tc>
          <w:tcPr>
            <w:tcW w:w="4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shareowners</w:t>
            </w: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Diluted earnings (loss) per share from continuing operations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0.93</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2.13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from continuing operations attributable to common shareowners for the quarter ended September 30, 2021 includes the following:</w:t>
      </w:r>
    </w:p>
    <w:p>
      <w:pPr>
        <w:spacing w:after="0" w:line="35" w:lineRule="exact"/>
        <w:rPr>
          <w:sz w:val="20"/>
          <w:szCs w:val="20"/>
          <w:color w:val="auto"/>
        </w:rPr>
      </w:pPr>
    </w:p>
    <w:p>
      <w:pPr>
        <w:ind w:left="66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 accounting adjustments primarily related to the Raytheon Merger of $456 million, net of tax, which had an unfavorable impact on diluted earnings per share (EPS) from continuing operations of $0.30; and</w:t>
      </w:r>
    </w:p>
    <w:p>
      <w:pPr>
        <w:ind w:left="660" w:hanging="328"/>
        <w:spacing w:after="0" w:line="26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benefits of $244 million associated with legal entity and operational reorganizations implemented in the third quarter 2021, which had a favorable impact on diluted EPS from continuing operations of $0.16.</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from continuing operations attributable to common shareowners for the quarter ended September 30, 2020 includes the following:</w:t>
      </w:r>
    </w:p>
    <w:p>
      <w:pPr>
        <w:spacing w:after="0" w:line="35" w:lineRule="exact"/>
        <w:rPr>
          <w:sz w:val="20"/>
          <w:szCs w:val="20"/>
          <w:color w:val="auto"/>
        </w:rPr>
      </w:pPr>
    </w:p>
    <w:p>
      <w:pPr>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acquisition accounting adjustments primarily related to the Raytheon Merger of $401 million, net of tax, which had an unfavorable impact on diluted EPS from continuing operations of $0.27;</w:t>
      </w: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restructuring charges of $189 million, net of tax, which had an unfavorable impact on diluted EPS from continuing operations of $0.12;</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unfavorable contract adjustments primarily at Pratt &amp; Whitney of $430 million, net of tax, which had an unfavorable impact on diluted EPS from continuing operations of $0.28; and</w:t>
      </w:r>
    </w:p>
    <w:p>
      <w:pPr>
        <w:jc w:val="both"/>
        <w:ind w:left="660" w:hanging="328"/>
        <w:spacing w:after="0" w:line="255"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gains on the sales of the Collins Aerospace businesses of $253 million, net of tax, as further discussed in “Note 2: Acquisitions, Dispositions, Goodwill and Intangible Assets” within Item 1 of this Form 10-Q, which had a favorable impact on diluted EPS from continuing operations of $0.17.</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from continuing operations attributable to common shareowners for the nine months ended September 30, 2021 includes the following:</w:t>
      </w:r>
    </w:p>
    <w:p>
      <w:pPr>
        <w:spacing w:after="0" w:line="46" w:lineRule="exact"/>
        <w:rPr>
          <w:sz w:val="20"/>
          <w:szCs w:val="20"/>
          <w:color w:val="auto"/>
        </w:rPr>
      </w:pPr>
    </w:p>
    <w:p>
      <w:pPr>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 accounting adjustments primarily related to the Raytheon Merger of $1,257 million, net of tax, which had an unfavorable impact on diluted EPS from continuing operations of $0.83;</w:t>
      </w:r>
    </w:p>
    <w:p>
      <w:pPr>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benefits of $244 million associated with legal entity and operational reorganizations implemented in the third quarter 2021, which had a favorable impact on diluted EPS from continuing operations of $0.16;</w:t>
      </w:r>
    </w:p>
    <w:p>
      <w:pPr>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expense of $148 million related to the sale of our Forcepoint business, which had an unfavorable impact on diluted EPS from continuing operations of $0.10;</w:t>
      </w: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restructuring charges of $97 million, net of tax, which had an unfavorable impact on diluted EPS from continuing operations of $0.06;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expense of $73 million associated with the revaluation of deferred taxes resulting from the increase in the U.K. corporate tax rate to 25% effective in 2023, which had an unfavorable impact on diluted EPS from continuing operations of $0.05.</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from continuing operations attributable to common shareowners for the nine months ended September 30, 2020 includes the following:</w:t>
      </w:r>
    </w:p>
    <w:p>
      <w:pPr>
        <w:spacing w:after="0" w:line="46" w:lineRule="exact"/>
        <w:rPr>
          <w:sz w:val="20"/>
          <w:szCs w:val="20"/>
          <w:color w:val="auto"/>
        </w:rPr>
      </w:pPr>
    </w:p>
    <w:p>
      <w:pPr>
        <w:ind w:left="6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 accounting adjustments primarily related to the Raytheon Merger of $1,004 million, net of tax, which had an unfavorable impact on diluted EPS from continuing operations of $0.77;</w:t>
      </w: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restructuring charges of $517 million, net of tax, which had an unfavorable impact on diluted EPS from continuing operations of $0.39;</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$3,240 million of non-deductible goodwill and intangibles impairment charges related to our Collins Aerospace segment, which had an unfavorable impact on diluted EPS from continuing operations of $2.47;</w:t>
      </w:r>
    </w:p>
    <w:p>
      <w:pPr>
        <w:ind w:left="6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unfavorable contract adjustments at Collins Aerospace and Pratt &amp; Whitney of $603 million, net of tax, which had an unfavorable impact on diluted EPS from continuing operations of $0.48;</w:t>
      </w:r>
    </w:p>
    <w:p>
      <w:pPr>
        <w:ind w:left="6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$415 million of tax charges in connection with the Separation Transactions, including the impairment of deferred tax assets not expected to be utilized, which had an unfavorable impact on diluted EPS from continuing operations of $0.32;</w:t>
      </w:r>
    </w:p>
    <w:p>
      <w:pPr>
        <w:ind w:left="660" w:right="2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estimates of expected credit losses driven by customer bankruptcies and additional general allowances for credit losses of $272 million, net of tax, which had an unfavorable impact on diluted EPS from continuing operations of $0.21; and</w:t>
      </w:r>
    </w:p>
    <w:p>
      <w:pPr>
        <w:ind w:left="66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gains on the sales of the Collins Aerospace businesses of $253 million, net of tax, which had a favorable impact on diluted EPS from continuing operations of $0.19.</w:t>
      </w:r>
    </w:p>
    <w:p>
      <w:pPr>
        <w:spacing w:after="0" w:line="77" w:lineRule="exact"/>
        <w:rPr>
          <w:sz w:val="20"/>
          <w:szCs w:val="20"/>
          <w:color w:val="auto"/>
        </w:rPr>
      </w:pPr>
    </w:p>
    <w:p>
      <w:pPr>
        <w:ind w:left="2580"/>
        <w:spacing w:after="0"/>
        <w:rPr>
          <w:sz w:val="20"/>
          <w:szCs w:val="20"/>
          <w:color w:val="auto"/>
        </w:rPr>
      </w:pPr>
      <w:r>
        <w:rPr>
          <w:rFonts w:ascii="Arial" w:cs="Arial" w:eastAsia="Arial" w:hAnsi="Arial"/>
          <w:sz w:val="18"/>
          <w:szCs w:val="18"/>
          <w:b w:val="1"/>
          <w:bCs w:val="1"/>
          <w:i w:val="1"/>
          <w:iCs w:val="1"/>
          <w:u w:val="single" w:color="auto"/>
          <w:color w:val="auto"/>
        </w:rPr>
        <w:t>Net Income (Loss) from Discontinued Operations Attributable to Common Shareowners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Quarter Ended 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i w:val="1"/>
                <w:iCs w:val="1"/>
                <w:color w:val="auto"/>
                <w:w w:val="95"/>
              </w:rPr>
              <w:t>(dollars in millions, except per share amounts)</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ind w:left="480"/>
              <w:spacing w:after="0" w:line="170" w:lineRule="exact"/>
              <w:rPr>
                <w:sz w:val="20"/>
                <w:szCs w:val="20"/>
                <w:color w:val="auto"/>
              </w:rPr>
            </w:pPr>
            <w:r>
              <w:rPr>
                <w:rFonts w:ascii="Arial" w:cs="Arial" w:eastAsia="Arial" w:hAnsi="Arial"/>
                <w:sz w:val="18"/>
                <w:szCs w:val="18"/>
                <w:color w:val="auto"/>
              </w:rPr>
              <w:t>Net income (loss) from discontinued</w:t>
            </w:r>
          </w:p>
        </w:tc>
        <w:tc>
          <w:tcPr>
            <w:tcW w:w="1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operations attributable to common</w:t>
            </w:r>
          </w:p>
        </w:tc>
        <w:tc>
          <w:tcPr>
            <w:tcW w:w="1420" w:type="dxa"/>
            <w:vAlign w:val="bottom"/>
            <w:vMerge w:val="restart"/>
            <w:shd w:val="clear" w:color="auto" w:fill="CCEEFF"/>
          </w:tcPr>
          <w:p>
            <w:pPr>
              <w:jc w:val="right"/>
              <w:ind w:right="799"/>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(7)</w:t>
            </w:r>
          </w:p>
        </w:tc>
        <w:tc>
          <w:tcPr>
            <w:tcW w:w="1220" w:type="dxa"/>
            <w:vAlign w:val="bottom"/>
            <w:vMerge w:val="restart"/>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739"/>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(34)</w:t>
            </w:r>
          </w:p>
        </w:tc>
        <w:tc>
          <w:tcPr>
            <w:tcW w:w="1200" w:type="dxa"/>
            <w:vAlign w:val="bottom"/>
            <w:vMerge w:val="restart"/>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shareowners</w:t>
            </w:r>
          </w:p>
        </w:tc>
        <w:tc>
          <w:tcPr>
            <w:tcW w:w="14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480"/>
              <w:spacing w:after="0" w:line="176" w:lineRule="exact"/>
              <w:rPr>
                <w:sz w:val="20"/>
                <w:szCs w:val="20"/>
                <w:color w:val="auto"/>
              </w:rPr>
            </w:pPr>
            <w:r>
              <w:rPr>
                <w:rFonts w:ascii="Arial" w:cs="Arial" w:eastAsia="Arial" w:hAnsi="Arial"/>
                <w:sz w:val="18"/>
                <w:szCs w:val="18"/>
                <w:color w:val="auto"/>
                <w:w w:val="98"/>
              </w:rPr>
              <w:t>Diluted earnings (loss) per share from</w:t>
            </w:r>
          </w:p>
        </w:tc>
        <w:tc>
          <w:tcPr>
            <w:tcW w:w="1420" w:type="dxa"/>
            <w:vAlign w:val="bottom"/>
            <w:vMerge w:val="restart"/>
          </w:tcPr>
          <w:p>
            <w:pPr>
              <w:jc w:val="right"/>
              <w:ind w:right="799"/>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736"/>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5"/>
                <w:szCs w:val="15"/>
                <w:color w:val="auto"/>
              </w:rPr>
            </w:pPr>
          </w:p>
        </w:tc>
        <w:tc>
          <w:tcPr>
            <w:tcW w:w="1360" w:type="dxa"/>
            <w:vAlign w:val="bottom"/>
            <w:vMerge w:val="restart"/>
          </w:tcPr>
          <w:p>
            <w:pPr>
              <w:jc w:val="right"/>
              <w:ind w:right="739"/>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(0.03)</w:t>
            </w:r>
          </w:p>
        </w:tc>
        <w:tc>
          <w:tcPr>
            <w:tcW w:w="1200" w:type="dxa"/>
            <w:vAlign w:val="bottom"/>
            <w:vMerge w:val="restart"/>
          </w:tcPr>
          <w:p>
            <w:pPr>
              <w:jc w:val="right"/>
              <w:ind w:right="736"/>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7"/>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42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3, 2020, we completed the separation of our commercial businesses, Carrier and Otis. Effective as of such date, the historical results of the Carrier and Otis segments have been reclassified to discontinued operations for all periods presented. See “Note 3: Discontinued Operations” within Item 1 of this Form 10-Q for additional information.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net income (loss) from discontinued operations attributable to common shareowners of $120 million and the related change in diluted earnings (loss) per share from discontinued operations of $0.08 in the quarter ended September 30, 2021 compared to the quarter ended September 30, 2020 was primarily due to the absence of a prior year tax benefit associated with the Separation Transactions.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 in net income (loss) from discontinued operations attributable to common shareowners of $365 million and the related change in diluted earnings (loss) per share from discontinued operations of $0.27 in the nine months ended September 30, 2021 compared to the nine months ended September 30, 2020 was primarily due to higher prior year costs associated with the separation of our commercial businesses, including debt extinguishment costs of $611 million, net of tax, in connection with the early repayment of outstanding principal, partially offset by prior year Carrier and Otis operating activity, as the Separation Transactions occurred on April 3, 2020.</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(Loss) Attributable to Common Shareowners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Quarter Ended 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1,393</w:t>
            </w:r>
          </w:p>
        </w:tc>
        <w:tc>
          <w:tcPr>
            <w:tcW w:w="11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3,178</w:t>
            </w:r>
          </w:p>
        </w:tc>
        <w:tc>
          <w:tcPr>
            <w:tcW w:w="112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(3,654)</w:t>
            </w:r>
          </w:p>
        </w:tc>
      </w:tr>
      <w:tr>
        <w:trPr>
          <w:trHeight w:val="23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(loss) per share from operations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0.93</w:t>
            </w:r>
          </w:p>
        </w:tc>
        <w:tc>
          <w:tcPr>
            <w:tcW w:w="11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2.10</w:t>
            </w:r>
          </w:p>
        </w:tc>
        <w:tc>
          <w:tcPr>
            <w:tcW w:w="112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net income (loss) attributable to common shareowners and diluted earnings (loss) per share from operations for the quarter ended September 30, 2021 compared to the quarter ended September 30, 2020 was primarily driven by the increase in continuing operations, as discussed above in Net Income (Loss) from Continuing Operations Attributable to Common Shareowners, partially offset by the change from discontinued operations, as discussed above in Net Income (Loss) from Discontinued Operations Attributable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income (loss) attributable to common shareowners and diluted earnings (loss) per share from operations for the nine months ended September 30, 2021 compared to the nine months ended September 30, 2020 was driven by the increase in continuing operations, as discussed above in Net Income (Loss) from Continuing Operations Attributable to Common Shareowners and the change from discontinued operations, as discussed above in Net Income (Loss) from Discontinued Operations Attributable to Common Shareholders.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RESTRUCTURING COSTS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8"/>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31"/>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2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118</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recent mergers and acquisitions. Charges generally arise from severance related to workforce reductions and facility exit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2021 Actions. </w:t>
      </w:r>
      <w:r>
        <w:rPr>
          <w:rFonts w:ascii="Arial" w:cs="Arial" w:eastAsia="Arial" w:hAnsi="Arial"/>
          <w:sz w:val="17"/>
          <w:szCs w:val="17"/>
          <w:color w:val="auto"/>
        </w:rPr>
        <w:t>During the quarter and nine months ended September 30, 2021, we recorded net pre-tax restructuring charges of $12 million and $113</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respectively, primarily related to severance costs related to ongoing cost reduction efforts, and to a much lesser extent, the exit and consolidation of facilities initiated in 2021. We expect to incur additional restructuring charges of $74 million to complete these actions. We are targeting to complete the majority of the remaining workforce and facility related cost reduction actions initiated in 2021 by 2022. We expect recurring pre-tax savings related to these actions to reach approximately $130 million annually within one to two years. Approximately 60% of the restructuring costs will require cash payments, which we have funded and expect to continue to fund with cash generated from operations. During the nine months ended September 30, 2021, we had cash outflows of $9 million related to the 2021 actions.</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2020 Actions. </w:t>
      </w:r>
      <w:r>
        <w:rPr>
          <w:rFonts w:ascii="Arial" w:cs="Arial" w:eastAsia="Arial" w:hAnsi="Arial"/>
          <w:sz w:val="18"/>
          <w:szCs w:val="18"/>
          <w:color w:val="auto"/>
        </w:rPr>
        <w:t>During the quarters ended September 30, 2021 and 2020, we recorded $1 million and $240 million, respectively, of net pre-tax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for actions initiated in 2020. During the nine months ended September 30, 2021 and 2020, we reversed $19 million and recorded $686 million, respectively, of net pre-tax restructuring charges for actions initiated in 2020. We expect to incur additional restructuring charges of $7 million to complete these actions. We are targeting to complete in 2021 the majority of the remaining workforce and facility related cost reduction actions initiated in 2020. We expect annual recurring pre-tax savings related to these actions to reach approximately $1.2 billion annually within two years of initiating these actions. Approximately 85% of the restructuring costs will require cash payments, which we have funded and expect to continue to fund with cash generated from operations. During the nine months ended September 30, 2021 and 2020, we had cash outflows of $200 million and $222 million, respectively, related to the 2020 actions.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quarters ended September 30, 2021 and 2020, we recorded $6 million and $10 million, respectively, of net pre-tax restructuring charges for restructuring actions initiated in 2019 and prior. During the nine months ended September 30, 2021 and 2020, we recorded $24 million and reversed $1 million, respectively, of net pre-tax restructuring charges for restructuring actions initiated in 2019 and prior. For additional discussion of restructuring, see “Note 12: Restructuring Costs” within Item 1 of this Form 10-Q.</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REVIEW</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discussed further above in Business Overview, on April 3, 2020, we completed the Separation Transactions, Distributions and the Raytheon Merger. The results of RIS and RMD reflect the period subsequent to the completion of the Raytheon Merger on April 3, 2020. The historical results of Carrier and Otis are presented as discontinued operations and, as such, have been excluded from both continuing operations and segment results for all periods presented.</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announced, effective January 1, 2021, we reorganized certain product areas of our RIS and RMD businesses to more efficiently leverage our capabilities. The amounts and presentation of our business segments, including intersegment activity, set forth in this Form 10-Q reflect this reorganization. The reorganization does not impact our previously reported Collins Aerospace Systems and Pratt &amp; Whitney segment results, or our consolidated balance sheets, statements of operations or statements of cash flows. Refer to “Note 19: Segment Financial Data” within Item 1 of this Form 10-Q for revised financial results for the fiscal quarters and year ended 2020.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Raytheon Merger, we now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postretirement benefit (PRB) expense under U.S. government Cost Accounting Standards (CAS) primarily related to our RIS and RMD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segments. While the ultimate liability for pension and PRB costs under FAS and CAS is similar, the pattern of cost recognition is different. We generally expect to recover the related RIS and RMD pension and PRB liabilities over time through the pricing of our products and services to the U.S. government. Because the Collins Aerospace and Pratt &amp; Whitney segments generally record pension and PRB expense on a FAS basis, historical results were not impacted by this change in segment reporting.</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For our defense contracts, where the primary customer is the U.S. government subject to Federal Acquisition Regulation (FAR) part 12, our intercompany sales and profit is generally recorded at cost-plus a specified fee, which may differ from what the selling entity would be able to obtain on sales to external customers. Segment results exclude certain acquisition accounting adjustments, the FAS/CAS operating adjustment and certain corporate expenses, as further discussed below.</w:t>
      </w:r>
    </w:p>
    <w:p>
      <w:pPr>
        <w:spacing w:after="0" w:line="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Total Net Sales. </w:t>
      </w:r>
      <w:r>
        <w:rPr>
          <w:rFonts w:ascii="Arial" w:cs="Arial" w:eastAsia="Arial" w:hAnsi="Arial"/>
          <w:sz w:val="18"/>
          <w:szCs w:val="18"/>
          <w:color w:val="auto"/>
        </w:rPr>
        <w:t>Total net sales by segment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Quarter Ended September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4,592</w:t>
            </w:r>
          </w:p>
        </w:tc>
        <w:tc>
          <w:tcPr>
            <w:tcW w:w="10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13,507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0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4,725</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13,035</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12,334</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3,740</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11,310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3,902</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11,680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16,959</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49,532</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41,596</w:t>
            </w:r>
          </w:p>
        </w:tc>
      </w:tr>
      <w:tr>
        <w:trPr>
          <w:trHeight w:val="22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(2,188)</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r>
      <w:tr>
        <w:trPr>
          <w:trHeight w:val="230"/>
        </w:trPr>
        <w:tc>
          <w:tcPr>
            <w:tcW w:w="4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16,213</w:t>
            </w:r>
          </w:p>
        </w:tc>
        <w:tc>
          <w:tcPr>
            <w:tcW w:w="106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14,747</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47,344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40,168</w:t>
            </w:r>
          </w:p>
        </w:tc>
      </w:tr>
      <w:tr>
        <w:trPr>
          <w:trHeight w:val="419"/>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w w:val="92"/>
              </w:rPr>
              <w:t xml:space="preserve">Operating Profit (Loss). </w:t>
            </w:r>
            <w:r>
              <w:rPr>
                <w:rFonts w:ascii="Arial" w:cs="Arial" w:eastAsia="Arial" w:hAnsi="Arial"/>
                <w:sz w:val="18"/>
                <w:szCs w:val="18"/>
                <w:color w:val="auto"/>
                <w:w w:val="92"/>
              </w:rPr>
              <w:t>Operating profit (loss) by segment was as follows:</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9"/>
        </w:trPr>
        <w:tc>
          <w:tcPr>
            <w:tcW w:w="444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Quarter Ended September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478</w:t>
            </w:r>
          </w:p>
        </w:tc>
        <w:tc>
          <w:tcPr>
            <w:tcW w:w="10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1,298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0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187</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319</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391</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1,194</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490</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1,518</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1,546</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4,329</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10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499</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1,347</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1,343</w:t>
            </w:r>
          </w:p>
        </w:tc>
        <w:tc>
          <w:tcPr>
            <w:tcW w:w="106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3,638</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segment operating profit are Estimate at Completion (EAC) adjustments, which relate to changes in operating profit and margin due to revisions to total estimated revenues and costs at completion. These changes reflect improved or deteriorated operating performance or award fee rates.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we have both favorable and unfavorable EAC adjustments.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aggregate EAC adjustments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380"/>
              <w:spacing w:after="0"/>
              <w:rPr>
                <w:sz w:val="20"/>
                <w:szCs w:val="20"/>
                <w:color w:val="auto"/>
              </w:rPr>
            </w:pPr>
            <w:r>
              <w:rPr>
                <w:rFonts w:ascii="Arial" w:cs="Arial" w:eastAsia="Arial" w:hAnsi="Arial"/>
                <w:sz w:val="14"/>
                <w:szCs w:val="14"/>
                <w:b w:val="1"/>
                <w:bCs w:val="1"/>
                <w:color w:val="auto"/>
              </w:rPr>
              <w:t>Quarter Ended September 30,</w:t>
            </w:r>
          </w:p>
        </w:tc>
        <w:tc>
          <w:tcPr>
            <w:tcW w:w="360" w:type="dxa"/>
            <w:vAlign w:val="bottom"/>
          </w:tcPr>
          <w:p>
            <w:pPr>
              <w:spacing w:after="0"/>
              <w:rPr>
                <w:sz w:val="16"/>
                <w:szCs w:val="16"/>
                <w:color w:val="auto"/>
              </w:rPr>
            </w:pPr>
          </w:p>
        </w:tc>
        <w:tc>
          <w:tcPr>
            <w:tcW w:w="300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favorable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334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15"/>
              <w:spacing w:after="0"/>
              <w:rPr>
                <w:sz w:val="20"/>
                <w:szCs w:val="20"/>
                <w:color w:val="auto"/>
              </w:rPr>
            </w:pPr>
            <w:r>
              <w:rPr>
                <w:rFonts w:ascii="Arial" w:cs="Arial" w:eastAsia="Arial" w:hAnsi="Arial"/>
                <w:sz w:val="18"/>
                <w:szCs w:val="18"/>
                <w:color w:val="auto"/>
                <w:w w:val="93"/>
              </w:rPr>
              <w:t>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955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unfavorable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color w:val="auto"/>
                <w:w w:val="90"/>
              </w:rPr>
              <w:t>(743)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EAC adjustments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90"/>
              </w:rPr>
              <w:t>(462)</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bl>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the Raytheon Merger, RIS’s and RMD’s long-term contracts that are accounted for on a percentage of completion basis, were reset to zero percent complete as of the merger date because only the unperformed portion of the contract at the merger date represents an obligation of the Company. This had the impact of reducing gross favorable and unfavorable EAC adjustments for these segments in the prior year. The change in net EAC adjustments of $487 million in the quarter ended September 30, 2021 compared to the quarter ended September 30, 2020 was primarily due to a favorable change in net EAC adjustments of $457 million at Pratt &amp; Whitney, due to the absence of unfavorable contract adjustments in the prior year.</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 in net EAC adjustments of $656 million in the nine months ended September 30, 2021 compared to the nine months ended September 30, 2020 was primarily due to a favorable change in net EAC adjustments of $545 million at Pratt &amp; Whitney, due to the absence of unfavorable contract adjustments in the prior year, and a favorable change in net EAC adjustments of $121 million at RIS and $87 million at RMD, primarily due to the Raytheon Merger. This was partially offset by an unfavorable change in net EAC adjustments of $97 million at Collins Aerospace spread across numerous individual programs with no individual or common significant driver.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Significant EAC adjustments, when they occur, are discussed in each business segment’s discussion below.</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Backlog and Defense Bookings. </w:t>
      </w:r>
      <w:r>
        <w:rPr>
          <w:rFonts w:ascii="Arial" w:cs="Arial" w:eastAsia="Arial" w:hAnsi="Arial"/>
          <w:sz w:val="17"/>
          <w:szCs w:val="17"/>
          <w:color w:val="auto"/>
        </w:rPr>
        <w:t>Total backlog was approximately $156.1 billion and $150.1 billion as of September 30, 2021 and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which includes defense backlog of $65.0 billion and $67.3 billion as of September 30, 2021 and December 31, 2020, respectively. Our defense operations consist primarily of our RIS and RMD businesses and operations in the defense businesses within our Collins Aerospace and Pratt &amp; Whitney segments. Defense bookings were approximately $9.8 billion and $8.4 billion for the quarters ended September 30, 2021 and 2020, and approximately $30.2 billion and $21.8 billion for the nine months ended September 30, 2021 and 2020, respectively.</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Defense bookings are impacted by the timing and amounts of awards in a given period, which are subject to numerous factors, including: (1) the desired capability by the customer and urgency of customer needs, (2) customer budgets and other fiscal constraints, (3) political and economic and other environmental factors, (4) the timing of customer negotiations, (5) the timing of governmental approvals and notifications, and (6) the timing of option exercises or increases in scope. In addition, due to these factors, quarterly bookings tend to fluctuate from period to period, particularly on a segment basis. As a result, we believe comparing bookings on a quarterly basis or for periods less than one year is less meaningful than for longer periods and that shorter term changes in bookings may not necessarily indicate a material trend.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 Systems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Quarter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380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960" w:type="dxa"/>
            <w:vAlign w:val="bottom"/>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7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4,592</w:t>
            </w:r>
          </w:p>
        </w:tc>
        <w:tc>
          <w:tcPr>
            <w:tcW w:w="74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4,274</w:t>
            </w:r>
          </w:p>
        </w:tc>
        <w:tc>
          <w:tcPr>
            <w:tcW w:w="3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 xml:space="preserve">7 %  </w:t>
            </w: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13,507</w:t>
            </w:r>
          </w:p>
        </w:tc>
        <w:tc>
          <w:tcPr>
            <w:tcW w:w="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14,914</w:t>
            </w: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74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526</w:t>
            </w:r>
          </w:p>
        </w:tc>
        <w:tc>
          <w:tcPr>
            <w:tcW w:w="300" w:type="dxa"/>
            <w:vAlign w:val="bottom"/>
          </w:tcPr>
          <w:p>
            <w:pPr>
              <w:spacing w:after="0"/>
              <w:rPr>
                <w:sz w:val="19"/>
                <w:szCs w:val="19"/>
                <w:color w:val="auto"/>
              </w:rPr>
            </w:pPr>
          </w:p>
        </w:tc>
        <w:tc>
          <w:tcPr>
            <w:tcW w:w="1300" w:type="dxa"/>
            <w:vAlign w:val="bottom"/>
          </w:tcPr>
          <w:p>
            <w:pPr>
              <w:jc w:val="right"/>
              <w:ind w:right="476"/>
              <w:spacing w:after="0"/>
              <w:rPr>
                <w:sz w:val="20"/>
                <w:szCs w:val="20"/>
                <w:color w:val="auto"/>
              </w:rPr>
            </w:pPr>
            <w:r>
              <w:rPr>
                <w:rFonts w:ascii="Arial" w:cs="Arial" w:eastAsia="Arial" w:hAnsi="Arial"/>
                <w:sz w:val="18"/>
                <w:szCs w:val="18"/>
                <w:color w:val="auto"/>
              </w:rPr>
              <w:t>(9)%</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1,298</w:t>
            </w:r>
          </w:p>
        </w:tc>
        <w:tc>
          <w:tcPr>
            <w:tcW w:w="3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gridSpan w:val="2"/>
            <w:shd w:val="clear" w:color="auto" w:fill="CCEEFF"/>
          </w:tcPr>
          <w:p>
            <w:pPr>
              <w:jc w:val="right"/>
              <w:ind w:right="562"/>
              <w:spacing w:after="0"/>
              <w:rPr>
                <w:sz w:val="20"/>
                <w:szCs w:val="20"/>
                <w:color w:val="auto"/>
              </w:rPr>
            </w:pPr>
            <w:r>
              <w:rPr>
                <w:rFonts w:ascii="Arial" w:cs="Arial" w:eastAsia="Arial" w:hAnsi="Arial"/>
                <w:sz w:val="18"/>
                <w:szCs w:val="18"/>
                <w:b w:val="1"/>
                <w:bCs w:val="1"/>
                <w:color w:val="auto"/>
              </w:rPr>
              <w:t>10.4 %</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12.3 %</w:t>
            </w: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9.6 %</w:t>
            </w: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9.8 %</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40" w:type="dxa"/>
            <w:vAlign w:val="bottom"/>
          </w:tcPr>
          <w:p>
            <w:pPr>
              <w:spacing w:after="0"/>
              <w:rPr>
                <w:sz w:val="24"/>
                <w:szCs w:val="24"/>
                <w:color w:val="auto"/>
              </w:rPr>
            </w:pPr>
          </w:p>
        </w:tc>
        <w:tc>
          <w:tcPr>
            <w:tcW w:w="6560" w:type="dxa"/>
            <w:vAlign w:val="bottom"/>
            <w:gridSpan w:val="9"/>
          </w:tcPr>
          <w:p>
            <w:pPr>
              <w:jc w:val="right"/>
              <w:spacing w:after="0"/>
              <w:rPr>
                <w:sz w:val="20"/>
                <w:szCs w:val="20"/>
                <w:color w:val="auto"/>
              </w:rPr>
            </w:pPr>
            <w:r>
              <w:rPr>
                <w:rFonts w:ascii="Arial" w:cs="Arial" w:eastAsia="Arial" w:hAnsi="Arial"/>
                <w:sz w:val="18"/>
                <w:szCs w:val="18"/>
                <w:b w:val="1"/>
                <w:bCs w:val="1"/>
                <w:i w:val="1"/>
                <w:iCs w:val="1"/>
                <w:color w:val="auto"/>
                <w:w w:val="88"/>
              </w:rPr>
              <w:t>Quarter Ended September 30, 2021 Compared with Quarter Ended September 30, 2020</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w w:val="99"/>
              </w:rPr>
              <w:t>Factors Contributing to Total Change</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40" w:type="dxa"/>
            <w:vAlign w:val="bottom"/>
            <w:vMerge w:val="restart"/>
          </w:tcPr>
          <w:p>
            <w:pPr>
              <w:ind w:left="460"/>
              <w:spacing w:after="0"/>
              <w:rPr>
                <w:sz w:val="20"/>
                <w:szCs w:val="20"/>
                <w:color w:val="auto"/>
              </w:rPr>
            </w:pPr>
            <w:r>
              <w:rPr>
                <w:rFonts w:ascii="Arial" w:cs="Arial" w:eastAsia="Arial" w:hAnsi="Arial"/>
                <w:sz w:val="14"/>
                <w:szCs w:val="14"/>
                <w:b w:val="1"/>
                <w:bCs w:val="1"/>
                <w:i w:val="1"/>
                <w:iCs w:val="1"/>
                <w:color w:val="auto"/>
              </w:rPr>
              <w:t>(dollars in millions)</w:t>
            </w:r>
          </w:p>
        </w:tc>
        <w:tc>
          <w:tcPr>
            <w:tcW w:w="600" w:type="dxa"/>
            <w:vAlign w:val="bottom"/>
          </w:tcPr>
          <w:p>
            <w:pPr>
              <w:spacing w:after="0"/>
              <w:rPr>
                <w:sz w:val="11"/>
                <w:szCs w:val="11"/>
                <w:color w:val="auto"/>
              </w:rPr>
            </w:pPr>
          </w:p>
        </w:tc>
        <w:tc>
          <w:tcPr>
            <w:tcW w:w="11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9"/>
                <w:szCs w:val="9"/>
                <w:b w:val="1"/>
                <w:bCs w:val="1"/>
                <w:color w:val="auto"/>
              </w:rPr>
              <w:t>(1)</w:t>
            </w:r>
          </w:p>
        </w:tc>
        <w:tc>
          <w:tcPr>
            <w:tcW w:w="660" w:type="dxa"/>
            <w:vAlign w:val="bottom"/>
          </w:tcPr>
          <w:p>
            <w:pPr>
              <w:spacing w:after="0"/>
              <w:rPr>
                <w:sz w:val="11"/>
                <w:szCs w:val="11"/>
                <w:color w:val="auto"/>
              </w:rPr>
            </w:pPr>
          </w:p>
        </w:tc>
        <w:tc>
          <w:tcPr>
            <w:tcW w:w="1500" w:type="dxa"/>
            <w:vAlign w:val="bottom"/>
            <w:gridSpan w:val="2"/>
          </w:tcPr>
          <w:p>
            <w:pPr>
              <w:jc w:val="right"/>
              <w:ind w:right="570"/>
              <w:spacing w:after="0" w:line="135" w:lineRule="exact"/>
              <w:rPr>
                <w:sz w:val="20"/>
                <w:szCs w:val="20"/>
                <w:color w:val="auto"/>
              </w:rPr>
            </w:pPr>
            <w:r>
              <w:rPr>
                <w:rFonts w:ascii="Arial" w:cs="Arial" w:eastAsia="Arial" w:hAnsi="Arial"/>
                <w:sz w:val="14"/>
                <w:szCs w:val="14"/>
                <w:b w:val="1"/>
                <w:bCs w:val="1"/>
                <w:color w:val="auto"/>
                <w:w w:val="89"/>
              </w:rPr>
              <w:t>Acquisitions /</w:t>
            </w:r>
          </w:p>
        </w:tc>
        <w:tc>
          <w:tcPr>
            <w:tcW w:w="300" w:type="dxa"/>
            <w:vAlign w:val="bottom"/>
          </w:tcPr>
          <w:p>
            <w:pPr>
              <w:spacing w:after="0"/>
              <w:rPr>
                <w:sz w:val="11"/>
                <w:szCs w:val="11"/>
                <w:color w:val="auto"/>
              </w:rPr>
            </w:pPr>
          </w:p>
        </w:tc>
        <w:tc>
          <w:tcPr>
            <w:tcW w:w="1300" w:type="dxa"/>
            <w:vAlign w:val="bottom"/>
          </w:tcPr>
          <w:p>
            <w:pPr>
              <w:jc w:val="right"/>
              <w:ind w:right="276"/>
              <w:spacing w:after="0" w:line="135" w:lineRule="exact"/>
              <w:rPr>
                <w:sz w:val="20"/>
                <w:szCs w:val="20"/>
                <w:color w:val="auto"/>
              </w:rPr>
            </w:pPr>
            <w:r>
              <w:rPr>
                <w:rFonts w:ascii="Arial" w:cs="Arial" w:eastAsia="Arial" w:hAnsi="Arial"/>
                <w:sz w:val="14"/>
                <w:szCs w:val="14"/>
                <w:b w:val="1"/>
                <w:bCs w:val="1"/>
                <w:color w:val="auto"/>
              </w:rPr>
              <w:t>Restructuring</w:t>
            </w:r>
          </w:p>
        </w:tc>
        <w:tc>
          <w:tcPr>
            <w:tcW w:w="780" w:type="dxa"/>
            <w:vAlign w:val="bottom"/>
          </w:tcPr>
          <w:p>
            <w:pPr>
              <w:spacing w:after="0"/>
              <w:rPr>
                <w:sz w:val="11"/>
                <w:szCs w:val="11"/>
                <w:color w:val="auto"/>
              </w:rPr>
            </w:pPr>
          </w:p>
        </w:tc>
        <w:tc>
          <w:tcPr>
            <w:tcW w:w="1300" w:type="dxa"/>
            <w:vAlign w:val="bottom"/>
            <w:gridSpan w:val="3"/>
            <w:vMerge w:val="restart"/>
          </w:tcPr>
          <w:p>
            <w:pPr>
              <w:jc w:val="right"/>
              <w:ind w:right="9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0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Total Change</w:t>
            </w:r>
          </w:p>
        </w:tc>
        <w:tc>
          <w:tcPr>
            <w:tcW w:w="0" w:type="dxa"/>
            <w:vAlign w:val="bottom"/>
          </w:tcPr>
          <w:p>
            <w:pPr>
              <w:spacing w:after="0"/>
              <w:rPr>
                <w:sz w:val="1"/>
                <w:szCs w:val="1"/>
                <w:color w:val="auto"/>
              </w:rPr>
            </w:pPr>
          </w:p>
        </w:tc>
      </w:tr>
      <w:tr>
        <w:trPr>
          <w:trHeight w:val="188"/>
        </w:trPr>
        <w:tc>
          <w:tcPr>
            <w:tcW w:w="25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Divestitures, net</w:t>
            </w: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Costs</w:t>
            </w: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375</w:t>
            </w: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Operating Profit</w:t>
            </w: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411</w:t>
            </w:r>
          </w:p>
        </w:tc>
        <w:tc>
          <w:tcPr>
            <w:tcW w:w="6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(18)</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136</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(577)</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52" w:lineRule="auto"/>
        <w:tabs>
          <w:tab w:leader="none" w:pos="328"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organic sales increase of $0.4 billion in the quarter ended September 30, 2021 compared to the quarter ended September 30, 2020 primarily relates to higher commercial aerospace aftermarket sales of $0.4 billion, including increases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across all aftermarket sales channels, primarily due to an increase in flight hours and aircraft fleet utilization as commercial aerospace continues to recover from the prior year’s unfavorable economic environment principally driven by the COVID-19 pandemic. Commercial aerospace OEM sales were down slightly in the quarter ended September 30, 2021 compared to the quarter ended September 30, 2020, with narrow-body OEM sales increases partially offsetting wide-body volume declines principally on the 787 platform. Military sales were also down slightly in the quarter ended September 30, 2021 compared to the quarter ended September 30, 2020.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profit increase of $0.4 billion in the quarter ended September 30, 2021 compared to the quarter ended September 30, 2020 was primarily due to higher commercial aerospace operating profit of $0.4 billion principally driven by the higher commercial aerospace aftermarket sales discussed above and favorable commercial aerospace aftermarket and OEM product mix. Included in organic profit in the quarter ended September 30, 2020 was $32 million of foreign government wage subsidies related to COVID-19.</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sales and operating profit due to acquisitions / divestitures, net relates to the sale of our Collins Aerospace military GPS and space-based precision optics businesses in the third quarter of 2020.</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Other operating profits of $0.6 billion in the quarter ended September 30, 2021 compared to the quarter ended September 30, 2020 primarily relates to the absence of prior year gains of $608 million on the sales of the Collins Aerospace businesses discussed above.</w:t>
      </w:r>
    </w:p>
    <w:p>
      <w:pPr>
        <w:spacing w:after="0" w:line="38"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Nine Months Ended September 30, 2021 Compared with Nine Months Ended September 30,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w w:val="99"/>
              </w:rPr>
              <w:t>Factors Contributing to Total Change</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40" w:type="dxa"/>
            <w:vAlign w:val="bottom"/>
            <w:vMerge w:val="restart"/>
          </w:tcPr>
          <w:p>
            <w:pPr>
              <w:ind w:left="440"/>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tcPr>
          <w:p>
            <w:pPr>
              <w:spacing w:after="0"/>
              <w:rPr>
                <w:sz w:val="11"/>
                <w:szCs w:val="11"/>
                <w:color w:val="auto"/>
              </w:rPr>
            </w:pPr>
          </w:p>
        </w:tc>
        <w:tc>
          <w:tcPr>
            <w:tcW w:w="12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460" w:type="dxa"/>
            <w:vAlign w:val="bottom"/>
          </w:tcPr>
          <w:p>
            <w:pPr>
              <w:spacing w:after="0"/>
              <w:rPr>
                <w:sz w:val="11"/>
                <w:szCs w:val="11"/>
                <w:color w:val="auto"/>
              </w:rPr>
            </w:pPr>
          </w:p>
        </w:tc>
        <w:tc>
          <w:tcPr>
            <w:tcW w:w="1320" w:type="dxa"/>
            <w:vAlign w:val="bottom"/>
          </w:tcPr>
          <w:p>
            <w:pPr>
              <w:jc w:val="right"/>
              <w:ind w:right="359"/>
              <w:spacing w:after="0" w:line="135" w:lineRule="exact"/>
              <w:rPr>
                <w:sz w:val="20"/>
                <w:szCs w:val="20"/>
                <w:color w:val="auto"/>
              </w:rPr>
            </w:pPr>
            <w:r>
              <w:rPr>
                <w:rFonts w:ascii="Arial" w:cs="Arial" w:eastAsia="Arial" w:hAnsi="Arial"/>
                <w:sz w:val="14"/>
                <w:szCs w:val="14"/>
                <w:b w:val="1"/>
                <w:bCs w:val="1"/>
                <w:color w:val="auto"/>
                <w:w w:val="93"/>
              </w:rPr>
              <w:t>Acquisitions /</w:t>
            </w:r>
          </w:p>
        </w:tc>
        <w:tc>
          <w:tcPr>
            <w:tcW w:w="440" w:type="dxa"/>
            <w:vAlign w:val="bottom"/>
          </w:tcPr>
          <w:p>
            <w:pPr>
              <w:spacing w:after="0"/>
              <w:rPr>
                <w:sz w:val="11"/>
                <w:szCs w:val="11"/>
                <w:color w:val="auto"/>
              </w:rPr>
            </w:pPr>
          </w:p>
        </w:tc>
        <w:tc>
          <w:tcPr>
            <w:tcW w:w="1440" w:type="dxa"/>
            <w:vAlign w:val="bottom"/>
          </w:tcPr>
          <w:p>
            <w:pPr>
              <w:jc w:val="right"/>
              <w:ind w:right="419"/>
              <w:spacing w:after="0" w:line="135" w:lineRule="exact"/>
              <w:rPr>
                <w:sz w:val="20"/>
                <w:szCs w:val="20"/>
                <w:color w:val="auto"/>
              </w:rPr>
            </w:pPr>
            <w:r>
              <w:rPr>
                <w:rFonts w:ascii="Arial" w:cs="Arial" w:eastAsia="Arial" w:hAnsi="Arial"/>
                <w:sz w:val="14"/>
                <w:szCs w:val="14"/>
                <w:b w:val="1"/>
                <w:bCs w:val="1"/>
                <w:color w:val="auto"/>
              </w:rPr>
              <w:t>Restructuring</w:t>
            </w:r>
          </w:p>
        </w:tc>
        <w:tc>
          <w:tcPr>
            <w:tcW w:w="520" w:type="dxa"/>
            <w:vAlign w:val="bottom"/>
          </w:tcPr>
          <w:p>
            <w:pPr>
              <w:spacing w:after="0"/>
              <w:rPr>
                <w:sz w:val="11"/>
                <w:szCs w:val="11"/>
                <w:color w:val="auto"/>
              </w:rPr>
            </w:pPr>
          </w:p>
        </w:tc>
        <w:tc>
          <w:tcPr>
            <w:tcW w:w="9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1"/>
                <w:szCs w:val="11"/>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6"/>
              </w:rPr>
              <w:t>Total Change</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b w:val="1"/>
                <w:bCs w:val="1"/>
                <w:color w:val="auto"/>
              </w:rPr>
              <w:t>Divestitures, net</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Costs</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(338)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Operating Profit</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275</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(94)</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263</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52" w:lineRule="auto"/>
        <w:tabs>
          <w:tab w:leader="none" w:pos="328"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organic sales decrease of $1.1 billion in the nine months ended September 30, 2021 compared to the nine months ended September 30, 2020 primarily relates to lower commercial aerospace OEM sales of $0.9 billion and lower commercial aerospace aftermarket sales of $0.3 billion, including declines across all aftermarket sales channels. These decreases were primarily due to the change in the economic environment principally driven by the COVID-19 pandemic. Military sales were up slightly in the nine months ended September 30, 2021 compared to the nine months ended September 30, 2020.</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organic profit increase of $0.3 billion in the nine months ended September 30, 2021 compared to the nine months ended September 30, 2020 is primarily due to lower Selling, general and administrative expenses of $0.2 billion primarily driven by the absence of a $123 million charge related to increased estimates of expected credit losses due to customer bankruptcies and additional allowances for credit losses in the nine months ended September 30, 2020, and lower Research and development expenses of $0.1 billion, which includes the impact of cost reduction initiatives. Commercial aerospace operating profit decreased slightly and includes the impact of the lower commercial aerospace aftermarket sales discussed above, partially offset by the absence of $157 million of prior year significant unfavorable adjustments, the benefit of cost reduction initiatives, and a $33 million favorable impact from a contract related matter in the nine months ended September 30, 2021. The significant unfavorable adjustments in the nine months ended September 30, 2020 were primarily driven by the expected acceleration of fleet retirements of a certain aircraft. Included in organic profit in the nine months ended September 30, 2020 was $56 million of foreign government wage subsidies related to COVID-19.</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sales and operating profit due to acquisitions / divestitures, net relates to the sale of our Collins Aerospace military GPS and space-based precision optics businesses in the third quarter of 2020.</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Other operating profits of $0.6 billion in the nine months ended September 30, 2021 compared to the nine months ended September 30, 2020 primarily relates to the absence of prior year gains of $608 million on the sales of the Collins Aerospace businesses discussed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Quarter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380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960" w:type="dxa"/>
            <w:vAlign w:val="bottom"/>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7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4,725</w:t>
            </w:r>
          </w:p>
        </w:tc>
        <w:tc>
          <w:tcPr>
            <w:tcW w:w="6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3,494</w:t>
            </w: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 xml:space="preserve">35 %  </w:t>
            </w: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13,035</w:t>
            </w:r>
          </w:p>
        </w:tc>
        <w:tc>
          <w:tcPr>
            <w:tcW w:w="4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12,334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b w:val="1"/>
                <w:bCs w:val="1"/>
                <w:color w:val="auto"/>
              </w:rPr>
              <w:t>187</w:t>
            </w:r>
          </w:p>
        </w:tc>
        <w:tc>
          <w:tcPr>
            <w:tcW w:w="6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19"/>
                <w:szCs w:val="19"/>
                <w:color w:val="auto"/>
              </w:rPr>
            </w:pPr>
          </w:p>
        </w:tc>
        <w:tc>
          <w:tcPr>
            <w:tcW w:w="1300" w:type="dxa"/>
            <w:vAlign w:val="bottom"/>
          </w:tcPr>
          <w:p>
            <w:pPr>
              <w:ind w:left="480"/>
              <w:spacing w:after="0"/>
              <w:rPr>
                <w:sz w:val="20"/>
                <w:szCs w:val="20"/>
                <w:color w:val="auto"/>
              </w:rPr>
            </w:pPr>
            <w:r>
              <w:rPr>
                <w:rFonts w:ascii="Arial" w:cs="Arial" w:eastAsia="Arial" w:hAnsi="Arial"/>
                <w:sz w:val="18"/>
                <w:szCs w:val="18"/>
                <w:color w:val="auto"/>
              </w:rPr>
              <w:t>NM</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319</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6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6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(17.6)%</w:t>
            </w: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4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480" w:type="dxa"/>
            <w:vAlign w:val="bottom"/>
          </w:tcPr>
          <w:p>
            <w:pPr>
              <w:spacing w:after="0"/>
              <w:rPr>
                <w:sz w:val="20"/>
                <w:szCs w:val="20"/>
                <w:color w:val="auto"/>
              </w:rPr>
            </w:pPr>
            <w:r>
              <w:rPr>
                <w:rFonts w:ascii="Arial" w:cs="Arial" w:eastAsia="Arial" w:hAnsi="Arial"/>
                <w:sz w:val="14"/>
                <w:szCs w:val="14"/>
                <w:color w:val="auto"/>
              </w:rPr>
              <w:t>NM = Not Meaningful</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480" w:type="dxa"/>
            <w:vAlign w:val="bottom"/>
          </w:tcPr>
          <w:p>
            <w:pPr>
              <w:spacing w:after="0"/>
              <w:rPr>
                <w:sz w:val="24"/>
                <w:szCs w:val="24"/>
                <w:color w:val="auto"/>
              </w:rPr>
            </w:pPr>
          </w:p>
        </w:tc>
        <w:tc>
          <w:tcPr>
            <w:tcW w:w="6720" w:type="dxa"/>
            <w:vAlign w:val="bottom"/>
            <w:gridSpan w:val="9"/>
          </w:tcPr>
          <w:p>
            <w:pPr>
              <w:ind w:left="120"/>
              <w:spacing w:after="0"/>
              <w:rPr>
                <w:sz w:val="20"/>
                <w:szCs w:val="20"/>
                <w:color w:val="auto"/>
              </w:rPr>
            </w:pPr>
            <w:r>
              <w:rPr>
                <w:rFonts w:ascii="Arial" w:cs="Arial" w:eastAsia="Arial" w:hAnsi="Arial"/>
                <w:sz w:val="18"/>
                <w:szCs w:val="18"/>
                <w:b w:val="1"/>
                <w:bCs w:val="1"/>
                <w:i w:val="1"/>
                <w:iCs w:val="1"/>
                <w:color w:val="auto"/>
                <w:w w:val="89"/>
              </w:rPr>
              <w:t>Quarter Ended September 30, 2021 Compared with Quarter Ended September 30, 2020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w w:val="93"/>
              </w:rPr>
              <w:t>Factors Contributing to Total Change</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480" w:type="dxa"/>
            <w:vAlign w:val="bottom"/>
            <w:vMerge w:val="restart"/>
          </w:tcPr>
          <w:p>
            <w:pPr>
              <w:ind w:left="440"/>
              <w:spacing w:after="0"/>
              <w:rPr>
                <w:sz w:val="20"/>
                <w:szCs w:val="20"/>
                <w:color w:val="auto"/>
              </w:rPr>
            </w:pPr>
            <w:r>
              <w:rPr>
                <w:rFonts w:ascii="Arial" w:cs="Arial" w:eastAsia="Arial" w:hAnsi="Arial"/>
                <w:sz w:val="14"/>
                <w:szCs w:val="14"/>
                <w:b w:val="1"/>
                <w:bCs w:val="1"/>
                <w:i w:val="1"/>
                <w:iCs w:val="1"/>
                <w:color w:val="auto"/>
              </w:rPr>
              <w:t>(dollars in millions)</w:t>
            </w:r>
          </w:p>
        </w:tc>
        <w:tc>
          <w:tcPr>
            <w:tcW w:w="600" w:type="dxa"/>
            <w:vAlign w:val="bottom"/>
          </w:tcPr>
          <w:p>
            <w:pPr>
              <w:spacing w:after="0"/>
              <w:rPr>
                <w:sz w:val="11"/>
                <w:szCs w:val="11"/>
                <w:color w:val="auto"/>
              </w:rPr>
            </w:pPr>
          </w:p>
        </w:tc>
        <w:tc>
          <w:tcPr>
            <w:tcW w:w="11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140" w:type="dxa"/>
            <w:vAlign w:val="bottom"/>
            <w:gridSpan w:val="3"/>
          </w:tcPr>
          <w:p>
            <w:pPr>
              <w:jc w:val="right"/>
              <w:ind w:right="610"/>
              <w:spacing w:after="0" w:line="135" w:lineRule="exact"/>
              <w:rPr>
                <w:sz w:val="20"/>
                <w:szCs w:val="20"/>
                <w:color w:val="auto"/>
              </w:rPr>
            </w:pPr>
            <w:r>
              <w:rPr>
                <w:rFonts w:ascii="Arial" w:cs="Arial" w:eastAsia="Arial" w:hAnsi="Arial"/>
                <w:sz w:val="14"/>
                <w:szCs w:val="14"/>
                <w:b w:val="1"/>
                <w:bCs w:val="1"/>
                <w:color w:val="auto"/>
              </w:rPr>
              <w:t>Acquisitions /</w:t>
            </w:r>
          </w:p>
        </w:tc>
        <w:tc>
          <w:tcPr>
            <w:tcW w:w="280" w:type="dxa"/>
            <w:vAlign w:val="bottom"/>
          </w:tcPr>
          <w:p>
            <w:pPr>
              <w:spacing w:after="0"/>
              <w:rPr>
                <w:sz w:val="11"/>
                <w:szCs w:val="11"/>
                <w:color w:val="auto"/>
              </w:rPr>
            </w:pPr>
          </w:p>
        </w:tc>
        <w:tc>
          <w:tcPr>
            <w:tcW w:w="1300" w:type="dxa"/>
            <w:vAlign w:val="bottom"/>
          </w:tcPr>
          <w:p>
            <w:pPr>
              <w:ind w:left="80"/>
              <w:spacing w:after="0" w:line="135" w:lineRule="exact"/>
              <w:rPr>
                <w:sz w:val="20"/>
                <w:szCs w:val="20"/>
                <w:color w:val="auto"/>
              </w:rPr>
            </w:pPr>
            <w:r>
              <w:rPr>
                <w:rFonts w:ascii="Arial" w:cs="Arial" w:eastAsia="Arial" w:hAnsi="Arial"/>
                <w:sz w:val="14"/>
                <w:szCs w:val="14"/>
                <w:b w:val="1"/>
                <w:bCs w:val="1"/>
                <w:color w:val="auto"/>
              </w:rPr>
              <w:t>Restructuring</w:t>
            </w:r>
          </w:p>
        </w:tc>
        <w:tc>
          <w:tcPr>
            <w:tcW w:w="78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Total Change</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Divestitures, net</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Costs</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1,217</w:t>
            </w:r>
          </w:p>
        </w:tc>
        <w:tc>
          <w:tcPr>
            <w:tcW w:w="7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Operating Profit</w:t>
            </w: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645</w:t>
            </w:r>
          </w:p>
        </w:tc>
        <w:tc>
          <w:tcPr>
            <w:tcW w:w="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61</w:t>
            </w: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49" w:lineRule="auto"/>
        <w:tabs>
          <w:tab w:leader="none" w:pos="328"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 For Pratt &amp; Whitney only, Other also includes the transactional impact of foreign exchange hedging at Pratt &amp; Whitney Canada due to its significance to Pratt &amp; Whitney’s overall operating results.</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organic sales increase of $1.2 billion in the quarter ended September 30, 2021 compared to the quarter ended September 30, 2020 reflects higher commercial aftermarket sales of $1.0 billion, primarily due to an increase in shop visits and related spare part sales, and higher commercial OEM sales of $0.2 billion, primarily due to an increase in commercial engine deliveries, all driven by the recovery from the prior year’s unfavorable economic environment largely due to the COVID-19 pandemic. Prior year commercial aftermarket sales include unfavorable EAC adjustments of $0.3 billion, discussed further below. Military sales were up slightly in the quarter ended September 30, 2021 compared to the quarter ended September 30, 2020.</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organic profit increase of $0.6 billion in the quarter ended September 30, 2021 compared to the quarter ended September 30, 2020 was primarily driven by higher commercial aerospace operating profit of $0.8 billion principally due to the aftermarket sales volume increase discussed above, favorable year-over-year EAC adjustments of $459 million, and favorable mix. The favorable year-over-year EAC adjustments were principally driven by the absence of prior year unfavorable EAC adjustments of $334 million related to a change in the estimated maintenance coverage period on a commercial engine aftermarket contract and $129 million due to the restructuring of a customer contract. Included in organic profit in the quarter ended September 30, 2020 was other income of $58 million related to foreign government wage subsidies related to COVID-19.</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Other operating profit of $0.1 billion in the quarter ended September 30, 2021 compared to the quarter ended September 30, 2020 was primarily driven by the absence of an $89 million impairment of commercial aircraft program assets recorded in the prior year.</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quarter ended September 30, 2021, Pratt &amp; Whitney booked $543 million for two F-135 sustainment contracts and $212 million for F100 engines for an international customer. In the quarter ended September 30, 2020, Pratt &amp; Whitney booked $473 million for F-135 sustainment contracts.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Nine Months Ended September 30, 2021 Compared with Nine Months Ended September 30,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Factors Contributing to Total Change</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ind w:left="440"/>
              <w:spacing w:after="0"/>
              <w:rPr>
                <w:sz w:val="20"/>
                <w:szCs w:val="20"/>
                <w:color w:val="auto"/>
              </w:rPr>
            </w:pPr>
            <w:r>
              <w:rPr>
                <w:rFonts w:ascii="Arial" w:cs="Arial" w:eastAsia="Arial" w:hAnsi="Arial"/>
                <w:sz w:val="14"/>
                <w:szCs w:val="14"/>
                <w:b w:val="1"/>
                <w:bCs w:val="1"/>
                <w:i w:val="1"/>
                <w:iCs w:val="1"/>
                <w:color w:val="auto"/>
              </w:rPr>
              <w:t>(dollars in millions)</w:t>
            </w:r>
          </w:p>
        </w:tc>
        <w:tc>
          <w:tcPr>
            <w:tcW w:w="600" w:type="dxa"/>
            <w:vAlign w:val="bottom"/>
          </w:tcPr>
          <w:p>
            <w:pPr>
              <w:spacing w:after="0"/>
              <w:rPr>
                <w:sz w:val="11"/>
                <w:szCs w:val="11"/>
                <w:color w:val="auto"/>
              </w:rPr>
            </w:pPr>
          </w:p>
        </w:tc>
        <w:tc>
          <w:tcPr>
            <w:tcW w:w="11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520" w:type="dxa"/>
            <w:vAlign w:val="bottom"/>
          </w:tcPr>
          <w:p>
            <w:pPr>
              <w:spacing w:after="0"/>
              <w:rPr>
                <w:sz w:val="11"/>
                <w:szCs w:val="11"/>
                <w:color w:val="auto"/>
              </w:rPr>
            </w:pPr>
          </w:p>
        </w:tc>
        <w:tc>
          <w:tcPr>
            <w:tcW w:w="1400" w:type="dxa"/>
            <w:vAlign w:val="bottom"/>
          </w:tcPr>
          <w:p>
            <w:pPr>
              <w:ind w:left="80"/>
              <w:spacing w:after="0" w:line="135" w:lineRule="exact"/>
              <w:rPr>
                <w:sz w:val="20"/>
                <w:szCs w:val="20"/>
                <w:color w:val="auto"/>
              </w:rPr>
            </w:pPr>
            <w:r>
              <w:rPr>
                <w:rFonts w:ascii="Arial" w:cs="Arial" w:eastAsia="Arial" w:hAnsi="Arial"/>
                <w:sz w:val="14"/>
                <w:szCs w:val="14"/>
                <w:b w:val="1"/>
                <w:bCs w:val="1"/>
                <w:color w:val="auto"/>
              </w:rPr>
              <w:t>Acquisitions /</w:t>
            </w:r>
          </w:p>
        </w:tc>
        <w:tc>
          <w:tcPr>
            <w:tcW w:w="480" w:type="dxa"/>
            <w:vAlign w:val="bottom"/>
          </w:tcPr>
          <w:p>
            <w:pPr>
              <w:spacing w:after="0"/>
              <w:rPr>
                <w:sz w:val="11"/>
                <w:szCs w:val="11"/>
                <w:color w:val="auto"/>
              </w:rPr>
            </w:pPr>
          </w:p>
        </w:tc>
        <w:tc>
          <w:tcPr>
            <w:tcW w:w="1420" w:type="dxa"/>
            <w:vAlign w:val="bottom"/>
          </w:tcPr>
          <w:p>
            <w:pPr>
              <w:jc w:val="right"/>
              <w:ind w:right="399"/>
              <w:spacing w:after="0" w:line="135" w:lineRule="exact"/>
              <w:rPr>
                <w:sz w:val="20"/>
                <w:szCs w:val="20"/>
                <w:color w:val="auto"/>
              </w:rPr>
            </w:pPr>
            <w:r>
              <w:rPr>
                <w:rFonts w:ascii="Arial" w:cs="Arial" w:eastAsia="Arial" w:hAnsi="Arial"/>
                <w:sz w:val="14"/>
                <w:szCs w:val="14"/>
                <w:b w:val="1"/>
                <w:bCs w:val="1"/>
                <w:color w:val="auto"/>
              </w:rPr>
              <w:t>Restructuring</w:t>
            </w:r>
          </w:p>
        </w:tc>
        <w:tc>
          <w:tcPr>
            <w:tcW w:w="560" w:type="dxa"/>
            <w:vAlign w:val="bottom"/>
          </w:tcPr>
          <w:p>
            <w:pPr>
              <w:spacing w:after="0"/>
              <w:rPr>
                <w:sz w:val="11"/>
                <w:szCs w:val="11"/>
                <w:color w:val="auto"/>
              </w:rPr>
            </w:pPr>
          </w:p>
        </w:tc>
        <w:tc>
          <w:tcPr>
            <w:tcW w:w="9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Other</w:t>
            </w:r>
          </w:p>
        </w:tc>
        <w:tc>
          <w:tcPr>
            <w:tcW w:w="640" w:type="dxa"/>
            <w:vAlign w:val="bottom"/>
          </w:tcPr>
          <w:p>
            <w:pPr>
              <w:spacing w:after="0"/>
              <w:rPr>
                <w:sz w:val="11"/>
                <w:szCs w:val="11"/>
                <w:color w:val="auto"/>
              </w:rPr>
            </w:pPr>
          </w:p>
        </w:tc>
        <w:tc>
          <w:tcPr>
            <w:tcW w:w="10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Total Change</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Divestitures, net</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Costs</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609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7"/>
        </w:trPr>
        <w:tc>
          <w:tcPr>
            <w:tcW w:w="2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Operating Profit</w:t>
            </w: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634</w:t>
            </w: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rPr>
              <w:t>164</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118</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49" w:lineRule="auto"/>
        <w:tabs>
          <w:tab w:leader="none" w:pos="328"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 For Pratt &amp; Whitney only, Other also includes the transactional impact of foreign exchange hedging at Pratt &amp; Whitney Canada due to its significance to Pratt &amp; Whitney’s overall operating results.</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organic sales increase of $0.6 billion in the nine months ended September 30, 2021 compared to the nine months ended September 30, 2020 reflects higher commercial aftermarket sales of $0.7 billion, primarily due to an increase in shop visits and related spare part sales driven by the recovery from the prior year’s unfavorable economic environment largely due to the COVID-19 pandemic, partially offset by lower commercial OEM sales of $0.1 billion. Prior year commercial aftermarket sales include unfavorable EAC adjustments of $0.3 billion, discussed further below. Military sales were up slightly in the nine months ended September 30, 2021 compared to the nine months ended September 30, 2020.</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organic profit increase of $0.6 billion in the nine months ended September 30, 2021 compared to the nine months ended September 30, 2020 was primarily driven by higher commercial aerospace operating profit of $0.5 billion principally due to the favorable year-over-year EAC adjustments of $533 million, and lower Selling, general and administrative expenses of $0.2 billion. The higher commercial aerospace operating profit also includes the impact of the aftermarket sales volume increase discussed above, which was largely offset by lower commercial OEM operating profit due to unfavorable mix and lower sales volume. The year-over-year favorable commercial aerospace EAC adjustments were principally driven by prior year unfavorable EAC adjustments of $334 million related to a change in the estimated maintenance coverage period on a commercial engine aftermarket contract, $129 million due to the restructuring of a customer contract, and $62 million net unfavorable EAC adjustments based on a portfolio review of our commercial aftermarket programs. The lower Selling, general and administrative expenses were primarily driven by the absence of a $229 million charge in the prior year related to increased estimates of expected credit losses due to customer bankruptcies and additional allowances for credit losses. Also included in the organic change in operating profit was other income related to foreign government wage subsidies related to COVID-19 of $52 million and $117 million for the nine months ended September 30, 2021 and 2020, respectively, and an unfavorable EAC adjustment on a military program of $44 million in the second quarter of 2020 primarily driven by a shift in estimated overhead costs due to lower commercial engine activity.</w:t>
      </w:r>
    </w:p>
    <w:p>
      <w:pPr>
        <w:spacing w:after="0" w:line="6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increase in Other operating profit of $0.1 billion in the nine months ended September 30, 2021 compared to the nine months ended September 30, 2020 was primarily driven by the absence of an $89 million impairment of commercial aircraft program assets recorded in the prior year.</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bookings discussed above, in the nine months ended September 30, 2021, Pratt &amp; Whitney had two notable defense bookings for $593 million in total for F-135 sustainment contracts. In addition to the bookings discussed above, in the nine months ended September 30, 2020, Pratt &amp; Whitney booked $1.2 billion for the F-135 program and $168 million for the Tanker program.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Intelligence &amp; Space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3,740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3,749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11,310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7,136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b w:val="1"/>
                <w:bCs w:val="1"/>
                <w:color w:val="auto"/>
              </w:rPr>
              <w:t>391</w:t>
            </w:r>
          </w:p>
        </w:tc>
        <w:tc>
          <w:tcPr>
            <w:tcW w:w="320" w:type="dxa"/>
            <w:vAlign w:val="bottom"/>
          </w:tcPr>
          <w:p>
            <w:pPr>
              <w:spacing w:after="0"/>
              <w:rPr>
                <w:sz w:val="19"/>
                <w:szCs w:val="19"/>
                <w:color w:val="auto"/>
              </w:rPr>
            </w:pPr>
          </w:p>
        </w:tc>
        <w:tc>
          <w:tcPr>
            <w:tcW w:w="1200" w:type="dxa"/>
            <w:vAlign w:val="bottom"/>
          </w:tcPr>
          <w:p>
            <w:pPr>
              <w:jc w:val="right"/>
              <w:ind w:right="434"/>
              <w:spacing w:after="0"/>
              <w:rPr>
                <w:sz w:val="20"/>
                <w:szCs w:val="20"/>
                <w:color w:val="auto"/>
              </w:rPr>
            </w:pPr>
            <w:r>
              <w:rPr>
                <w:rFonts w:ascii="Arial" w:cs="Arial" w:eastAsia="Arial" w:hAnsi="Arial"/>
                <w:sz w:val="18"/>
                <w:szCs w:val="18"/>
                <w:color w:val="auto"/>
              </w:rPr>
              <w:t>350</w:t>
            </w:r>
          </w:p>
        </w:tc>
        <w:tc>
          <w:tcPr>
            <w:tcW w:w="8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96"/>
              <w:spacing w:after="0"/>
              <w:rPr>
                <w:sz w:val="20"/>
                <w:szCs w:val="20"/>
                <w:color w:val="auto"/>
              </w:rPr>
            </w:pPr>
            <w:r>
              <w:rPr>
                <w:rFonts w:ascii="Arial" w:cs="Arial" w:eastAsia="Arial" w:hAnsi="Arial"/>
                <w:sz w:val="18"/>
                <w:szCs w:val="18"/>
                <w:b w:val="1"/>
                <w:bCs w:val="1"/>
                <w:color w:val="auto"/>
              </w:rPr>
              <w:t>1,194</w:t>
            </w:r>
          </w:p>
        </w:tc>
        <w:tc>
          <w:tcPr>
            <w:tcW w:w="320" w:type="dxa"/>
            <w:vAlign w:val="bottom"/>
          </w:tcPr>
          <w:p>
            <w:pPr>
              <w:spacing w:after="0"/>
              <w:rPr>
                <w:sz w:val="19"/>
                <w:szCs w:val="19"/>
                <w:color w:val="auto"/>
              </w:rPr>
            </w:pPr>
          </w:p>
        </w:tc>
        <w:tc>
          <w:tcPr>
            <w:tcW w:w="1060" w:type="dxa"/>
            <w:vAlign w:val="bottom"/>
          </w:tcPr>
          <w:p>
            <w:pPr>
              <w:jc w:val="right"/>
              <w:ind w:right="294"/>
              <w:spacing w:after="0"/>
              <w:rPr>
                <w:sz w:val="20"/>
                <w:szCs w:val="20"/>
                <w:color w:val="auto"/>
              </w:rPr>
            </w:pPr>
            <w:r>
              <w:rPr>
                <w:rFonts w:ascii="Arial" w:cs="Arial" w:eastAsia="Arial" w:hAnsi="Arial"/>
                <w:sz w:val="18"/>
                <w:szCs w:val="18"/>
                <w:color w:val="auto"/>
              </w:rPr>
              <w:t>659</w:t>
            </w:r>
          </w:p>
        </w:tc>
        <w:tc>
          <w:tcPr>
            <w:tcW w:w="100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9.3 %</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9.2 %</w:t>
            </w:r>
          </w:p>
        </w:tc>
        <w:tc>
          <w:tcPr>
            <w:tcW w:w="1000" w:type="dxa"/>
            <w:vAlign w:val="bottom"/>
            <w:shd w:val="clear" w:color="auto" w:fill="CCEEFF"/>
          </w:tcPr>
          <w:p>
            <w:pPr>
              <w:spacing w:after="0"/>
              <w:rPr>
                <w:sz w:val="19"/>
                <w:szCs w:val="19"/>
                <w:color w:val="auto"/>
              </w:rPr>
            </w:pPr>
          </w:p>
        </w:tc>
      </w:tr>
      <w:tr>
        <w:trPr>
          <w:trHeight w:val="236"/>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2,894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2,955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10,572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6,667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0"/>
        <w:spacing w:after="0"/>
        <w:rPr>
          <w:sz w:val="20"/>
          <w:szCs w:val="20"/>
          <w:color w:val="auto"/>
        </w:rPr>
      </w:pPr>
      <w:r>
        <w:rPr>
          <w:rFonts w:ascii="Arial" w:cs="Arial" w:eastAsia="Arial" w:hAnsi="Arial"/>
          <w:sz w:val="18"/>
          <w:szCs w:val="18"/>
          <w:b w:val="1"/>
          <w:bCs w:val="1"/>
          <w:i w:val="1"/>
          <w:iCs w:val="1"/>
          <w:color w:val="auto"/>
        </w:rPr>
        <w:t>Quarter Ended September 30, 2021 Compared with Quarter Ended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4"/>
          </w:tcPr>
          <w:p>
            <w:pPr>
              <w:jc w:val="center"/>
              <w:ind w:left="22"/>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1"/>
                <w:szCs w:val="11"/>
                <w:color w:val="auto"/>
              </w:rPr>
            </w:pPr>
          </w:p>
        </w:tc>
        <w:tc>
          <w:tcPr>
            <w:tcW w:w="140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60" w:type="dxa"/>
            <w:vAlign w:val="bottom"/>
          </w:tcPr>
          <w:p>
            <w:pPr>
              <w:spacing w:after="0"/>
              <w:rPr>
                <w:sz w:val="11"/>
                <w:szCs w:val="11"/>
                <w:color w:val="auto"/>
              </w:rPr>
            </w:pPr>
          </w:p>
        </w:tc>
        <w:tc>
          <w:tcPr>
            <w:tcW w:w="1480" w:type="dxa"/>
            <w:vAlign w:val="bottom"/>
          </w:tcPr>
          <w:p>
            <w:pPr>
              <w:jc w:val="center"/>
              <w:ind w:right="16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13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Divestitures, net</w:t>
            </w:r>
          </w:p>
        </w:tc>
        <w:tc>
          <w:tcPr>
            <w:tcW w:w="13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28</w:t>
            </w:r>
          </w:p>
        </w:tc>
        <w:tc>
          <w:tcPr>
            <w:tcW w:w="132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86" w:lineRule="auto"/>
        <w:tabs>
          <w:tab w:leader="none" w:pos="368" w:val="left"/>
        </w:tabs>
        <w:numPr>
          <w:ilvl w:val="0"/>
          <w:numId w:val="42"/>
        </w:numPr>
        <w:rPr>
          <w:rFonts w:ascii="Arial" w:cs="Arial" w:eastAsia="Arial" w:hAnsi="Arial"/>
          <w:sz w:val="13"/>
          <w:szCs w:val="13"/>
          <w:color w:val="auto"/>
        </w:rPr>
      </w:pPr>
      <w:r>
        <w:rPr>
          <w:rFonts w:ascii="Arial" w:cs="Arial" w:eastAsia="Arial" w:hAnsi="Arial"/>
          <w:sz w:val="13"/>
          <w:szCs w:val="13"/>
          <w:color w:val="auto"/>
        </w:rPr>
        <w:t>We provide the organic change in net sales for our segments.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translation fluctuations and other significant non-recurring and non-operational items (“Other”). A reconciliation of this measure to the reported U.S. GAAP amount is provided in the table above.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w w:val="97"/>
              </w:rPr>
              <w:t>Factors Contributing to Change in Operating Profit</w:t>
            </w: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8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11"/>
                <w:szCs w:val="11"/>
                <w:color w:val="auto"/>
              </w:rPr>
            </w:pPr>
          </w:p>
        </w:tc>
        <w:tc>
          <w:tcPr>
            <w:tcW w:w="1640" w:type="dxa"/>
            <w:vAlign w:val="bottom"/>
          </w:tcPr>
          <w:p>
            <w:pPr>
              <w:jc w:val="center"/>
              <w:ind w:right="144"/>
              <w:spacing w:after="0" w:line="135" w:lineRule="exact"/>
              <w:rPr>
                <w:sz w:val="20"/>
                <w:szCs w:val="20"/>
                <w:color w:val="auto"/>
              </w:rPr>
            </w:pPr>
            <w:r>
              <w:rPr>
                <w:rFonts w:ascii="Arial" w:cs="Arial" w:eastAsia="Arial" w:hAnsi="Arial"/>
                <w:sz w:val="14"/>
                <w:szCs w:val="14"/>
                <w:b w:val="1"/>
                <w:bCs w:val="1"/>
                <w:color w:val="auto"/>
                <w:w w:val="94"/>
              </w:rPr>
              <w:t>Net change in EAC</w:t>
            </w:r>
          </w:p>
        </w:tc>
        <w:tc>
          <w:tcPr>
            <w:tcW w:w="340" w:type="dxa"/>
            <w:vAlign w:val="bottom"/>
          </w:tcPr>
          <w:p>
            <w:pPr>
              <w:spacing w:after="0"/>
              <w:rPr>
                <w:sz w:val="11"/>
                <w:szCs w:val="11"/>
                <w:color w:val="auto"/>
              </w:rPr>
            </w:pPr>
          </w:p>
        </w:tc>
        <w:tc>
          <w:tcPr>
            <w:tcW w:w="1620" w:type="dxa"/>
            <w:vAlign w:val="bottom"/>
          </w:tcPr>
          <w:p>
            <w:pPr>
              <w:jc w:val="center"/>
              <w:ind w:right="22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20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2"/>
              </w:rPr>
              <w:t>adjustments</w:t>
            </w: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1"/>
              </w:rPr>
              <w:t>Divestitures, net</w:t>
            </w:r>
          </w:p>
        </w:tc>
        <w:tc>
          <w:tcPr>
            <w:tcW w:w="20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Organic sales in the quarter ended September 30, 2021 were relatively consistent with the quarter ended September 30, 2020.</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operating profit of $41 million and the related increase in operating profit margins in the quarter ended September 30, 2021 compared to the quarter ended September 30, 2020, was primarily due to the net favorable change in EAC adjustments of $45 million, which was spread across numerous programs and primarily a result of the Raytheon Merger and the associated reset to zero percent complete for contracts accounted for on a percentage of completion basis.</w:t>
      </w:r>
    </w:p>
    <w:p>
      <w:pPr>
        <w:spacing w:after="0" w:line="79"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Nine Months Ended September 30, 2021 Compared with Nine Months Ended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4720" w:type="dxa"/>
            <w:vAlign w:val="bottom"/>
            <w:tcBorders>
              <w:bottom w:val="single" w:sz="8" w:color="auto"/>
            </w:tcBorders>
            <w:gridSpan w:val="5"/>
          </w:tcPr>
          <w:p>
            <w:pPr>
              <w:jc w:val="center"/>
              <w:ind w:left="362"/>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9"/>
                <w:szCs w:val="9"/>
                <w:b w:val="1"/>
                <w:bCs w:val="1"/>
                <w:color w:val="auto"/>
              </w:rPr>
              <w:t>(1)</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center"/>
              <w:ind w:right="16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12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Divestitures, net</w:t>
            </w:r>
          </w:p>
        </w:tc>
        <w:tc>
          <w:tcPr>
            <w:tcW w:w="12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4,023</w:t>
            </w:r>
          </w:p>
        </w:tc>
        <w:tc>
          <w:tcPr>
            <w:tcW w:w="128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86" w:lineRule="auto"/>
        <w:tabs>
          <w:tab w:leader="none" w:pos="368"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provide the organic change in net sales for our segments.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translation fluctuations and other significant non-recurring and non-operational items (“Other”). A reconciliation of this measure to the reported U.S. GAAP amount is provided in the table above.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Factors Contributing to Change in Operating Profit</w:t>
            </w: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3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Volume</w:t>
            </w:r>
          </w:p>
        </w:tc>
        <w:tc>
          <w:tcPr>
            <w:tcW w:w="460" w:type="dxa"/>
            <w:vAlign w:val="bottom"/>
          </w:tcPr>
          <w:p>
            <w:pPr>
              <w:spacing w:after="0"/>
              <w:rPr>
                <w:sz w:val="11"/>
                <w:szCs w:val="11"/>
                <w:color w:val="auto"/>
              </w:rPr>
            </w:pPr>
          </w:p>
        </w:tc>
        <w:tc>
          <w:tcPr>
            <w:tcW w:w="1600" w:type="dxa"/>
            <w:vAlign w:val="bottom"/>
          </w:tcPr>
          <w:p>
            <w:pPr>
              <w:jc w:val="center"/>
              <w:ind w:left="304"/>
              <w:spacing w:after="0" w:line="135" w:lineRule="exact"/>
              <w:rPr>
                <w:sz w:val="20"/>
                <w:szCs w:val="20"/>
                <w:color w:val="auto"/>
              </w:rPr>
            </w:pPr>
            <w:r>
              <w:rPr>
                <w:rFonts w:ascii="Arial" w:cs="Arial" w:eastAsia="Arial" w:hAnsi="Arial"/>
                <w:sz w:val="14"/>
                <w:szCs w:val="14"/>
                <w:b w:val="1"/>
                <w:bCs w:val="1"/>
                <w:color w:val="auto"/>
                <w:w w:val="94"/>
              </w:rPr>
              <w:t>Net change in EAC</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92"/>
              </w:rPr>
              <w:t>adjustments</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tcBorders>
            <w:shd w:val="clear" w:color="auto" w:fill="CCEEFF"/>
          </w:tcPr>
          <w:p>
            <w:pPr>
              <w:jc w:val="right"/>
              <w:ind w:right="134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404</w:t>
            </w:r>
          </w:p>
        </w:tc>
        <w:tc>
          <w:tcPr>
            <w:tcW w:w="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Organic sales in the nine months ended September 30, 2021 were relatively consistent with the nine months ended September 30, 2020. Included in the increase in organic sales was higher net sales of $142 million on certain Airborne Intelligence, Surveillance and Reconnaissance (ISR) programs within sensing and effects primarily due to increased production driven by customer demand, higher volume of $91 million on certain classified cyber programs within cyber, training and services primarily due to increases in customer-determined activity levels, and lower net sales of $71 million due to lower volume on certain Space ISR programs within sensing and effects.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operating profit of $535 million and the related increase in operating profit margins in the nine months ended September 30, 2021 compared to the nine months ended September 30, 2020, was primarily due to the change in acquisitions / divestitures, net of $404 million, and the net favorable change in EAC adjustments of $98 million, which was spread across numerous programs and primarily a result of the Raytheon Merger and the associated reset to zero percent complete for contracts accounted for on a percentage of completion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and operating profit due to acquisitions / divestitures, net primarily relates to the Raytheon Merger on April 3, 2020.</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Backlog and Bookings</w:t>
      </w:r>
      <w:r>
        <w:rPr>
          <w:rFonts w:ascii="Arial" w:cs="Arial" w:eastAsia="Arial" w:hAnsi="Arial"/>
          <w:sz w:val="17"/>
          <w:szCs w:val="17"/>
          <w:color w:val="auto"/>
        </w:rPr>
        <w:t>– Backlog was $18.7 billion at September 30, 2021 and $19.2 billion at December 31, 2020. In the quarter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RIS booked $962 million on a number of classified contracts. In addition to these bookings, in the nine months ended September 30, 2021, RIS booked $2,539 million on a number of classified contracts, $365 million on the Standard Terminal Automation Replacement System (STARS) program for the Federal Aviation Administration (FAA), $227 million on a missile warning and defense contract, $211 million to provide additional upgrades to the Global Positioning System Next Generation Operational Control System (GPS OCX) program for the U.S. Air Force, $199 million on an international tactical airborne radar sustainment contract, $185 million on an international training contract with the U.K. Royal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Navy, and $172 million on the Next Generation Jammer (NGJ) Mid-Band Low Rate Initial Production (LRIP) contract with the U.S. Navy.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 ended September 30, 2020, RIS booked $928 million on a number of classified contracts and $176 million to perform operations and sustainment for the U.S. Air Force’s Launch and Test Range System (LTRS). In addition to these bookings, in the nine months ended September 30, 2020, RIS booked $1,418 million on a number of classified contracts and $166 million on the Global Aircrew Strategic Network Terminal (Global ASNT) program for the U.S. Air Force.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Missiles &amp; Defense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819"/>
              <w:spacing w:after="0"/>
              <w:rPr>
                <w:sz w:val="20"/>
                <w:szCs w:val="20"/>
                <w:color w:val="auto"/>
              </w:rPr>
            </w:pPr>
            <w:r>
              <w:rPr>
                <w:rFonts w:ascii="Arial" w:cs="Arial" w:eastAsia="Arial" w:hAnsi="Arial"/>
                <w:sz w:val="14"/>
                <w:szCs w:val="14"/>
                <w:b w:val="1"/>
                <w:bCs w:val="1"/>
                <w:color w:val="auto"/>
              </w:rPr>
              <w:t>Quarter Ended September 30,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3,902</w:t>
            </w:r>
          </w:p>
        </w:tc>
        <w:tc>
          <w:tcPr>
            <w:tcW w:w="4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3,706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11,680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8"/>
              </w:rPr>
              <w:t>7,212</w:t>
            </w:r>
          </w:p>
        </w:tc>
        <w:tc>
          <w:tcPr>
            <w:tcW w:w="100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2"/>
              </w:rPr>
              <w:t>62 %</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490</w:t>
            </w:r>
          </w:p>
        </w:tc>
        <w:tc>
          <w:tcPr>
            <w:tcW w:w="420" w:type="dxa"/>
            <w:vAlign w:val="bottom"/>
          </w:tcPr>
          <w:p>
            <w:pPr>
              <w:spacing w:after="0"/>
              <w:rPr>
                <w:sz w:val="19"/>
                <w:szCs w:val="19"/>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449</w:t>
            </w:r>
          </w:p>
        </w:tc>
        <w:tc>
          <w:tcPr>
            <w:tcW w:w="114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118"/>
              <w:spacing w:after="0"/>
              <w:rPr>
                <w:sz w:val="20"/>
                <w:szCs w:val="20"/>
                <w:color w:val="auto"/>
              </w:rPr>
            </w:pPr>
            <w:r>
              <w:rPr>
                <w:rFonts w:ascii="Arial" w:cs="Arial" w:eastAsia="Arial" w:hAnsi="Arial"/>
                <w:sz w:val="18"/>
                <w:szCs w:val="18"/>
                <w:b w:val="1"/>
                <w:bCs w:val="1"/>
                <w:color w:val="auto"/>
              </w:rPr>
              <w:t>1,518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308"/>
              <w:spacing w:after="0"/>
              <w:rPr>
                <w:sz w:val="20"/>
                <w:szCs w:val="20"/>
                <w:color w:val="auto"/>
              </w:rPr>
            </w:pPr>
            <w:r>
              <w:rPr>
                <w:rFonts w:ascii="Arial" w:cs="Arial" w:eastAsia="Arial" w:hAnsi="Arial"/>
                <w:sz w:val="18"/>
                <w:szCs w:val="18"/>
                <w:color w:val="auto"/>
              </w:rPr>
              <w:t>847</w:t>
            </w:r>
          </w:p>
        </w:tc>
        <w:tc>
          <w:tcPr>
            <w:tcW w:w="1000" w:type="dxa"/>
            <w:vAlign w:val="bottom"/>
          </w:tcPr>
          <w:p>
            <w:pPr>
              <w:jc w:val="center"/>
              <w:ind w:left="494"/>
              <w:spacing w:after="0"/>
              <w:rPr>
                <w:sz w:val="20"/>
                <w:szCs w:val="20"/>
                <w:color w:val="auto"/>
              </w:rPr>
            </w:pPr>
            <w:r>
              <w:rPr>
                <w:rFonts w:ascii="Arial" w:cs="Arial" w:eastAsia="Arial" w:hAnsi="Arial"/>
                <w:sz w:val="18"/>
                <w:szCs w:val="18"/>
                <w:color w:val="auto"/>
                <w:w w:val="92"/>
              </w:rPr>
              <w:t>79 %</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12.6 %</w:t>
            </w: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13.0 %</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11.7 %</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1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8"/>
                <w:szCs w:val="18"/>
                <w:b w:val="1"/>
                <w:bCs w:val="1"/>
                <w:color w:val="auto"/>
              </w:rPr>
              <w:t>3,901</w:t>
            </w:r>
          </w:p>
        </w:tc>
        <w:tc>
          <w:tcPr>
            <w:tcW w:w="4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2,489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5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12,487</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8"/>
                <w:szCs w:val="18"/>
                <w:color w:val="auto"/>
                <w:w w:val="88"/>
              </w:rPr>
              <w:t>6,598</w:t>
            </w:r>
          </w:p>
        </w:tc>
        <w:tc>
          <w:tcPr>
            <w:tcW w:w="100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w w:val="92"/>
              </w:rPr>
              <w:t>89 %</w:t>
            </w:r>
          </w:p>
        </w:tc>
        <w:tc>
          <w:tcPr>
            <w:tcW w:w="0" w:type="dxa"/>
            <w:vAlign w:val="bottom"/>
          </w:tcPr>
          <w:p>
            <w:pPr>
              <w:spacing w:after="0"/>
              <w:rPr>
                <w:sz w:val="1"/>
                <w:szCs w:val="1"/>
                <w:color w:val="auto"/>
              </w:rPr>
            </w:pPr>
          </w:p>
        </w:tc>
      </w:tr>
      <w:tr>
        <w:trPr>
          <w:trHeight w:val="769"/>
        </w:trPr>
        <w:tc>
          <w:tcPr>
            <w:tcW w:w="2220" w:type="dxa"/>
            <w:vAlign w:val="bottom"/>
          </w:tcPr>
          <w:p>
            <w:pPr>
              <w:spacing w:after="0"/>
              <w:rPr>
                <w:sz w:val="24"/>
                <w:szCs w:val="24"/>
                <w:color w:val="auto"/>
              </w:rPr>
            </w:pPr>
          </w:p>
        </w:tc>
        <w:tc>
          <w:tcPr>
            <w:tcW w:w="6960" w:type="dxa"/>
            <w:vAlign w:val="bottom"/>
            <w:gridSpan w:val="12"/>
          </w:tcPr>
          <w:p>
            <w:pPr>
              <w:jc w:val="right"/>
              <w:ind w:right="30"/>
              <w:spacing w:after="0"/>
              <w:rPr>
                <w:sz w:val="20"/>
                <w:szCs w:val="20"/>
                <w:color w:val="auto"/>
              </w:rPr>
            </w:pPr>
            <w:r>
              <w:rPr>
                <w:rFonts w:ascii="Arial" w:cs="Arial" w:eastAsia="Arial" w:hAnsi="Arial"/>
                <w:sz w:val="18"/>
                <w:szCs w:val="18"/>
                <w:b w:val="1"/>
                <w:bCs w:val="1"/>
                <w:i w:val="1"/>
                <w:iCs w:val="1"/>
                <w:color w:val="auto"/>
                <w:w w:val="92"/>
              </w:rPr>
              <w:t>Quarter Ended September 30, 2021 Compared with Quarter Ended September 30, 2020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center"/>
              <w:ind w:right="98"/>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auto"/>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8"/>
                <w:szCs w:val="18"/>
                <w:color w:val="auto"/>
                <w:w w:val="86"/>
              </w:rPr>
              <w:t>196</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40" w:hanging="332"/>
        <w:spacing w:after="0" w:line="286" w:lineRule="auto"/>
        <w:tabs>
          <w:tab w:leader="none" w:pos="368" w:val="left"/>
        </w:tabs>
        <w:numPr>
          <w:ilvl w:val="0"/>
          <w:numId w:val="44"/>
        </w:numPr>
        <w:rPr>
          <w:rFonts w:ascii="Arial" w:cs="Arial" w:eastAsia="Arial" w:hAnsi="Arial"/>
          <w:sz w:val="13"/>
          <w:szCs w:val="13"/>
          <w:color w:val="auto"/>
        </w:rPr>
      </w:pPr>
      <w:r>
        <w:rPr>
          <w:rFonts w:ascii="Arial" w:cs="Arial" w:eastAsia="Arial" w:hAnsi="Arial"/>
          <w:sz w:val="13"/>
          <w:szCs w:val="13"/>
          <w:color w:val="auto"/>
        </w:rPr>
        <w:t>We provide the organic change in net sales for our segments.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translation fluctuations and other significant non-recurring and non-operational items (“Other”). A reconciliation of this measure to the reported U.S. GAAP amount is provided in the table above.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Factors Contributing to Change in Operating Profit</w:t>
            </w: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Volume</w:t>
            </w:r>
          </w:p>
        </w:tc>
        <w:tc>
          <w:tcPr>
            <w:tcW w:w="1660" w:type="dxa"/>
            <w:vAlign w:val="bottom"/>
          </w:tcPr>
          <w:p>
            <w:pPr>
              <w:jc w:val="center"/>
              <w:ind w:left="244"/>
              <w:spacing w:after="0" w:line="135" w:lineRule="exact"/>
              <w:rPr>
                <w:sz w:val="20"/>
                <w:szCs w:val="20"/>
                <w:color w:val="auto"/>
              </w:rPr>
            </w:pPr>
            <w:r>
              <w:rPr>
                <w:rFonts w:ascii="Arial" w:cs="Arial" w:eastAsia="Arial" w:hAnsi="Arial"/>
                <w:sz w:val="14"/>
                <w:szCs w:val="14"/>
                <w:b w:val="1"/>
                <w:bCs w:val="1"/>
                <w:color w:val="auto"/>
                <w:w w:val="94"/>
              </w:rPr>
              <w:t>Net change in EAC</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92"/>
              </w:rPr>
              <w:t>adjustments</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c>
          <w:tcPr>
            <w:tcW w:w="1660" w:type="dxa"/>
            <w:vAlign w:val="bottom"/>
            <w:tcBorders>
              <w:bottom w:val="single" w:sz="8" w:color="auto"/>
            </w:tcBorders>
            <w:shd w:val="clear" w:color="auto" w:fill="CCEEFF"/>
          </w:tcPr>
          <w:p>
            <w:pPr>
              <w:jc w:val="right"/>
              <w:ind w:right="140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organic sales increase of $193 million in the quarter ended September 30, 2021 compared to the quarter ended September 30, 2020 was primarily due to higher net sales of $143 million to an international customer driven by planned increases in production on NASAMS and higher net sales of $87 million on the AMRAAM program including the recognition of previously deferred precontract costs resulting from a contract award in the third quarter of 2021, partially offset by lower net sales of $65 million related to sales on our direct commercial sales contracts for precision guided munitions with a Middle East customer that had been recognized in the quarter ended September 30, 2020, but subsequently reversed in the fourth quarter of 2020. We have not yet obtained regulatory approval on these contracts, and we subsequently reversed these sales because we determined, due to then-current events, that it was no longer probable that we will be able to obtain regulatory approvals for these contracts.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profit of $41 million in the quarter ended September 30, 2021 compared to the quarter ended September 30, 2020, was primarily due to an increase in volume of $21 million principally driven by the activity on the programs described above in organic sales. The increase in operating profit margins was primarily due to the change in mix and other performance.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Nine Months Ended September 30, 2021 Compared with Nine Months Ended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4720" w:type="dxa"/>
            <w:vAlign w:val="bottom"/>
            <w:tcBorders>
              <w:bottom w:val="single" w:sz="8" w:color="auto"/>
            </w:tcBorders>
            <w:gridSpan w:val="5"/>
          </w:tcPr>
          <w:p>
            <w:pPr>
              <w:jc w:val="center"/>
              <w:ind w:left="362"/>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center"/>
              <w:ind w:right="16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12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Divestitures, net</w:t>
            </w:r>
          </w:p>
        </w:tc>
        <w:tc>
          <w:tcPr>
            <w:tcW w:w="12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3,999</w:t>
            </w:r>
          </w:p>
        </w:tc>
        <w:tc>
          <w:tcPr>
            <w:tcW w:w="128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86" w:lineRule="auto"/>
        <w:tabs>
          <w:tab w:leader="none" w:pos="368" w:val="left"/>
        </w:tabs>
        <w:numPr>
          <w:ilvl w:val="0"/>
          <w:numId w:val="45"/>
        </w:numPr>
        <w:rPr>
          <w:rFonts w:ascii="Arial" w:cs="Arial" w:eastAsia="Arial" w:hAnsi="Arial"/>
          <w:sz w:val="13"/>
          <w:szCs w:val="13"/>
          <w:color w:val="auto"/>
        </w:rPr>
      </w:pPr>
      <w:r>
        <w:rPr>
          <w:rFonts w:ascii="Arial" w:cs="Arial" w:eastAsia="Arial" w:hAnsi="Arial"/>
          <w:sz w:val="13"/>
          <w:szCs w:val="13"/>
          <w:color w:val="auto"/>
        </w:rPr>
        <w:t>We provide the organic change in net sales for our segments.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translation fluctuations and other significant non-recurring and non-operational items (“Other”). A reconciliation of this measure to the reported U.S. GAAP amount is provided in the table above.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Factors Contributing to Change in Operating Profit</w:t>
            </w: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Volume</w:t>
            </w:r>
          </w:p>
        </w:tc>
        <w:tc>
          <w:tcPr>
            <w:tcW w:w="1600" w:type="dxa"/>
            <w:vAlign w:val="bottom"/>
          </w:tcPr>
          <w:p>
            <w:pPr>
              <w:jc w:val="center"/>
              <w:ind w:left="304"/>
              <w:spacing w:after="0" w:line="135" w:lineRule="exact"/>
              <w:rPr>
                <w:sz w:val="20"/>
                <w:szCs w:val="20"/>
                <w:color w:val="auto"/>
              </w:rPr>
            </w:pPr>
            <w:r>
              <w:rPr>
                <w:rFonts w:ascii="Arial" w:cs="Arial" w:eastAsia="Arial" w:hAnsi="Arial"/>
                <w:sz w:val="14"/>
                <w:szCs w:val="14"/>
                <w:b w:val="1"/>
                <w:bCs w:val="1"/>
                <w:color w:val="auto"/>
                <w:w w:val="94"/>
              </w:rPr>
              <w:t>Net change in EAC</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92"/>
              </w:rPr>
              <w:t>adjustments</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42</w:t>
            </w:r>
          </w:p>
        </w:tc>
        <w:tc>
          <w:tcPr>
            <w:tcW w:w="1600" w:type="dxa"/>
            <w:vAlign w:val="bottom"/>
            <w:tcBorders>
              <w:bottom w:val="single" w:sz="8" w:color="auto"/>
            </w:tcBorders>
            <w:shd w:val="clear" w:color="auto" w:fill="CCEEFF"/>
          </w:tcPr>
          <w:p>
            <w:pPr>
              <w:jc w:val="right"/>
              <w:ind w:right="134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521</w:t>
            </w:r>
          </w:p>
        </w:tc>
        <w:tc>
          <w:tcPr>
            <w:tcW w:w="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organic sales increase of $452 million in the nine months ended September 30, 2021 compared to the nine months ended September 30, 2020 was primarily due to higher net sales of $118 million on an international Patriot program driven by a contract modification in the second quarter of 2021, which included the recognition of previously deferred precontract costs, higher net sales of $92 million to an international customer driven by planned increases in production on NASAMS, higher net sales of $84 million on the AMRAAM program including the recognition of previously deferred precontract costs resulting from a contract award in the third quarter of 2021 and higher net sales of $78 million on the StormBreaker program primarily due to the recognition of previously deferred precontract costs based on a contract award in the second quarter of 2021, partially offset by lower net sales of $119 million related to sales on our direct commercial sales contracts for precision guided munitions with a Middle East customer as discussed above.</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operating profit of $671 million and the related increase in operating profit margins in the nine months ended September 30, 2021 compared to the nine months ended September 30, 2020 was primarily due to a change in acquisitions / divestitures, net of $521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and operating profit due to acquisitions / divestitures, net relates to the Raytheon Merger on April 3, 2020.</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Backlog and Bookings</w:t>
      </w:r>
      <w:r>
        <w:rPr>
          <w:rFonts w:ascii="Arial" w:cs="Arial" w:eastAsia="Arial" w:hAnsi="Arial"/>
          <w:sz w:val="17"/>
          <w:szCs w:val="17"/>
          <w:color w:val="auto"/>
        </w:rPr>
        <w:t>– Backlog was $29.6 billion at September 30, 2021 and $29.1 billion at December 31, 2020. In the quarter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RMD booked $570 million for AMRAAM for the U.S. Air Force and Navy and international customers, $432 million to provide Guidance Enhanced Missiles (GEM-T) for an international customer, $358 million for Evolved Sea Sparrow Missile (ESSM) for the U.S. Navy and international customers, $291 million for Stinger missiles for international customers and $175 million to provide Patriot technical assistance for an international customer. RMD also booked $400 million on a number of classified contracts. In addition to these bookings, in the nine months ended September 30, 2021, RMD booked approximately $2 billion for the Long Range Standoff (LRSO) Weapon System Engineering and Manufacturing Development (EMD) contract for the U.S. Air Force, $1,315 million for the Next Generation Interceptor (NGI) for the Missile Defense Agency (MDA), $518 million for AMRAAM for the U.S. Air Force and Navy and international customers, $327 million for AIM-9X Sidewinder short-range air-to-air missiles for the U.S. Navy and Air Force and international customers, $247 million to provide Patriot engineering services support for the U.S. Army and international customers, $242 million on the Army Navy/Transportable Radar Surveillance-Model 2 (AN/TPY-2) radar program for the MDA, and $213 million for StormBreaker for the U.S. Air Force and Navy.</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quarter ended September 30, 2020, RMD booked $186 million on the AN/TPY-2 radar program for the Kingdom of Saudi Arabia (KSA). In addition to these bookings, in the nine months ended September 30, 2020, RMD booked $2,253 million on the AN/TPY-2 radar program for KSA and $321 million for Standard Missile-3 (SM-3) for the MDA and an international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non-reportable business segments, including Forcepoint, which was acquired as part of the Raytheon Merger and subsequently disposed of on January 8, 2021, as further discussed in “Note 2: Acquisitions, Dispositions, Goodwill and Intangible Assets” within Item 1 of this Form 10-Q.</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4"/>
                <w:szCs w:val="14"/>
                <w:b w:val="1"/>
                <w:bCs w:val="1"/>
                <w:color w:val="auto"/>
                <w:w w:val="91"/>
              </w:rPr>
              <w:t>Net Sales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Borders>
              <w:bottom w:val="single" w:sz="8" w:color="auto"/>
            </w:tcBorders>
          </w:tcPr>
          <w:p>
            <w:pPr>
              <w:spacing w:after="0"/>
              <w:rPr>
                <w:sz w:val="16"/>
                <w:szCs w:val="16"/>
                <w:color w:val="auto"/>
              </w:rPr>
            </w:pPr>
          </w:p>
        </w:tc>
      </w:tr>
      <w:tr>
        <w:trPr>
          <w:trHeight w:val="186"/>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center"/>
              <w:ind w:right="235"/>
              <w:spacing w:after="0"/>
              <w:rPr>
                <w:sz w:val="20"/>
                <w:szCs w:val="20"/>
                <w:color w:val="auto"/>
              </w:rPr>
            </w:pPr>
            <w:r>
              <w:rPr>
                <w:rFonts w:ascii="Arial" w:cs="Arial" w:eastAsia="Arial" w:hAnsi="Arial"/>
                <w:sz w:val="14"/>
                <w:szCs w:val="14"/>
                <w:b w:val="1"/>
                <w:bCs w:val="1"/>
                <w:color w:val="auto"/>
                <w:w w:val="94"/>
              </w:rPr>
              <w:t>Quarter Ended September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Quarter Ended September 30,</w:t>
            </w:r>
          </w:p>
        </w:tc>
      </w:tr>
      <w:tr>
        <w:trPr>
          <w:trHeight w:val="18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 segment eliminations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5"/>
              </w:rPr>
              <w:t>(655)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non-reportable segments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93"/>
              </w:rPr>
              <w:t>179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95"/>
              </w:rPr>
              <w:t>(476)</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other non-reportable segment sales for the quarter ended September 30, 2021 compared to the quarter ended September 30, 2020, was primarily related to the sale of our Forcepoint business in the first quarter of 2021.</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non-reportable segment operating profit for the quarter ended September 30, 2021 was relatively consistent with the quarter ended September 30,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Net Sales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Borders>
              <w:bottom w:val="single" w:sz="8" w:color="auto"/>
            </w:tcBorders>
          </w:tcPr>
          <w:p>
            <w:pPr>
              <w:spacing w:after="0"/>
              <w:rPr>
                <w:sz w:val="16"/>
                <w:szCs w:val="16"/>
                <w:color w:val="auto"/>
              </w:rPr>
            </w:pPr>
          </w:p>
        </w:tc>
      </w:tr>
      <w:tr>
        <w:trPr>
          <w:trHeight w:val="186"/>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 segment eliminations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non-reportable segments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15</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(2,188)</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other non-reportable segment sales for the nine months ended September 30, 2021 compared to the nine months ended September 30, 2020, was primarily related to the sale of our Forcepoint business in the first quarter of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non-reportable segments operating profit for the nine months ended September 30, 2021 was relatively consistent with the nine months ended September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expenses and other unallocated items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Corporate expenses and other unallocated items consists of costs and certain other unallowable corporate costs not considered part of management’s evaluation of reportable segment operating performance including restructuring and merger costs related to the Raytheon Merger, net costs associated with corporate research and development, including the Lower Tier Air and Missile Defense Sensor (LTAMDS) program which was acquired as part of the Raytheon Merger, and certain reserves. See “Restructuring Costs,” above, for a more detailed discussion of our restructuring costs.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6"/>
                <w:szCs w:val="16"/>
                <w:color w:val="auto"/>
              </w:rPr>
            </w:pP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231"/>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18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18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expenses and other unallocated items in the quarter ended September 30, 2021 were relatively consistent with the quarter ended September 30, 2020.</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Corporate expenses and other unallocated items of $172 million for the nine months ended September 30, 2021 compared to the nine months ended September 30, 2020 was primarily driven by a decrease in merger-related costs related to the Raytheon Merger of $128 million and lower restructuring costs of $112 million, partially offset by an increase in net expenses related to the LTAMDS project.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results of RIS and RMD include pension and PRB expense as determined under U.S. government CAS, which we generally recover through the pricing of our products and services to the U.S. government. The difference between our CAS expense and the FAS service cost attributable to these segments under U.S. GAAP is the FAS/CAS operating adjustment. The FAS/CAS operating adjustment results in consolidated pension expense in operating profit equal to the service cost component of FAS expense under U.S. GAAP. The segment results of Collins Aerospace and Pratt &amp; Whitney generally include FAS service cost.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FAS/CAS operating adjustment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Quarter Ended 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 service cost (expense)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(102)</w:t>
            </w:r>
          </w:p>
        </w:tc>
        <w:tc>
          <w:tcPr>
            <w:tcW w:w="114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15"/>
              <w:spacing w:after="0"/>
              <w:rPr>
                <w:sz w:val="20"/>
                <w:szCs w:val="20"/>
                <w:color w:val="auto"/>
              </w:rPr>
            </w:pPr>
            <w:r>
              <w:rPr>
                <w:rFonts w:ascii="Arial" w:cs="Arial" w:eastAsia="Arial" w:hAnsi="Arial"/>
                <w:sz w:val="18"/>
                <w:szCs w:val="18"/>
                <w:color w:val="auto"/>
                <w:w w:val="95"/>
              </w:rPr>
              <w:t>(227)</w:t>
            </w:r>
          </w:p>
        </w:tc>
      </w:tr>
      <w:tr>
        <w:trPr>
          <w:trHeight w:val="22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 expense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601</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3"/>
              </w:rPr>
              <w:t>498</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1,651</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86"/>
              </w:rPr>
              <w:t>963</w:t>
            </w: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499</w:t>
            </w:r>
          </w:p>
        </w:tc>
        <w:tc>
          <w:tcPr>
            <w:tcW w:w="11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380</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86"/>
              </w:rPr>
              <w:t>736</w:t>
            </w:r>
          </w:p>
        </w:tc>
      </w:tr>
    </w:tbl>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our FAS/CAS operating adjustment of $119 million in the quarter ended September 30, 2021 compared to the quarter ended September 30, 2020 was driven by a $103 million increase in CAS expense, as well as a $16 million decrease in FAS service cost. The increase in CAS expense was primarily due to the third quarter 2021 update to our actuarial estimates.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change in our FAS/CAS operating adjustment of $611 million in the nine months ended September 30, 2021 compared to the nine months ended September 30, 2020 was driven by a $688 million increase in CAS expense, partially offset by a $77 million increase in FAS service cost. The increase in</w:t>
      </w:r>
    </w:p>
    <w:p>
      <w:pPr>
        <w:jc w:val="both"/>
        <w:spacing w:after="0" w:line="263" w:lineRule="auto"/>
        <w:rPr>
          <w:sz w:val="20"/>
          <w:szCs w:val="20"/>
          <w:color w:val="auto"/>
        </w:rPr>
      </w:pPr>
      <w:r>
        <w:rPr>
          <w:rFonts w:ascii="Arial" w:cs="Arial" w:eastAsia="Arial" w:hAnsi="Arial"/>
          <w:sz w:val="18"/>
          <w:szCs w:val="18"/>
          <w:color w:val="auto"/>
        </w:rPr>
        <w:t>our CAS expense was primarily due to the inclusion of the Raytheon Company plans as a result of the Raytheon Merger. The increase in our FAS service cost was primarily due to the inclusion of the Raytheon Company plans as a result of the Raytheon Merger, partially offset by the Raytheon domestic defined pension plan amendment, as described below.</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2020, we approved a change to the Raytheon Company domestic defined benefit pension plans for non-union participants to cease future benefit accruals based on an employee’s years of service and compensation effective December 31, 2022. The plan change does not impact participants’ historical benefit accruals. Benefits for service after December 31, 2022 will be based on a cash balance formula.</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economic environment resulting from the COVID-19 pandemic, Congress passed the American Rescue Plan Act of 2021 (ARPA) in March 2021, which included pension funding relief provisions. These provisions extend and expand upon existing pension funding relief, most notably by increasing the liability interest rates used to determine the required cash contributions for our U.S. qualified pension plans. As a result, we do not currently expect cash contributions to be required for our U.S. qualified pension plans in 2021 or 2022.</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ARPA pension funding relief provisions are also expected to result in decreases to CAS expense, and the related recovery under our contracts, for our U.S. qualified pension plans beginning in 2022 as the interest rates used to determine pension funding requirements for these plans are also used in determining CAS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 adjustments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 accounting adjustments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Amortization of acquired intangibles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(1,789)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property, plant and equipment fair value adjustment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5"/>
        </w:trPr>
        <w:tc>
          <w:tcPr>
            <w:tcW w:w="6480" w:type="dxa"/>
            <w:vAlign w:val="bottom"/>
          </w:tcPr>
          <w:p>
            <w:pPr>
              <w:ind w:left="20"/>
              <w:spacing w:after="0" w:line="176" w:lineRule="exact"/>
              <w:rPr>
                <w:sz w:val="20"/>
                <w:szCs w:val="20"/>
                <w:color w:val="auto"/>
              </w:rPr>
            </w:pPr>
            <w:r>
              <w:rPr>
                <w:rFonts w:ascii="Arial" w:cs="Arial" w:eastAsia="Arial" w:hAnsi="Arial"/>
                <w:sz w:val="18"/>
                <w:szCs w:val="18"/>
                <w:color w:val="auto"/>
                <w:w w:val="95"/>
              </w:rPr>
              <w:t>Amortization of customer contractual obligations related to acquired loss-making and</w:t>
            </w:r>
          </w:p>
        </w:tc>
        <w:tc>
          <w:tcPr>
            <w:tcW w:w="180" w:type="dxa"/>
            <w:vAlign w:val="bottom"/>
          </w:tcPr>
          <w:p>
            <w:pPr>
              <w:spacing w:after="0"/>
              <w:rPr>
                <w:sz w:val="15"/>
                <w:szCs w:val="15"/>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15"/>
                <w:szCs w:val="15"/>
                <w:color w:val="auto"/>
              </w:rPr>
            </w:pPr>
          </w:p>
        </w:tc>
        <w:tc>
          <w:tcPr>
            <w:tcW w:w="840" w:type="dxa"/>
            <w:vAlign w:val="bottom"/>
            <w:vMerge w:val="restart"/>
          </w:tcPr>
          <w:p>
            <w:pPr>
              <w:ind w:left="6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252</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below-market contracts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Acquisition accounting adjustments related to acquisitions in each segment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w:t>
            </w: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change in the Acquisition accounting adjustments of $63 million for the quarter ended September 30, 2021 compared to the quarter ended September 30, 2020, was primarily driven by an increase at Pratt &amp; Whitney primarily due to an increase in collaboration intangibles amortization driven by an increase in V2500 program activity and Collins Aerospace primarily due to the impact of foreign currency exchange rates.</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 in the Acquisition accounting adjustments of $2,918 million for the nine months ended September 30, 2021 compared to the nine months ended September 30, 2020, is primarily driven by the $3.2 billion goodwill impairment loss in the second quarter of 2020 related to two Collins Aerospace reporting units, partially offset by an increase of $361 million for acquisition accounting adjustments related to the Raytheon Merger, primarily due to the timing of the merger in the prior year. Included in Acquisition accounting adjustments in the nine months ended September 30, 2021 was $116 million of amortization of customer contractual obligations due to the accelerated liquidation of below-market contract reserves at Collins Aerospace driven by the termination of two customer contracts. Refer to “Note 2: Acquisitions, Dispositions, Goodwill and Intangible Assets” within Item 1 of this Form 10-Q for additional information on the goodwill impairment loss.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September 30, 2021</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7,476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8,802</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Arial" w:cs="Arial" w:eastAsia="Arial" w:hAnsi="Arial"/>
                <w:sz w:val="18"/>
                <w:szCs w:val="18"/>
                <w:b w:val="1"/>
                <w:bCs w:val="1"/>
                <w:color w:val="auto"/>
              </w:rPr>
              <w:t>31,248</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31,823</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72,937</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73,852</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Total capitalization (total debt plus total equity)</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Arial" w:cs="Arial" w:eastAsia="Arial" w:hAnsi="Arial"/>
                <w:sz w:val="18"/>
                <w:szCs w:val="18"/>
                <w:b w:val="1"/>
                <w:bCs w:val="1"/>
                <w:color w:val="auto"/>
              </w:rPr>
              <w:t>104,185</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105,675</w:t>
            </w:r>
          </w:p>
        </w:tc>
      </w:tr>
      <w:tr>
        <w:trPr>
          <w:trHeight w:val="236"/>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to total capitalization</w:t>
            </w:r>
          </w:p>
        </w:tc>
        <w:tc>
          <w:tcPr>
            <w:tcW w:w="2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 We had $6.84 billion available under our various credit facilities at September 30, 2021.</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our business has been and will continue to be impacted by COVID-19, as discussed above in Business Overview, we currently believe we have sufficient liquidity to withstand the potential impacts.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2021, we had cash and cash equivalents of $7.5 billion, of which approximately 35% was held by RTC’s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RTC will continue to permanently reinvest these earnings. We have repatriated approximately $1.8 billion of cash in the nine months ended September 30,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Historically, our strong credit ratings and financial position have enabled us to issue long-term debt at favorable interest rates.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our maximum commercial paper borrowing limit was $5.0 billion as the commercial paper is backed by our $5.0 billion revolving credit agreement. We had $160 million of commercial paper borrowings as of September 30, 2021. The daily average amount of short-term commercial paper borrowings outstanding during the nine months ended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September 30, 2021 was $191 million.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we renewed our $2.0 billion revolving credit agreement, which now expires in May 2022. As of September 30, 2021, we had revolving credit agreements with various banks permitting aggregate borrowings of up to $7.0 billion consisting of a $5.0 billion revolving credit agreement that became available upon completion of the Raytheon Merger on April 3, 2020, and the $2.0 billion revolving credit agreement, and there were no borrowings outstanding under these agreements.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existing universal shelf registration statement, which we filed with the Securities and Exchange Commission (SEC) on September 27, 2019, for an indeterminate amount of debt and equity securities for future issuance, subject to our internal limitations on the amount of debt to be issued under this shelf registration statement.</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offered a voluntary supply chain finance (SCF) program with a global financial institution which enables our suppliers, at their sole discretion, to sell their receivables from the Company to the financial institution at a rate that leverages our credit rating, which might be beneficial to them. Our suppliers’ participation in the SCF program does not impact or change our terms and conditions with those suppliers, and therefore, we have no economic interest in a supplier’s decision to participate in the program. In addition, we provide no guarantees or otherwise pay for any of the costs of the program incurred by those suppliers that choose to participate, and have no direct financial relationship with the financial institution, as it relates to the program. As such, amounts due to suppliers that have elected to participate in the SCF program are included in Accounts payable on our Condensed Consolidated Balance Sheet and all payment activity related to amounts due to suppliers that elected to participate in the SCF program are reflected in cash flows from operating activities in our Condensed Consolidated Statement of Cash Flows. The SCF program does not impact our overall liquidity.</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3,981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3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operating activities from discontinued operations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bl>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Activities - Continuing Operations. </w:t>
      </w:r>
      <w:r>
        <w:rPr>
          <w:rFonts w:ascii="Arial" w:cs="Arial" w:eastAsia="Arial" w:hAnsi="Arial"/>
          <w:sz w:val="17"/>
          <w:szCs w:val="17"/>
          <w:color w:val="auto"/>
        </w:rPr>
        <w:t>Cash generated by operating activities from continuing operations in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$1,017 million higher than the same period in 2020. This increase was primarily due to higher net income after adjustments for depreciation and amortization, deferred income tax provision, stock compensation costs, net periodic pension and other postretirement benefit and the goodwill impairment charge, totaling $3.0 billion, partially offset by an unfavorable change in working capital, primarily due to an unfavorable change in working capital at the RIS and RMD segments in the first quarter of 2021 with no comparable activity in the first quarter of 2020 as a result of the Raytheon Merger. This unfavorable change in working capital at RIS and RMD includes a cash outflow for accounts payable and accrued liabilities due to the timing of incentive compensation payments. Also included in the unfavorable change in working capital was an increase in current year contract assets principally driven by the timing of billings at Pratt &amp; Whitney and contractual billing terms on U.S. government and foreign military sales contracts at RMD, partially offset by the absence of a reduction of accounts payable and accounts receivable in the prior year at Collins Aerospace and Pratt &amp; Whitney due to a decline in volume principally driven by the economic environment primarily due to COVID-19.</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various factoring agreements with third-party financial institutions to sell certain of its receivables. Factoring activity had minimal impact on cash flows provided by operating activities during the nine months ended September 30, 2021, compared to a decrease in cash flows provided by operating activities of $0.8 billion during the nine months ended September 30, 2020. The year over year increase in factoring activity was primarily due to the higher sales volume in 2021 as compared to 2020, and includes amounts factored on certain aerospace receivables at the customers’ request for which we are compensated by the customer for the extended collection cycle.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made pension and PRB contributions of $38 million and $64 million in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economic environment resulting from the COVID-19 pandemic, Congress passed the ARPA in March 2021, which included pension funding relief provisions. These provisions extend and expand upon existing pension funding relief, most notably by increasing the liability interest rates used to determine the required cash contributions for our U.S. qualified pension plans. As a result, we do not currently expect cash contributions to be required for our U.S. qualified pension plans in 2021 or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made net tax payments of $906 million and $488 million in the nine months ended September 30, 2021 and 2020, respectively.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 Discontinued Operations. </w:t>
      </w:r>
      <w:r>
        <w:rPr>
          <w:rFonts w:ascii="Arial" w:cs="Arial" w:eastAsia="Arial" w:hAnsi="Arial"/>
          <w:sz w:val="18"/>
          <w:szCs w:val="18"/>
          <w:color w:val="auto"/>
        </w:rPr>
        <w:t>The $666 million change in cash used in operating activities from discontinued operations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compared to September 30, 2020 was primarily driven by the absence of separation costs in 2021 as the Separation Transactions occurred on April 3,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provided by investing activities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r>
      <w:tr>
        <w:trPr>
          <w:trHeight w:val="23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 from discontinued operations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investing activities primarily include capital expenditures, cash investments in customer financing assets, investments/dispositions of businesses, payments related to our collaboration intangible assets and contractual rights to provide product on new aircraft platforms, and settlements of derivative contracts not designated as hedging instruments.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 Continuing Operations. </w:t>
      </w:r>
      <w:r>
        <w:rPr>
          <w:rFonts w:ascii="Arial" w:cs="Arial" w:eastAsia="Arial" w:hAnsi="Arial"/>
          <w:sz w:val="18"/>
          <w:szCs w:val="18"/>
          <w:color w:val="auto"/>
        </w:rPr>
        <w:t>The $4,291 million change in cash flows (used in) provided by investing activities from continuing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September 30, 2021 compared to September 30, 2020 primarily relates to the absence of cash acquired in the Raytheon Merger in the prior year of $3.2 billion and the prior year sale of our Collins Aerospace military GPS and space-based precision optics businesses, partially offset by the current year sale of our Forcepoint business described below.</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Capital expenditures in the nine months ended September 30, 2021 were relatively consistent with the nine months ended September 30, 2020.</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Dispositions of businesses in the nine months ended September 30, 2021 was $1.1 billion, net of cash transferred and related to the sale of our Forcepoint business. Dispositions of businesses in the nine months ended September 30, 2020 were $2,575 million primarily related to the sale of our Collins Aerospace military GPS and space-based precision optics businesses for $2.3 billion in gross cash proceeds. For additional detail, see “Note 2: Acquisitions, Dispositions, Goodwill and Intangible Assets” within Item 1 of this Form 10-Q.</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financing assets (payments) receipts, net included payments of $175 million and $251 million in nine months ended September 30, 2021 and 2020, respectively, and receipts of $199 million and $113 million in the nine months ended September 30, 2021 and 2020, respectively. The decrease in payments was due to fewer engines added in the nine months ended 2021 compared to 2020. The increase in receipts was driven by a sale and leaseback transaction for the sale of equipment in the nine months ended September 30, 2021.</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we increased our collaboration intangible assets by $138 million, which primarily relates to payments made under our 2012 agreement to acquire Rolls-Royce’s collaboration interests in International Aero Engines AG (IAE) based on hours flown on the V2500-powered aircrafts in service as of the agreement date.</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discussed in “Note 13: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nine months ended September 30, 2021 and 2020, we had net cash receipts of $42 million and payments of $115 million, respectively, from the settlement of these derivative instruments not designated as hedging instruments.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September 30, 2021, we entered into definitive agreements related to two pending acquisitions. On August 30, 2021, we entered into a definitive agreement to acquire FlightAware, a digital aviation company that operates flight tracking and data platforms, within our Collins Aerospace segment. On September 12, 2021, we entered into a definitive agreement to acquire SEAKR Engineering, Inc., a supplier of advanced space electronics, within our Raytheon Intelligence &amp;</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Space segment. We expect cash outflows related to these acquisitions to be approximately $1.0 billion. The closings of these transactions are subject to customary closing conditions, including receipt of regulatory approvals.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8, 2021, we entered into a definitive agreement to divest our global training and logistics business within our Raytheon Intelligence &amp; Space segment. The closing of the transaction is subject to customary closing conditions, including the receipt of required regulatory approvals.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 Discontinued Operations. </w:t>
      </w:r>
      <w:r>
        <w:rPr>
          <w:rFonts w:ascii="Arial" w:cs="Arial" w:eastAsia="Arial" w:hAnsi="Arial"/>
          <w:sz w:val="18"/>
          <w:szCs w:val="18"/>
          <w:color w:val="auto"/>
        </w:rPr>
        <w:t>The $241 million decrease in cash used in investing activities from discontinued operations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compared to the nine months ended September 30, 2020 is primarily driven by outflows from short-term investment activity of $160 million and capital expenditures of $87 million in 2020 which did not recur in 2021, as the Separation Transactions occurred on April 3,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financing activities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r>
      <w:tr>
        <w:trPr>
          <w:trHeight w:val="236"/>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(used in) financing activities from discontinued operations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27</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Our financing activities primarily include the issuance and repayment of short-term and long-term debt, payment of dividends and stock repurchases.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 Continuing Operations. </w:t>
      </w:r>
      <w:r>
        <w:rPr>
          <w:rFonts w:ascii="Arial" w:cs="Arial" w:eastAsia="Arial" w:hAnsi="Arial"/>
          <w:sz w:val="18"/>
          <w:szCs w:val="18"/>
          <w:color w:val="auto"/>
        </w:rPr>
        <w:t>Financing activities were a cash outflow of $5.2 billion in the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cash outflow of $2.1 billion in the nine months ended September 30, 2020. This change was driven by the net changes in issuances and repayments of long-term debt not related to the Separation Transactions of $2.6 billion, and an increase in share repurchases of $2.0 billion, partially offset by the change in net cash transfers to discontinued operations of $2.0 billion.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Refer to “Note 9: Borrowings and Lines of Credit” within Item 1 of this Form 10-Q for additional information on debt issuances and repayments.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2021, management had remaining authority to repurchase approximately $3.0 billion of our common stock under the December 7, 2020 share repurchase program. Under this program, shares may be purchased on the open market, in privately negotiated transactions, under accelerated share repurchase programs, and under plans complying with Rules 10b5-1 and 10b-18 under the Exchange Act. We may also reacquire shares outside of the program from time to time in connection with the surrender of shares to cover taxes on vesting of restricted stock and as required under our employee savings plan. Our ability to repurchase shares is subject to applicable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Nine Months Ended September 30,</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8"/>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shares in thousands)</w:t>
            </w:r>
          </w:p>
        </w:tc>
        <w:tc>
          <w:tcPr>
            <w:tcW w:w="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r>
      <w:tr>
        <w:trPr>
          <w:trHeight w:val="183"/>
        </w:trPr>
        <w:tc>
          <w:tcPr>
            <w:tcW w:w="59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Shares</w:t>
            </w:r>
          </w:p>
        </w:tc>
      </w:tr>
      <w:tr>
        <w:trPr>
          <w:trHeight w:val="231"/>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repurchased</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b w:val="1"/>
                <w:bCs w:val="1"/>
                <w:color w:val="auto"/>
                <w:w w:val="97"/>
              </w:rPr>
              <w:t>2,000</w:t>
            </w:r>
          </w:p>
        </w:tc>
        <w:tc>
          <w:tcPr>
            <w:tcW w:w="11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24,152</w:t>
            </w:r>
          </w:p>
        </w:tc>
        <w:tc>
          <w:tcPr>
            <w:tcW w:w="11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47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405"/>
        </w:trPr>
        <w:tc>
          <w:tcPr>
            <w:tcW w:w="5920" w:type="dxa"/>
            <w:vAlign w:val="bottom"/>
          </w:tcPr>
          <w:p>
            <w:pPr>
              <w:spacing w:after="0"/>
              <w:rPr>
                <w:sz w:val="20"/>
                <w:szCs w:val="20"/>
                <w:color w:val="auto"/>
              </w:rPr>
            </w:pPr>
            <w:r>
              <w:rPr>
                <w:rFonts w:ascii="Arial" w:cs="Arial" w:eastAsia="Arial" w:hAnsi="Arial"/>
                <w:sz w:val="18"/>
                <w:szCs w:val="18"/>
                <w:color w:val="auto"/>
              </w:rPr>
              <w:t>Our Board of Directors authorized the following cash dividends:</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8"/>
        </w:trPr>
        <w:tc>
          <w:tcPr>
            <w:tcW w:w="5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per share of Common Stock</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w:t>
            </w:r>
          </w:p>
        </w:tc>
        <w:tc>
          <w:tcPr>
            <w:tcW w:w="5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37"/>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dividends paid</w:t>
            </w: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2,212</w:t>
            </w:r>
          </w:p>
        </w:tc>
        <w:tc>
          <w:tcPr>
            <w:tcW w:w="56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21, 2021 the Board of Directors declared a dividend of $0.51 per share payable September 9, 2021 to shareowners of record at the close of business on August 20, 2021. Also, on October 13, 2021, the Board of Directors declared a dividend of $0.51 per share payable December 16, 2021 to shareowners of record at the close of business on November 19, 2021.</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Activities - Discontinued Operations. </w:t>
      </w:r>
      <w:r>
        <w:rPr>
          <w:rFonts w:ascii="Arial" w:cs="Arial" w:eastAsia="Arial" w:hAnsi="Arial"/>
          <w:sz w:val="17"/>
          <w:szCs w:val="17"/>
          <w:color w:val="auto"/>
        </w:rPr>
        <w:t>The $1,476 million increase in cash provided by financing activities from discontinued operations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2021 compared to September 30, 2020 is driven by a $2.0 billion change in net transfer activity, partially offset by the absence of $703 million of debt extinguishment costs related to the early repayment of debt in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nine months ended September 30, 2021. For discussion of our exposure to market risk, refer to Part II, Item 7A, “Quantitative and Qualitative Disclosures About Market Risk,” contained in our 2020 Form 10-K.</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as of September 30, 2021.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September 30, 2021,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payments and rates, research and development spending, other measures of financial performance, potential future plans, strategies or transactions, credit ratings and net indebtedness, the Raytheon Merger or the Separation Transactions, including estimated synergies and customer cost savings resulting from the Raytheon Merger and the anticipated benefits and costs of the Separation Transactions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6" w:lineRule="exact"/>
        <w:rPr>
          <w:sz w:val="20"/>
          <w:szCs w:val="20"/>
          <w:color w:val="auto"/>
        </w:rPr>
      </w:pPr>
    </w:p>
    <w:p>
      <w:pPr>
        <w:jc w:val="both"/>
        <w:ind w:left="660" w:hanging="328"/>
        <w:spacing w:after="0" w:line="265"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effect of economic conditions in the industries and countries in which Raytheon Technologies Corporation (RTC) operates in the U.S. and globally and any changes therein, including financial market conditions, fluctuations in commodity prices, interest rates and foreign currency exchange rates, levels of end-customer demand in both the commercial and defense segments of the aerospace industry, levels of air travel, financial condition of commercial airlines, the impact of pandemic health issues (including the impact of the COVID-19 pandemic on global air travel and commercial and business activities which have not yet fully recovered to pre-pandemic levels, and that the timing and extent of such recovery may be impacted by factors including the efficacy, acceptance and distribution of vaccines, coronavirus variants and additional outbreaks) and actions taken in response to pandemic health issues (including the impact on supply generally and impact of vaccine mandates on supply chain and operations), aviation safety concerns, weather conditions and natural disasters, the financial condition of our customers and suppliers, and the risks associated with U.S. government sales (including changes or shifts in defense spending due to budgetary constraints, spending cuts resulting from sequestration or the allocation of funds to governmental responses to COVID-19, a government shutdown, or otherwise, and uncertain funding of programs);</w:t>
      </w:r>
    </w:p>
    <w:p>
      <w:pPr>
        <w:spacing w:after="0" w:line="1" w:lineRule="exact"/>
        <w:rPr>
          <w:rFonts w:ascii="Arial" w:cs="Arial" w:eastAsia="Arial" w:hAnsi="Arial"/>
          <w:sz w:val="17"/>
          <w:szCs w:val="17"/>
          <w:color w:val="auto"/>
        </w:rPr>
      </w:pPr>
    </w:p>
    <w:p>
      <w:pPr>
        <w:ind w:left="660" w:right="20" w:hanging="328"/>
        <w:spacing w:after="0" w:line="265"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challenges in the development, production, delivery, support, performance, safety, regulatory compliance and realization of the anticipated benefits (including our expected returns under customer contracts) of advanced technologies and new products and services;</w:t>
      </w:r>
    </w:p>
    <w:p>
      <w:pPr>
        <w:jc w:val="both"/>
        <w:ind w:left="660" w:hanging="328"/>
        <w:spacing w:after="0" w:line="265"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scope, nature, impact or timing of acquisition and divestiture activity, including among other things the integration of United Technologies Corporation (UTC) and Raytheon Company’s businesses and the integration of RTC with other businesses acquired before and after the Raytheon Merger, and realization of synergies and opportunities for growth and innovation and incurrence of related costs and expenses, including the possibility that the anticipated benefits from the combination of UTC and Raytheon Company’s businesses or other acquired businesses cannot be realized in full or may take longer to realize than expected, or the possibility that costs or difficulties related to the integration of UTC’s businesses with Raytheon Company’s or other acquired businesses will be greater than expected or may not result in the achievement of estimated synergies within the contemplated time frame or at all;</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RTC’s levels of indebtedness, capital spending and research and development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scope of future repurchases by RTC of its common stock, which are subject to a number of uncertainties and may be discontinued, accelerated, suspended or delayed at any time due to various factors, including market conditions and the level of other investing activities and uses of cash;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 (including the potential termination of U.S. government contracts and performance under undefinitized contract actions and the potential inability to recover termination costs);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realize the intended benefits of organizational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91"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effect of changes in political conditions in the U.S. and other countries in which RTC and its businesses operate, including the effect of changes in U.S. trade policies, on general market conditions, global trade policies and currency exchange rates in the near term and beyond;</w:t>
      </w:r>
    </w:p>
    <w:p>
      <w:pPr>
        <w:ind w:left="660" w:hanging="328"/>
        <w:spacing w:after="0" w:line="23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U.S. Department of Defense (DoD) policies or priorities;</w:t>
      </w:r>
    </w:p>
    <w:p>
      <w:pPr>
        <w:jc w:val="both"/>
        <w:ind w:left="660" w:hanging="328"/>
        <w:spacing w:after="0" w:line="22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changes in tax due to new legislation or other developments (including the recent Organization for Economic Co-operation and Development Inclusive Framework agreement and changes that may be enacted by the current U.S. Congress),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 Act, industrial cooperation agreement obligations, and procurement and other regulations) in the U.S. and other countries in which RTC and its businesses operate;</w:t>
      </w:r>
    </w:p>
    <w:p>
      <w:pPr>
        <w:spacing w:after="0" w:line="3"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RTC to retain and hire key personnel and the ability of our personnel to continue to operate our facilities and businesses around the world; and</w:t>
      </w:r>
    </w:p>
    <w:p>
      <w:pPr>
        <w:ind w:left="660" w:hanging="328"/>
        <w:spacing w:after="0" w:line="26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intended qualification of (1) the Raytheon Merger as a tax-free reorganization and (2) the Separation Transactions and other internal restructurings as tax-free to UTC and former UTC shareowners, in each case, for U.S. federal income tax purposes.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addition, this Form 10-Q includes important information as to risks, uncertainties and other factors that may cause actual results to differ materially from those expressed or implied in the forward-looking statements. See “Note 17: Commitments and Contingencies” within Item 1 of this Form 10-Q and “Management’s Discussion and Analysis of Financial Condition and Results of Operations” under the headings “Results of Operations,” “Restructuring Costs”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“Critical Accounting Estimates,”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w:t>
      </w:r>
      <w:r>
        <w:rPr>
          <w:rFonts w:ascii="Arial" w:cs="Arial" w:eastAsia="Arial" w:hAnsi="Arial"/>
          <w:sz w:val="16"/>
          <w:szCs w:val="16"/>
          <w:color w:val="212529"/>
        </w:rPr>
        <w:t>Securities and Exchange Commission (SEC)</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17: Commitments and Contingencies” within Item 1 of this Form 10-Q for a discussion regarding material legal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2020 Annual Report on Form 10-K.</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carefully review and consider the information regarding certain factors which could materially affect our business, financial condition or future results set forth under Item 1A. in our 2020 Annual Report on Form 10-K (2020 Form 10-K). There have been no material changes from the factors disclosed in our 2020 Form 10-K, although we may disclose changes to such factors or disclose additional factors from time to time in our future filings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our purchases of equity securities that are registered by us pursuant to Section 12 of the Exchange Act during the quarter ended September 30,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92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340" w:type="dxa"/>
            <w:vAlign w:val="bottom"/>
            <w:vMerge w:val="restart"/>
          </w:tcPr>
          <w:p>
            <w:pPr>
              <w:jc w:val="center"/>
              <w:ind w:left="318"/>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1920" w:type="dxa"/>
            <w:vAlign w:val="bottom"/>
            <w:gridSpan w:val="2"/>
          </w:tcPr>
          <w:p>
            <w:pPr>
              <w:jc w:val="center"/>
              <w:ind w:left="37"/>
              <w:spacing w:after="0" w:line="135"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Average Price Paid per</w:t>
            </w: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2021</w:t>
            </w:r>
          </w:p>
        </w:tc>
        <w:tc>
          <w:tcPr>
            <w:tcW w:w="2340" w:type="dxa"/>
            <w:vAlign w:val="bottom"/>
          </w:tcPr>
          <w:p>
            <w:pPr>
              <w:jc w:val="center"/>
              <w:ind w:left="318"/>
              <w:spacing w:after="0" w:line="135" w:lineRule="exact"/>
              <w:rPr>
                <w:sz w:val="20"/>
                <w:szCs w:val="20"/>
                <w:color w:val="auto"/>
              </w:rPr>
            </w:pPr>
            <w:r>
              <w:rPr>
                <w:rFonts w:ascii="Arial" w:cs="Arial" w:eastAsia="Arial" w:hAnsi="Arial"/>
                <w:sz w:val="14"/>
                <w:szCs w:val="14"/>
                <w:b w:val="1"/>
                <w:bCs w:val="1"/>
                <w:color w:val="auto"/>
                <w:w w:val="92"/>
              </w:rPr>
              <w:t>Purchased</w:t>
            </w: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Announced Program</w:t>
            </w:r>
          </w:p>
        </w:tc>
        <w:tc>
          <w:tcPr>
            <w:tcW w:w="320" w:type="dxa"/>
            <w:vAlign w:val="bottom"/>
          </w:tcPr>
          <w:p>
            <w:pPr>
              <w:spacing w:after="0"/>
              <w:rPr>
                <w:sz w:val="11"/>
                <w:szCs w:val="11"/>
                <w:color w:val="auto"/>
              </w:rPr>
            </w:pPr>
          </w:p>
        </w:tc>
        <w:tc>
          <w:tcPr>
            <w:tcW w:w="16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88"/>
        </w:trPr>
        <w:tc>
          <w:tcPr>
            <w:tcW w:w="270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jc w:val="center"/>
              <w:ind w:left="318"/>
              <w:spacing w:after="0"/>
              <w:rPr>
                <w:sz w:val="20"/>
                <w:szCs w:val="20"/>
                <w:color w:val="auto"/>
              </w:rPr>
            </w:pPr>
            <w:r>
              <w:rPr>
                <w:rFonts w:ascii="Arial" w:cs="Arial" w:eastAsia="Arial" w:hAnsi="Arial"/>
                <w:sz w:val="14"/>
                <w:szCs w:val="14"/>
                <w:b w:val="1"/>
                <w:bCs w:val="1"/>
                <w:color w:val="auto"/>
                <w:w w:val="94"/>
              </w:rPr>
              <w:t>(000’s)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Share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(000’s)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23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1,982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85.17</w:t>
            </w:r>
          </w:p>
        </w:tc>
        <w:tc>
          <w:tcPr>
            <w:tcW w:w="2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1,982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August 1 - August 31</w:t>
            </w:r>
          </w:p>
        </w:tc>
        <w:tc>
          <w:tcPr>
            <w:tcW w:w="2340" w:type="dxa"/>
            <w:vAlign w:val="bottom"/>
          </w:tcPr>
          <w:p>
            <w:pPr>
              <w:jc w:val="right"/>
              <w:ind w:right="98"/>
              <w:spacing w:after="0"/>
              <w:rPr>
                <w:sz w:val="20"/>
                <w:szCs w:val="20"/>
                <w:color w:val="auto"/>
              </w:rPr>
            </w:pPr>
            <w:r>
              <w:rPr>
                <w:rFonts w:ascii="Arial" w:cs="Arial" w:eastAsia="Arial" w:hAnsi="Arial"/>
                <w:sz w:val="18"/>
                <w:szCs w:val="18"/>
                <w:color w:val="auto"/>
              </w:rPr>
              <w:t>4,604</w:t>
            </w:r>
          </w:p>
        </w:tc>
        <w:tc>
          <w:tcPr>
            <w:tcW w:w="280" w:type="dxa"/>
            <w:vAlign w:val="bottom"/>
          </w:tcPr>
          <w:p>
            <w:pPr>
              <w:spacing w:after="0"/>
              <w:rPr>
                <w:sz w:val="19"/>
                <w:szCs w:val="19"/>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86.55</w:t>
            </w:r>
          </w:p>
        </w:tc>
        <w:tc>
          <w:tcPr>
            <w:tcW w:w="2260" w:type="dxa"/>
            <w:vAlign w:val="bottom"/>
          </w:tcPr>
          <w:p>
            <w:pPr>
              <w:jc w:val="right"/>
              <w:ind w:right="99"/>
              <w:spacing w:after="0"/>
              <w:rPr>
                <w:sz w:val="20"/>
                <w:szCs w:val="20"/>
                <w:color w:val="auto"/>
              </w:rPr>
            </w:pPr>
            <w:r>
              <w:rPr>
                <w:rFonts w:ascii="Arial" w:cs="Arial" w:eastAsia="Arial" w:hAnsi="Arial"/>
                <w:sz w:val="18"/>
                <w:szCs w:val="18"/>
                <w:color w:val="auto"/>
              </w:rPr>
              <w:t>4,604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 September 30</w:t>
            </w:r>
          </w:p>
        </w:tc>
        <w:tc>
          <w:tcPr>
            <w:tcW w:w="23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4,949</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83.90</w:t>
            </w:r>
          </w:p>
        </w:tc>
        <w:tc>
          <w:tcPr>
            <w:tcW w:w="2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4,949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11,535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85.18</w:t>
            </w:r>
          </w:p>
        </w:tc>
        <w:tc>
          <w:tcPr>
            <w:tcW w:w="22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11,535</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7, 2020, our Board of Directors authorized a share repurchase program for up to $5 billion of our common stock, replacing the previous program announced on October 14, 2015. Under this program, shares may be purchased on the open market, in privately negotiated transactions, under accelerated share repurchase programs, and under plans complying with Rules 10b5-1 and 10b-18 under the Exchange Act. We may also reacquire shares outside of the program from time to time in connection with the surrender of shares to cover taxes on vesting of restricted stock and as required under our employee savings plan. Our ability to repurchase shares is subject to applicable law. No shares were reacquired in transactions outside the program during the quarter ended September 30, 2021.</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40" w:type="dxa"/>
            <w:vAlign w:val="bottom"/>
            <w:gridSpan w:val="5"/>
          </w:tcPr>
          <w:p>
            <w:pPr>
              <w:ind w:lef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940" w:type="dxa"/>
            <w:vAlign w:val="bottom"/>
            <w:gridSpan w:val="5"/>
          </w:tcPr>
          <w:p>
            <w:pPr>
              <w:ind w:left="1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0000FF"/>
            </w:tcBorders>
          </w:tcPr>
          <w:p>
            <w:pPr>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15</w:t>
              </w:r>
            </w:hyperlink>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700" w:type="dxa"/>
            <w:vAlign w:val="bottom"/>
            <w:tcBorders>
              <w:top w:val="single" w:sz="8" w:color="auto"/>
              <w:bottom w:val="single" w:sz="8" w:color="0000FF"/>
            </w:tcBorders>
            <w:gridSpan w:val="3"/>
          </w:tcPr>
          <w:p>
            <w:pPr>
              <w:spacing w:after="0"/>
              <w:rPr>
                <w:rFonts w:ascii="Arial" w:cs="Arial" w:eastAsia="Arial" w:hAnsi="Arial"/>
                <w:sz w:val="18"/>
                <w:szCs w:val="18"/>
                <w:color w:val="0000FF"/>
                <w:w w:val="93"/>
              </w:rPr>
            </w:pPr>
            <w:hyperlink w:anchor="page74">
              <w:r>
                <w:rPr>
                  <w:rFonts w:ascii="Arial" w:cs="Arial" w:eastAsia="Arial" w:hAnsi="Arial"/>
                  <w:sz w:val="18"/>
                  <w:szCs w:val="18"/>
                  <w:color w:val="0000FF"/>
                  <w:w w:val="93"/>
                </w:rPr>
                <w:t>Letter re: unaudited interim financial information.*</w:t>
              </w:r>
            </w:hyperlink>
          </w:p>
        </w:tc>
        <w:tc>
          <w:tcPr>
            <w:tcW w:w="6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rFonts w:ascii="Arial" w:cs="Arial" w:eastAsia="Arial" w:hAnsi="Arial"/>
                <w:sz w:val="18"/>
                <w:szCs w:val="18"/>
                <w:color w:val="0000FF"/>
                <w:w w:val="85"/>
              </w:rPr>
            </w:pPr>
            <w:hyperlink w:anchor="page7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Borders>
              <w:bottom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75">
              <w:r>
                <w:rPr>
                  <w:rFonts w:ascii="Arial" w:cs="Arial" w:eastAsia="Arial" w:hAnsi="Arial"/>
                  <w:sz w:val="18"/>
                  <w:szCs w:val="18"/>
                  <w:color w:val="0000FF"/>
                  <w:w w:val="92"/>
                </w:rPr>
                <w:t>Rule 13a-14(a)/15d-14(a) Certification.*</w:t>
              </w:r>
            </w:hyperlink>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76">
              <w:r>
                <w:rPr>
                  <w:rFonts w:ascii="Arial" w:cs="Arial" w:eastAsia="Arial" w:hAnsi="Arial"/>
                  <w:sz w:val="18"/>
                  <w:szCs w:val="18"/>
                  <w:color w:val="0000FF"/>
                  <w:w w:val="92"/>
                </w:rPr>
                <w:t>Rule 13a-14(a)/15d-14(a) Certification.*</w:t>
              </w:r>
            </w:hyperlink>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7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hyperlink>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77">
              <w:r>
                <w:rPr>
                  <w:rFonts w:ascii="Arial" w:cs="Arial" w:eastAsia="Arial" w:hAnsi="Arial"/>
                  <w:sz w:val="18"/>
                  <w:szCs w:val="18"/>
                  <w:color w:val="0000FF"/>
                  <w:w w:val="92"/>
                </w:rPr>
                <w:t>Rule 13a-14(a)/15d-14(a) Certification.*</w:t>
              </w:r>
            </w:hyperlink>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32</w:t>
              </w:r>
            </w:hyperlink>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4"/>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Section 1350 Certifications.*</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6"/>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83"/>
        </w:trPr>
        <w:tc>
          <w:tcPr>
            <w:tcW w:w="1080" w:type="dxa"/>
            <w:vAlign w:val="bottom"/>
            <w:gridSpan w:val="6"/>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80" w:type="dxa"/>
            <w:vAlign w:val="bottom"/>
            <w:gridSpan w:val="6"/>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080" w:type="dxa"/>
            <w:vAlign w:val="bottom"/>
            <w:gridSpan w:val="6"/>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80" w:type="dxa"/>
            <w:vAlign w:val="bottom"/>
            <w:gridSpan w:val="6"/>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80" w:type="dxa"/>
            <w:vAlign w:val="bottom"/>
            <w:gridSpan w:val="6"/>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Attached as Exhibit 101 to this report are the following formatted in Inline XBRL (Extensible Business Reporting Language): (i) Condensed Consolidated Statement of Operations for the quarters and nine months ended September 30, 2021 and 2020, (ii) Condensed Consolidated Statement of Comprehensive Income for the quarters and nine months ended September 30, 2021 and 2020, (iii) Condensed Consolidated Balance Sheet as of September 30, 2021 and December 31, 2020, (iv) Condensed Consolidated Statement of Cash Flows for the nine months ended September 30, 2021 and 2020, (v) Condensed Consolidated Statement of Changes in Equity for the quarters and nine months ended September 30, 2021 and 2020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RAYTHEON TECHNOLOGIES CORPORATION</w:t>
      </w:r>
    </w:p>
    <w:p>
      <w:pPr>
        <w:ind w:left="4780"/>
        <w:spacing w:after="0"/>
        <w:rPr>
          <w:sz w:val="20"/>
          <w:szCs w:val="20"/>
          <w:color w:val="auto"/>
        </w:rPr>
      </w:pPr>
      <w:r>
        <w:rPr>
          <w:rFonts w:ascii="Arial" w:cs="Arial" w:eastAsia="Arial" w:hAnsi="Arial"/>
          <w:sz w:val="18"/>
          <w:szCs w:val="18"/>
          <w:b w:val="1"/>
          <w:bCs w:val="1"/>
          <w:color w:val="auto"/>
        </w:rPr>
        <w:t>(Registrant)</w:t>
      </w:r>
    </w:p>
    <w:p>
      <w:pPr>
        <w:spacing w:after="0" w:line="61" w:lineRule="exact"/>
        <w:rPr>
          <w:sz w:val="20"/>
          <w:szCs w:val="20"/>
          <w:color w:val="auto"/>
        </w:rPr>
      </w:pPr>
    </w:p>
    <w:p>
      <w:pPr>
        <w:ind w:left="20"/>
        <w:spacing w:after="0"/>
        <w:tabs>
          <w:tab w:leader="none" w:pos="740" w:val="left"/>
          <w:tab w:leader="none" w:pos="4760" w:val="left"/>
          <w:tab w:leader="none" w:pos="7180" w:val="left"/>
        </w:tabs>
        <w:rPr>
          <w:sz w:val="20"/>
          <w:szCs w:val="20"/>
          <w:color w:val="auto"/>
        </w:rPr>
      </w:pPr>
      <w:r>
        <w:rPr>
          <w:rFonts w:ascii="Arial" w:cs="Arial" w:eastAsia="Arial" w:hAnsi="Arial"/>
          <w:sz w:val="18"/>
          <w:szCs w:val="18"/>
          <w:color w:val="auto"/>
        </w:rPr>
        <w:t>Dated:</w:t>
        <w:tab/>
        <w:t>October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38061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Neil G. Mitchill Jr.</w:t>
      </w:r>
    </w:p>
    <w:p>
      <w:pPr>
        <w:spacing w:after="0" w:line="2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90"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02"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Arial" w:cs="Arial" w:eastAsia="Arial" w:hAnsi="Arial"/>
          <w:sz w:val="18"/>
          <w:szCs w:val="18"/>
          <w:color w:val="auto"/>
        </w:rPr>
        <w:t>Dated:</w:t>
        <w:tab/>
        <w:t>October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38061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Amy L. Johnson</w:t>
      </w:r>
    </w:p>
    <w:p>
      <w:pPr>
        <w:spacing w:after="0" w:line="28"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Corporate Vice President and Controller</w:t>
      </w:r>
    </w:p>
    <w:p>
      <w:pPr>
        <w:spacing w:after="0" w:line="9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ind w:right="700"/>
        <w:spacing w:after="0" w:line="241" w:lineRule="auto"/>
        <w:rPr>
          <w:sz w:val="20"/>
          <w:szCs w:val="20"/>
          <w:color w:val="auto"/>
        </w:rPr>
      </w:pPr>
      <w:r>
        <w:rPr>
          <w:rFonts w:ascii="Arial" w:cs="Arial" w:eastAsia="Arial" w:hAnsi="Arial"/>
          <w:sz w:val="18"/>
          <w:szCs w:val="18"/>
          <w:color w:val="auto"/>
        </w:rPr>
        <w:t>We are aware that our report dated October 26, 2021 on our review of interim financial information of Raytheon Technologies Corporation, which appears in this Quarterly Report on Form 10-Q, is incorporated by reference in the Registration Statements on Form S-3 (No. 333-234027) and Form S-8 (Nos. 333-237576, 333-234086, 333-234085, 333-234084, 333-228649, 333-225839, 333-207193, 333-197704, 333-183123, 333-177517, 333-175781, 333-150643, 333-125293, 333-110020, 333-100724, 333-100723, 333-100718 and 033-51385)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October 26,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HAYES</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Gregory J. Hayes</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October 26,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NEIL G. MITCHILL JR.</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Neil G. Mitchill Jr.</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October 26,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AMY L. JOHNSON</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Amy L. Johnson</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Corporate Vice President and Controller</w:t>
            </w:r>
          </w:p>
        </w:tc>
      </w:tr>
    </w:tbl>
    <w:p>
      <w:pPr>
        <w:sectPr>
          <w:pgSz w:w="11900" w:h="16838" w:orient="portrait"/>
          <w:cols w:equalWidth="0" w:num="1">
            <w:col w:w="11240"/>
          </w:cols>
          <w:pgMar w:left="320" w:top="89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Raytheon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16"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The Quarterly Report on Form 10-Q for the quarter ended September 30, 2021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8" w:lineRule="exact"/>
        <w:rPr>
          <w:sz w:val="20"/>
          <w:szCs w:val="20"/>
          <w:color w:val="auto"/>
        </w:rPr>
      </w:pPr>
    </w:p>
    <w:p>
      <w:pPr>
        <w:ind w:left="660" w:right="4240" w:hanging="5075"/>
        <w:spacing w:after="0" w:line="274" w:lineRule="auto"/>
        <w:tabs>
          <w:tab w:leader="none" w:pos="640" w:val="left"/>
        </w:tabs>
        <w:rPr>
          <w:sz w:val="20"/>
          <w:szCs w:val="20"/>
          <w:color w:val="auto"/>
        </w:rPr>
      </w:pPr>
      <w:r>
        <w:rPr>
          <w:rFonts w:ascii="Arial" w:cs="Arial" w:eastAsia="Arial" w:hAnsi="Arial"/>
          <w:sz w:val="18"/>
          <w:szCs w:val="18"/>
          <w:color w:val="auto"/>
        </w:rPr>
        <w:t>Date:</w:t>
        <w:tab/>
        <w:t>October 26, 2021 /s/ GREGORY J. HAYES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-3175</wp:posOffset>
            </wp:positionV>
            <wp:extent cx="38830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1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President and Chief Executive Officer</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October 26, 2021</w:t>
            </w: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NEIL G. MITCHILL JR.</w:t>
            </w:r>
          </w:p>
        </w:tc>
      </w:tr>
      <w:tr>
        <w:trPr>
          <w:trHeight w:val="222"/>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Neil G. Mitchill Jr.</w:t>
            </w:r>
          </w:p>
        </w:tc>
      </w:tr>
      <w:tr>
        <w:trPr>
          <w:trHeight w:val="230"/>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October 26, 2021</w:t>
            </w: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AMY L. JOHNSON</w:t>
            </w:r>
          </w:p>
        </w:tc>
      </w:tr>
      <w:tr>
        <w:trPr>
          <w:trHeight w:val="222"/>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Amy L. Johnson</w:t>
            </w:r>
          </w:p>
        </w:tc>
      </w:tr>
      <w:tr>
        <w:trPr>
          <w:trHeight w:val="230"/>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Corporate Vice President and Controller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amp;"/>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2021-10-26T15:11:43Z</dcterms:created>
  <dcterms:modified xsi:type="dcterms:W3CDTF">2021-10-26T15:11:43Z</dcterms:modified>
</cp:coreProperties>
</file>