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640" w:val="left"/>
          <w:tab w:leader="none" w:pos="93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September 30, 2011 there were 906,087,669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September 30,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8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1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 of Operations for the quarters ended September 30, 2011 and 2010</w:t>
              </w:r>
            </w:hyperlink>
          </w:p>
        </w:tc>
        <w:tc>
          <w:tcPr>
            <w:tcW w:w="29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nine months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0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September 30, 2011 and December 31, 2010</w:t>
              </w:r>
            </w:hyperlink>
          </w:p>
        </w:tc>
        <w:tc>
          <w:tcPr>
            <w:tcW w:w="2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nine months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6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10080" w:type="dxa"/>
            <w:vAlign w:val="bottom"/>
            <w:gridSpan w:val="19"/>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 OTHER INFORMATION</w:t>
              </w:r>
            </w:hyperlink>
          </w:p>
        </w:tc>
        <w:tc>
          <w:tcPr>
            <w:tcW w:w="280" w:type="dxa"/>
            <w:vAlign w:val="bottom"/>
          </w:tcPr>
          <w:p>
            <w:pPr>
              <w:spacing w:after="0"/>
              <w:rPr>
                <w:sz w:val="24"/>
                <w:szCs w:val="24"/>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w:t>
              </w:r>
            </w:hyperlink>
          </w:p>
        </w:tc>
        <w:tc>
          <w:tcPr>
            <w:tcW w:w="1640" w:type="dxa"/>
            <w:vAlign w:val="bottom"/>
            <w:tcBorders>
              <w:top w:val="single" w:sz="8" w:color="0000EE"/>
            </w:tcBorders>
            <w:gridSpan w:val="7"/>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84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10080" w:type="dxa"/>
            <w:vAlign w:val="bottom"/>
            <w:gridSpan w:val="19"/>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426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58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EXHIBIT INDEX</w:t>
              </w:r>
            </w:hyperlink>
          </w:p>
        </w:tc>
        <w:tc>
          <w:tcPr>
            <w:tcW w:w="97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40" w:type="dxa"/>
            <w:vAlign w:val="bottom"/>
            <w:gridSpan w:val="6"/>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4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3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9"/>
              </w:rPr>
              <w:t>UNITED TECHNOLOGIES CORPORATION</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2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96"/>
              </w:rPr>
              <w:t>AND SUBSIDIARIES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2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89"/>
              </w:rPr>
              <w:t>(Unaudited)</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4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19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Quarter Ended September 30,</w:t>
            </w:r>
          </w:p>
        </w:tc>
        <w:tc>
          <w:tcPr>
            <w:tcW w:w="0" w:type="dxa"/>
            <w:vAlign w:val="bottom"/>
          </w:tcPr>
          <w:p>
            <w:pPr>
              <w:spacing w:after="0"/>
              <w:rPr>
                <w:sz w:val="1"/>
                <w:szCs w:val="1"/>
                <w:color w:val="auto"/>
              </w:rPr>
            </w:pPr>
          </w:p>
        </w:tc>
      </w:tr>
      <w:tr>
        <w:trPr>
          <w:trHeight w:val="149"/>
        </w:trPr>
        <w:tc>
          <w:tcPr>
            <w:tcW w:w="9440" w:type="dxa"/>
            <w:vAlign w:val="bottom"/>
            <w:gridSpan w:val="6"/>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tcPr>
          <w:p>
            <w:pPr>
              <w:ind w:left="42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tcPr>
          <w:p>
            <w:pPr>
              <w:ind w:left="42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9440" w:type="dxa"/>
            <w:vAlign w:val="bottom"/>
            <w:gridSpan w:val="6"/>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6"/>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6"/>
          </w:tcPr>
          <w:p>
            <w:pPr>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tcPr>
          <w:p>
            <w:pPr>
              <w:spacing w:after="0"/>
              <w:rPr>
                <w:sz w:val="20"/>
                <w:szCs w:val="20"/>
                <w:color w:val="auto"/>
              </w:rPr>
            </w:pPr>
            <w:r>
              <w:rPr>
                <w:rFonts w:ascii="Arial" w:cs="Arial" w:eastAsia="Arial" w:hAnsi="Arial"/>
                <w:sz w:val="18"/>
                <w:szCs w:val="18"/>
                <w:color w:val="auto"/>
              </w:rPr>
              <w:t>Dividends Per Share of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tcPr>
          <w:p>
            <w:pPr>
              <w:ind w:left="420"/>
              <w:spacing w:after="0"/>
              <w:rPr>
                <w:sz w:val="20"/>
                <w:szCs w:val="20"/>
                <w:color w:val="auto"/>
              </w:rPr>
            </w:pPr>
            <w:r>
              <w:rPr>
                <w:rFonts w:ascii="Arial" w:cs="Arial" w:eastAsia="Arial" w:hAnsi="Arial"/>
                <w:sz w:val="18"/>
                <w:szCs w:val="18"/>
                <w:color w:val="auto"/>
              </w:rPr>
              <w:t>Basic shares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Diluted shares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100" w:type="dxa"/>
            <w:vAlign w:val="bottom"/>
          </w:tcPr>
          <w:p>
            <w:pPr>
              <w:spacing w:after="0"/>
              <w:rPr>
                <w:sz w:val="14"/>
                <w:szCs w:val="14"/>
                <w:color w:val="auto"/>
              </w:rPr>
            </w:pPr>
          </w:p>
        </w:tc>
        <w:tc>
          <w:tcPr>
            <w:tcW w:w="22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9"/>
        </w:trPr>
        <w:tc>
          <w:tcPr>
            <w:tcW w:w="90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5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43,224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22,986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37,573</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Arial" w:cs="Arial" w:eastAsia="Arial" w:hAnsi="Arial"/>
                <w:sz w:val="18"/>
                <w:szCs w:val="18"/>
                <w:color w:val="auto"/>
              </w:rPr>
              <w:t>Net income attributable to common shareowners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Dividends Per Share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Basic shares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c>
          <w:tcPr>
            <w:tcW w:w="3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93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5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30,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34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3"/>
              <w:spacing w:after="0" w:line="114" w:lineRule="exact"/>
              <w:rPr>
                <w:sz w:val="20"/>
                <w:szCs w:val="20"/>
                <w:color w:val="auto"/>
              </w:rPr>
            </w:pPr>
            <w:r>
              <w:rPr>
                <w:rFonts w:ascii="Arial" w:cs="Arial" w:eastAsia="Arial" w:hAnsi="Arial"/>
                <w:sz w:val="12"/>
                <w:szCs w:val="12"/>
                <w:b w:val="1"/>
                <w:bCs w:val="1"/>
                <w:color w:val="auto"/>
              </w:rPr>
              <w:t>2011</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3"/>
              <w:spacing w:after="0" w:line="114"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w w:val="91"/>
              </w:rPr>
              <w:t>Assets</w:t>
            </w:r>
          </w:p>
        </w:tc>
        <w:tc>
          <w:tcPr>
            <w:tcW w:w="47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5,966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8,617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26,424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23,510</w:t>
            </w:r>
          </w:p>
        </w:tc>
        <w:tc>
          <w:tcPr>
            <w:tcW w:w="0" w:type="dxa"/>
            <w:vAlign w:val="bottom"/>
          </w:tcPr>
          <w:p>
            <w:pPr>
              <w:spacing w:after="0"/>
              <w:rPr>
                <w:sz w:val="1"/>
                <w:szCs w:val="1"/>
                <w:color w:val="auto"/>
              </w:rPr>
            </w:pPr>
          </w:p>
        </w:tc>
      </w:tr>
      <w:tr>
        <w:trPr>
          <w:trHeight w:val="20"/>
        </w:trPr>
        <w:tc>
          <w:tcPr>
            <w:tcW w:w="934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16,042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6"/>
            <w:vMerge w:val="restart"/>
          </w:tcPr>
          <w:p>
            <w:pPr>
              <w:ind w:left="860"/>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6,137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17,980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3,966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6"/>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61,948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4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1,228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20,064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3,409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38,033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35,844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(19,412)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32,594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120" w:type="dxa"/>
            <w:vAlign w:val="bottom"/>
            <w:gridSpan w:val="5"/>
            <w:vMerge w:val="restart"/>
          </w:tcPr>
          <w:p>
            <w:pPr>
              <w:ind w:left="80"/>
              <w:spacing w:after="0"/>
              <w:rPr>
                <w:sz w:val="20"/>
                <w:szCs w:val="20"/>
                <w:color w:val="auto"/>
              </w:rPr>
            </w:pPr>
            <w:r>
              <w:rPr>
                <w:rFonts w:ascii="Arial" w:cs="Arial" w:eastAsia="Arial" w:hAnsi="Arial"/>
                <w:sz w:val="18"/>
                <w:szCs w:val="18"/>
                <w:color w:val="auto"/>
              </w:rPr>
              <w:t>Total Shareowners’ Equity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1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22,590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23,588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22,332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61,948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9780" w:type="dxa"/>
            <w:vAlign w:val="bottom"/>
            <w:gridSpan w:val="3"/>
            <w:vMerge w:val="continue"/>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$ 3,654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rPr>
              <w:t>4,578</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customer financing assets,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investing activities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330"/>
        </w:trPr>
        <w:tc>
          <w:tcPr>
            <w:tcW w:w="978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issuance of long-term debt,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540" w:type="dxa"/>
            <w:vAlign w:val="bottom"/>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financing activities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338"/>
        </w:trPr>
        <w:tc>
          <w:tcPr>
            <w:tcW w:w="978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331"/>
        </w:trPr>
        <w:tc>
          <w:tcPr>
            <w:tcW w:w="978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$ 5,966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50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activities include contributions of UTC common stock of $450 million and $250 million to domestic defined benefit pension plans in the third quarter of 2011 and second quarter of 2010,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Condensed Consolidated Financial Statements at September 30, 2011 and for the quarters and nine months ended September 30, 2011 and 2010 are unaudited, but in the opinion of management include all adjustments (consisting only of normal recurring adjustments) necessary for a fair presentation of the results for the interim periods. Certain reclassifications have been made to the prior period amounts to conform to the current year presentation. We previously reported “Other income, net,” which included “Interest income,” as a component of “Revenues.” “Other income, net,” excluding “Interest income,” is now reflected separately, while “Interest income” is now netted with “Interest expense” for financial statement presentation.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(2010 Annual Report) incorporated by reference to our Annual Report on Form 10-K for calendar year 2010 (2010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 xml:space="preserve">Business Acquisitions and Dispositions. </w:t>
      </w:r>
      <w:r>
        <w:rPr>
          <w:rFonts w:ascii="Arial" w:cs="Arial" w:eastAsia="Arial" w:hAnsi="Arial"/>
          <w:sz w:val="16"/>
          <w:szCs w:val="16"/>
          <w:color w:val="auto"/>
        </w:rPr>
        <w:t>During the first nine months of 2011, our investment in business acquisitions was $229 million and consisted of a</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smaller acquisitions in both the aerospace and commercial businesses. As a result of Sikorsky’s contribution of a business into a new venture in the United Arab Emirates, we recognized a gain of approximately $73 million in the second quarter of 2011.</w:t>
      </w:r>
    </w:p>
    <w:p>
      <w:pPr>
        <w:spacing w:after="0" w:line="10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September 21, 2011, we announced that we entered into an agreement to acquire Goodrich Corporation (Goodrich), a global supplier of systems and services to the aerospace and defense industry with 2010 sales of $7 billion. Under the terms of the agreement, Goodrich shareholders will receive $127.50 in cash for each share of Goodrich common stock they own at the time of the closing of the transaction. This equates to a total current enterprise value of $18.4 billion, including $1.9 billion in net debt to be assumed. Of the total $16.5 billion required, we expect to finance the transaction through a combination of debt and equity issuances, with the equity component expected to approximate 25% of the total financing (other than the amount of net debt assumed). The transaction is subject to customary closing conditions, including regulatory and Goodrich shareholder approval. We expect that this acquisition will close in mid-2012. Goodrich products include aircraft nacelles and interior systems, actuation and landing systems, and electronic systems. Once the acquisition is complete, Goodrich and Hamilton Sundstrand will be combined to form a new segment named UTC Aerospace Systems. It is expected that the increased scale, financial strength and complementary products of the new combined business will strengthen our position in the aerospace and defense industry. Further, this acquisition will enhance our ability to support our customers with more integrated systems.</w:t>
      </w:r>
    </w:p>
    <w:p>
      <w:pPr>
        <w:spacing w:after="0" w:line="123"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On October 12, 2011, Pratt &amp; Whitney and Rolls-Royce announced a restructure of their participation in IAE International Aero Engines AG (IAE), which produces the V2500 engine for the A320 family of aircraft. Under the terms of the agreement, Rolls-Royce will sell its equity and program shares in IAE and license its V2500 intellectual property in IAE to Pratt &amp; Whitney for $1.5 billion and an agreed payment for each hour flown by the current installed fleet of V2500-powered aircraft during the fifteen year period following completion of the transaction. These licensing rights will be perpetual, worldwide, and permit Pratt &amp; Whitney to sublicense, as necessary. The acquisition of the additional shares in IAE will give Pratt &amp; Whitney a controlling interest with 66% ownership. Pratt &amp; Whitney intends to offer a portion of its interests to the remaining IAE partners MTU Aero Engines AG (MTU) and Japanese Aero Engines Corporation (JAEC). Upon closing, we anticipate Pratt &amp; Whitney will begin consolidating IAE. The acquisition of the collaboration rights and intellectual property licenses will be reflected as intangible assets and amortized in relation to the economic benefits received over the projected remaining life of the V2500 program.</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Pratt &amp; Whitney and Rolls-Royce also announced an agreement to form a new venture to develop engines to power future new mid-size aircraft (120 – 230 passenger aircraft). The two companies will establish a joint venture company, in which each will hold an equal share, to develop new engines for the next generation of mid-size aircraft. This new joint venture will focus on high-bypass ratio geared turbofan technology. In addition, the venture will collaborate on future studies for next generation propulsion systems. These announced transactions with Rolls-Royce are subject to various closing conditions, including regulatory approvals and are expected to close in mid-2012.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nine months of 2011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820" w:type="dxa"/>
            <w:vAlign w:val="bottom"/>
          </w:tcPr>
          <w:p>
            <w:pPr>
              <w:spacing w:after="0"/>
              <w:rPr>
                <w:sz w:val="12"/>
                <w:szCs w:val="12"/>
                <w:color w:val="auto"/>
              </w:rPr>
            </w:pPr>
          </w:p>
        </w:tc>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Goodwill resulting from</w:t>
            </w:r>
          </w:p>
        </w:tc>
        <w:tc>
          <w:tcPr>
            <w:tcW w:w="100" w:type="dxa"/>
            <w:vAlign w:val="bottom"/>
          </w:tcPr>
          <w:p>
            <w:pPr>
              <w:spacing w:after="0"/>
              <w:rPr>
                <w:sz w:val="12"/>
                <w:szCs w:val="12"/>
                <w:color w:val="auto"/>
              </w:rPr>
            </w:pPr>
          </w:p>
        </w:tc>
        <w:tc>
          <w:tcPr>
            <w:tcW w:w="20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5"/>
              </w:rPr>
              <w:t>Foreign currency</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48"/>
        </w:trPr>
        <w:tc>
          <w:tcPr>
            <w:tcW w:w="258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January 1, 2011</w:t>
            </w:r>
          </w:p>
        </w:tc>
        <w:tc>
          <w:tcPr>
            <w:tcW w:w="820" w:type="dxa"/>
            <w:vAlign w:val="bottom"/>
          </w:tcPr>
          <w:p>
            <w:pPr>
              <w:spacing w:after="0"/>
              <w:rPr>
                <w:sz w:val="12"/>
                <w:szCs w:val="12"/>
                <w:color w:val="auto"/>
              </w:rPr>
            </w:pPr>
          </w:p>
        </w:tc>
        <w:tc>
          <w:tcPr>
            <w:tcW w:w="22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business combinations</w:t>
            </w:r>
          </w:p>
        </w:tc>
        <w:tc>
          <w:tcPr>
            <w:tcW w:w="2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translation and other</w:t>
            </w:r>
          </w:p>
        </w:tc>
        <w:tc>
          <w:tcPr>
            <w:tcW w:w="120" w:type="dxa"/>
            <w:vAlign w:val="bottom"/>
          </w:tcPr>
          <w:p>
            <w:pPr>
              <w:spacing w:after="0"/>
              <w:rPr>
                <w:sz w:val="12"/>
                <w:szCs w:val="12"/>
                <w:color w:val="auto"/>
              </w:rPr>
            </w:pPr>
          </w:p>
        </w:tc>
        <w:tc>
          <w:tcPr>
            <w:tcW w:w="64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w w:val="88"/>
              </w:rPr>
              <w:t>30, 2011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1380" w:type="dxa"/>
            <w:vAlign w:val="bottom"/>
            <w:vMerge w:val="restart"/>
            <w:shd w:val="clear" w:color="auto" w:fill="CCEEFF"/>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1,470</w:t>
            </w:r>
          </w:p>
        </w:tc>
        <w:tc>
          <w:tcPr>
            <w:tcW w:w="8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3,171</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1,224</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nine months ended September 30, 2011, we recorded an additional $258 million of goodwill, reflected within “Eliminations and other” in the above table, related to the finalization of purchase accounting associated with the December 2010 acquisition of Clipper Windpower Plc (Clipper).</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early adopted the Financial Accounting Standards Board’s (FASB) Accounting Standards Update (ASU) No 2011-08, “Testing Goodwill for Impairment,” in connection with the performance of our annual goodwill impairment test. Under ASU 2011-08, entities are provided with the option of first performing a qualitative assessment on none, some, or all of its reporting units to determine whether further quantitative impairment testing is necessary. An entity may also bypass the qualitative assessment for any reporting unit in any period and proceed directly to the quantitative impairment test. We completed our annual impairment testing in the third quarter of 2011 and determined that no significant adjustments to the carrying value of goodwill or indefinite lived intangible assets were necessary based on the results of the impairment tests.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8"/>
              </w:rPr>
              <w:t>September 30, 2011</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December 31,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0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5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Amortized:</w:t>
            </w: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2,042</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(1,051)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(1,384)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(1,222)</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(2,614)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(2,317)</w:t>
            </w:r>
          </w:p>
        </w:tc>
        <w:tc>
          <w:tcPr>
            <w:tcW w:w="0" w:type="dxa"/>
            <w:vAlign w:val="bottom"/>
          </w:tcPr>
          <w:p>
            <w:pPr>
              <w:spacing w:after="0"/>
              <w:rPr>
                <w:sz w:val="1"/>
                <w:szCs w:val="1"/>
                <w:color w:val="auto"/>
              </w:rPr>
            </w:pPr>
          </w:p>
        </w:tc>
      </w:tr>
      <w:tr>
        <w:trPr>
          <w:trHeight w:val="330"/>
        </w:trPr>
        <w:tc>
          <w:tcPr>
            <w:tcW w:w="5220" w:type="dxa"/>
            <w:vAlign w:val="bottom"/>
            <w:gridSpan w:val="2"/>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(2,614)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6,377</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Amortization of intangible assets for the quarter and nine months ended September 30, 2011 was $102 million and $304 million, respectively, compared with $104 million and $283 million for the same periods of 2010. Average amortization of these intangible assets for 2011 through 2015 is expected to approximate $315 million per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1,324</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888.8</w:t>
            </w:r>
          </w:p>
        </w:tc>
        <w:tc>
          <w:tcPr>
            <w:tcW w:w="1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901.9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909.1</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7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7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ended September 30, 2011, there were 6.5 million anti-dilutive stock awards excluded from the computation. For the nine months ended September 30, 2011, there were no anti-dilutive stock awards excluded from the computation. The number of stock awards excluded from the computation was 12.7 million and 12.6 million for the quarter and nine months ended September 30, 2010,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3480" w:type="dxa"/>
            <w:vAlign w:val="bottom"/>
          </w:tcPr>
          <w:p>
            <w:pPr>
              <w:spacing w:after="0"/>
              <w:rPr>
                <w:sz w:val="15"/>
                <w:szCs w:val="15"/>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September 30, 2011</w:t>
            </w: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2010</w:t>
            </w: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1,357</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r>
      <w:tr>
        <w:trPr>
          <w:trHeight w:val="216"/>
        </w:trPr>
        <w:tc>
          <w:tcPr>
            <w:tcW w:w="12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20" w:type="dxa"/>
            <w:vAlign w:val="bottom"/>
            <w:shd w:val="clear" w:color="auto" w:fill="CCEEFF"/>
          </w:tcPr>
          <w:p>
            <w:pPr>
              <w:spacing w:after="0"/>
              <w:rPr>
                <w:sz w:val="18"/>
                <w:szCs w:val="18"/>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(6,289)</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(5,805)</w:t>
            </w:r>
          </w:p>
        </w:tc>
      </w:tr>
      <w:tr>
        <w:trPr>
          <w:trHeight w:val="27"/>
        </w:trPr>
        <w:tc>
          <w:tcPr>
            <w:tcW w:w="1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and December 31, 2010, the above inventory balances include capitalized contract development costs of $843 million and $804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820" w:type="dxa"/>
            <w:vAlign w:val="bottom"/>
            <w:gridSpan w:val="3"/>
          </w:tcPr>
          <w:p>
            <w:pPr>
              <w:ind w:left="1700"/>
              <w:spacing w:after="0"/>
              <w:rPr>
                <w:sz w:val="20"/>
                <w:szCs w:val="20"/>
                <w:color w:val="auto"/>
              </w:rPr>
            </w:pPr>
            <w:r>
              <w:rPr>
                <w:rFonts w:ascii="Arial" w:cs="Arial" w:eastAsia="Arial" w:hAnsi="Arial"/>
                <w:sz w:val="14"/>
                <w:szCs w:val="14"/>
                <w:b w:val="1"/>
                <w:bCs w:val="1"/>
                <w:color w:val="auto"/>
                <w:w w:val="84"/>
              </w:rPr>
              <w:t>September 30, 2011</w:t>
            </w:r>
          </w:p>
        </w:tc>
        <w:tc>
          <w:tcPr>
            <w:tcW w:w="218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December 31, 2010</w:t>
            </w: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1,080</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9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September 30, 2011, we had committed credit agreements from banks permitting aggregate borrowings of up to $3.0 billion under a $1.6 billion revolving credit agreement and a $1.4 billion multicurrency revolving credit agreement, both of which are available for general funding purposes, including acquisitions. As of September 30, 2011, there were no borrowings under either of these revolving credit agreements, which expire in November 2014 and December 2014, respectively. The undrawn portions under both of these agreements are also available to serve as backup facilities for the issuance of commercial paper. We generally use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borrowings for general corporate purposes, including the funding of potential acquisitions and repurchases of our common stock.</w:t>
      </w:r>
    </w:p>
    <w:p>
      <w:pPr>
        <w:spacing w:after="0" w:line="19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 part of our pending acquisition of Goodrich, we executed a commitment letter, dated September 21, 2011, with various financial institutions that provides a 12-month commitment, subject to a 6-month extension for regulatory reasons, for a $15 billion 364-day unsecured bridge loan facility.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12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2011</w:t>
            </w: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6.100% notes due 2012*</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4.875% notes due 2015*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5.375% notes due 2017*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6.125% notes due 2019*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8.875% notes due 2019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4.500% notes due 2020*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8.750% notes due 2021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6.700% notes due 2028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notes due 2029*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5.400% notes due 2035*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6.050% notes due 2036*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6.125% notes due 2038*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5.700% notes due 2040*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Project financing obligations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capitalized leases)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10,136</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9,501</w:t>
            </w:r>
          </w:p>
        </w:tc>
        <w:tc>
          <w:tcPr>
            <w:tcW w:w="540" w:type="dxa"/>
            <w:vAlign w:val="bottom"/>
          </w:tcPr>
          <w:p>
            <w:pPr>
              <w:spacing w:after="0"/>
              <w:rPr>
                <w:sz w:val="19"/>
                <w:szCs w:val="19"/>
                <w:color w:val="auto"/>
              </w:rPr>
            </w:pPr>
          </w:p>
        </w:tc>
        <w:tc>
          <w:tcPr>
            <w:tcW w:w="84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60" w:hanging="448"/>
        <w:spacing w:after="0" w:line="254"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 series. The redemption price will also include interest accrued to the date of redemption on the principal balance of the notes being redeemed.</w:t>
      </w:r>
    </w:p>
    <w:p>
      <w:pPr>
        <w:spacing w:after="0" w:line="14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reasonably possible that a net reduction within a range of $145 million to $310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A portion of this net reduction may impact the Company’s 2011 or 2012 income tax expense. Not included in the range is €197 million (approximately $267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Tax years 2004 and 2005 are currently before the Appeals Division of the Internal Revenue Service (IRS) for resolution discussions regarding certain proposed tax adjustments with which the Company does not agree. The Company expects that the Appeals Division’s consideration will continue into 2012 and be completed within the next 12 months. Tax years 2006, 2007 and 2008 are under review by the Examination Division of the IRS, which review is expected to continue into 2012 and be completed within the next 12 months. Additionally, the Company has two refund claims pending for years prior to 2004. The Company expects that a final determination will be made with respect to these claims during the quarter ending December 31, 2011. These claims are included within the range of unrecognized tax benefits disclosed above, which excludes the impact of interest.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8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179"/>
              <w:spacing w:after="0"/>
              <w:rPr>
                <w:sz w:val="20"/>
                <w:szCs w:val="20"/>
                <w:color w:val="auto"/>
              </w:rPr>
            </w:pPr>
            <w:r>
              <w:rPr>
                <w:rFonts w:ascii="Arial" w:cs="Arial" w:eastAsia="Arial" w:hAnsi="Arial"/>
                <w:sz w:val="14"/>
                <w:szCs w:val="14"/>
                <w:b w:val="1"/>
                <w:bCs w:val="1"/>
                <w:color w:val="auto"/>
                <w:w w:val="91"/>
              </w:rPr>
              <w:t>Quarter Ended September 30,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627</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438</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697</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first nine months of 2011, we made contributions of $606 million to our domestic defined benefit pension plans, all of which was contributed in the third quarter of 2011. Included in the total domestic contributions was a $450 million contribution of UTC common stock. In the first nine months of 2010, we made contributions of $801 million to our domestic defined benefit pension plans, including $350 million which was contributed in the third quarter of 2010. Included in the total domestic contributions made through the first nine months of 2010 was a $250 million contribution of UTC common stock in the second quarter of 2010. The following tables illustrate the components of net periodic benefit cost for our defined pension and other postretirement benefit plans: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44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440" w:type="dxa"/>
            <w:vAlign w:val="bottom"/>
            <w:gridSpan w:val="4"/>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w w:val="71"/>
              </w:rPr>
              <w:t>1</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(430)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vMerge w:val="restart"/>
          </w:tcPr>
          <w:p>
            <w:pPr>
              <w:jc w:val="right"/>
              <w:ind w:right="77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2"/>
              </w:rPr>
              <w:t>Pension Benefits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left="280"/>
              <w:spacing w:after="0" w:line="149" w:lineRule="exact"/>
              <w:rPr>
                <w:sz w:val="20"/>
                <w:szCs w:val="20"/>
                <w:color w:val="auto"/>
              </w:rPr>
            </w:pPr>
            <w:r>
              <w:rPr>
                <w:rFonts w:ascii="Arial" w:cs="Arial" w:eastAsia="Arial" w:hAnsi="Arial"/>
                <w:sz w:val="14"/>
                <w:szCs w:val="14"/>
                <w:b w:val="1"/>
                <w:bCs w:val="1"/>
                <w:color w:val="auto"/>
                <w:w w:val="92"/>
              </w:rPr>
              <w:t>Nine Months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20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5"/>
              </w:rPr>
              <w:t>Ended September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Ended September 30,</w:t>
            </w:r>
          </w:p>
        </w:tc>
        <w:tc>
          <w:tcPr>
            <w:tcW w:w="0" w:type="dxa"/>
            <w:vAlign w:val="bottom"/>
          </w:tcPr>
          <w:p>
            <w:pPr>
              <w:spacing w:after="0"/>
              <w:rPr>
                <w:sz w:val="1"/>
                <w:szCs w:val="1"/>
                <w:color w:val="auto"/>
              </w:rPr>
            </w:pPr>
          </w:p>
        </w:tc>
      </w:tr>
      <w:tr>
        <w:trPr>
          <w:trHeight w:val="149"/>
        </w:trPr>
        <w:tc>
          <w:tcPr>
            <w:tcW w:w="57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4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3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4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Costs</w:t>
      </w:r>
    </w:p>
    <w:p>
      <w:pPr>
        <w:spacing w:after="0" w:line="96" w:lineRule="exact"/>
        <w:rPr>
          <w:sz w:val="20"/>
          <w:szCs w:val="20"/>
          <w:color w:val="auto"/>
        </w:rPr>
      </w:pPr>
    </w:p>
    <w:p>
      <w:pPr>
        <w:jc w:val="both"/>
        <w:ind w:right="440" w:firstLine="456"/>
        <w:spacing w:after="0" w:line="268" w:lineRule="auto"/>
        <w:rPr>
          <w:sz w:val="20"/>
          <w:szCs w:val="20"/>
          <w:color w:val="auto"/>
        </w:rPr>
      </w:pPr>
      <w:r>
        <w:rPr>
          <w:rFonts w:ascii="Arial" w:cs="Arial" w:eastAsia="Arial" w:hAnsi="Arial"/>
          <w:sz w:val="18"/>
          <w:szCs w:val="18"/>
          <w:color w:val="auto"/>
        </w:rPr>
        <w:t>During the first nine months of 2011, we recorded net pre-tax restructuring costs in our business segments totaling $188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net costs included $121 million recorded in cost of sales, $65 million in selling, general and administrative expenses and $2 million in other income, net. As described below, these costs primarily relate to actions initiated during 2011 and 2010.</w:t>
      </w:r>
    </w:p>
    <w:p>
      <w:pPr>
        <w:spacing w:after="0" w:line="12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nine months of 2011,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costs totaling $150 million, including $88 million in cost of sales, $60 million in selling, general and administrative expenses and $2 million in other income, net.</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the actions initiated in the first nine months of 2011 to result in net workforce reductions of approximately 2,800 hourly and salaried employees, the exiting of approximately 540,000 net square feet of facilities and the disposal of assets associated with exited facilities. As of September 30, 2011, we have completed net workforce reductions of approximately 1,300 employees, and 10,000 net square feet of facilities have been exited. We are targeting the majority of the remaining workforce and all facility related cost reduction actions for completion during 2011 and 2012. No specific plans for significant other actions have been finalized at this time.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76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720" w:type="dxa"/>
            <w:vAlign w:val="bottom"/>
          </w:tcPr>
          <w:p>
            <w:pPr>
              <w:spacing w:after="0"/>
              <w:rPr>
                <w:sz w:val="12"/>
                <w:szCs w:val="12"/>
                <w:color w:val="auto"/>
              </w:rPr>
            </w:pP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Termination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Write-Downs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92"/>
              </w:rPr>
              <w:t>Other Costs</w:t>
            </w:r>
          </w:p>
        </w:tc>
        <w:tc>
          <w:tcPr>
            <w:tcW w:w="44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June 30, 2011</w:t>
            </w:r>
          </w:p>
        </w:tc>
        <w:tc>
          <w:tcPr>
            <w:tcW w:w="1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2011</w:t>
            </w:r>
          </w:p>
        </w:tc>
        <w:tc>
          <w:tcPr>
            <w:tcW w:w="1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$ 80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Write-</w:t>
            </w:r>
          </w:p>
        </w:tc>
        <w:tc>
          <w:tcPr>
            <w:tcW w:w="320" w:type="dxa"/>
            <w:vAlign w:val="bottom"/>
          </w:tcPr>
          <w:p>
            <w:pPr>
              <w:spacing w:after="0"/>
              <w:rPr>
                <w:sz w:val="12"/>
                <w:szCs w:val="12"/>
                <w:color w:val="auto"/>
              </w:rPr>
            </w:pPr>
          </w:p>
        </w:tc>
        <w:tc>
          <w:tcPr>
            <w:tcW w:w="15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Termination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2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Downs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Other 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Expected costs</w:t>
            </w:r>
          </w:p>
        </w:tc>
        <w:tc>
          <w:tcPr>
            <w:tcW w:w="3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Costs incurred - quarter ended September 30, 2011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Costs Incurred</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040" w:type="dxa"/>
            <w:vAlign w:val="bottom"/>
            <w:vMerge w:val="restart"/>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0"/>
              </w:rPr>
              <w:t>Expected</w:t>
            </w:r>
          </w:p>
        </w:tc>
        <w:tc>
          <w:tcPr>
            <w:tcW w:w="6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Costs at</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77"/>
              </w:rPr>
              <w:t>Costs</w:t>
            </w:r>
          </w:p>
        </w:tc>
        <w:tc>
          <w:tcPr>
            <w:tcW w:w="620" w:type="dxa"/>
            <w:vAlign w:val="bottom"/>
          </w:tcPr>
          <w:p>
            <w:pPr>
              <w:spacing w:after="0"/>
              <w:rPr>
                <w:sz w:val="12"/>
                <w:szCs w:val="12"/>
                <w:color w:val="auto"/>
              </w:rPr>
            </w:pPr>
          </w:p>
        </w:tc>
        <w:tc>
          <w:tcPr>
            <w:tcW w:w="1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2011</w:t>
            </w:r>
          </w:p>
        </w:tc>
        <w:tc>
          <w:tcPr>
            <w:tcW w:w="126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w w:val="90"/>
              </w:rPr>
              <w:t>June 30, 2011</w:t>
            </w:r>
          </w:p>
        </w:tc>
        <w:tc>
          <w:tcPr>
            <w:tcW w:w="300" w:type="dxa"/>
            <w:vAlign w:val="bottom"/>
          </w:tcPr>
          <w:p>
            <w:pPr>
              <w:spacing w:after="0"/>
              <w:rPr>
                <w:sz w:val="12"/>
                <w:szCs w:val="12"/>
                <w:color w:val="auto"/>
              </w:rPr>
            </w:pPr>
          </w:p>
        </w:tc>
        <w:tc>
          <w:tcPr>
            <w:tcW w:w="1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CCEEFF"/>
            </w:tcBorders>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620" w:type="dxa"/>
            <w:vAlign w:val="bottom"/>
            <w:tcBorders>
              <w:left w:val="single" w:sz="8" w:color="CCEEFF"/>
            </w:tcBorders>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(4)</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nine months of 2011, we recorded net pre-tax restructuring costs totaling $40 million for restructuring actions initiated in 2010,</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$27 million in cost of sales and $13 million in selling, general and administrative expenses. The 2010 actions relate to ongoing cost reduction efforts, including workforce reductions and the consolidation of field operations.</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2011, we have completed net workforce reductions of approximately 4,000 employees of an expected 5,000 employees, and have exited approximately 800,000 net square feet of facilities of an expected 3.9 million net square feet. We are targeting the majority of the remaining workforce and facility related cost reduction actions for completion during 2011 and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Write-</w:t>
            </w:r>
          </w:p>
        </w:tc>
        <w:tc>
          <w:tcPr>
            <w:tcW w:w="320" w:type="dxa"/>
            <w:vAlign w:val="bottom"/>
          </w:tcPr>
          <w:p>
            <w:pPr>
              <w:spacing w:after="0"/>
              <w:rPr>
                <w:sz w:val="12"/>
                <w:szCs w:val="12"/>
                <w:color w:val="auto"/>
              </w:rPr>
            </w:pPr>
          </w:p>
        </w:tc>
        <w:tc>
          <w:tcPr>
            <w:tcW w:w="15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Termination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Downs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Other 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June 30, 2011</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2011</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8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costs</w:t>
            </w: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2010</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2011</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September 30, 2011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Remaining costs at September 30, 2011</w:t>
            </w: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Costs Incurred</w:t>
            </w:r>
          </w:p>
        </w:tc>
        <w:tc>
          <w:tcPr>
            <w:tcW w:w="2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Costs Incurred</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1240" w:type="dxa"/>
            <w:vAlign w:val="bottom"/>
            <w:vMerge w:val="restart"/>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0"/>
              </w:rPr>
              <w:t>Expected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82"/>
              </w:rPr>
              <w:t>Costs</w:t>
            </w:r>
          </w:p>
        </w:tc>
        <w:tc>
          <w:tcPr>
            <w:tcW w:w="440" w:type="dxa"/>
            <w:vAlign w:val="bottom"/>
          </w:tcPr>
          <w:p>
            <w:pPr>
              <w:spacing w:after="0"/>
              <w:rPr>
                <w:sz w:val="12"/>
                <w:szCs w:val="12"/>
                <w:color w:val="auto"/>
              </w:rPr>
            </w:pPr>
          </w:p>
        </w:tc>
        <w:tc>
          <w:tcPr>
            <w:tcW w:w="1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2010</w:t>
            </w:r>
          </w:p>
        </w:tc>
        <w:tc>
          <w:tcPr>
            <w:tcW w:w="20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2011</w:t>
            </w:r>
          </w:p>
        </w:tc>
        <w:tc>
          <w:tcPr>
            <w:tcW w:w="200" w:type="dxa"/>
            <w:vAlign w:val="bottom"/>
          </w:tcPr>
          <w:p>
            <w:pPr>
              <w:spacing w:after="0"/>
              <w:rPr>
                <w:sz w:val="12"/>
                <w:szCs w:val="12"/>
                <w:color w:val="auto"/>
              </w:rPr>
            </w:pPr>
          </w:p>
        </w:tc>
        <w:tc>
          <w:tcPr>
            <w:tcW w:w="116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90"/>
              </w:rPr>
              <w:t>June 30, 2011</w:t>
            </w:r>
          </w:p>
        </w:tc>
        <w:tc>
          <w:tcPr>
            <w:tcW w:w="220" w:type="dxa"/>
            <w:vAlign w:val="bottom"/>
          </w:tcPr>
          <w:p>
            <w:pPr>
              <w:spacing w:after="0"/>
              <w:rPr>
                <w:sz w:val="12"/>
                <w:szCs w:val="12"/>
                <w:color w:val="auto"/>
              </w:rPr>
            </w:pPr>
          </w:p>
        </w:tc>
        <w:tc>
          <w:tcPr>
            <w:tcW w:w="1580" w:type="dxa"/>
            <w:vAlign w:val="bottom"/>
            <w:gridSpan w:val="3"/>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September 30, 2011</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0"/>
        </w:trPr>
        <w:tc>
          <w:tcPr>
            <w:tcW w:w="24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4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As of September 30, 2011, we have approximately $56 million of accrual balances remaining related to 2009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$10.1 billion and $8.5 billion at September 30, 2011 and December 31, 2010, respectively.</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September 30, 2011 and December 31, 2010,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September 30, 2011 and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3660" w:type="dxa"/>
            <w:vAlign w:val="bottom"/>
            <w:gridSpan w:val="4"/>
          </w:tcPr>
          <w:p>
            <w:pPr>
              <w:ind w:left="340"/>
              <w:spacing w:after="0"/>
              <w:rPr>
                <w:sz w:val="20"/>
                <w:szCs w:val="20"/>
                <w:color w:val="auto"/>
              </w:rPr>
            </w:pPr>
            <w:r>
              <w:rPr>
                <w:rFonts w:ascii="Arial" w:cs="Arial" w:eastAsia="Arial" w:hAnsi="Arial"/>
                <w:sz w:val="14"/>
                <w:szCs w:val="14"/>
                <w:b w:val="1"/>
                <w:bCs w:val="1"/>
                <w:color w:val="auto"/>
              </w:rPr>
              <w:t>Balance Sheet Asset Location</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6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Other assets, current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Derivatives not designated as hedging instruments: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Other assets, current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Balance Sheet Liability Location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Derivatives not designated as hedging instruments: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6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66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w w:val="92"/>
              </w:rPr>
              <w:t>Quarter Ended September 30,</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Nine Months Ended September 30,</w:t>
            </w: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2010</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42"/>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9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(Loss) gain recorded in Accumulated other comprehensive</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Gain reclassified from Accumulated other comprehensive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loss into Product sales (effective portion)</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Assuming current market conditions continue, a $1 million pre-tax loss is expected to be reclassified from Accumulated other comprehensive loss into Product sales to reflect the fixed prices obtained from foreign exchange hedging within the next 12 months. At September 30, 2011, all derivative contracts accounted for as cash flow hedges will mature by September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4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September 30,</w:t>
            </w:r>
          </w:p>
        </w:tc>
        <w:tc>
          <w:tcPr>
            <w:tcW w:w="1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 September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(Loss) gain recognized in Other income (expense), net</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42"/>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131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The Fair Value Measurements and Disclosure Topic of the FASB ASC establishes a valuation hierarchy for disclosure of the inputs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used to measure fair value. A financial asset or liability’s classification within the hierarchy is determined based on the lowest level input that is significant to the fair value measurement. The following table provides the assets and liabilities carried at fair value measured on a recurring basis as of September 30, 2011 and December 31, 2010:</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Total Carrying</w:t>
            </w:r>
          </w:p>
        </w:tc>
        <w:tc>
          <w:tcPr>
            <w:tcW w:w="7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7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Value at</w:t>
            </w:r>
          </w:p>
        </w:tc>
        <w:tc>
          <w:tcPr>
            <w:tcW w:w="7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1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September 30, 2011</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7"/>
              </w:rPr>
              <w:t>(Level 1)</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8"/>
              <w:spacing w:after="0" w:line="148" w:lineRule="exact"/>
              <w:rPr>
                <w:sz w:val="20"/>
                <w:szCs w:val="20"/>
                <w:color w:val="auto"/>
              </w:rPr>
            </w:pPr>
            <w:r>
              <w:rPr>
                <w:rFonts w:ascii="Arial" w:cs="Arial" w:eastAsia="Arial" w:hAnsi="Arial"/>
                <w:sz w:val="14"/>
                <w:szCs w:val="14"/>
                <w:b w:val="1"/>
                <w:bCs w:val="1"/>
                <w:color w:val="auto"/>
                <w:w w:val="87"/>
              </w:rPr>
              <w:t>(Level 2)</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808</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808</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101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183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Total Carrying</w:t>
            </w:r>
          </w:p>
        </w:tc>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4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74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Value at</w:t>
            </w:r>
          </w:p>
        </w:tc>
        <w:tc>
          <w:tcPr>
            <w:tcW w:w="7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1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December 31, 2010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7"/>
              </w:rPr>
              <w:t>(Level 1)</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8"/>
              <w:spacing w:after="0" w:line="148" w:lineRule="exact"/>
              <w:rPr>
                <w:sz w:val="20"/>
                <w:szCs w:val="20"/>
                <w:color w:val="auto"/>
              </w:rPr>
            </w:pPr>
            <w:r>
              <w:rPr>
                <w:rFonts w:ascii="Arial" w:cs="Arial" w:eastAsia="Arial" w:hAnsi="Arial"/>
                <w:sz w:val="14"/>
                <w:szCs w:val="14"/>
                <w:b w:val="1"/>
                <w:bCs w:val="1"/>
                <w:color w:val="auto"/>
                <w:w w:val="87"/>
              </w:rPr>
              <w:t>(Level 2)</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829</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829</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133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6"/>
                <w:szCs w:val="16"/>
                <w:color w:val="auto"/>
                <w:w w:val="78"/>
              </w:rPr>
              <w:t>53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September 30, 2011, there were no significant transfers in and out of Level 1 and Level 2.</w:t>
      </w:r>
    </w:p>
    <w:p>
      <w:pPr>
        <w:spacing w:after="0" w:line="11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September 30, 2011,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carrying amounts and fair values of financial instruments that are not carried at fair value at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340" w:type="dxa"/>
            <w:vAlign w:val="bottom"/>
            <w:vMerge w:val="restart"/>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30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receivables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(10,079)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(10,117)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between carrying amounts and fair value are attributable to interest and/or credit rate changes subsequent to when the transaction occurred. The fair values of Cash and cash equivalents, Accounts receivable, net, Short-term borrowings, and Accounts payable approximate the carrying amounts due to the short-term maturities of these instruments.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had outstanding commercial aerospace financing and other contractual commitments totaling approximately $2.2 billion and $2.0 billion at September 30, 2011 and December 31, 2010, respectively.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Credit Quality of Long-Term Receivables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2010, the FASB issued ASU No. 2010-20, “Disclosure about the Credit Quality of Financing Receivables and the Allowance for Credit Losses.” This ASU is intended to enhance a financial statement user’s ability to evaluate the entity’s credit risk exposures and adequacy of its allowance for credit losses by requiring additional disclosure about the nature of credit risk inherent in the portfolio of receivables, factors and methodologies used in estimating the allowance for credit losses and activity that occurs during a period for both financing receivables and allowance for credit losses. The scope of this ASU is limited to financing receivables, as defined by the ASU, and excludes short-term trade accounts receivable and receivables measured at fair value or lower of cost or fair value. We adopted the disclosures under this ASU for the reporting period ended December 31, 2010, with the exception of disclosures about activity that occurs during a reporting period, which became effective for interim and annual periods beginning on or after December 15, 2010. We adopted the interim disclosures required under this ASU during the quarter ended March 31, 2011.</w:t>
      </w:r>
    </w:p>
    <w:p>
      <w:pPr>
        <w:spacing w:after="0" w:line="11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4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Our classes within aerospace long-term receivables are comprised of long-term trade accounts receivable and notes and leases receivable. 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September 30, 2011 and December 31, 2010:</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3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September 30, 2011</w:t>
            </w:r>
          </w:p>
        </w:tc>
        <w:tc>
          <w:tcPr>
            <w:tcW w:w="10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trade accounts receivable</w:t>
            </w:r>
          </w:p>
        </w:tc>
        <w:tc>
          <w:tcPr>
            <w:tcW w:w="23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2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5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September 30, 2011 and December 31, 2010, we do not have any significant balances that are considered to be delinquent, on non-accrual status, past due 90 days or more, or considered to be impaired.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at September 30, 2011, and summarizes the associated changes in the reserve for estimated credit losses and exposure for the nine months ended September 30,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of the reserve for credit losses and exposure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8"/>
                <w:szCs w:val="18"/>
                <w:color w:val="auto"/>
                <w:w w:val="90"/>
              </w:rPr>
              <w:t>Ending balance of the reserve for credit losses and exposure: individually evaluated for impairment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3"/>
            <w:vMerge w:val="continue"/>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of long-term receivables: individually evaluated for impairment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credit risk profile by creditworthiness category for aerospace long-term receivable balances at September 30, 2011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4"/>
              </w:rPr>
              <w:t>September 30, 2011</w:t>
            </w:r>
          </w:p>
        </w:tc>
        <w:tc>
          <w:tcPr>
            <w:tcW w:w="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December 31,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Notes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Notes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16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line="149" w:lineRule="exact"/>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62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receivable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640" w:type="dxa"/>
            <w:vAlign w:val="bottom"/>
          </w:tcPr>
          <w:p>
            <w:pPr>
              <w:spacing w:after="0"/>
              <w:rPr>
                <w:sz w:val="14"/>
                <w:szCs w:val="14"/>
                <w:color w:val="auto"/>
              </w:rPr>
            </w:pPr>
          </w:p>
        </w:tc>
        <w:tc>
          <w:tcPr>
            <w:tcW w:w="6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1"/>
              </w:rPr>
              <w:t>receivable</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 - (low risk, collateralized/uncollateralized)</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224</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193</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w w:val="86"/>
              </w:rPr>
              <w:t>299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225</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373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60" w:type="dxa"/>
            <w:vAlign w:val="bottom"/>
            <w:vMerge w:val="restart"/>
          </w:tcPr>
          <w:p>
            <w:pPr>
              <w:jc w:val="right"/>
              <w:ind w:right="19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Shareowners’ Equity and Noncontrolling Interest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and nine months ended September 30, 2011 and 2010 is provided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760" w:type="dxa"/>
            <w:vAlign w:val="bottom"/>
            <w:vMerge w:val="restart"/>
          </w:tcPr>
          <w:p>
            <w:pPr>
              <w:spacing w:after="0"/>
              <w:rPr>
                <w:sz w:val="11"/>
                <w:szCs w:val="11"/>
                <w:color w:val="auto"/>
              </w:rPr>
            </w:pPr>
          </w:p>
        </w:tc>
        <w:tc>
          <w:tcPr>
            <w:tcW w:w="10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580" w:type="dxa"/>
            <w:vAlign w:val="bottom"/>
          </w:tcPr>
          <w:p>
            <w:pPr>
              <w:jc w:val="right"/>
              <w:ind w:right="60"/>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4"/>
                <w:szCs w:val="14"/>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22,723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$23,739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19,933</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982</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$20,915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4980" w:type="dxa"/>
            <w:vAlign w:val="bottom"/>
            <w:gridSpan w:val="2"/>
          </w:tcPr>
          <w:p>
            <w:pPr>
              <w:ind w:left="88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7"/>
              </w:rPr>
              <w:t>(Decreases) increases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available-for-sale securities, net</w:t>
            </w:r>
          </w:p>
        </w:tc>
        <w:tc>
          <w:tcPr>
            <w:tcW w:w="14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122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 hedging (losses) gains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Disposition of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Redeemable noncontrolling interest in subsidiaries’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66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23,588</w:t>
            </w:r>
          </w:p>
        </w:tc>
        <w:tc>
          <w:tcPr>
            <w:tcW w:w="220" w:type="dxa"/>
            <w:vAlign w:val="bottom"/>
          </w:tcPr>
          <w:p>
            <w:pPr>
              <w:spacing w:after="0"/>
              <w:rPr>
                <w:sz w:val="24"/>
                <w:szCs w:val="24"/>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21,254</w:t>
            </w:r>
          </w:p>
        </w:tc>
        <w:tc>
          <w:tcPr>
            <w:tcW w:w="3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999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22,253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560" w:type="dxa"/>
            <w:vAlign w:val="bottom"/>
            <w:vMerge w:val="restart"/>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Noncontrolling</w:t>
            </w:r>
          </w:p>
        </w:tc>
        <w:tc>
          <w:tcPr>
            <w:tcW w:w="280" w:type="dxa"/>
            <w:vAlign w:val="bottom"/>
          </w:tcPr>
          <w:p>
            <w:pPr>
              <w:spacing w:after="0"/>
              <w:rPr>
                <w:sz w:val="11"/>
                <w:szCs w:val="11"/>
                <w:color w:val="auto"/>
              </w:rPr>
            </w:pPr>
          </w:p>
        </w:tc>
        <w:tc>
          <w:tcPr>
            <w:tcW w:w="58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4"/>
                <w:szCs w:val="14"/>
                <w:color w:val="auto"/>
              </w:rPr>
            </w:pPr>
          </w:p>
        </w:tc>
        <w:tc>
          <w:tcPr>
            <w:tcW w:w="82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4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21,385</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$22,332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20,066</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933</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$20,999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4780" w:type="dxa"/>
            <w:vAlign w:val="bottom"/>
            <w:gridSpan w:val="2"/>
          </w:tcPr>
          <w:p>
            <w:pPr>
              <w:ind w:left="88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(Decreases) increases in unrealized gains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from available-for-sale securities, net</w:t>
            </w:r>
          </w:p>
        </w:tc>
        <w:tc>
          <w:tcPr>
            <w:tcW w:w="14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1220" w:type="dxa"/>
            <w:vAlign w:val="bottom"/>
            <w:shd w:val="clear" w:color="auto" w:fill="CCEEFF"/>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 hedging losses</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2"/>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(2,175)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8"/>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Disposition of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Redeemable noncontrolling interest in subsidiaries’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66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0"/>
        </w:trPr>
        <w:tc>
          <w:tcPr>
            <w:tcW w:w="4780" w:type="dxa"/>
            <w:vAlign w:val="bottom"/>
            <w:gridSpan w:val="2"/>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22,590</w:t>
            </w:r>
          </w:p>
        </w:tc>
        <w:tc>
          <w:tcPr>
            <w:tcW w:w="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23,588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w:t>
            </w:r>
          </w:p>
        </w:tc>
        <w:tc>
          <w:tcPr>
            <w:tcW w:w="4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Consistent with the requirements under the Business Combinations Topic of the FASB ASC and the accounting for redeemable equity instruments, 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and nine months ended September 30, 2011 and 2010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6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8"/>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subsidiary shares from noncontrolling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changes in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Redeemable noncontrolling interest, end of period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2"/>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7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327</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nine months ended September 30, 2011 and 2010 is provided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20" w:type="dxa"/>
            <w:vAlign w:val="bottom"/>
          </w:tcPr>
          <w:p>
            <w:pPr>
              <w:spacing w:after="0"/>
              <w:rPr>
                <w:sz w:val="14"/>
                <w:szCs w:val="14"/>
                <w:color w:val="auto"/>
              </w:rPr>
            </w:pPr>
          </w:p>
        </w:tc>
        <w:tc>
          <w:tcPr>
            <w:tcW w:w="23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29"/>
        </w:trPr>
        <w:tc>
          <w:tcPr>
            <w:tcW w:w="51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ind w:left="136"/>
              <w:spacing w:after="0" w:line="203" w:lineRule="exact"/>
              <w:rPr>
                <w:sz w:val="20"/>
                <w:szCs w:val="20"/>
                <w:color w:val="auto"/>
              </w:rPr>
            </w:pPr>
            <w:r>
              <w:rPr>
                <w:rFonts w:ascii="Arial" w:cs="Arial" w:eastAsia="Arial" w:hAnsi="Arial"/>
                <w:sz w:val="18"/>
                <w:szCs w:val="18"/>
                <w:color w:val="auto"/>
                <w:w w:val="88"/>
              </w:rPr>
              <w:t>1,198</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0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w w:val="95"/>
              </w:rPr>
              <w:t>Decrease in common stock for purchase of subsidiary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Change from net income attributable to common shareowners and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transfers to noncontrolling interests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1,198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2011 and 2010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19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reflected in “Other” in the above table primarily reflects the impact of finalizing purchase accounting on the recent acquisition of Clipper.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Collaborative Arrangements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In view of the risks and costs associated with developing new engines, Pratt &amp; Whitney has entered into certain collaboration arrangements in which costs, sales and risks are shared. Sales generated from engine programs, spare parts, and aftermarket business under collaboration arrangements are recorded as earned in our financial statements. Amounts attributable to our collaborative partners for their share of sales are recorded as an expense in our financial statements based upon the terms and nature of the arrangement. Costs associated with engine programs under collaborative arrangements are expensed as incurred. Under these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September 30, 2011, the collaborators’ interests in all commercial engine programs ranged from 12% to 48%. Pratt &amp; Whitney directs those programs and is the principal participant in all existing collaborative arrangements. There are no individually significant collaborative arrangements, and none of the individual partners’ shares exceed 31% of an individual program.</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October 12, 2011, Pratt &amp; Whitney and Rolls-Royce announced a restructure of their participation in IAE and an agreement to form a new venture to develop engines to power future mid-size aircraft. See Note 1 to the Condensed Consolidated Financial Statements for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2010 Annual Report, incorporated by reference in our 2010 Form 10-K, updated as applicable.</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later under the contracts. In September 2008, both the DOJ and UTC appealed the decision to the Sixth Circuit Court of Appeals. In November 2010, the Sixth Circuit affirmed Pratt &amp; Whitney’s liability under the False Claims Act and remanded the case to the U.S. District Court for further proceedings on the question of damages.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government contracts. The DOD claims that Sikorsky’s liability is approximately $90 million (including interest through September 2011). We believe this claim is without merit and Sikorsky filed an appeal in December 2009 with the U.S. Court of Federal Claims, which is pending.</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As previously disclosed, on August 27, 2010, Rolls-Royce plc (Rolls-Royce) sued Pratt &amp; Whitney in the U.S. District Court for the Eastern District of</w:t>
      </w:r>
      <w:r>
        <w:rPr>
          <w:rFonts w:ascii="Arial" w:cs="Arial" w:eastAsia="Arial" w:hAnsi="Arial"/>
          <w:sz w:val="16"/>
          <w:szCs w:val="16"/>
          <w:b w:val="1"/>
          <w:bCs w:val="1"/>
          <w:color w:val="auto"/>
        </w:rPr>
        <w:t xml:space="preserve"> </w:t>
      </w:r>
      <w:r>
        <w:rPr>
          <w:rFonts w:ascii="Arial" w:cs="Arial" w:eastAsia="Arial" w:hAnsi="Arial"/>
          <w:sz w:val="16"/>
          <w:szCs w:val="16"/>
          <w:color w:val="auto"/>
        </w:rPr>
        <w:t>Virginia, alleging that fan blades on certain engines manufactured by Pratt &amp; Whitney infringe a U.S. patent held by Rolls-Royce. Rolls-Royce sought damages plus interest, an injunction, attorney’s fees, and a finding of willful infringement. On May 20, 2011, the Court granted Pratt &amp; Whitney’s motion for summary judgment of non-infringement and denied Rolls-Royce’s cross motion in which it alleged Pratt &amp; Whitney had infringed the patent. Further, as previously disclosed, in November 2010, Pratt &amp; Whitney filed complaints against Rolls-Royce in the High Court of Justice, Chancery Division, Patent Court (HCJ) in the United Kingdom (UK), with the U.S. International Trade Commission (ITC), and against Rolls-Royce and its parent, Rolls-Royce Group plc (Rolls-Royce Group) in the U.S. District Court for the District of Connecticut. The HCJ action alleged that certain turbomachinery blades, engines and components manufactured by Rolls-Royce infringe a UK patent held by Pratt &amp; Whitney and sought damages plus interest and all other relief to which Pratt &amp; Whitney is entitled, including attorney’s fees, expenses, and a permanent order preventing further infringements. The ITC complaint sought a permanent exclusion order barring the importation into the U.S. of infringing turbomachinery blades, engines and engine components manufactured by Rolls-Royce and Rolls-Royce Group, and requested a permanent cease-and-desist order against Rolls-Royce and Rolls-Royce Group preventing further importing, marketing, advertising, demonstrating, testing, distributing, licensing, offering for sale, or use of such infringing turbomachinery blades, engines and engine components. In the Connecticut District Court action, Pratt &amp; Whitney alleged similar infringement claims based on a U.S. patent held by Pratt &amp; Whitney and sought an injunction, damages, interest, attorney’s fees and other relief. On July 14, 2011, the parties entered into an amicable, confidential settlement agreement to dismiss all of the foregoing matters, resulting in no adverse impact to UTC.</w:t>
      </w:r>
    </w:p>
    <w:p>
      <w:pPr>
        <w:spacing w:after="0" w:line="12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 All forward-looking statements concerning the possible or anticipated outcome of environmental, investigatory and litigation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9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 On September 28, 2011, we announced a new organizational structure that will allow us to better serve customers through greater integration across product lines. This new structure will combine Carrier and UTC Fire &amp; Security into a new segment called UTC Climate, Controls &amp; Security Systems. Carrier and UTC Fire &amp; Security will continue to report financial and operational results separately through the remainder of 2011. In the first quarter of 2012, Carrier and UTC Fire &amp; Security will begin reporting as one segment. Also, as part of the new organizational structure, Pratt &amp; Whitney and Hamilton Sundstrand will be part of a new aerospace organization, named UTC Propulsion and Aerospace Systems, but will continue to report their financial and operational results as separate segments. We will continue to report all financial and operational results under the six principal segments noted above for the remainder of 2011, consistent with how business operations are currently reviewed for decision making purposes, resource allocation and performance assessment.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nine months ended September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Quarter Ended September 30,</w:t>
            </w:r>
          </w:p>
        </w:tc>
        <w:tc>
          <w:tcPr>
            <w:tcW w:w="8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1"/>
                <w:szCs w:val="11"/>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0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3,262</w:t>
            </w:r>
          </w:p>
        </w:tc>
        <w:tc>
          <w:tcPr>
            <w:tcW w:w="2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2,908</w:t>
            </w:r>
          </w:p>
        </w:tc>
        <w:tc>
          <w:tcPr>
            <w:tcW w:w="3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731</w:t>
            </w:r>
          </w:p>
        </w:tc>
        <w:tc>
          <w:tcPr>
            <w:tcW w:w="2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678</w:t>
            </w:r>
          </w:p>
        </w:tc>
        <w:tc>
          <w:tcPr>
            <w:tcW w:w="5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22.4%</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2,936</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380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547</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1,547</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163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13,698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2,210</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14,804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13,620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2,202</w:t>
            </w: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1,928</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24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1"/>
                <w:szCs w:val="11"/>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0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9,226</w:t>
            </w:r>
          </w:p>
        </w:tc>
        <w:tc>
          <w:tcPr>
            <w:tcW w:w="2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8,472</w:t>
            </w:r>
          </w:p>
        </w:tc>
        <w:tc>
          <w:tcPr>
            <w:tcW w:w="3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$2,104</w:t>
            </w:r>
          </w:p>
        </w:tc>
        <w:tc>
          <w:tcPr>
            <w:tcW w:w="2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1,915</w:t>
            </w:r>
          </w:p>
        </w:tc>
        <w:tc>
          <w:tcPr>
            <w:tcW w:w="5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22.8%</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8,496</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852</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478</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9,350</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1,505</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680</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4,597</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477</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43,226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39,727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5,907</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43,224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39,462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6,201</w:t>
            </w: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5,333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the FASB issued ASU No. 2011-04, “Amendments to Achieve Common Fair Value Measurement and Disclosure Requirements in U.S. GAAP and IFRSs.” This ASU clarifies the concepts related to highest and best use and valuation premise, blockage factors and other premiums and discounts, the fair value measurement of financial instruments held in a portfolio and of those instruments classified as a component of shareowners’ equity. The guidance includes enhanced disclosure requirements about recurring Level 3 fair value measurements, the use of nonfinancial assets, and the level in the fair value hierarchy of assets and liabilities not recorded at fair value. The provisions of this ASU are effective prospectively for interim and annual periods beginning on or after December 15, 2011. Early application is prohibited. This ASU is not expected to have an impact on our financial statements or disclosures as there are presently no recurring Level 3 fair value measurements.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June 2011, the FASB issued ASU No. 2011-05, “Presentation of Comprehensive Income.” This ASU intends to enhance comparability and transparency of other comprehensive income components. The guidance provides an option to present total comprehensive income, the components of net income and the components of other comprehensive income in a single continuous statement or two separate but consecutive statements. This ASU eliminates the option to present other comprehensive income components as part of the statement of changes in shareowners’ equity. The provisions of this ASU will be applied retrospectively for interim and annual periods beginning after December 15, 2011. Early application is permitted. We will adopt the provisions of this ASU in the first quarter 2012.</w:t>
      </w:r>
    </w:p>
    <w:p>
      <w:pPr>
        <w:spacing w:after="0" w:line="14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September 2011, the FASB issued ASU No. 2011-09, “Disclosures about an Employer’s Participation in a Multiemployer Plan.” This ASU requires all nongovernmental entities that participate in multiemployer plans to provide additional qualitative and quantitative disclosures about financial obligations, risks and commitments, as well as the level of participation in multiemployer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plans. The amendments in this ASU require employers to disclose detailed information about significant multiemployer plans, including contributions made to the plans, financial health and funded status of the plans, and expiration of collective-bargaining agreements that require contributions to the plans. To the extent available, additional disclosures are also pertinent to the foreign multiemployer plans. The provisions of this ASU will be applied retrospectively for annual periods ending after December 15, 2011. Early application is permitted. We are currently evaluating the impact of this new ASU.</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2011 and 2010, PricewaterhouseCoopers LLP (PricewaterhouseCoopers) reported that it has applied limited procedures in accordance with professional standards for a review of such information. However, its report dated October 24, 2011,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September 30, 2011, and the related condensed consolidated statement of operations for the three-month and nine-month periods ended September 30, 2011 and 2010 and the condensed consolidated statement of cash flows for the nine-month periods ended September 30, 2011 and 2010.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2010, and the related consolidated statements of operations, of cash flows and of changes in equity for the year then ended (not presented herein), and in our report dated February 10, 2011 (which included an explanatory paragraph with respect to the Corporation’s change in the manner of accounting for business combinations and noncontrolling interests)</w:t>
      </w:r>
      <w:r>
        <w:rPr>
          <w:rFonts w:ascii="Arial" w:cs="Arial" w:eastAsia="Arial" w:hAnsi="Arial"/>
          <w:sz w:val="16"/>
          <w:szCs w:val="16"/>
          <w:i w:val="1"/>
          <w:iCs w:val="1"/>
          <w:color w:val="auto"/>
        </w:rPr>
        <w:t>,</w:t>
      </w:r>
      <w:r>
        <w:rPr>
          <w:rFonts w:ascii="Arial" w:cs="Arial" w:eastAsia="Arial" w:hAnsi="Arial"/>
          <w:sz w:val="16"/>
          <w:szCs w:val="16"/>
          <w:color w:val="auto"/>
        </w:rPr>
        <w:t xml:space="preserve">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are classified into six principal business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On September 28, 2011, we announced a new organizational structure that will allow us to better serve customers through greater integration across product lines. This new structure will combine Carrier and UTC Fire &amp; Security into a new segment called UTC Climate, Controls &amp; Security Systems. Carrier and UTC Fire &amp; Security will continue to report financial and operational results separately through the remainder of 2011. In the first quarter of 2012, Carrier and UTC Fire &amp; Security will begin reporting as one segment. Also, as part of the new organizational structure, Pratt &amp; Whitney and Hamilton Sundstrand will be part of a new aerospace organization, named UTC Propulsion and Aerospace Systems, but will continue to report their financial and operational results as separate segments. We will continue to report all financial and operational results under the six principal segments noted above for the remainder of 2011, consistent with how business operations are currently reviewed for decision making purposes, resource allocation and performance assessment. Certain reclassifications have been made to the prior year amounts to conform to the current year presentation. We previously reported “Other income, net,” which included “Interest income,” as a component of “Revenues.” “Other income, net,” excluding “Interest income,” is now reflected separately, while “Interest income” is now netted with “Interest expense” for financial statement presentation. The current status of significant factors impacting our business environment in 2011 is discussed below. For additional discussion, refer to the “Business Overview” section in Management’s Discussion and Analysis of Financial Condition and Results of Operations in our 2010 Annual Report, which is incorporated by reference in our 2010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With worldwide operations, our businesses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Carrier and in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Although the global economy improved as compared with 2010, signs of recovery experienced earlier in 2011 have lost momentum, reflecting concerns about the deepening sovereign debt crisis in Europe and the political climate in Washington, D.C. As a result of persistent high unemployment in the United States (U.S.) and Europe, a weak U.S. housing sector, deficit reduction plans in the U.S., and the European sovereign debt and banking crisis, growth outlook for the developed economies was lowered. Although economies in China, India and Brazil are showing signs of slowing down, they are still delivering growth rates well above those of the developed economies and order rates for our businesses in emerging markets remain very strong. With a slower growth outlook, we are taking preemptive steps to position the business to grow earnings next year by further reducing operating costs even as we continue to invest in product launches and growth markets. As a result, we are increasing our 2011 full year restructuring cost estimate from $200 million to more than $300 million.</w:t>
      </w:r>
    </w:p>
    <w:p>
      <w:pPr>
        <w:spacing w:after="0" w:line="11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Notwithstanding these slowing economic conditions, we continue to see sales and order rate growth consistent with our full year expectations for most of our businesses. Consolidated net sales increased 9% in the third quarter of 2011, as compared to the same period of 2010. This reflects organic sales growth</w:t>
      </w:r>
    </w:p>
    <w:p>
      <w:pPr>
        <w:ind w:right="80"/>
        <w:spacing w:after="0" w:line="252" w:lineRule="auto"/>
        <w:rPr>
          <w:sz w:val="20"/>
          <w:szCs w:val="20"/>
          <w:color w:val="auto"/>
        </w:rPr>
      </w:pPr>
      <w:r>
        <w:rPr>
          <w:rFonts w:ascii="Arial" w:cs="Arial" w:eastAsia="Arial" w:hAnsi="Arial"/>
          <w:sz w:val="18"/>
          <w:szCs w:val="18"/>
          <w:color w:val="auto"/>
        </w:rPr>
        <w:t>(6%) and the benefit from foreign currency translation (4%), partially offset by the impact from net dispositions (1%), as further discussed below within “Results of Continuing Operations.” Consolidated operating profit increased 14% in the third quarter of 2011, as compared with the same period of 2010. This year-over-year improvement reflects an increase in operational profit (2%), driven by higher volumes. Within this 2% operational profit growth, higher research and development, net commodity, and warranty related costs (combined 6%) partially offset the benefit from higher volumes. The benefit from favorable foreign exchange (3%) and non-recurring items (13%) was partially offset by higher year-over-year restructuring costs (1%) and the net year-over-year impact from business divestiture activity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other global and political factors. Carrier’s financial performance can also be influenced by production and utilization of transport equipment, and, in the case of its residential business, weather conditions. To ensure adequate supply of Carrier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Within the Otis segment, sales increased 12% in the third quarter of 2011, compared with the same period of 2010, including the favorable impact of foreign currency translation (7%). Organic sales growth of 4% reflects an increase in new equipment sales and continued growth in contractual maintenance and repair volume. New equipment orders in the third quarter of 2011 increased 19% (including 7% attributable to foreign exchange) compared with the same period of 2010, driven principally by order growth in China, Russia, India, Brazil and Saudi Arabia. Pricing remained under pressure in most markets.</w:t>
      </w:r>
    </w:p>
    <w:p>
      <w:pPr>
        <w:spacing w:after="0" w:line="113"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Organic sales growth of 9% in the third quarter of 2011 at Carrier was driven largely by continued strength in their transport refrigeration business and growth in emerging markets. As expected, the organic growth rate in the transport refrigeration business has moderated in the third quarter of 2011, compared with the first half of 2011 which benefited from higher container replacement demand. Further, new equipment orders for commercial HVAC grew 11% (including favorable foreign exchange of 4%), in the third quarter of 2011, compared with the same period of 2010, driven by emerging markets and a push for more energy efficient products, and U.S. residential HVAC orders grew 6%, however customers are opting for lower featured, lower efficiency products.</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UTC Fire &amp; Security experienced 2% organic sales growth in the third quarter of 2011, led by growth within the products businesses, while the service and install businesses declined due to continuing softness in the U.K. and Americas businesses. Third quarter organic order rates at UTC Fire &amp; Security were flat year-over-year, although backlog continues to be strong and is up approximately 15% organically both year-over-year and from the beginning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commercial airline industry rebounded in 2010 and remained generally strong through the first nine months of 2011. Airline capacity discipline and steady airline traffic levels are expected to result in another profitable year for most airlines. Additionally, large airframe manufacturers have announced increases in their build rates driven by emerging market demand and replacement of older, less fuel efficient fleets. Commercial aerospace spares orders at Pratt &amp; Whitney’s large commercial engine business increased 3%, building on a 35% increase in the third quarter of 2010 due to a rebound from the weak economic conditions experienced in 2009. Hamilton Sundstrand commercial aerospace spares orders grew 24% in the third quarter of 2011, as compared with the same period of 2010, driven by orders received in support of the Boeing 787 entry into service. These increases in order rates have led to an increase in commercial aerospace aftermarket volume at both Pratt &amp; Whitney and Hamilton Sundstrand. Accordingly, consolidated commercial aerospace aftermarket sales, including Sikorsky, increased 11% in the third quarter of 2011, as compared with the same period of 2010.</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Total sales at Sikorsky increased 21% in the third quarter of 2011, as compared to the same period of 2010, driven by higher international military aircraft shipments and aftermarket support activity. Sikorsky continued to benefit from U.S. government spending, although deficit reduction measures by the U.S. government are expected to pressure the U.S. Department of Defense budget in coming years, resulting in a decline in U.S. Department of Defense spending. Notwithstanding these expected pressures, Sikorsky’s military backlog remains very strong. Sikorsky also continues to pursue significant international aircraft campaigns.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first nine months of 2011, our investment in business acquisitions was $229 million, and consisted primarily of a number of smaller acquisitions in both our commercial and aerospace businesses. We recorded the excess of the purchase price over the estimated fair value of the assets acquired as an increase in goodwill. As a result of acquisition activity in the first nine months of 2011, goodwill increased $363 million, primarily related to the finalization of purchase accounting associated with the December 2010 acquisition of Clipper Windpower Plc (Clipper).</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21, 2011, we announced that we entered into an agreement to acquire Goodrich Corporation (Goodrich), a global supplier of systems and services to the aerospace and defense industry with 2010 sales of $7 billion. Under the terms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agreement, Goodrich shareholders will receive $127.50 in cash for each share of Goodrich common stock they own at the time of the closing of the transaction. This equates to a total current enterprise value of $18.4 billion, including $1.9 billion in net debt to be assumed. Of the total $16.5 billion required, we expect to finance the transaction through a combination of debt and equity issuances, with the equity component expected to approximate 25% of the total financing (other than the amount of net debt assumed). The transaction is subject to customary closing conditions, including regulatory and Goodrich shareholder approval. We expect that this acquisition will close in mid-2012. Goodrich products include aircraft nacelles and interior systems, actuation and landing systems, and electronic systems. Once the acquisition is complete, Goodrich and Hamilton Sundstrand will be combined to form a new segment named UTC Aerospace Systems. It is expected that the increased scale, financial strength and complementary products of the new combined business will strengthen our position in the aerospace and defense industry. Further, this acquisition will enhance our ability to support our customers with more integrated systems.</w:t>
      </w:r>
    </w:p>
    <w:p>
      <w:pPr>
        <w:spacing w:after="0" w:line="118"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On October 12, 2011, Pratt &amp; Whitney and Rolls-Royce announced a restructure of their participation in IAE International Aero Engines AG (IAE), which produces the V2500 engine for the A320 family of aircraft. Under the terms of the agreement, Rolls-Royce will sell its equity and program shares in IAE and license its V2500 intellectual property in IAE to Pratt &amp; Whitney for $1.5 billion and an agreed payment for each hour flown by the current installed fleet of V2500-powered aircraft during the fifteen year period following completion of the transaction. These licensing rights will be perpetual, worldwide, and permit Pratt &amp; Whitney to sublicense, as necessary. The acquisition of the additional shares in IAE will give Pratt &amp; Whitney a controlling interest with 66% ownership. Pratt &amp; Whitney intends to offer a portion of its interests to the remaining IAE partners MTU Aero Engines AG (MTU) and Japanese Aero Engines Corporation (JAEC). Upon closing, we anticipate Pratt &amp; Whitney will begin consolidating IAE. The acquisition of the collaboration rights and intellectual property licenses will be reflected as intangible assets and amortized in relation to the economic benefits received over the projected remaining life of the V2500 program.</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Pratt &amp; Whitney and Rolls-Royce also announced an agreement to form a new venture to develop engines to power future new mid-size aircraft (120 – 230 passenger aircraft). The two companies will establish a joint venture company, in which each will hold an equal share, to develop new engines for the next generation of mid-size aircraft. This new joint venture will focus on high-bypass ratio geared turbofan technology. In addition, the venture will collaborate on future studies for next generation propulsion systems. These announced transactions with Rolls-Royce are subject to various closing conditions, including regulatory approvals and are expected to close in mid-2012.</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now expect to invest less than $500 million in acquisitions in 2011, including those investments completed during the first nine months of 2011, although this will depend upon the timing, availability and the appropriate value of potential acquisition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2011.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2010 Annual Report, incorporated by reference in our 2010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nine months of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660" w:type="dxa"/>
            <w:vAlign w:val="bottom"/>
            <w:vMerge w:val="restart"/>
          </w:tcPr>
          <w:p>
            <w:pPr>
              <w:spacing w:after="0"/>
              <w:rPr>
                <w:sz w:val="14"/>
                <w:szCs w:val="14"/>
                <w:color w:val="auto"/>
              </w:rPr>
            </w:pPr>
          </w:p>
        </w:tc>
        <w:tc>
          <w:tcPr>
            <w:tcW w:w="1460" w:type="dxa"/>
            <w:vAlign w:val="bottom"/>
          </w:tcPr>
          <w:p>
            <w:pPr>
              <w:spacing w:after="0"/>
              <w:rPr>
                <w:sz w:val="14"/>
                <w:szCs w:val="14"/>
                <w:color w:val="auto"/>
              </w:rPr>
            </w:pPr>
          </w:p>
        </w:tc>
        <w:tc>
          <w:tcPr>
            <w:tcW w:w="26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5"/>
              </w:rPr>
              <w:t>Quarter Ended September 30,</w:t>
            </w:r>
          </w:p>
        </w:tc>
        <w:tc>
          <w:tcPr>
            <w:tcW w:w="12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720" w:type="dxa"/>
            <w:vAlign w:val="bottom"/>
            <w:tcBorders>
              <w:top w:val="single" w:sz="8" w:color="auto"/>
            </w:tcBorders>
          </w:tcPr>
          <w:p>
            <w:pPr>
              <w:jc w:val="right"/>
              <w:ind w:right="146"/>
              <w:spacing w:after="0" w:line="129"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14,804</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13,620</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43,224</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39,462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9% increase in net sales for the third quarter of 2011, as compared with the same period of 2010, reflects organic sales growth (6%) and the beneficial impact of foreign currency translation (4%), partially offset by the impact of net dispositions (1%). During the third quarter of 2011, all six business segments experienced organic sales growth, led by Sikorsky (21%) and Carrier (9%). The organic growth at Sikorsky was driven by higher international military aircraft shipments and aftermarket support, while Carrier’s organic growth was driven primarily by continued strength in the transport refrigeration business and growth in emerging markets, although the growth rate in the transport refrigeration markets has moderated. Growth at Otis was driven by a net overall increase in new equipment sales, primarily in China and Russia, while service sales increased from continued growth in contractual maintenance and repair volume. Organic sales at UTC Fire &amp; Security reflected growth in the products business, partially offset by a decline in the service and install business as a result of continuing softness in the U.K. and Americas businesses. At Pratt &amp; Whitney, sales from higher aftermarket and increased large commercial engine deliveries were partially offset, as expected, by fewer military engine deliveries, and net unfavorable foreign currency at Pratt &amp; Whitney Canada (P&amp;WC). Hamilton Sundstrand’s sales growth continues to be led by the aerospace aftermarket and industrials businesses as commercial aerospace spares sales were up more than 30% as compared to the same period of 2010.</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10% increase in net sales for the first nine months of 2011, as compared with the same period of 2010, reflects organic sales growth (7%) and the beneficial impact of foreign currency translation (3%). Similar to the third quarter of 2011, all six business segments experienced organic sales growth for the first nine months of 2011, led by Sikorsky (13%) and Carrier (12%). The organic growth at Carrier was driven primarily by the transport refrigeration markets, while Sikorsky’s organic growth reflects higher sales driven by increased international development aircraft and higher aftermarket volumes. Higher commercial aerospace aftermarket sales volumes led the organic growth at both Pratt &amp; Whitney and Hamilton Sundstrand in the first nine months of 2011.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0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89"/>
              </w:rPr>
              <w:t>Quarter Ended September 30,</w:t>
            </w:r>
          </w:p>
        </w:tc>
        <w:tc>
          <w:tcPr>
            <w:tcW w:w="120" w:type="dxa"/>
            <w:vAlign w:val="bottom"/>
          </w:tcPr>
          <w:p>
            <w:pPr>
              <w:spacing w:after="0"/>
              <w:rPr>
                <w:sz w:val="14"/>
                <w:szCs w:val="14"/>
                <w:color w:val="auto"/>
              </w:rPr>
            </w:pPr>
          </w:p>
        </w:tc>
        <w:tc>
          <w:tcPr>
            <w:tcW w:w="2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7,935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7,124</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22,986</w:t>
            </w: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20,949</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28,414</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and nine months ended September 30, 2011 in total cost of products and services sold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2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0"/>
              </w:rPr>
              <w:t>Quarter Ended</w:t>
            </w:r>
          </w:p>
        </w:tc>
        <w:tc>
          <w:tcPr>
            <w:tcW w:w="560" w:type="dxa"/>
            <w:vAlign w:val="bottom"/>
          </w:tcPr>
          <w:p>
            <w:pPr>
              <w:spacing w:after="0"/>
              <w:rPr>
                <w:sz w:val="14"/>
                <w:szCs w:val="14"/>
                <w:color w:val="auto"/>
              </w:rPr>
            </w:pPr>
          </w:p>
        </w:tc>
        <w:tc>
          <w:tcPr>
            <w:tcW w:w="138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6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5"/>
              </w:rPr>
              <w:t>September</w:t>
            </w:r>
          </w:p>
        </w:tc>
        <w:tc>
          <w:tcPr>
            <w:tcW w:w="560" w:type="dxa"/>
            <w:vAlign w:val="bottom"/>
          </w:tcPr>
          <w:p>
            <w:pPr>
              <w:spacing w:after="0"/>
              <w:rPr>
                <w:sz w:val="12"/>
                <w:szCs w:val="12"/>
                <w:color w:val="auto"/>
              </w:rPr>
            </w:pPr>
          </w:p>
        </w:tc>
        <w:tc>
          <w:tcPr>
            <w:tcW w:w="13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60" w:type="dxa"/>
            <w:vAlign w:val="bottom"/>
            <w:gridSpan w:val="2"/>
          </w:tcPr>
          <w:p>
            <w:pPr>
              <w:jc w:val="center"/>
              <w:ind w:left="1282"/>
              <w:spacing w:after="0"/>
              <w:rPr>
                <w:sz w:val="20"/>
                <w:szCs w:val="20"/>
                <w:color w:val="auto"/>
              </w:rPr>
            </w:pPr>
            <w:r>
              <w:rPr>
                <w:rFonts w:ascii="Arial" w:cs="Arial" w:eastAsia="Arial" w:hAnsi="Arial"/>
                <w:sz w:val="14"/>
                <w:szCs w:val="14"/>
                <w:b w:val="1"/>
                <w:bCs w:val="1"/>
                <w:color w:val="auto"/>
                <w:w w:val="84"/>
              </w:rPr>
              <w:t>30, 2011</w:t>
            </w:r>
          </w:p>
        </w:tc>
        <w:tc>
          <w:tcPr>
            <w:tcW w:w="760" w:type="dxa"/>
            <w:vAlign w:val="bottom"/>
          </w:tcPr>
          <w:p>
            <w:pPr>
              <w:spacing w:after="0"/>
              <w:rPr>
                <w:sz w:val="14"/>
                <w:szCs w:val="14"/>
                <w:color w:val="auto"/>
              </w:rPr>
            </w:pPr>
          </w:p>
        </w:tc>
        <w:tc>
          <w:tcPr>
            <w:tcW w:w="194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volume</w:t>
            </w:r>
          </w:p>
        </w:tc>
        <w:tc>
          <w:tcPr>
            <w:tcW w:w="1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tcBorders>
              <w:top w:val="single" w:sz="8" w:color="CCEEFF"/>
            </w:tcBorders>
            <w:shd w:val="clear" w:color="auto" w:fill="CCEEFF"/>
          </w:tcPr>
          <w:p>
            <w:pPr>
              <w:jc w:val="right"/>
              <w:ind w:right="532"/>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020" w:type="dxa"/>
            <w:vAlign w:val="bottom"/>
            <w:gridSpan w:val="3"/>
          </w:tcPr>
          <w:p>
            <w:pPr>
              <w:jc w:val="right"/>
              <w:ind w:right="532"/>
              <w:spacing w:after="0"/>
              <w:rPr>
                <w:sz w:val="20"/>
                <w:szCs w:val="20"/>
                <w:color w:val="auto"/>
              </w:rPr>
            </w:pPr>
            <w:r>
              <w:rPr>
                <w:rFonts w:ascii="Arial" w:cs="Arial" w:eastAsia="Arial" w:hAnsi="Arial"/>
                <w:sz w:val="18"/>
                <w:szCs w:val="18"/>
                <w:color w:val="auto"/>
              </w:rPr>
              <w:t>4 %</w:t>
            </w:r>
          </w:p>
        </w:tc>
        <w:tc>
          <w:tcPr>
            <w:tcW w:w="1940" w:type="dxa"/>
            <w:vAlign w:val="bottom"/>
            <w:gridSpan w:val="3"/>
          </w:tcPr>
          <w:p>
            <w:pPr>
              <w:jc w:val="right"/>
              <w:ind w:right="32"/>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30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11 %</w:t>
            </w:r>
          </w:p>
        </w:tc>
        <w:tc>
          <w:tcPr>
            <w:tcW w:w="19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third quarter of 2011, total cost of products and services sold grew 8% organically reflecting the impact from organic sales growth (6%), higher gross commodity costs (1%), the impact from increased sales of lower margin product, and higher warranty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and related operational costs. The year-over-year increase in cost of products sold, as a percentage of product sales, reflects the impact from increased sales of lower margin product, higher commodity costs, and warranty and related operational costs.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first nine months of 2011 total cost of products and services sold grew 8% organically reflecting the impact from organic sales growth (7%) and higher gross commodity costs (1%). The year-over-year increase in cost of services sold, as a percentage of service sales, was primarily attributable to the timing of long-term aerospace service contracts.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28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26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4"/>
              </w:rPr>
              <w:t>Quarter Ended September 30,</w:t>
            </w:r>
          </w:p>
        </w:tc>
        <w:tc>
          <w:tcPr>
            <w:tcW w:w="120" w:type="dxa"/>
            <w:vAlign w:val="bottom"/>
          </w:tcPr>
          <w:p>
            <w:pPr>
              <w:spacing w:after="0"/>
              <w:rPr>
                <w:sz w:val="14"/>
                <w:szCs w:val="1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4,048</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3,953</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11,922</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11,048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220" w:type="dxa"/>
            <w:vAlign w:val="bottom"/>
            <w:gridSpan w:val="3"/>
          </w:tcPr>
          <w:p>
            <w:pPr>
              <w:jc w:val="right"/>
              <w:ind w:right="500"/>
              <w:spacing w:after="0"/>
              <w:rPr>
                <w:sz w:val="20"/>
                <w:szCs w:val="20"/>
                <w:color w:val="auto"/>
              </w:rPr>
            </w:pPr>
            <w:r>
              <w:rPr>
                <w:rFonts w:ascii="Arial" w:cs="Arial" w:eastAsia="Arial" w:hAnsi="Arial"/>
                <w:sz w:val="18"/>
                <w:szCs w:val="18"/>
                <w:color w:val="auto"/>
              </w:rPr>
              <w:t>27.3%</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170 basis point decrease in gross margin as a percentage of sales for the third quarter of 2011, as compared to the same period of 2010, reflects the adverse impact of increased sales of lower margin products. The decrease also reflects the adverse impact of higher net commodity costs (approximately 30 basis points) and increased warranty related charges (approximately 15 basis points) at Hamilton Sundstrand. These adverse impacts were partially offset by the continued focus on cost reduction and savings from previously initiated restructuring actions.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40 basis point decrease in gross margin as a percentage of sales for the first nine months of 2011, as compared to the same period of 2010, reflects the adverse impact of higher net commodity costs (approximately 30 basis points) and the adverse impact of increased sales of lower margin products. This decrease was partially offset by the absence of approximately $86 million of asset impairment charges recorded in the second quarter of 2010 at Carrier and Hamilton Sundstrand.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02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2"/>
              </w:rPr>
              <w:t>Quarter Ended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Company-funded</w:t>
            </w:r>
          </w:p>
        </w:tc>
        <w:tc>
          <w:tcPr>
            <w:tcW w:w="1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495</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433</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1,506</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in both the quarter ended and the first nine months of 2011, as compared to the same periods of 2010, primarily reflects an increase at Pratt &amp; Whitney to further advance the development of multiple geared turbo fan platforms, partially offset by a net decline at Hamilton Sundstrand led by lower expenditures on the Boeing 787 program. The amount of company-funded research and development for the full year 2011 is expected to increase at least $275 million, as compared with 2010, as we ramp up multiple next generation aerospace platforms.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increase in customer-funded research and development in the third quarter of 2011 reflects increases at both Pratt &amp; Whitney and Hamilton Sundstrand primarily as a result of an increase in commercial aerospace programs. The decrease in the first nine months of 2011, compared to the same periods of 2010, was primarily driven by a decrease at Pratt &amp; Whitney related to a reduction in development spending on the Joint Strike Fighter engine program.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980" w:type="dxa"/>
            <w:vAlign w:val="bottom"/>
            <w:vMerge w:val="restart"/>
          </w:tcPr>
          <w:p>
            <w:pPr>
              <w:spacing w:after="0"/>
              <w:rPr>
                <w:sz w:val="14"/>
                <w:szCs w:val="14"/>
                <w:color w:val="auto"/>
              </w:rPr>
            </w:pPr>
          </w:p>
        </w:tc>
        <w:tc>
          <w:tcPr>
            <w:tcW w:w="27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Quarter Ended September 30,</w:t>
            </w:r>
          </w:p>
        </w:tc>
        <w:tc>
          <w:tcPr>
            <w:tcW w:w="14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1,578</w:t>
            </w:r>
          </w:p>
        </w:tc>
        <w:tc>
          <w:tcPr>
            <w:tcW w:w="7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1,478</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4,765</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4,393</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increase in selling, general and administrative expenses in the third quarter of 2011, as compared to the same period of 2010, was due primarily to the impact of adverse foreign exchange translation, higher pension related costs, and acquisitions completed over the preceding twelve months, including the acquisition of Clipper in December 2010. As a percentage of sales, the 20 basis point year-over-year decrease primarily reflects the beneficial impact from increased sales, Carrier’s ongoing portfolio transformation and other cost reduction activities.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increase in selling, general and administrative expenses in the first nine months of 2011, as compared to the same period of 2010, was due primarily to the impact of acquisitions completed over the preceding twelve months, including the acquisition of the GE Security business in March 2010 and the acquisition of Clipper in December 2010, adverse foreign exchange translation, and higher pension related costs, partially offset by lower year-over-year restructuring costs. As a percentage of sales, the 10 basis point year-over-year decrease primarily reflects the beneficial impact from increased sales, Carrier’s ongoing portfolio transformation and the impact of lower year-over-year restructuring costs, partially offset by the impact from recent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8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September 30,</w:t>
            </w:r>
          </w:p>
        </w:tc>
        <w:tc>
          <w:tcPr>
            <w:tcW w:w="160" w:type="dxa"/>
            <w:vAlign w:val="bottom"/>
          </w:tcPr>
          <w:p>
            <w:pPr>
              <w:spacing w:after="0"/>
              <w:rPr>
                <w:sz w:val="14"/>
                <w:szCs w:val="14"/>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8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6"/>
              <w:spacing w:after="0" w:line="129" w:lineRule="exact"/>
              <w:rPr>
                <w:sz w:val="20"/>
                <w:szCs w:val="20"/>
                <w:color w:val="auto"/>
              </w:rPr>
            </w:pPr>
            <w:r>
              <w:rPr>
                <w:rFonts w:ascii="Arial" w:cs="Arial" w:eastAsia="Arial" w:hAnsi="Arial"/>
                <w:sz w:val="14"/>
                <w:szCs w:val="14"/>
                <w:b w:val="1"/>
                <w:bCs w:val="1"/>
                <w:color w:val="auto"/>
                <w:w w:val="96"/>
              </w:rPr>
              <w:t>2011</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Other income (expense), net includes the operational impact of equity earnings in unconsolidated entities, royalty income, foreign exchange gains and losses as well as other ongoing and non-recurring items. The year-over-year change in other income (expense), net in the third quarter of 2011, as compared with the same period of 2010, largely reflects the absence of an approximately $159 million other-than-temporary impairment charge on our investment in Clipper and an approximately $60 million increase in joint venture income, led by Carrier, including the absence of an approximately $30 million valuation charge at Carrier reflected within equity income related to an unconsolidated foreign venture recorded in the third quarter of 2010. Also contributing to the year-over-year change is an approximately $41 million gain recognized at Pratt &amp; Whitney from the sale of an investment, gains from the sale of real estate at Otis, the impact from the favorable resolution of litigation matters, and the absence of charges related to the early redemption of long-term debt in the third quarter of 2010. These increases were partially offset by approximately $35 million of acquisition costs and associated financing commitment fees recorded in the third quarter of 2011 related to the pending acquisition of Goodrich and an approximately $20 million other-than-temporary impairment charge on an equity investment at UTC Fire &amp; Security.</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Similarly, the year-over-year change in other income (expense), net in the first nine months of 2011, as compared with the same period of 2010, reflects the impact of the items noted above in the third quarter as well as transactions from prior quarters, including a gain of approximately $73 million recognized in the second quarter of 2011 at Sikorsky from the contribution of a business into a new venture in the United Arab Emirates, and gains in the first quarter of 2011 at Pratt &amp; Whitney and UTC Fire &amp; Security (combined $30 million). The gain at Pratt &amp; Whitney resulted from the sale of an equity interest in a venture and the gain at UTC Fire &amp; Security related to the disposition of the U.K. Guarding business. The year-over-year change also includes an approximately $125 million increase in joint venture income, led by Carrier, including the absence of an approximately $30 million valuation charge at Carrier recorded in the third quarter of 2010 as noted above, approximately $25 million from the favorable resolution of litigation at UTC Fire &amp; Security, and the absence of charges related to the early redemption of long-term debt in the third quarter of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5"/>
              </w:rPr>
              <w:t>Quarter Ended September 30,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9"/>
        </w:trPr>
        <w:tc>
          <w:tcPr>
            <w:tcW w:w="328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Interest expense</w:t>
            </w:r>
          </w:p>
        </w:tc>
        <w:tc>
          <w:tcPr>
            <w:tcW w:w="20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w:t>
            </w: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182</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w:t>
            </w: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w:t>
            </w: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3"/>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decrease in interest expense, net in both the third quarter and first nine months of 2011, as compared with the same periods of 2010, was led by the impact from lower average long-term debt balances and lower average interest expense rates year-over-year. Interest expense also reflects the low cost associated with our commercial paper borrowings. The decline in interest income in the first nine months of 2011, as compared with the same periods of 2010, reflects the absence of a favorable pre-tax interest adjustment of approximately $24 million associated with the resolution of an uncertain tax item in the second quarter of 2010, partially offset by higher interest income on short-term investments.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80" w:type="dxa"/>
            <w:vAlign w:val="bottom"/>
            <w:gridSpan w:val="4"/>
          </w:tcPr>
          <w:p>
            <w:pPr>
              <w:ind w:left="300"/>
              <w:spacing w:after="0"/>
              <w:rPr>
                <w:sz w:val="20"/>
                <w:szCs w:val="20"/>
                <w:color w:val="auto"/>
              </w:rPr>
            </w:pPr>
            <w:r>
              <w:rPr>
                <w:rFonts w:ascii="Arial" w:cs="Arial" w:eastAsia="Arial" w:hAnsi="Arial"/>
                <w:sz w:val="14"/>
                <w:szCs w:val="14"/>
                <w:b w:val="1"/>
                <w:bCs w:val="1"/>
                <w:color w:val="auto"/>
              </w:rPr>
              <w:t>Quarter Ended September 30,</w:t>
            </w:r>
          </w:p>
        </w:tc>
        <w:tc>
          <w:tcPr>
            <w:tcW w:w="2600" w:type="dxa"/>
            <w:vAlign w:val="bottom"/>
            <w:gridSpan w:val="3"/>
          </w:tcPr>
          <w:p>
            <w:pPr>
              <w:ind w:left="3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3"/>
        </w:trPr>
        <w:tc>
          <w:tcPr>
            <w:tcW w:w="49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2010</w:t>
            </w: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26.5%</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31.5%</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28.7%</w:t>
            </w: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increase in the effective tax rate for the quarter ended September 30, 2011, as compared to the same period of 2010, primarily reflects the impact of 2010 U.S. tax legislation changes. This increase is partially offset by the favorable tax impact of $17 million related to a U.K. tax rate reduction enacted in July 2011. The effective tax rate for quarter ended September 30, 2010 reflects a $102 million tax benefit associated with the repatriation of high-taxed dividends. This benefit was partially offset by the non-deductibility of impairment charges, primarily driven by a $159 million other-than-temporary impairment charge on our Clipper investment.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effective tax rate for the nine months ended September 30, 2011 increased as compared to the same period of 2010, primarily as a result of the third quarter tax changes noted above. The effective tax rate for the nine months ended September 30, 2010 reflects the adverse impact from the health care legislation related to the Medicare Part D program in the first quarter of 2010, the tax effects of asset impairment charges in the second quarter of 2010 and the impact from items disclosed above that were recorded in the quarter ended September 30, 2010.</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our effective income tax rate for the quarter ended December 31, 2011 to be approximately 28%, before the refund claims referenced in Note 5 to the Condensed Consolidated Financial Statements or any other non-recurring pre-tax items. As a result, we expect our full year annual effective income tax rate in 2011 to be approximately 30.5%.</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 and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9"/>
              </w:rPr>
              <w:t>Quarter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9"/>
        </w:trPr>
        <w:tc>
          <w:tcPr>
            <w:tcW w:w="476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1,421</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1,299</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3,952</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6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3"/>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6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Diluted earnings per share for the third quarter of 2011 includes $.06 per share of restructuring charges, partially offset by $.04 per share benefit from net non-recurring items. The results for the third quarter of 2010 included a net charge for restructuring and non-recurring items of $.09 per share. For the first nine months of 2011, diluted earnings per share includes a charge for restructuring and net non-recurring items of $.05 per share compared with a $.26 per share net charge for the same period of 2010.</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impact of foreign currency generated a benefit of $.04 and $.11 per diluted share on our operational performance in the third quarter and first nine months of 2011, respectively. This year-over-year impact also includes the net adverse foreign currency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translation impact at P&amp;WC. At P&amp;WC, the weakness of the U.S. dollar in the third quarter of 2011 generated an adverse foreign currency translation impact as the 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2011 full year operating results are expected to include a net adverse impact of foreign currency translation and hedging of approximately $75 million, of which approximately $35 million has impacted our operating results in the first nine months of 2011. For additional discussion of hedging, refer to Note 8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the first nine months of 2011, we recorded net pre-tax restructuring costs totaling $188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net costs included $121 million recorded in cost of sales, $65 million in selling, general and administrative expenses and $2 million in other income, net. As described below, these costs primarily relate to actions initiated during 2011 and 2010.</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nine months of 2011,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costs totaling $150 million as follows: Otis $48 million, Carrier $20 million, UTC Fire &amp; Security $21 million, Pratt &amp; Whitney $36 million, Hamilton Sundstrand $8 million, Sikorsky $16 million, and Eliminations and other $1 million. The charges included $88 million in cost of sales, $60 million in selling, general and administrative expenses and $2 million in other income, net. These costs include $136 million for severance and related employee termination costs, $3 million for asset write-downs and $11 million for facility exit, lease termination costs and other related costs.</w:t>
      </w:r>
    </w:p>
    <w:p>
      <w:pPr>
        <w:spacing w:after="0" w:line="14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expect the 2011 actions that were initiated in the first nine months to result in net workforce reductions of approximately 2,800 hourly and salaried employees, the exiting of approximately 540,000 net square feet and the disposal of assets associated with exited facilities. As of September 30, 2011, we have completed net workforce reductions of approximately 1,300 employees and 10,000 net square feet have been exited. We are targeting the majority of the remaining workforce and all facility related cost reduction actions for completion during 2011 and 2012. Approximately 85% of the total pre-tax charge will require cash payments, which we will fund with cash generated from operations. During the first nine months of 2011, we had cash outflows of approximately $44 million related to the 2011 actions. We expect to incur additional restructuring costs of $88 million to complete these actions. We expect recurring pre-tax savings to increase over the two-year period subsequent to initiating these actions to approximately $175 million annually.</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nine months of 2011, we recorded net pre-tax restructuring costs totaling $40 million for restructuring actions initiated in 2010.</w:t>
      </w:r>
      <w:r>
        <w:rPr>
          <w:rFonts w:ascii="Arial" w:cs="Arial" w:eastAsia="Arial" w:hAnsi="Arial"/>
          <w:sz w:val="18"/>
          <w:szCs w:val="18"/>
          <w:b w:val="1"/>
          <w:bCs w:val="1"/>
          <w:color w:val="auto"/>
        </w:rPr>
        <w:t xml:space="preserve"> </w:t>
      </w:r>
      <w:r>
        <w:rPr>
          <w:rFonts w:ascii="Arial" w:cs="Arial" w:eastAsia="Arial" w:hAnsi="Arial"/>
          <w:sz w:val="18"/>
          <w:szCs w:val="18"/>
          <w:color w:val="auto"/>
        </w:rPr>
        <w:t>The 2010 actions relate to ongoing cost reduction efforts, including workforce reductions and the consolidation of field operations. We recorded the charges for the first nine months of 2011 as follows: Otis $1 million, Carrier $18 million, UTC Fire &amp; Security $13 million, Pratt &amp; Whitney $6 million, and Hamilton Sundstrand $2 million. The charges included $27 million in cost of sales and $13 million in selling, general and administrative expenses. Those costs included $9 million for severance and related employee termination costs, $6 million for asset write-downs and $25 million for facility exit, lease termination costs and other related costs.</w:t>
      </w:r>
    </w:p>
    <w:p>
      <w:pPr>
        <w:spacing w:after="0" w:line="14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expect the 2010 actions to result in net workforce reductions of approximately 5,000 hourly and salaried employees, the exiting of approximately 3.9 million net square feet of facilities and the disposal of assets associated with the exited facilities. As of September 30, 2011, we completed net workforce reductions of approximately 4,000 employees and exited approximately 800,000 net square feet of facilities. We are targeting the majority of the remaining workforce and facility related cost reduction actions for completion during 2011 and 2012. Approximately 80% of the total pre-tax charge will require cash payments, which we will fund with cash generated from operations. During the first nine months of 2011, we had cash outflows of approximately $175 million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related to the 2010 actions. We expect to incur additional restructuring costs of $46 million to complete these actions. We expect recurring pre-tax savings to increase over the two-year period subsequent to initiating these actions to approximately $350 million annually.</w:t>
      </w:r>
    </w:p>
    <w:p>
      <w:pPr>
        <w:spacing w:after="0" w:line="12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Additional 2011 Actions. </w:t>
      </w:r>
      <w:r>
        <w:rPr>
          <w:rFonts w:ascii="Arial" w:cs="Arial" w:eastAsia="Arial" w:hAnsi="Arial"/>
          <w:sz w:val="16"/>
          <w:szCs w:val="16"/>
          <w:color w:val="auto"/>
        </w:rPr>
        <w:t>We expect to initiate additional restructuring actions during the remainder of 2011. Including trailing costs related to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actions, we now expect full year 2011 restructuring costs to exceed $300 million, including the $188 million of charges incurred during the first nine months of 2011. The expected adverse impact on full year earnings in 2011 from anticipated restructuring costs is expected to be offset by the beneficial impact from net non-recurring items. Except for those actions described above, no specific plans for significant other actions have been finalized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Segments are generally based on the management structure of the businesses and the grouping of similar operating companies, where each management organization has general operating autonomy over diversified products and services. On September 28, 2011, we announced a new organizational structure that will allow us to better serve customers through greater integration across product lines. This new structure will combine Carrier and UTC Fire &amp; Security into a new segment called UTC Climate, Controls &amp; Security Systems. Carrier and UTC Fire &amp; Security will continue to report financial and operational results separately through the remainder of 2011. In the first quarter of 2012, Carrier and UTC Fire &amp; Security will begin reporting as one segment. Also, as part of the new organizational structure, Pratt &amp; Whitney and Hamilton Sundstrand will be part of a new aerospace organization, named UTC Propulsion and Aerospace Systems, but will continue to report their financial and operational results as separate segments. We will continue to report all financial and operational results under the six principal segments noted above for the remainder of 2011, consistent with how business operations are currently reviewed for decision making purposes, resource allocation and performance assessment. Adjustments to reconcile segment reporting to the consolidated results for the quarters and nine months ended September 30, 2011 and 2010 are included in “Eliminations and other” below, which also includes certain smaller subsidiaries.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September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3,262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2,908</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731</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678</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22.4%</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380</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547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2,210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14,804</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2,202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1,928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quarter 2011 and 2010 restructuring costs included in consolidated operating profit totaled $85 million and $58 million, respectively,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17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Quarter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60" w:type="dxa"/>
            <w:vAlign w:val="bottom"/>
            <w:vMerge w:val="restart"/>
          </w:tcPr>
          <w:p>
            <w:pPr>
              <w:jc w:val="right"/>
              <w:ind w:right="1672"/>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nine months ended September 30,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29"/>
        </w:trPr>
        <w:tc>
          <w:tcPr>
            <w:tcW w:w="498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9,226</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8,472</w:t>
            </w: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$2,104</w:t>
            </w:r>
          </w:p>
        </w:tc>
        <w:tc>
          <w:tcPr>
            <w:tcW w:w="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$1,915</w:t>
            </w:r>
          </w:p>
        </w:tc>
        <w:tc>
          <w:tcPr>
            <w:tcW w:w="36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22.8%</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8,496</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1,190</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852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9,350</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1,460</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1,505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4,597</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633</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477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43,226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39,727</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6,742</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5,907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(246)</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43,224</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39,462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6,201</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For the first nine months of 2011 and 2010, restructuring costs included in consolidated operating profit totaled $188 million and $210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7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2011</w:t>
            </w:r>
          </w:p>
        </w:tc>
        <w:tc>
          <w:tcPr>
            <w:tcW w:w="1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9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71"/>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580" w:type="dxa"/>
            <w:vAlign w:val="bottom"/>
            <w:gridSpan w:val="2"/>
          </w:tcPr>
          <w:p>
            <w:pPr>
              <w:jc w:val="right"/>
              <w:ind w:right="44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net sales and operating profits: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Factors Contributing to Total % Change Year-Over-Year in:</w:t>
            </w:r>
          </w:p>
        </w:tc>
        <w:tc>
          <w:tcPr>
            <w:tcW w:w="1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3460" w:type="dxa"/>
            <w:vAlign w:val="bottom"/>
            <w:gridSpan w:val="5"/>
          </w:tcPr>
          <w:p>
            <w:pPr>
              <w:jc w:val="right"/>
              <w:ind w:right="1052"/>
              <w:spacing w:after="0" w:line="142" w:lineRule="exact"/>
              <w:rPr>
                <w:sz w:val="20"/>
                <w:szCs w:val="20"/>
                <w:color w:val="auto"/>
              </w:rPr>
            </w:pPr>
            <w:r>
              <w:rPr>
                <w:rFonts w:ascii="Arial" w:cs="Arial" w:eastAsia="Arial" w:hAnsi="Arial"/>
                <w:sz w:val="14"/>
                <w:szCs w:val="14"/>
                <w:b w:val="1"/>
                <w:bCs w:val="1"/>
                <w:color w:val="auto"/>
                <w:w w:val="99"/>
              </w:rPr>
              <w:t>Quarter Ended September 30, 2011</w:t>
            </w:r>
          </w:p>
        </w:tc>
        <w:tc>
          <w:tcPr>
            <w:tcW w:w="2900" w:type="dxa"/>
            <w:vAlign w:val="bottom"/>
            <w:gridSpan w:val="3"/>
          </w:tcPr>
          <w:p>
            <w:pPr>
              <w:jc w:val="right"/>
              <w:ind w:right="215"/>
              <w:spacing w:after="0" w:line="142" w:lineRule="exact"/>
              <w:rPr>
                <w:sz w:val="20"/>
                <w:szCs w:val="20"/>
                <w:color w:val="auto"/>
              </w:rPr>
            </w:pPr>
            <w:r>
              <w:rPr>
                <w:rFonts w:ascii="Arial" w:cs="Arial" w:eastAsia="Arial" w:hAnsi="Arial"/>
                <w:sz w:val="14"/>
                <w:szCs w:val="14"/>
                <w:b w:val="1"/>
                <w:bCs w:val="1"/>
                <w:color w:val="auto"/>
                <w:w w:val="97"/>
              </w:rPr>
              <w:t>Nine Months Ended September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Operating</w:t>
            </w:r>
          </w:p>
        </w:tc>
        <w:tc>
          <w:tcPr>
            <w:tcW w:w="8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Net Sales</w:t>
            </w:r>
          </w:p>
        </w:tc>
        <w:tc>
          <w:tcPr>
            <w:tcW w:w="520" w:type="dxa"/>
            <w:vAlign w:val="bottom"/>
          </w:tcPr>
          <w:p>
            <w:pPr>
              <w:spacing w:after="0"/>
              <w:rPr>
                <w:sz w:val="14"/>
                <w:szCs w:val="14"/>
                <w:color w:val="auto"/>
              </w:rPr>
            </w:pPr>
          </w:p>
        </w:tc>
        <w:tc>
          <w:tcPr>
            <w:tcW w:w="1760" w:type="dxa"/>
            <w:vAlign w:val="bottom"/>
            <w:gridSpan w:val="2"/>
          </w:tcPr>
          <w:p>
            <w:pPr>
              <w:jc w:val="right"/>
              <w:ind w:right="1032"/>
              <w:spacing w:after="0"/>
              <w:rPr>
                <w:sz w:val="20"/>
                <w:szCs w:val="20"/>
                <w:color w:val="auto"/>
              </w:rPr>
            </w:pPr>
            <w:r>
              <w:rPr>
                <w:rFonts w:ascii="Arial" w:cs="Arial" w:eastAsia="Arial" w:hAnsi="Arial"/>
                <w:sz w:val="14"/>
                <w:szCs w:val="14"/>
                <w:b w:val="1"/>
                <w:bCs w:val="1"/>
                <w:color w:val="auto"/>
              </w:rPr>
              <w:t>Profits</w:t>
            </w:r>
          </w:p>
        </w:tc>
        <w:tc>
          <w:tcPr>
            <w:tcW w:w="156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w w:val="95"/>
              </w:rPr>
              <w:t>Net Sales</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Operating Profits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top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tcBorders>
              <w:top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7 %</w:t>
            </w:r>
          </w:p>
        </w:tc>
        <w:tc>
          <w:tcPr>
            <w:tcW w:w="2280" w:type="dxa"/>
            <w:vAlign w:val="bottom"/>
            <w:gridSpan w:val="3"/>
          </w:tcPr>
          <w:p>
            <w:pPr>
              <w:jc w:val="right"/>
              <w:ind w:right="612"/>
              <w:spacing w:after="0"/>
              <w:rPr>
                <w:sz w:val="20"/>
                <w:szCs w:val="20"/>
                <w:color w:val="auto"/>
              </w:rPr>
            </w:pPr>
            <w:r>
              <w:rPr>
                <w:rFonts w:ascii="Arial" w:cs="Arial" w:eastAsia="Arial" w:hAnsi="Arial"/>
                <w:sz w:val="18"/>
                <w:szCs w:val="18"/>
                <w:color w:val="auto"/>
              </w:rPr>
              <w:t>8 %</w:t>
            </w:r>
          </w:p>
        </w:tc>
        <w:tc>
          <w:tcPr>
            <w:tcW w:w="1560" w:type="dxa"/>
            <w:vAlign w:val="bottom"/>
            <w:gridSpan w:val="2"/>
          </w:tcPr>
          <w:p>
            <w:pPr>
              <w:jc w:val="right"/>
              <w:ind w:right="652"/>
              <w:spacing w:after="0"/>
              <w:rPr>
                <w:sz w:val="20"/>
                <w:szCs w:val="20"/>
                <w:color w:val="auto"/>
              </w:rPr>
            </w:pPr>
            <w:r>
              <w:rPr>
                <w:rFonts w:ascii="Arial" w:cs="Arial" w:eastAsia="Arial" w:hAnsi="Arial"/>
                <w:sz w:val="18"/>
                <w:szCs w:val="18"/>
                <w:color w:val="auto"/>
              </w:rPr>
              <w:t>6 %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1 %</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1 %</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Restructuring costs</w:t>
            </w: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572"/>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3 %</w:t>
            </w:r>
          </w:p>
        </w:tc>
        <w:tc>
          <w:tcPr>
            <w:tcW w:w="15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12 %</w:t>
            </w:r>
          </w:p>
        </w:tc>
        <w:tc>
          <w:tcPr>
            <w:tcW w:w="2280" w:type="dxa"/>
            <w:vAlign w:val="bottom"/>
            <w:gridSpan w:val="3"/>
          </w:tcPr>
          <w:p>
            <w:pPr>
              <w:jc w:val="right"/>
              <w:ind w:right="612"/>
              <w:spacing w:after="0"/>
              <w:rPr>
                <w:sz w:val="20"/>
                <w:szCs w:val="20"/>
                <w:color w:val="auto"/>
              </w:rPr>
            </w:pPr>
            <w:r>
              <w:rPr>
                <w:rFonts w:ascii="Arial" w:cs="Arial" w:eastAsia="Arial" w:hAnsi="Arial"/>
                <w:sz w:val="18"/>
                <w:szCs w:val="18"/>
                <w:color w:val="auto"/>
              </w:rPr>
              <w:t>8 %</w:t>
            </w:r>
          </w:p>
        </w:tc>
        <w:tc>
          <w:tcPr>
            <w:tcW w:w="1560" w:type="dxa"/>
            <w:vAlign w:val="bottom"/>
            <w:gridSpan w:val="2"/>
          </w:tcPr>
          <w:p>
            <w:pPr>
              <w:jc w:val="right"/>
              <w:ind w:right="652"/>
              <w:spacing w:after="0"/>
              <w:rPr>
                <w:sz w:val="20"/>
                <w:szCs w:val="20"/>
                <w:color w:val="auto"/>
              </w:rPr>
            </w:pPr>
            <w:r>
              <w:rPr>
                <w:rFonts w:ascii="Arial" w:cs="Arial" w:eastAsia="Arial" w:hAnsi="Arial"/>
                <w:sz w:val="18"/>
                <w:szCs w:val="18"/>
                <w:color w:val="auto"/>
              </w:rPr>
              <w:t>9 %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increased $354 million (12%) in the third quarter of 2011, compared with the same period of 2010. The organic sales increase in the quarter was led by strong new equipment sales primarily in China and Russia (5% combined), partially offset by declines in new equipment sales in North America (1%). Service sales also increased in the quarter with continued growth in contractual maintenance and repairs led by North and South America.</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Operating profits increased $53 million (8%) in the third quarter of 2011, compared with the same period of 2010. Operational profit improvement in the quarter was due to benefits from higher volume, partially offset by the unfavorable impact of new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438" w:lineRule="auto"/>
        <w:rPr>
          <w:sz w:val="20"/>
          <w:szCs w:val="20"/>
          <w:color w:val="auto"/>
        </w:rPr>
      </w:pPr>
      <w:r>
        <w:rPr>
          <w:rFonts w:ascii="Arial" w:cs="Arial" w:eastAsia="Arial" w:hAnsi="Arial"/>
          <w:sz w:val="18"/>
          <w:szCs w:val="18"/>
          <w:color w:val="auto"/>
        </w:rPr>
        <w:t xml:space="preserve">equipment pricing and higher commodity costs. The 3% contributed by “Other” in the third quarter of 2011 primarily reflects gains from the sale of real estate. </w:t>
      </w:r>
      <w:r>
        <w:rPr>
          <w:rFonts w:ascii="Arial" w:cs="Arial" w:eastAsia="Arial" w:hAnsi="Arial"/>
          <w:sz w:val="18"/>
          <w:szCs w:val="18"/>
          <w:b w:val="1"/>
          <w:bCs w:val="1"/>
          <w:i w:val="1"/>
          <w:iCs w:val="1"/>
          <w:color w:val="auto"/>
        </w:rPr>
        <w:t>Nine months ended September 30, 2011 Compared with Nine months ended September 30, 2010</w:t>
      </w:r>
    </w:p>
    <w:p>
      <w:pPr>
        <w:spacing w:after="0" w:line="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Sales increased $754 million (9%) in the first nine months of 2011, compared with the same period of 2010. The organic sales increase in the period was due to higher new equipment sales in China and Russia (combined 3%), partially offset by declines in North America (1%). Also contributing to the increase in organic sales was an increase in contractual maintenance across all regions and repair volume primarily in North America.</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Operating profits increased $189 million (10%) in the first nine months of 2011, compared with the same period of 2010. Operational profit improvement in the period was due to benefits from higher volume partially offset by new equipment pricing and the impact of higher commodity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Factors Contributing to Total % Change Year-Over-Year in:</w:t>
            </w:r>
          </w:p>
        </w:tc>
        <w:tc>
          <w:tcPr>
            <w:tcW w:w="1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360" w:type="dxa"/>
            <w:vAlign w:val="bottom"/>
            <w:gridSpan w:val="5"/>
          </w:tcPr>
          <w:p>
            <w:pPr>
              <w:jc w:val="right"/>
              <w:ind w:right="972"/>
              <w:spacing w:after="0" w:line="142" w:lineRule="exact"/>
              <w:rPr>
                <w:sz w:val="20"/>
                <w:szCs w:val="20"/>
                <w:color w:val="auto"/>
              </w:rPr>
            </w:pPr>
            <w:r>
              <w:rPr>
                <w:rFonts w:ascii="Arial" w:cs="Arial" w:eastAsia="Arial" w:hAnsi="Arial"/>
                <w:sz w:val="14"/>
                <w:szCs w:val="14"/>
                <w:b w:val="1"/>
                <w:bCs w:val="1"/>
                <w:color w:val="auto"/>
                <w:w w:val="98"/>
              </w:rPr>
              <w:t>Quarter Ended September 30, 2011</w:t>
            </w:r>
          </w:p>
        </w:tc>
        <w:tc>
          <w:tcPr>
            <w:tcW w:w="2840" w:type="dxa"/>
            <w:vAlign w:val="bottom"/>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Nine Months Ended September 30, 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Operating</w:t>
            </w:r>
          </w:p>
        </w:tc>
        <w:tc>
          <w:tcPr>
            <w:tcW w:w="8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1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w w:val="98"/>
              </w:rPr>
              <w:t>Net Sales</w:t>
            </w:r>
          </w:p>
        </w:tc>
        <w:tc>
          <w:tcPr>
            <w:tcW w:w="540" w:type="dxa"/>
            <w:vAlign w:val="bottom"/>
          </w:tcPr>
          <w:p>
            <w:pPr>
              <w:spacing w:after="0"/>
              <w:rPr>
                <w:sz w:val="14"/>
                <w:szCs w:val="14"/>
                <w:color w:val="auto"/>
              </w:rPr>
            </w:pPr>
          </w:p>
        </w:tc>
        <w:tc>
          <w:tcPr>
            <w:tcW w:w="166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Profits</w:t>
            </w:r>
          </w:p>
        </w:tc>
        <w:tc>
          <w:tcPr>
            <w:tcW w:w="154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w w:val="91"/>
              </w:rPr>
              <w:t>Net Sales</w:t>
            </w:r>
          </w:p>
        </w:tc>
        <w:tc>
          <w:tcPr>
            <w:tcW w:w="15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9"/>
              </w:rPr>
              <w:t>Operating Profits</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top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top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8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60" w:type="dxa"/>
            <w:vAlign w:val="bottom"/>
            <w:gridSpan w:val="2"/>
          </w:tcPr>
          <w:p>
            <w:pPr>
              <w:jc w:val="right"/>
              <w:ind w:right="172"/>
              <w:spacing w:after="0"/>
              <w:rPr>
                <w:sz w:val="20"/>
                <w:szCs w:val="20"/>
                <w:color w:val="auto"/>
              </w:rPr>
            </w:pPr>
            <w:r>
              <w:rPr>
                <w:rFonts w:ascii="Arial" w:cs="Arial" w:eastAsia="Arial" w:hAnsi="Arial"/>
                <w:sz w:val="18"/>
                <w:szCs w:val="18"/>
                <w:color w:val="auto"/>
              </w:rPr>
              <w:t>4 %</w:t>
            </w:r>
          </w:p>
        </w:tc>
        <w:tc>
          <w:tcPr>
            <w:tcW w:w="2200" w:type="dxa"/>
            <w:vAlign w:val="bottom"/>
            <w:gridSpan w:val="3"/>
          </w:tcPr>
          <w:p>
            <w:pPr>
              <w:jc w:val="right"/>
              <w:ind w:right="572"/>
              <w:spacing w:after="0"/>
              <w:rPr>
                <w:sz w:val="20"/>
                <w:szCs w:val="20"/>
                <w:color w:val="auto"/>
              </w:rPr>
            </w:pPr>
            <w:r>
              <w:rPr>
                <w:rFonts w:ascii="Arial" w:cs="Arial" w:eastAsia="Arial" w:hAnsi="Arial"/>
                <w:sz w:val="18"/>
                <w:szCs w:val="18"/>
                <w:color w:val="auto"/>
              </w:rPr>
              <w:t>3 %</w:t>
            </w: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3 %</w:t>
            </w: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2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Restructuring costs</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512"/>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9 %</w:t>
            </w:r>
          </w:p>
        </w:tc>
        <w:tc>
          <w:tcPr>
            <w:tcW w:w="15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8"/>
                <w:szCs w:val="18"/>
                <w:color w:val="auto"/>
              </w:rPr>
              <w:t>8 %</w:t>
            </w:r>
          </w:p>
        </w:tc>
        <w:tc>
          <w:tcPr>
            <w:tcW w:w="2200" w:type="dxa"/>
            <w:vAlign w:val="bottom"/>
            <w:gridSpan w:val="3"/>
          </w:tcPr>
          <w:p>
            <w:pPr>
              <w:jc w:val="right"/>
              <w:ind w:right="572"/>
              <w:spacing w:after="0"/>
              <w:rPr>
                <w:sz w:val="20"/>
                <w:szCs w:val="20"/>
                <w:color w:val="auto"/>
              </w:rPr>
            </w:pPr>
            <w:r>
              <w:rPr>
                <w:rFonts w:ascii="Arial" w:cs="Arial" w:eastAsia="Arial" w:hAnsi="Arial"/>
                <w:sz w:val="18"/>
                <w:szCs w:val="18"/>
                <w:color w:val="auto"/>
              </w:rPr>
              <w:t>11 %</w:t>
            </w:r>
          </w:p>
        </w:tc>
        <w:tc>
          <w:tcPr>
            <w:tcW w:w="1540" w:type="dxa"/>
            <w:vAlign w:val="bottom"/>
            <w:gridSpan w:val="2"/>
          </w:tcPr>
          <w:p>
            <w:pPr>
              <w:jc w:val="right"/>
              <w:ind w:right="632"/>
              <w:spacing w:after="0"/>
              <w:rPr>
                <w:sz w:val="20"/>
                <w:szCs w:val="20"/>
                <w:color w:val="auto"/>
              </w:rPr>
            </w:pPr>
            <w:r>
              <w:rPr>
                <w:rFonts w:ascii="Arial" w:cs="Arial" w:eastAsia="Arial" w:hAnsi="Arial"/>
                <w:sz w:val="18"/>
                <w:szCs w:val="18"/>
                <w:color w:val="auto"/>
              </w:rPr>
              <w:t>10 %</w:t>
            </w:r>
          </w:p>
        </w:tc>
        <w:tc>
          <w:tcPr>
            <w:tcW w:w="1560" w:type="dxa"/>
            <w:vAlign w:val="bottom"/>
            <w:gridSpan w:val="2"/>
          </w:tcPr>
          <w:p>
            <w:pPr>
              <w:jc w:val="right"/>
              <w:ind w:right="12"/>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increased $239 million (8%) in the third quarter of 2011, compared with the same period of 2010. Organic sales growth of 9% was driven primarily by continued strength in the transport refrigeration business and growth in emerging markets, although as expected the growth rate in the transport refrigeration business has moderated in the third quarter of 2011. The 5% decrease in “Acquisitions and divestitures, net” reflects the net year-over-year impact from acquisitions and divestitures completed in the preceding twelve months.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Operating profit increased $42 million (11%) in the third quarter of 2011, compared with the same period of 2010. The operational profit improvement of 3% was driven by solid conversion on higher organic sales growth and continued good performance in Carrier’s foreign ventures. This was partially offset by an unfavorable sales mix in the North America HVAC business and higher net commodity costs (9%). The 9% increase in “Other” reflects the net year-over-year impact of transactions associated with Carrier’s ongoing portfolio transformation and the absence of an approximately $30 million valuation allowance charge reflected within equity income at an unconsolidated foreign venture recorded in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Sales increased $838 million (10%) in the first nine months of 2011, compared with the same period of 2010. Organic sales growth of 12% was driven primarily by improvements in the transport refrigeration business. The 5% decrease in “Acquisitions and divestitures, net” reflects the net year-over-year impact from acquisitions and divestitures completed in the preceding twelve months.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profit increased $338 million (40%) in the first nine months of 2011, compared with the same period of 2010. Operational profit improvement of 30% was driven by strong conversion on organic sales growth, particularly in the higher margin transport refrigeration business, and earnings improvement in Carrier’s Japan joint venture (5%). This was partly offset by higher net commodity costs (12%). The 10% increase in “Other” primarily reflects the net year-over-year impact of items associated with Carrier’s ongoing portfolio transformation. Included in “Other” is the absence of an asset impairment charge of approximately $58 million associated with the disposition of a business, partially offset by a gain on the sale of another business, both of which were recorded in the second quarter of 2010. Also included within “Other” is the absence of an approximately $30 million valuation allowance charge reflected within equity income related to an unconsolidated foreign venture recorded in the third quarter of 2010.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w w:val="93"/>
              </w:rPr>
              <w:t>Factors Contributing to Total % Change Year-Over-Year in:</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3280" w:type="dxa"/>
            <w:vAlign w:val="bottom"/>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w w:val="97"/>
              </w:rPr>
              <w:t>Quarter Ended September 30, 2011</w:t>
            </w:r>
          </w:p>
        </w:tc>
        <w:tc>
          <w:tcPr>
            <w:tcW w:w="278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4"/>
              </w:rPr>
              <w:t>Nine Months Ended September 30, 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6"/>
              <w:spacing w:after="0" w:line="129" w:lineRule="exact"/>
              <w:rPr>
                <w:sz w:val="20"/>
                <w:szCs w:val="20"/>
                <w:color w:val="auto"/>
              </w:rPr>
            </w:pPr>
            <w:r>
              <w:rPr>
                <w:rFonts w:ascii="Arial" w:cs="Arial" w:eastAsia="Arial" w:hAnsi="Arial"/>
                <w:sz w:val="14"/>
                <w:szCs w:val="14"/>
                <w:b w:val="1"/>
                <w:bCs w:val="1"/>
                <w:color w:val="auto"/>
              </w:rPr>
              <w:t>Operating</w:t>
            </w:r>
          </w:p>
        </w:tc>
        <w:tc>
          <w:tcPr>
            <w:tcW w:w="7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Operating</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8"/>
              </w:rPr>
              <w:t>Net Sales</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Profits</w:t>
            </w:r>
          </w:p>
        </w:tc>
        <w:tc>
          <w:tcPr>
            <w:tcW w:w="7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Net Sales</w:t>
            </w:r>
          </w:p>
        </w:tc>
        <w:tc>
          <w:tcPr>
            <w:tcW w:w="9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Profits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87"/>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132"/>
              <w:spacing w:after="0"/>
              <w:rPr>
                <w:sz w:val="20"/>
                <w:szCs w:val="20"/>
                <w:color w:val="auto"/>
              </w:rPr>
            </w:pPr>
            <w:r>
              <w:rPr>
                <w:rFonts w:ascii="Arial" w:cs="Arial" w:eastAsia="Arial" w:hAnsi="Arial"/>
                <w:sz w:val="18"/>
                <w:szCs w:val="18"/>
                <w:color w:val="auto"/>
              </w:rPr>
              <w:t>6 %</w:t>
            </w:r>
          </w:p>
        </w:tc>
        <w:tc>
          <w:tcPr>
            <w:tcW w:w="2160" w:type="dxa"/>
            <w:vAlign w:val="bottom"/>
            <w:gridSpan w:val="3"/>
          </w:tcPr>
          <w:p>
            <w:pPr>
              <w:ind w:left="1260"/>
              <w:spacing w:after="0"/>
              <w:rPr>
                <w:sz w:val="20"/>
                <w:szCs w:val="20"/>
                <w:color w:val="auto"/>
              </w:rPr>
            </w:pPr>
            <w:r>
              <w:rPr>
                <w:rFonts w:ascii="Arial" w:cs="Arial" w:eastAsia="Arial" w:hAnsi="Arial"/>
                <w:sz w:val="18"/>
                <w:szCs w:val="18"/>
                <w:color w:val="auto"/>
              </w:rPr>
              <w:t>6 %</w:t>
            </w:r>
          </w:p>
        </w:tc>
        <w:tc>
          <w:tcPr>
            <w:tcW w:w="1800" w:type="dxa"/>
            <w:vAlign w:val="bottom"/>
            <w:gridSpan w:val="2"/>
          </w:tcPr>
          <w:p>
            <w:pPr>
              <w:jc w:val="right"/>
              <w:ind w:right="692"/>
              <w:spacing w:after="0"/>
              <w:rPr>
                <w:sz w:val="20"/>
                <w:szCs w:val="20"/>
                <w:color w:val="auto"/>
              </w:rPr>
            </w:pPr>
            <w:r>
              <w:rPr>
                <w:rFonts w:ascii="Arial" w:cs="Arial" w:eastAsia="Arial" w:hAnsi="Arial"/>
                <w:sz w:val="18"/>
                <w:szCs w:val="18"/>
                <w:color w:val="auto"/>
              </w:rPr>
              <w:t>5 %</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1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21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(1)%</w:t>
            </w:r>
          </w:p>
        </w:tc>
        <w:tc>
          <w:tcPr>
            <w:tcW w:w="18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2 %</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Restructuring costs</w:t>
            </w:r>
          </w:p>
        </w:tc>
        <w:tc>
          <w:tcPr>
            <w:tcW w:w="112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160" w:type="dxa"/>
            <w:vAlign w:val="bottom"/>
            <w:gridSpan w:val="3"/>
          </w:tcPr>
          <w:p>
            <w:pPr>
              <w:ind w:left="1260"/>
              <w:spacing w:after="0"/>
              <w:rPr>
                <w:sz w:val="20"/>
                <w:szCs w:val="20"/>
                <w:color w:val="auto"/>
              </w:rPr>
            </w:pPr>
            <w:r>
              <w:rPr>
                <w:rFonts w:ascii="Arial" w:cs="Arial" w:eastAsia="Arial" w:hAnsi="Arial"/>
                <w:sz w:val="18"/>
                <w:szCs w:val="18"/>
                <w:color w:val="auto"/>
              </w:rPr>
              <w:t>6 %</w:t>
            </w:r>
          </w:p>
        </w:tc>
        <w:tc>
          <w:tcPr>
            <w:tcW w:w="180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1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(5)%</w:t>
            </w:r>
          </w:p>
        </w:tc>
        <w:tc>
          <w:tcPr>
            <w:tcW w:w="18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vMerge w:val="continue"/>
          </w:tcPr>
          <w:p>
            <w:pPr>
              <w:spacing w:after="0"/>
              <w:rPr>
                <w:sz w:val="19"/>
                <w:szCs w:val="19"/>
                <w:color w:val="auto"/>
              </w:rPr>
            </w:pPr>
          </w:p>
        </w:tc>
        <w:tc>
          <w:tcPr>
            <w:tcW w:w="1120" w:type="dxa"/>
            <w:vAlign w:val="bottom"/>
            <w:gridSpan w:val="2"/>
          </w:tcPr>
          <w:p>
            <w:pPr>
              <w:jc w:val="right"/>
              <w:ind w:right="132"/>
              <w:spacing w:after="0"/>
              <w:rPr>
                <w:sz w:val="20"/>
                <w:szCs w:val="20"/>
                <w:color w:val="auto"/>
              </w:rPr>
            </w:pPr>
            <w:r>
              <w:rPr>
                <w:rFonts w:ascii="Arial" w:cs="Arial" w:eastAsia="Arial" w:hAnsi="Arial"/>
                <w:sz w:val="18"/>
                <w:szCs w:val="18"/>
                <w:color w:val="auto"/>
              </w:rPr>
              <w:t>5 %</w:t>
            </w:r>
          </w:p>
        </w:tc>
        <w:tc>
          <w:tcPr>
            <w:tcW w:w="2160" w:type="dxa"/>
            <w:vAlign w:val="bottom"/>
            <w:gridSpan w:val="3"/>
          </w:tcPr>
          <w:p>
            <w:pPr>
              <w:ind w:left="1260"/>
              <w:spacing w:after="0"/>
              <w:rPr>
                <w:sz w:val="20"/>
                <w:szCs w:val="20"/>
                <w:color w:val="auto"/>
              </w:rPr>
            </w:pPr>
            <w:r>
              <w:rPr>
                <w:rFonts w:ascii="Arial" w:cs="Arial" w:eastAsia="Arial" w:hAnsi="Arial"/>
                <w:sz w:val="18"/>
                <w:szCs w:val="18"/>
                <w:color w:val="auto"/>
              </w:rPr>
              <w:t>4 %</w:t>
            </w:r>
          </w:p>
        </w:tc>
        <w:tc>
          <w:tcPr>
            <w:tcW w:w="1800" w:type="dxa"/>
            <w:vAlign w:val="bottom"/>
            <w:gridSpan w:val="2"/>
          </w:tcPr>
          <w:p>
            <w:pPr>
              <w:jc w:val="right"/>
              <w:ind w:right="692"/>
              <w:spacing w:after="0"/>
              <w:rPr>
                <w:sz w:val="20"/>
                <w:szCs w:val="20"/>
                <w:color w:val="auto"/>
              </w:rPr>
            </w:pPr>
            <w:r>
              <w:rPr>
                <w:rFonts w:ascii="Arial" w:cs="Arial" w:eastAsia="Arial" w:hAnsi="Arial"/>
                <w:sz w:val="18"/>
                <w:szCs w:val="18"/>
                <w:color w:val="auto"/>
              </w:rPr>
              <w:t>9 %</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Sales increased $89 million (5%) in the third quarter of 2011, compared with the same period of 2010. The 2% organic sales growth reflects an increase in the products businesses (3%) while the service and install businesses declined (1%). Geographically, the organic growth was driven by stronger volume in the U.S. product businesses, partially offset by declines in the service and install businesses, particularly as a result of continuing market weakness in the U.K. The decrease contributed by “Acquisitions and divestitures, net” in the third quarter of 2011 reflects the net year-over-year impact from acquisitions and divestitures completed in the preceding twelve months, led entirely by the divestiture in March 2011 of the U.K. Guarding business.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profits increased $7 million (4%) in the third quarter of 2011, as compared with the same period of 2010. The operational profit decrease reflects lower profits in the U.K. as a result of continuing productivity challenges and a very soft market in the U.K., partially offset by the benefits from higher overall sales volume within the products businesses. The decrease contributed by “Acquisitions and divestitures, net” in the third quarter of 2011 reflects the net year-over-year impact from acquisitions and divestitures completed in the preceding twelve months, led entirely by the divestiture in March 2011 of the U.K. Guarding business. The 5% decrease in “Other” primarily reflects a $20 million other-than-temporary impairment charge recorded on an equity investment in Asia, partially offset by the favorable settlement of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Sales increased $433 million (9%) in the first nine months of 2011, compared with the same period of 2010. The 3% organic sales growth reflects growth in the products businesses while the service and install businesses were flat. Geographically, the organic growth was driven by stronger volume in the products businesses, partially offset by declines in the U.K. and U.S. service and install businesses as a result of weak market conditions. The increase contributed by “Acquisitions and divestitures, net” in the first nine months of 2011 reflects the net year-over-year impact from acquisitions and divestitures completed in the preceding twelve months.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Operating profits increased $84 million (18%) for the first nine months of 2011, compared with the same period of 2010. The operational profit decrease reflects lower results in the U.K. due to lower sales and productivity challenges, partially offset by the benefits of higher overall sales volume within the products businesses and restructuring savings. The 7% increase contributed by “Other” primarily reflects the favorable resolution of litigation combined with the gain in the first quarter of 2011 on the disposition of the U.K. Guarding business, partially offset by a $20 million other-than-temporary impairment charged recorded on an equity investment in Asia.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1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26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Quarter Ended September 30, 2011</w:t>
            </w:r>
          </w:p>
        </w:tc>
        <w:tc>
          <w:tcPr>
            <w:tcW w:w="27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w w:val="94"/>
              </w:rPr>
              <w:t>Nine Months Ended September 30, 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Net Sales</w:t>
            </w:r>
          </w:p>
        </w:tc>
        <w:tc>
          <w:tcPr>
            <w:tcW w:w="4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7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1"/>
              </w:rPr>
              <w:t>Net Sales</w:t>
            </w:r>
          </w:p>
        </w:tc>
        <w:tc>
          <w:tcPr>
            <w:tcW w:w="8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currency (including P&amp;WC net hedging)*</w:t>
            </w: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(2)%</w:t>
            </w:r>
          </w:p>
        </w:tc>
        <w:tc>
          <w:tcPr>
            <w:tcW w:w="2240" w:type="dxa"/>
            <w:vAlign w:val="bottom"/>
            <w:gridSpan w:val="3"/>
          </w:tcPr>
          <w:p>
            <w:pPr>
              <w:ind w:left="134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5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0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2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(1)%</w:t>
            </w:r>
          </w:p>
        </w:tc>
        <w:tc>
          <w:tcPr>
            <w:tcW w:w="1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Restructuring costs</w:t>
            </w:r>
          </w:p>
        </w:tc>
        <w:tc>
          <w:tcPr>
            <w:tcW w:w="102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2240" w:type="dxa"/>
            <w:vAlign w:val="bottom"/>
            <w:gridSpan w:val="3"/>
          </w:tcPr>
          <w:p>
            <w:pPr>
              <w:ind w:left="1340"/>
              <w:spacing w:after="0"/>
              <w:rPr>
                <w:sz w:val="20"/>
                <w:szCs w:val="20"/>
                <w:color w:val="auto"/>
              </w:rPr>
            </w:pPr>
            <w:r>
              <w:rPr>
                <w:rFonts w:ascii="Arial" w:cs="Arial" w:eastAsia="Arial" w:hAnsi="Arial"/>
                <w:sz w:val="18"/>
                <w:szCs w:val="18"/>
                <w:color w:val="auto"/>
              </w:rPr>
              <w:t>1 %</w:t>
            </w:r>
          </w:p>
        </w:tc>
        <w:tc>
          <w:tcPr>
            <w:tcW w:w="15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8 %</w:t>
            </w:r>
          </w:p>
        </w:tc>
        <w:tc>
          <w:tcPr>
            <w:tcW w:w="1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020" w:type="dxa"/>
            <w:vAlign w:val="bottom"/>
            <w:gridSpan w:val="2"/>
          </w:tcPr>
          <w:p>
            <w:pPr>
              <w:jc w:val="right"/>
              <w:ind w:right="212"/>
              <w:spacing w:after="0"/>
              <w:rPr>
                <w:sz w:val="20"/>
                <w:szCs w:val="20"/>
                <w:color w:val="auto"/>
              </w:rPr>
            </w:pPr>
            <w:r>
              <w:rPr>
                <w:rFonts w:ascii="Arial" w:cs="Arial" w:eastAsia="Arial" w:hAnsi="Arial"/>
                <w:sz w:val="18"/>
                <w:szCs w:val="18"/>
                <w:color w:val="auto"/>
              </w:rPr>
              <w:t>1 %</w:t>
            </w:r>
          </w:p>
        </w:tc>
        <w:tc>
          <w:tcPr>
            <w:tcW w:w="2240" w:type="dxa"/>
            <w:vAlign w:val="bottom"/>
            <w:gridSpan w:val="3"/>
          </w:tcPr>
          <w:p>
            <w:pPr>
              <w:ind w:left="1340"/>
              <w:spacing w:after="0"/>
              <w:rPr>
                <w:sz w:val="20"/>
                <w:szCs w:val="20"/>
                <w:color w:val="auto"/>
              </w:rPr>
            </w:pPr>
            <w:r>
              <w:rPr>
                <w:rFonts w:ascii="Arial" w:cs="Arial" w:eastAsia="Arial" w:hAnsi="Arial"/>
                <w:sz w:val="18"/>
                <w:szCs w:val="18"/>
                <w:color w:val="auto"/>
              </w:rPr>
              <w:t>(2)%</w:t>
            </w:r>
          </w:p>
        </w:tc>
        <w:tc>
          <w:tcPr>
            <w:tcW w:w="1460" w:type="dxa"/>
            <w:vAlign w:val="bottom"/>
            <w:gridSpan w:val="2"/>
          </w:tcPr>
          <w:p>
            <w:pPr>
              <w:jc w:val="right"/>
              <w:ind w:right="572"/>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20" w:hanging="212"/>
        <w:spacing w:after="0" w:line="268" w:lineRule="auto"/>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240"/>
        <w:spacing w:after="0" w:line="256" w:lineRule="auto"/>
        <w:rPr>
          <w:sz w:val="20"/>
          <w:szCs w:val="20"/>
          <w:color w:val="auto"/>
        </w:rPr>
      </w:pPr>
      <w:r>
        <w:rPr>
          <w:rFonts w:ascii="Arial" w:cs="Arial" w:eastAsia="Arial" w:hAnsi="Arial"/>
          <w:sz w:val="18"/>
          <w:szCs w:val="18"/>
          <w:i w:val="1"/>
          <w:iCs w:val="1"/>
          <w:color w:val="auto"/>
        </w:rPr>
        <w:t>hedging at P&amp;WC has been netted against the translational foreign exchange impact for presentation purposes in the above table. For all other segments, these foreign exchange transactional impacts are included within the organic sales/operational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increased $21 million (1%) in the third quarter of 2011, compared with the same period of 2010. Organic sales growth in the quarter primarily reflects an increase in overall aerospace aftermarket sales (7%), driven by spares, and in large commercial engine deliveries (1%). This was partially offset by the impact from fewer military engine deliveries (4%) and lower sales from both Rocketdyne and Pratt &amp; Whitney Power Systems (combined 1%).</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Operating profits decreased $12 million (2%) in the third quarter of 2011, compared with the same period of 2010. The 6% operational profit decrease primarily reflects higher research and development costs (12%), net unfavorable commercial engine mix and fewer engine deliveries from the military business (combined 9%) as well as a decline at Rocketdyne and Pratt &amp; Whitney Power Systems (combined 3%), partially offset by the benefit from higher commercial spares and overall aftermarket volumes. The 8% contributed by “Other” primarily reflects the gain on sale of an equity investment.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Sales increased $448 million (5%) in the first nine months of 2011, compared with the same period of 2010. The organic sales growth was primarily attributable to higher commercial aerospace aftermarket volumes (9%), driven by spares, partially offset by a decline in the military engine business (3%) driven by lower military engine deliveries.</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Operating profits decreased $45 million (3%) in the first nine months of 2011, compared with the same period of 2010. The operational profit decline (4%) primarily reflects higher research and development cost (14%), net unfavorable commercial engine mix and fewer engine deliveries from the military business (combined 10%), partially offset by the benefit from higher overall aerospace aftermarket volumes (20%). The 4% contributed by “Other” primarily reflects gains from the sale of equity interests in ventures through the first nine months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97"/>
              </w:rPr>
              <w:t>Factors Contributing to Total % Change Year-Over-Year in:</w:t>
            </w:r>
          </w:p>
        </w:tc>
        <w:tc>
          <w:tcPr>
            <w:tcW w:w="1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460" w:type="dxa"/>
            <w:vAlign w:val="bottom"/>
            <w:gridSpan w:val="5"/>
          </w:tcPr>
          <w:p>
            <w:pPr>
              <w:jc w:val="right"/>
              <w:ind w:right="1052"/>
              <w:spacing w:after="0" w:line="142" w:lineRule="exact"/>
              <w:rPr>
                <w:sz w:val="20"/>
                <w:szCs w:val="20"/>
                <w:color w:val="auto"/>
              </w:rPr>
            </w:pPr>
            <w:r>
              <w:rPr>
                <w:rFonts w:ascii="Arial" w:cs="Arial" w:eastAsia="Arial" w:hAnsi="Arial"/>
                <w:sz w:val="14"/>
                <w:szCs w:val="14"/>
                <w:b w:val="1"/>
                <w:bCs w:val="1"/>
                <w:color w:val="auto"/>
                <w:w w:val="99"/>
              </w:rPr>
              <w:t>Quarter Ended September 30, 2011</w:t>
            </w:r>
          </w:p>
        </w:tc>
        <w:tc>
          <w:tcPr>
            <w:tcW w:w="2880" w:type="dxa"/>
            <w:vAlign w:val="bottom"/>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w w:val="97"/>
              </w:rPr>
              <w:t>Nine Months Ended September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2"/>
              </w:rPr>
              <w:t>Net Sales</w:t>
            </w: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Operating Profits</w:t>
            </w:r>
          </w:p>
        </w:tc>
        <w:tc>
          <w:tcPr>
            <w:tcW w:w="860" w:type="dxa"/>
            <w:vAlign w:val="bottom"/>
          </w:tcPr>
          <w:p>
            <w:pPr>
              <w:spacing w:after="0"/>
              <w:rPr>
                <w:sz w:val="12"/>
                <w:szCs w:val="12"/>
                <w:color w:val="auto"/>
              </w:rPr>
            </w:pPr>
          </w:p>
        </w:tc>
        <w:tc>
          <w:tcPr>
            <w:tcW w:w="1580" w:type="dxa"/>
            <w:vAlign w:val="bottom"/>
            <w:tcBorders>
              <w:top w:val="single" w:sz="8" w:color="auto"/>
            </w:tcBorders>
            <w:gridSpan w:val="2"/>
          </w:tcPr>
          <w:p>
            <w:pPr>
              <w:jc w:val="right"/>
              <w:ind w:right="892"/>
              <w:spacing w:after="0" w:line="142" w:lineRule="exact"/>
              <w:rPr>
                <w:sz w:val="20"/>
                <w:szCs w:val="20"/>
                <w:color w:val="auto"/>
              </w:rPr>
            </w:pPr>
            <w:r>
              <w:rPr>
                <w:rFonts w:ascii="Arial" w:cs="Arial" w:eastAsia="Arial" w:hAnsi="Arial"/>
                <w:sz w:val="14"/>
                <w:szCs w:val="14"/>
                <w:b w:val="1"/>
                <w:bCs w:val="1"/>
                <w:color w:val="auto"/>
                <w:w w:val="91"/>
              </w:rPr>
              <w:t>Net Sales</w:t>
            </w:r>
          </w:p>
        </w:tc>
        <w:tc>
          <w:tcPr>
            <w:tcW w:w="13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sales / Operational operating profit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tcBorders>
              <w:top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tcBorders>
              <w:top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2 %</w:t>
            </w:r>
          </w:p>
        </w:tc>
        <w:tc>
          <w:tcPr>
            <w:tcW w:w="2360" w:type="dxa"/>
            <w:vAlign w:val="bottom"/>
            <w:gridSpan w:val="3"/>
          </w:tcPr>
          <w:p>
            <w:pPr>
              <w:jc w:val="right"/>
              <w:ind w:right="632"/>
              <w:spacing w:after="0"/>
              <w:rPr>
                <w:sz w:val="20"/>
                <w:szCs w:val="20"/>
                <w:color w:val="auto"/>
              </w:rPr>
            </w:pPr>
            <w:r>
              <w:rPr>
                <w:rFonts w:ascii="Arial" w:cs="Arial" w:eastAsia="Arial" w:hAnsi="Arial"/>
                <w:sz w:val="18"/>
                <w:szCs w:val="18"/>
                <w:color w:val="auto"/>
              </w:rPr>
              <w:t>2 %</w:t>
            </w:r>
          </w:p>
        </w:tc>
        <w:tc>
          <w:tcPr>
            <w:tcW w:w="1580" w:type="dxa"/>
            <w:vAlign w:val="bottom"/>
            <w:gridSpan w:val="2"/>
          </w:tcPr>
          <w:p>
            <w:pPr>
              <w:jc w:val="right"/>
              <w:ind w:right="692"/>
              <w:spacing w:after="0"/>
              <w:rPr>
                <w:sz w:val="20"/>
                <w:szCs w:val="20"/>
                <w:color w:val="auto"/>
              </w:rPr>
            </w:pPr>
            <w:r>
              <w:rPr>
                <w:rFonts w:ascii="Arial" w:cs="Arial" w:eastAsia="Arial" w:hAnsi="Arial"/>
                <w:sz w:val="18"/>
                <w:szCs w:val="18"/>
                <w:color w:val="auto"/>
              </w:rPr>
              <w:t>2 %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1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Restructuring costs</w:t>
            </w: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2360" w:type="dxa"/>
            <w:vAlign w:val="bottom"/>
            <w:gridSpan w:val="3"/>
          </w:tcPr>
          <w:p>
            <w:pPr>
              <w:jc w:val="right"/>
              <w:ind w:right="572"/>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8 %</w:t>
            </w:r>
          </w:p>
        </w:tc>
        <w:tc>
          <w:tcPr>
            <w:tcW w:w="2360" w:type="dxa"/>
            <w:vAlign w:val="bottom"/>
            <w:gridSpan w:val="3"/>
          </w:tcPr>
          <w:p>
            <w:pPr>
              <w:jc w:val="right"/>
              <w:ind w:right="632"/>
              <w:spacing w:after="0"/>
              <w:rPr>
                <w:sz w:val="20"/>
                <w:szCs w:val="20"/>
                <w:color w:val="auto"/>
              </w:rPr>
            </w:pPr>
            <w:r>
              <w:rPr>
                <w:rFonts w:ascii="Arial" w:cs="Arial" w:eastAsia="Arial" w:hAnsi="Arial"/>
                <w:sz w:val="18"/>
                <w:szCs w:val="18"/>
                <w:color w:val="auto"/>
              </w:rPr>
              <w:t>11 %</w:t>
            </w:r>
          </w:p>
        </w:tc>
        <w:tc>
          <w:tcPr>
            <w:tcW w:w="1580" w:type="dxa"/>
            <w:vAlign w:val="bottom"/>
            <w:gridSpan w:val="2"/>
          </w:tcPr>
          <w:p>
            <w:pPr>
              <w:jc w:val="right"/>
              <w:ind w:right="692"/>
              <w:spacing w:after="0"/>
              <w:rPr>
                <w:sz w:val="20"/>
                <w:szCs w:val="20"/>
                <w:color w:val="auto"/>
              </w:rPr>
            </w:pPr>
            <w:r>
              <w:rPr>
                <w:rFonts w:ascii="Arial" w:cs="Arial" w:eastAsia="Arial" w:hAnsi="Arial"/>
                <w:sz w:val="18"/>
                <w:szCs w:val="18"/>
                <w:color w:val="auto"/>
              </w:rPr>
              <w:t>9 %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increased $111 million (8%) in the third quarter of 2011, compared with the same period of 2010. The organic sales growth reflects higher volumes in both the aerospace (5%) and industrial (2%) businesses. The increase within aerospace was principally attributed to higher aftermarket volume, primarily commercial spares, while OEM sales volume was relatively flat. The industrial business increase was led by the compressor business as a result of general increases in the manufacturing and energy sectors, particularly in the U.S. and Asia.</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Operating profits increased $27 million (11%) in the third quarter of 2011, compared with the same period of 2010. Operational profit reflects an increase in both the aerospace (9%) and industrial (1%) businesses. The growth within aerospace reflects higher aftermarket volume, primarily commercial spares, partially offset by an adverse mix of product sales within OEM, including a reduction in military ground vehicle volumes and an increase in volume of lower margin commercial development programs. Also, operational profit growth reflects the benefit of lower research and development costs (9%) partially offset by higher warranty costs (8%). The increase within the industrials business reflects the benefit of higher volume.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increased $378 million (9%) in the first nine months of 2011, compared with the same period of 2010. The organic sales growth primarily reflects volume increase in both the aerospace (6%) and industrial (2%) businesses. The increase within aerospace was driven by higher aftermarket volume (6%), primarily commercial spares. The industrial business increase was led by the compressor business as a result of general increases in the manufacturing and energy sectors, particularly in the U.S. and Asia.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Operating profits increased $113 million (17%) in the first nine months of 2011, compared with the same period of 2010. The increase in operational profit reflects an increase in both the aerospace (7%) and industrial (4%) businesses. The growth within aerospace reflects higher commercial aftermarket volume, partially offset by the adverse mix of product sales within OEM, including a reduction in military ground vehicle volumes and an increase in volume of lower margin commercial development programs. Also, operational profit growth reflects higher warranty costs (5%) partially offset by the benefit from lower research and development costs (3%). The increase within the industrial businesses reflects the benefit of higher volume and cost reduction initiatives. The increase contributed by “Other” reflects the impact from the absence of approximately $28 million of asset impairment charges recorded in the second quarter of 2010. These charges were related primarily to the disposition of an aerospace business as part of Hamilton Sundstrand’s efforts to implement low cost sourcing initiatives.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1"/>
              </w:rPr>
              <w:t>Factors Contributing to Total % Change Year-Over-Year in:</w:t>
            </w:r>
          </w:p>
        </w:tc>
        <w:tc>
          <w:tcPr>
            <w:tcW w:w="1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90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Quarter Ended September 30, 2011</w:t>
            </w:r>
          </w:p>
        </w:tc>
        <w:tc>
          <w:tcPr>
            <w:tcW w:w="3100" w:type="dxa"/>
            <w:vAlign w:val="bottom"/>
            <w:gridSpan w:val="3"/>
          </w:tcPr>
          <w:p>
            <w:pPr>
              <w:jc w:val="right"/>
              <w:ind w:right="316"/>
              <w:spacing w:after="0" w:line="142" w:lineRule="exact"/>
              <w:rPr>
                <w:sz w:val="20"/>
                <w:szCs w:val="20"/>
                <w:color w:val="auto"/>
              </w:rPr>
            </w:pPr>
            <w:r>
              <w:rPr>
                <w:rFonts w:ascii="Arial" w:cs="Arial" w:eastAsia="Arial" w:hAnsi="Arial"/>
                <w:sz w:val="14"/>
                <w:szCs w:val="14"/>
                <w:b w:val="1"/>
                <w:bCs w:val="1"/>
                <w:color w:val="auto"/>
              </w:rPr>
              <w:t>Nine Months Ended September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Net Sales</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1080" w:type="dxa"/>
            <w:vAlign w:val="bottom"/>
          </w:tcPr>
          <w:p>
            <w:pPr>
              <w:spacing w:after="0"/>
              <w:rPr>
                <w:sz w:val="12"/>
                <w:szCs w:val="12"/>
                <w:color w:val="auto"/>
              </w:rPr>
            </w:pPr>
          </w:p>
        </w:tc>
        <w:tc>
          <w:tcPr>
            <w:tcW w:w="1760" w:type="dxa"/>
            <w:vAlign w:val="bottom"/>
            <w:tcBorders>
              <w:top w:val="single" w:sz="8" w:color="auto"/>
            </w:tcBorders>
            <w:gridSpan w:val="2"/>
          </w:tcPr>
          <w:p>
            <w:pPr>
              <w:jc w:val="right"/>
              <w:ind w:right="1160"/>
              <w:spacing w:after="0" w:line="142" w:lineRule="exact"/>
              <w:rPr>
                <w:sz w:val="20"/>
                <w:szCs w:val="20"/>
                <w:color w:val="auto"/>
              </w:rPr>
            </w:pPr>
            <w:r>
              <w:rPr>
                <w:rFonts w:ascii="Arial" w:cs="Arial" w:eastAsia="Arial" w:hAnsi="Arial"/>
                <w:sz w:val="14"/>
                <w:szCs w:val="14"/>
                <w:b w:val="1"/>
                <w:bCs w:val="1"/>
                <w:color w:val="auto"/>
                <w:w w:val="91"/>
              </w:rPr>
              <w:t>Net Sales</w:t>
            </w:r>
          </w:p>
        </w:tc>
        <w:tc>
          <w:tcPr>
            <w:tcW w:w="134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Operating Profits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Organic sales / Operational</w:t>
            </w:r>
          </w:p>
        </w:tc>
        <w:tc>
          <w:tcPr>
            <w:tcW w:w="6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profit</w:t>
            </w:r>
          </w:p>
        </w:tc>
        <w:tc>
          <w:tcPr>
            <w:tcW w:w="1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21 %</w:t>
            </w:r>
          </w:p>
        </w:tc>
        <w:tc>
          <w:tcPr>
            <w:tcW w:w="22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36 %</w:t>
            </w: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13 %</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Acquisitions and divestitures, net</w:t>
            </w:r>
          </w:p>
        </w:tc>
        <w:tc>
          <w:tcPr>
            <w:tcW w:w="1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1 %</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w:t>
            </w:r>
          </w:p>
        </w:tc>
        <w:tc>
          <w:tcPr>
            <w:tcW w:w="17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21 %</w:t>
            </w:r>
          </w:p>
        </w:tc>
        <w:tc>
          <w:tcPr>
            <w:tcW w:w="22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32 %</w:t>
            </w: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14 %</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2011 Compared with Quarter ended September 30, 2010</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Sales increased $330 million (21%) in the third quarter of 2011, as compared with the same period in 2010. The organic sales growth was primarily driven by higher international military aircraft sales and favorable configuration mix from military operations (15% combined), partially offset by the impact from lower aircraft deliveries from commercial operations (1%). The remainder of the increase in net sales was attributable to aftermarket support, driven by higher military volumes, and customer funded development programs (7% combined).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profits increased $52 million (32%) in the third quarter of 2011, as compared with the same period in 2010. The operational profit improvement primarily reflects the benefit from increased aircraft deliveries and favorable contract performance and aircraft configuration mix from military operations (20% combined) and increased aftermarket support (8%), driven by higher military volumes. The remainder of the operational profit increase is primarily driven by higher volume on customer funded development and lower research and development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increased $648 million (14%) in the first nine months of 2011 as compared with the same period in 2010. The organic sales growth was primarily driven by higher international military aircraft sales and favorable aircraft configuration mix from military operations (10% combined), including Canadian Maritime helicopters, and an increase in aftermarket support (4%), primarily driven by higher military volume. These increases were partially offset by a decrease from commercial operations (1%) due to unfavorable aircraft configuration mix.</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profits increased $156 million (33%) in the first nine months of 2011 as compared to the same period in 2010. The operational profit improvement was primarily attributable to increased aftermarket support (7%), driven by higher military volumes. Operational profit also reflects the increase in military operations as higher aircraft deliveries and favorable aircraft configuration mix more than offset the adverse impact of losses associated with international military development aircraft sales (4% combined). The remainder of the operational profit increase is primarily driven by higher volume on customer funded development and lower research and development costs. The 15% increase in “Other” reflects the gain recognized on contribution of a business to a venture in the United Arab Emirates.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such as UTC Power and Clipper. The year-over-year change in sales for both the third quarter and first nine months of 2011, as compared with the same period of 2010, primarily reflects the impact from the acquisition of Clipper. The year-over-year change in operating profit for the third quarter of 2011, as compared with the same period of 2010, primarily reflects the absence of the prior year $159 million other-than-temporary impairment charge on our investment in Clipper and the impact from the favorable resolution of litigation, partially offset by costs associated with the pending acquisition of Goodrich and the impact from the acquisition of Clipper. The year-over-year change in operating profit for the first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nine months of 2011, as compared with the same period of 2010, primarily reflects the absence of a $159 million other-than-temporary impairment charge on our investment in Clipper partially offset by the impact of losses at Clipper, costs associated with the pending acquisition of Goodrich and higher self-insurance reserves and legal costs.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96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5,966</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4,083</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5,731</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11,364</w:t>
            </w: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10,289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6,206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23,588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22,332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32,621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Net capitalization (debt plus equity less cash and cash equivalents)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28,986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28,538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For the full year of 2011, we expect operating cash flows less capital expenditures to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global economy has improved as compared with 2010, most measures are pointing to a slow and uneven recovery. High unemployment and a weak housing sector in the U.S. continue to dampen consumer sentiment domestically, while concerns over European sovereign debt issues and the deficit debate in Washington, D.C. continue to plague financial markets and constrain government spending in certain countries. In light of these circumstances, we continue to assess our current business and closely monitor the impact on our customers and suppliers, and have determined that overall there has not been a significant effect on our financial position, results of operations or liquidity during the first nine months of 2011. Our domestic pension funds experienced a positive return on assets of approximately 3% during the first nine months of 2011. The continued recognition of prior pension losses and the impact of a lower discount rate, partially offset by additional funding and the positive returns experienced during 2010, are expected to increase pension expense in 2011 by approximately $150 million as compared to 2010.</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88% of our domestic pension plans are invested in readily-liquid investments, including equity, fixed income, asset-backed receivables and structured products. The balance of our domestic pension plans (12%) is invested in less-liquid but market-valued investments, including real estate and private equity.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$2.25 billion of long-term debt in February 2010. Our ability to obtain debt financing at comparable risk-based interest rates is partly a function of our existing debt-to-total-capitalization level as well as our current credit standing.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purchase price for our pending acquisition of Goodrich for $127.50 per share in cash equates to a total current enterprise value of $18.4 billion, including $1.9 billion in net debt to be assumed. Of the total $16.5 billion required, we expect to finance the transaction through a combination of debt and equity issuances, with the equity component expected to approximate 25% of the total financing (other than the amount of net debt assumed). To manage the cash flow and liquidity impacts of these actions, we are suspending future share repurchases until September 30, 2012, and will significantly reduce repurchases for two years thereafter. In addition, we will reduce our budgeted acquisitions spending from $2 billion per year to $1 billion for the next few years, excluding spending for our pending acquisitions of Goodrich and Rolls-Royce’s equity and program shares in IAE.</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executed a commitment letter, dated September 21, 2011, with various financial institutions that provides a 12-month commitment, subject to a 6-month extension for regulatory reasons, for a $15 billion 364-day unsecured bridge loan facility.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September 30, 2011, we had committed revolving credit agreements from banks permitting aggregate borrowings of up to $3.0 billion under a $1.6 billion revolving credit agreement and a $1.4 billion multicurrency revolving credit agreement, which expire in November 2014 and December 2014, respectively. As of September 30, 2011, there were no borrowings under either of these revolving credit agreements. The undrawn portions of our revolving credit agreements are also available to serve as backup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the issuance of commercial paper. As of September 30, 2011, our maximum commercial paper borrowing authority was $3 billion.</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Restricted cash as of September 30, 2011 was not significant. As of December 31, 2010, the amount of restricted cash was approximately $75 million, all of which was included in current assets.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56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6"/>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operating activities</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4,578</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increase in cash generated from operating activities in the first nine months of 2011 as compared with the same period in 2010 was due largely to the increase in net income attributable to common shareowners as a result of higher sales volumes and to lower global pension cash contributions. These benefits were partially offset by higher working capital cash requirements. During the first nine months of 2011, the net increase in working capital resulted in a cash outflow of $693 million compared to a cash inflow of $31 million during the first nine months of 2010. This increase of $724 million was primarily driven by higher accounts receivable due to increased sales volumes, as well as reduced advances at Sikorsky.</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nine months of 2011 and 2010 were $247 million and $699 million, respectively. During the first nine months of 2011 and 2010, we also contributed $450 and $250 million, respectively, in UTC common stock to our defined benefit pension plans. Our domestic pension plans are nearly 90% funded on a projected benefit obligation basis and we are not required to make additional contributions to our domestic pension plans through the end of 2012. Contributions to our defined benefit pension plans in 2011 are expected to meet or exceed the current funding requirements.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200" w:type="dxa"/>
            <w:vAlign w:val="bottom"/>
            <w:vMerge w:val="restart"/>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w w:val="96"/>
              </w:rPr>
              <w:t>2011</w:t>
            </w: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investing activities</w:t>
            </w: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w:t>
            </w:r>
          </w:p>
        </w:tc>
        <w:tc>
          <w:tcPr>
            <w:tcW w:w="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decrease in cash used in investing activities was largely a result of a decrease in acquisition activity in the first nine months of 2011, as compared with the same period of 2010. Investments in businesses in the first nine months of 2011 consisted of a number of small acquisitions in both our commercial and aerospace businesses. Investments in businesses in the first nine months of 2010 primarily reflected the acquisition of the GE Security business for approximately $1.8 billion and the acquisition of a 49.9% equity stake in Clipper for approximately $270 million. We expect total investments in businesses in 2011 to be less than $500 million, including acquisitions completed during the first nine months of 2011, however, actual acquisition spending may vary depending upon</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timing, availability and appropriate value of acquisition opportunities. Capital expenditures increased $126 million primarily at Carrier and Hamilton Sundstrand, which included expenditures related to new product launches and investment in low-cost manufacturing facilities.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Customer financing activities were a net source of cash of $43 million for the first nine months of 2011, compared to a net use of cash of $29 million for the same period in 2010. While we expect that 2011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$2.2 billion and $2.0 billion related to commercial aircraft and certain contractual rights to provide product on new aircraft platforms at September 30, 2011 and December 31, 2010, respectively, of which as much as $224 million may be required to be disbursed during 2011.</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200" w:type="dxa"/>
            <w:vAlign w:val="bottom"/>
            <w:vMerge w:val="restart"/>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financing activities</w:t>
            </w:r>
          </w:p>
        </w:tc>
        <w:tc>
          <w:tcPr>
            <w:tcW w:w="1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(2,410)</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$1,080 million of commercial paper outstanding at September 30, 2011.</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repurchased $2.2 billion of our common stock in the first nine months of 2011, under an existing 60 million share repurchase program. Share repurchases in the first nine months of 2011 represented approximately 26.9 million shares. In addition to management’s view that the repurchase of our common stock is a beneficial investment, we also repurchase to offset the dilutive effect of the issuance of stock and options under the stock-based employee benefit programs. At September 30, 2011, management had authority to repurchase approximately 7 million shares under the previously announced share repurchase program. Our share repurchases vary depending upon various factors including the level of other investing activities. However, as a result of our pending acquisition of Goodrich, we have suspended additional share repurchases until September 30, 2012, and will significantly reduce repurchases for two years thereafter.</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paid dividends on Common Stock of $0.425 per share in the first quarter of 2011 totaling $368 million in the aggregate, $0.48 per share in the second quarter of 2011 totaling $413 million in the aggregate, and $0.48 per share in the third quarter of 2011 totaling $411 million in the aggregate. On October 12, 2011, the Board of Directors declared a dividend of $0.48 per share payable December 10, 2011 to shareowners of record at the close of business on November 18, 2011.</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2010 Annual Report, incorporated by reference in our 2010 Form 10-K, we disclosed our off-balance sheet arrangements and contractual obligations. At September 30, 2011,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nine months of 2011. For discussion of our exposure to market risk, refer to Part II, Item 7A, “Quantitative and Qualitative Disclosures About Market Risk,” contained in our 2010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September 30, 2011.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2011,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2011 that has materially affected, or is reasonably likely to materially affect, our internal control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earnings, cash flow, results of operations, uses of cash and other measures of financial performance;</w:t>
      </w:r>
    </w:p>
    <w:p>
      <w:pPr>
        <w:spacing w:after="0" w:line="90" w:lineRule="exact"/>
        <w:rPr>
          <w:rFonts w:ascii="Arial" w:cs="Arial" w:eastAsia="Arial" w:hAnsi="Arial"/>
          <w:sz w:val="18"/>
          <w:szCs w:val="18"/>
          <w:color w:val="auto"/>
        </w:rPr>
      </w:pPr>
    </w:p>
    <w:p>
      <w:pPr>
        <w:ind w:left="900" w:right="60" w:hanging="325"/>
        <w:spacing w:after="0" w:line="323"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right="2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respect of our recently announced agreement to acquire Goodrich and Pratt &amp; Whitney’s recently announced transactions with Rolls-Royce, the satisfaction of conditions precedent to, and consummation of, the proposed transactions, the timing of consummation of the proposed transactions, and the ability of the parties to secure regulatory approvals, and in the case of the Goodrich transaction, the approval of Goodrich’s shareholders, in a timely manner;</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respect of our recently announced agreement to acquire Goodrich, our ability to integrate the acquired operations and to realize opportunities for growth and innovation;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levels of indebtedness and capital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availability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in this Form 10-Q and in our 2010 Form 10-K. Our 2010 Form 10-K also includes important information as to these risk factors in the “Business” section under the headings “General,” “Description of Business by Segment” and “Other Matters Relating to Our Business as a Whole,” and in the “Legal Proceedings” section. Additional important information as to these factors is included in our 2010 Annual Report in the section titled “Management’s Discussion and Analysis of Financial Condition and Results of Operations” under the headings “Environmental Matters” and “Restructuring Costs.” For additional information identifying factors that may cause actual results to vary materially from those stated in the forward-looking statements, see our reports on Forms 10-K, 10-Q and 8-K filed with the SEC from time to time.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previously disclosed, on February 21, 2007, the European Commission’s Competition Directorate ruled that Otis’ subsidiaries in Belgium, Luxembourg and the Netherlands, and a portion of the business of Otis’ German subsidiary, violated European Union (EU) competition rules and assessed a €225 million (approximately $300 million) civil fine against Otis, its relevant local entities, and UTC, which was paid during 2007. In May 2007, we filed an appeal of the decision with the General Court of the European Court of Justice (General Court). On July 13, 2011, the General Court rejected our appeal. On July 23, 2011, we filed an appeal of the judgment with the European Court of Justice.</w:t>
      </w:r>
    </w:p>
    <w:p>
      <w:pPr>
        <w:spacing w:after="0" w:line="11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Except as noted above, there have been no material developments in legal proceedings. For a description of previously reported legal proceedings refer to Part I, Item 3, “Legal Proceedings,” of our 2010 Form 10-K and Part II, Item 1, “Legal Proceedings,” of our 2011 Form 10-Q for the quarter ended June 30, 2011.</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Over the first nine months of 2011, the global economy continued to show signs of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some recent positive economic indicators, uncertainty continues to exist as to the overall rate and stability of the recovery. Global gross domestic product growth continues to be led by emerging markets, particularly in Brazil, Russia, India and China, while in the developed economies, particularly in Europe, the recovery remains sluggish due to the unwinding of fiscal stimuli, lingering high unemployment, concerns over European sovereign debt issues and the tightening of government budgets. As a result, further disruptions in Europe or in other economies could affect our revenues or liquidity.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consumer confidence in the U.S. has improved since the economic downturn, it still remains low, while unemployment remains high and the housing market remains depressed.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 U.S. Dollar against certain major currencies such as the Euro, the Canadian Dollar and other currencies also adversely affects our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results of our commercial and industrial businesses, which generated approximately 57% of our consolidated net sales in 2010,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For example, a slowdown in building and remodeling activity can adversely affect Carrier’s business. In addition to these factors, Carrier’s financial performance can also be influenced by production and utilization of transport equipment and, particularly in its residential business, weather conditions.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43% of our consolidated net sales in 2010, are directly tied to the economic conditions in the commercial aviation and defense industries, which are cyclical in nature. Although the operating environment currently faced by commercial airlines has shown signs of gradual improvement in 2010 and over the first nine months of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2011,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cash flows, competitive position,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based on the policies of a new administration or Congress.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60% of our total 2010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w:t>
      </w:r>
    </w:p>
    <w:p>
      <w:pPr>
        <w:ind w:right="80"/>
        <w:spacing w:after="0" w:line="254" w:lineRule="auto"/>
        <w:rPr>
          <w:sz w:val="20"/>
          <w:szCs w:val="20"/>
          <w:color w:val="auto"/>
        </w:rPr>
      </w:pPr>
      <w:r>
        <w:rPr>
          <w:rFonts w:ascii="Arial" w:cs="Arial" w:eastAsia="Arial" w:hAnsi="Arial"/>
          <w:sz w:val="18"/>
          <w:szCs w:val="18"/>
          <w:color w:val="auto"/>
        </w:rPr>
        <w:t>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2010 Annual Report and Note 8 to the Condensed Consolidated Financial Statements in this Form 10-Q for a discussion of our hedging strategies.</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cash flows, competitive position, financial condition or results of operations.</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cash flows, competitive position, financial condition or results of operations.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on September 21, 2011, we announced that we entered into an agreement to acquire Goodrich, and on October 12, 2011, Pratt &amp; Whitney announced that Rolls-Royce will sell its equity and program shares in IAE to Pratt &amp; Whitney and that Pratt &amp; Whitney and Rolls-Royce have agreed to form a new venture to develop engines to power future mid-size aircraft.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success of these transactions will depend on our ability to integrate assets and personnel acquired in connection with these transactions, apply our internal controls processes to these acquired businesses, and cooperate with our strategic partners. However,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In addition, the success of our pending acquisition of Goodrich and Pratt &amp; Whitney’s recently announced transactions with Rolls-Royce will depend on the satisfaction of conditions precedent to, and consummation of, the proposed transactions, the timing of consummation of the proposed transactions, and the ability of the parties to secure regulatory approvals, and in the case of the Goodrich transaction, the approval of Goodrich’s shareholders, in a timely manner.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 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cash flows, competitive position,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possible liability relating to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2010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cash flows, competitive position,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Business Disruptions</w:t>
      </w:r>
    </w:p>
    <w:p>
      <w:pPr>
        <w:spacing w:after="0" w:line="171"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Our business may be impacted by disruptions, including threats to physical security, information technology attacks or failures, damaging weather or other acts of nature, pandemics or other public health crises. Any of these disruptions could affect our internal operations or our ability to provide products and services to our customers. We believe that we have adopted appropriate measures to mitigate potential risks to our technology and our operations from such disruptions.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However, given the unpredictability of the timing, nature and scope of such disruptions, we could potentially be subject to production downtimes, operational delays, the compromising of confidential information, destruction of data, or the manipulation or improper use of our systems and networks, any of which could have a material adverse effect on our cash flows, competitive position, financial condition or results of operations.</w:t>
      </w:r>
    </w:p>
    <w:p>
      <w:pPr>
        <w:spacing w:after="0" w:line="1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We may also be subject to disruptions, losses and liability resulting from information technology attacks or failures.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cash flows, competitive position, financial condition or results of operations.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2011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Total Number of Shares</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 that may yet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Total Number of Shares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be 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80" w:type="dxa"/>
            <w:vAlign w:val="bottom"/>
          </w:tcPr>
          <w:p>
            <w:pPr>
              <w:jc w:val="right"/>
              <w:ind w:right="301"/>
              <w:spacing w:after="0" w:line="149" w:lineRule="exact"/>
              <w:rPr>
                <w:sz w:val="20"/>
                <w:szCs w:val="20"/>
                <w:color w:val="auto"/>
              </w:rPr>
            </w:pPr>
            <w:r>
              <w:rPr>
                <w:rFonts w:ascii="Arial" w:cs="Arial" w:eastAsia="Arial" w:hAnsi="Arial"/>
                <w:sz w:val="14"/>
                <w:szCs w:val="14"/>
                <w:b w:val="1"/>
                <w:bCs w:val="1"/>
                <w:color w:val="auto"/>
              </w:rPr>
              <w:t>Purchased</w:t>
            </w:r>
          </w:p>
        </w:tc>
        <w:tc>
          <w:tcPr>
            <w:tcW w:w="700" w:type="dxa"/>
            <w:vAlign w:val="bottom"/>
          </w:tcPr>
          <w:p>
            <w:pPr>
              <w:spacing w:after="0"/>
              <w:rPr>
                <w:sz w:val="12"/>
                <w:szCs w:val="12"/>
                <w:color w:val="auto"/>
              </w:rPr>
            </w:pPr>
          </w:p>
        </w:tc>
        <w:tc>
          <w:tcPr>
            <w:tcW w:w="18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20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Program</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the Program</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80" w:type="dxa"/>
            <w:vAlign w:val="bottom"/>
          </w:tcPr>
          <w:p>
            <w:pPr>
              <w:jc w:val="right"/>
              <w:ind w:right="421"/>
              <w:spacing w:after="0" w:line="148" w:lineRule="exact"/>
              <w:rPr>
                <w:sz w:val="20"/>
                <w:szCs w:val="20"/>
                <w:color w:val="auto"/>
              </w:rPr>
            </w:pPr>
            <w:r>
              <w:rPr>
                <w:rFonts w:ascii="Arial" w:cs="Arial" w:eastAsia="Arial" w:hAnsi="Arial"/>
                <w:sz w:val="14"/>
                <w:szCs w:val="14"/>
                <w:b w:val="1"/>
                <w:bCs w:val="1"/>
                <w:color w:val="auto"/>
              </w:rPr>
              <w:t>(000’s)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per Share</w:t>
            </w:r>
          </w:p>
        </w:tc>
        <w:tc>
          <w:tcPr>
            <w:tcW w:w="208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(000’s)</w:t>
            </w:r>
          </w:p>
        </w:tc>
        <w:tc>
          <w:tcPr>
            <w:tcW w:w="13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2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1 - July 31</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1,710</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87.82</w:t>
            </w:r>
          </w:p>
        </w:tc>
        <w:tc>
          <w:tcPr>
            <w:tcW w:w="7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1,708</w:t>
            </w:r>
          </w:p>
        </w:tc>
        <w:tc>
          <w:tcPr>
            <w:tcW w:w="7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August 1 - August 31</w:t>
            </w:r>
          </w:p>
        </w:tc>
        <w:tc>
          <w:tcPr>
            <w:tcW w:w="1380" w:type="dxa"/>
            <w:vAlign w:val="bottom"/>
          </w:tcPr>
          <w:p>
            <w:pPr>
              <w:jc w:val="right"/>
              <w:spacing w:after="0"/>
              <w:rPr>
                <w:sz w:val="20"/>
                <w:szCs w:val="20"/>
                <w:color w:val="auto"/>
              </w:rPr>
            </w:pPr>
            <w:r>
              <w:rPr>
                <w:rFonts w:ascii="Arial" w:cs="Arial" w:eastAsia="Arial" w:hAnsi="Arial"/>
                <w:sz w:val="18"/>
                <w:szCs w:val="18"/>
                <w:color w:val="auto"/>
              </w:rPr>
              <w:t>4,526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70.56</w:t>
            </w:r>
          </w:p>
        </w:tc>
        <w:tc>
          <w:tcPr>
            <w:tcW w:w="2080" w:type="dxa"/>
            <w:vAlign w:val="bottom"/>
            <w:gridSpan w:val="2"/>
          </w:tcPr>
          <w:p>
            <w:pPr>
              <w:jc w:val="right"/>
              <w:ind w:right="700"/>
              <w:spacing w:after="0"/>
              <w:rPr>
                <w:sz w:val="20"/>
                <w:szCs w:val="20"/>
                <w:color w:val="auto"/>
              </w:rPr>
            </w:pPr>
            <w:r>
              <w:rPr>
                <w:rFonts w:ascii="Arial" w:cs="Arial" w:eastAsia="Arial" w:hAnsi="Arial"/>
                <w:sz w:val="18"/>
                <w:szCs w:val="18"/>
                <w:color w:val="auto"/>
              </w:rPr>
              <w:t>4,525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7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22"/>
        </w:trPr>
        <w:tc>
          <w:tcPr>
            <w:tcW w:w="366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9,100</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74.20</w:t>
            </w:r>
          </w:p>
        </w:tc>
        <w:tc>
          <w:tcPr>
            <w:tcW w:w="2080" w:type="dxa"/>
            <w:vAlign w:val="bottom"/>
            <w:gridSpan w:val="2"/>
          </w:tcPr>
          <w:p>
            <w:pPr>
              <w:jc w:val="right"/>
              <w:ind w:right="700"/>
              <w:spacing w:after="0"/>
              <w:rPr>
                <w:sz w:val="20"/>
                <w:szCs w:val="20"/>
                <w:color w:val="auto"/>
              </w:rPr>
            </w:pPr>
            <w:r>
              <w:rPr>
                <w:rFonts w:ascii="Arial" w:cs="Arial" w:eastAsia="Arial" w:hAnsi="Arial"/>
                <w:sz w:val="18"/>
                <w:szCs w:val="18"/>
                <w:color w:val="auto"/>
              </w:rPr>
              <w:t>9,097</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repurchase shares under a program announced on March 10, 2010, which authorized the repurchase of up to 60 million shares of our common stock. Under the current program, shares may be purchased on the open market, in privately negotiated transactions and under plans complying with Rules 10b5-1 and 10b-18 under the Exchange Act. These repurchases are included within the scope of the overall repurchase program authorized in March 2010. We may also reacquire shares outside of the program from time to time in connection with the surrender of shares to cover taxes on vesting of restricted stock. Approximately 3,000 shares were reacquired in transactions outside the program during the quarter ended September 30, 2011.</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16"/>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nine months ended September 30, 2011 and 2010, (ii) Condensed Consolidated Balance Sheet at September 30, 2011 and December 31, 2010, (iii) Condensed Consolidated Statement of Cash Flows for the nine months ended September 30,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spacing w:after="0"/>
        <w:tabs>
          <w:tab w:leader="none" w:pos="5600" w:val="left"/>
          <w:tab w:leader="none" w:pos="7640" w:val="left"/>
          <w:tab w:leader="none" w:pos="7980" w:val="left"/>
        </w:tabs>
        <w:rPr>
          <w:sz w:val="20"/>
          <w:szCs w:val="20"/>
          <w:color w:val="auto"/>
        </w:rPr>
      </w:pPr>
      <w:r>
        <w:rPr>
          <w:rFonts w:ascii="Arial" w:cs="Arial" w:eastAsia="Arial" w:hAnsi="Arial"/>
          <w:sz w:val="18"/>
          <w:szCs w:val="18"/>
          <w:color w:val="auto"/>
        </w:rPr>
        <w:t>Dated: October 24,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600" w:val="left"/>
          <w:tab w:leader="none" w:pos="7680" w:val="left"/>
          <w:tab w:leader="none" w:pos="8040" w:val="left"/>
        </w:tabs>
        <w:rPr>
          <w:sz w:val="20"/>
          <w:szCs w:val="20"/>
          <w:color w:val="auto"/>
        </w:rPr>
      </w:pPr>
      <w:r>
        <w:rPr>
          <w:rFonts w:ascii="Arial" w:cs="Arial" w:eastAsia="Arial" w:hAnsi="Arial"/>
          <w:sz w:val="18"/>
          <w:szCs w:val="18"/>
          <w:color w:val="auto"/>
        </w:rPr>
        <w:t>Dated: October 24,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Peter F. Longo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240" w:top="459" w:right="5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nine months ended September 30, 2011 and 2010, (ii) Condensed Consolidated Balance Sheet at September 30, 2011 and December 31, 2010, (iii) Condensed Consolidated Statement of Cash Flows for the nine months ended September 30,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3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(Dollars in millions)</w:t>
            </w:r>
          </w:p>
        </w:tc>
        <w:tc>
          <w:tcPr>
            <w:tcW w:w="296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240" w:type="dxa"/>
            <w:vAlign w:val="bottom"/>
            <w:tcBorders>
              <w:bottom w:val="single" w:sz="8" w:color="auto"/>
            </w:tcBorders>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8"/>
              <w:spacing w:after="0" w:line="129"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Charges:</w:t>
            </w:r>
          </w:p>
        </w:tc>
        <w:tc>
          <w:tcPr>
            <w:tcW w:w="18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charges</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23"/>
        </w:trPr>
        <w:tc>
          <w:tcPr>
            <w:tcW w:w="4460" w:type="dxa"/>
            <w:vAlign w:val="bottom"/>
          </w:tcPr>
          <w:p>
            <w:pPr>
              <w:ind w:left="440"/>
              <w:spacing w:after="0"/>
              <w:rPr>
                <w:sz w:val="20"/>
                <w:szCs w:val="20"/>
                <w:color w:val="auto"/>
              </w:rPr>
            </w:pPr>
            <w:r>
              <w:rPr>
                <w:rFonts w:ascii="Arial" w:cs="Arial" w:eastAsia="Arial" w:hAnsi="Arial"/>
                <w:sz w:val="18"/>
                <w:szCs w:val="18"/>
                <w:color w:val="auto"/>
              </w:rPr>
              <w:t>Fixed charges per above</w:t>
            </w:r>
          </w:p>
        </w:tc>
        <w:tc>
          <w:tcPr>
            <w:tcW w:w="1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capitalized interest</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4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interest capitalized</w:t>
            </w:r>
          </w:p>
        </w:tc>
        <w:tc>
          <w:tcPr>
            <w:tcW w:w="1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Total earnings</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6,394</w:t>
            </w:r>
          </w:p>
        </w:tc>
        <w:tc>
          <w:tcPr>
            <w:tcW w:w="4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77470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$14 million and $20 million for the nine months ended September 30, 2011 and 2010, respectively. The ratio of earnings to fixed charges would have been 10.50 and 8.34 for the nine months ended September 30, 2011 and 2010, respectively, if such interest were excluded from the calculation. Reasonable approximation of the interest factor.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60" w:space="400"/>
            <w:col w:w="10960"/>
          </w:cols>
          <w:pgMar w:left="240" w:top="125"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24,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aware that our report dated October 24, 2011 on our review of interim financial information of United Technologies Corporation (the “Corporation”) for the three-month and nine-month periods ended September 30, 2011 and 2010 and included in the Corporation’s quarterly report on Form 10-Q for the quarter ended September 30, 2011 is incorporated by reference in its Registration Statement on Form S-3 (No. 333-167771), in the Registration Statement on Form S-4 (No. 333-77991) as amended by Post-Effective Amendment No. 1 on Form S-8 (No. 333-77991) and in the Registration Statements on Form S-8 (Nos. 333-175781, 333-175780, 333-156390, 333-125293, 333-110020, 333-100724, 333-100723, 333-100718, 333-82911, 333-77817, 333-21853, 333-21851, 033-57769 and 033-51385).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9"/>
        </w:trPr>
        <w:tc>
          <w:tcPr>
            <w:tcW w:w="550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01"/>
        </w:trPr>
        <w:tc>
          <w:tcPr>
            <w:tcW w:w="5500" w:type="dxa"/>
            <w:vAlign w:val="bottom"/>
          </w:tcPr>
          <w:p>
            <w:pPr>
              <w:spacing w:after="0"/>
              <w:rPr>
                <w:sz w:val="17"/>
                <w:szCs w:val="17"/>
                <w:color w:val="auto"/>
              </w:rPr>
            </w:pPr>
          </w:p>
        </w:tc>
        <w:tc>
          <w:tcPr>
            <w:tcW w:w="5920" w:type="dxa"/>
            <w:vAlign w:val="bottom"/>
          </w:tcPr>
          <w:p>
            <w:pPr>
              <w:ind w:left="100"/>
              <w:spacing w:after="0" w:line="201" w:lineRule="exact"/>
              <w:rPr>
                <w:sz w:val="20"/>
                <w:szCs w:val="20"/>
                <w:color w:val="auto"/>
              </w:rPr>
            </w:pPr>
            <w:r>
              <w:rPr>
                <w:rFonts w:ascii="Arial" w:cs="Arial" w:eastAsia="Arial" w:hAnsi="Arial"/>
                <w:sz w:val="18"/>
                <w:szCs w:val="18"/>
                <w:color w:val="auto"/>
              </w:rPr>
              <w:t>Louis R. Chênevert</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Date: October 24, 2011</w:t>
            </w:r>
          </w:p>
        </w:tc>
        <w:tc>
          <w:tcPr>
            <w:tcW w:w="5920" w:type="dxa"/>
            <w:vAlign w:val="bottom"/>
          </w:tcPr>
          <w:p>
            <w:pPr>
              <w:ind w:left="100"/>
              <w:spacing w:after="0"/>
              <w:rPr>
                <w:sz w:val="20"/>
                <w:szCs w:val="20"/>
                <w:color w:val="auto"/>
              </w:rPr>
            </w:pPr>
            <w:r>
              <w:rPr>
                <w:rFonts w:ascii="Arial" w:cs="Arial" w:eastAsia="Arial" w:hAnsi="Arial"/>
                <w:sz w:val="18"/>
                <w:szCs w:val="18"/>
                <w:color w:val="auto"/>
              </w:rPr>
              <w:t>Chairman &amp; Chief Executive Officer</w:t>
            </w:r>
          </w:p>
        </w:tc>
      </w:tr>
      <w:tr>
        <w:trPr>
          <w:trHeight w:val="365"/>
        </w:trPr>
        <w:tc>
          <w:tcPr>
            <w:tcW w:w="5500" w:type="dxa"/>
            <w:vAlign w:val="bottom"/>
          </w:tcPr>
          <w:p>
            <w:pPr>
              <w:spacing w:after="0"/>
              <w:rPr>
                <w:sz w:val="24"/>
                <w:szCs w:val="24"/>
                <w:color w:val="auto"/>
              </w:rPr>
            </w:pPr>
          </w:p>
        </w:tc>
        <w:tc>
          <w:tcPr>
            <w:tcW w:w="5920" w:type="dxa"/>
            <w:vAlign w:val="bottom"/>
          </w:tcPr>
          <w:p>
            <w:pPr>
              <w:jc w:val="right"/>
              <w:ind w:right="5532"/>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9"/>
        </w:trPr>
        <w:tc>
          <w:tcPr>
            <w:tcW w:w="3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01"/>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Gregory J. Hayes</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 October 24, 2011</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08"/>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 October 24, 2011</w:t>
            </w:r>
          </w:p>
        </w:tc>
        <w:tc>
          <w:tcPr>
            <w:tcW w:w="24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Controller</w:t>
            </w:r>
          </w:p>
        </w:tc>
      </w:tr>
      <w:tr>
        <w:trPr>
          <w:trHeight w:val="365"/>
        </w:trPr>
        <w:tc>
          <w:tcPr>
            <w:tcW w:w="3640" w:type="dxa"/>
            <w:vAlign w:val="bottom"/>
          </w:tcPr>
          <w:p>
            <w:pPr>
              <w:spacing w:after="0"/>
              <w:rPr>
                <w:sz w:val="24"/>
                <w:szCs w:val="24"/>
                <w:color w:val="auto"/>
              </w:rPr>
            </w:pP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Quarterly Report on Form 10-Q for the quarter ended September 30, 2011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October 24, 2011</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02"/>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Louis R. Chênevert</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 October 24, 2011</w:t>
            </w:r>
          </w:p>
        </w:tc>
        <w:tc>
          <w:tcPr>
            <w:tcW w:w="2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02"/>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Gregory J. Hayes</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 October 24, 2011</w:t>
            </w:r>
          </w:p>
        </w:tc>
        <w:tc>
          <w:tcPr>
            <w:tcW w:w="2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02"/>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Peter F. Longo</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Controller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31"/>
    </w:lvl>
  </w:abstractNum>
  <w:abstractNum w:abstractNumId="8">
    <w:nsid w:val="216231B"/>
    <w:multiLevelType w:val="hybridMultilevel"/>
    <w:lvl w:ilvl="0">
      <w:lvlJc w:val="left"/>
      <w:lvlText w:val="%1"/>
      <w:numFmt w:val="decimal"/>
      <w:start w:val="3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2019-12-10T04:19:37Z</dcterms:created>
  <dcterms:modified xsi:type="dcterms:W3CDTF">2019-12-10T04:19:37Z</dcterms:modified>
</cp:coreProperties>
</file>