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347"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1-812</w:t>
      </w:r>
    </w:p>
    <w:p>
      <w:pPr>
        <w:spacing w:after="0" w:line="202"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15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UNITED TECHNOLOGIES CORPORATION</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ectPr>
          <w:pgSz w:w="11900" w:h="16838" w:orient="portrait"/>
          <w:cols w:equalWidth="0" w:num="1">
            <w:col w:w="11380"/>
          </w:cols>
          <w:pgMar w:left="240" w:top="229" w:right="279" w:bottom="1440" w:gutter="0" w:footer="0" w:header="0"/>
        </w:sectPr>
      </w:pPr>
    </w:p>
    <w:p>
      <w:pPr>
        <w:spacing w:after="0" w:line="151"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06-0570975</w:t>
      </w:r>
    </w:p>
    <w:p>
      <w:pPr>
        <w:spacing w:after="0" w:line="86" w:lineRule="exact"/>
        <w:rPr>
          <w:sz w:val="24"/>
          <w:szCs w:val="24"/>
          <w:color w:val="auto"/>
        </w:rPr>
      </w:pPr>
    </w:p>
    <w:p>
      <w:pPr>
        <w:sectPr>
          <w:pgSz w:w="11900" w:h="16838" w:orient="portrait"/>
          <w:cols w:equalWidth="0" w:num="2">
            <w:col w:w="7520" w:space="720"/>
            <w:col w:w="3140"/>
          </w:cols>
          <w:pgMar w:left="240" w:top="229" w:right="2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10 Farm Springs Road, Farmington, Connecticut 06032</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ectPr>
          <w:pgSz w:w="11900" w:h="16838" w:orient="portrait"/>
          <w:cols w:equalWidth="0" w:num="1">
            <w:col w:w="11380"/>
          </w:cols>
          <w:pgMar w:left="240" w:top="229" w:right="279" w:bottom="1440" w:gutter="0" w:footer="0" w:header="0"/>
          <w:type w:val="continuous"/>
        </w:sectPr>
      </w:pPr>
    </w:p>
    <w:p>
      <w:pPr>
        <w:spacing w:after="0" w:line="23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type w:val="continuous"/>
        </w:sectPr>
      </w:pPr>
    </w:p>
    <w:p>
      <w:pPr>
        <w:spacing w:after="0" w:line="34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540"/>
            <w:col w:w="5440" w:space="720"/>
            <w:col w:w="2000" w:space="720"/>
            <w:col w:w="300"/>
          </w:cols>
          <w:pgMar w:left="240" w:top="229"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60" w:space="640"/>
            <w:col w:w="180" w:space="40"/>
            <w:col w:w="5220" w:space="720"/>
            <w:col w:w="2000" w:space="720"/>
            <w:col w:w="300"/>
          </w:cols>
          <w:pgMar w:left="240" w:top="229" w:right="279" w:bottom="1440" w:gutter="0" w:footer="0" w:header="0"/>
          <w:type w:val="continuous"/>
        </w:sectPr>
      </w:pPr>
    </w:p>
    <w:p>
      <w:pPr>
        <w:spacing w:after="0" w:line="43" w:lineRule="exact"/>
        <w:rPr>
          <w:sz w:val="24"/>
          <w:szCs w:val="24"/>
          <w:color w:val="auto"/>
        </w:rPr>
      </w:pPr>
    </w:p>
    <w:p>
      <w:pPr>
        <w:ind w:left="440"/>
        <w:spacing w:after="0" w:line="207" w:lineRule="exact"/>
        <w:tabs>
          <w:tab w:leader="none" w:pos="8780" w:val="left"/>
          <w:tab w:leader="none" w:pos="9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At September 30, 2015 there were 887,020,937 shares of Common Stock outstanding.</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September 30, 2015</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324"/>
        </w:trPr>
        <w:tc>
          <w:tcPr>
            <w:tcW w:w="10700" w:type="dxa"/>
            <w:vAlign w:val="bottom"/>
            <w:gridSpan w:val="20"/>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90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Unaudited Financial Statements:</w:t>
              </w:r>
            </w:hyperlink>
          </w:p>
        </w:tc>
        <w:tc>
          <w:tcPr>
            <w:tcW w:w="7660" w:type="dxa"/>
            <w:vAlign w:val="bottom"/>
            <w:gridSpan w:val="10"/>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8"/>
              </w:rPr>
              <w:t>Condensed Consolidated Statement of Operations for the quarters ended September 30, 2015 and 2014</w:t>
            </w:r>
          </w:p>
        </w:tc>
        <w:tc>
          <w:tcPr>
            <w:tcW w:w="294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2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 of Operations for the nine months ended September 30, 2015 and 2014</w:t>
              </w:r>
            </w:hyperlink>
          </w:p>
        </w:tc>
        <w:tc>
          <w:tcPr>
            <w:tcW w:w="2640" w:type="dxa"/>
            <w:vAlign w:val="bottom"/>
            <w:gridSpan w:val="3"/>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8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 of Comprehensive Income for the quarters and nine months ended September 30, 2015 and 2014</w:t>
              </w:r>
            </w:hyperlink>
          </w:p>
        </w:tc>
        <w:tc>
          <w:tcPr>
            <w:tcW w:w="78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0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 at September 30, 2015 and December 31, 2014</w:t>
              </w:r>
            </w:hyperlink>
          </w:p>
        </w:tc>
        <w:tc>
          <w:tcPr>
            <w:tcW w:w="406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8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 of Cash Flows for the nine months ended September 30, 2015 and 2014</w:t>
              </w:r>
            </w:hyperlink>
          </w:p>
        </w:tc>
        <w:tc>
          <w:tcPr>
            <w:tcW w:w="258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8"/>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Report of Independent Registered Public Accounting Firm</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0560" w:type="dxa"/>
            <w:vAlign w:val="bottom"/>
            <w:gridSpan w:val="19"/>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2. 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29</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6980" w:type="dxa"/>
            <w:vAlign w:val="bottom"/>
            <w:gridSpan w:val="14"/>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3. Quantitative and Qualitative Disclosures About Market Risk</w:t>
              </w:r>
            </w:hyperlink>
          </w:p>
        </w:tc>
        <w:tc>
          <w:tcPr>
            <w:tcW w:w="3580" w:type="dxa"/>
            <w:vAlign w:val="bottom"/>
            <w:gridSpan w:val="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320" w:type="dxa"/>
            <w:vAlign w:val="bottom"/>
            <w:gridSpan w:val="6"/>
          </w:tcPr>
          <w:p>
            <w:pPr>
              <w:spacing w:after="0"/>
              <w:rPr>
                <w:rFonts w:ascii="Arial" w:cs="Arial" w:eastAsia="Arial" w:hAnsi="Arial"/>
                <w:sz w:val="18"/>
                <w:szCs w:val="18"/>
                <w:color w:val="0000FF"/>
                <w:w w:val="88"/>
              </w:rPr>
            </w:pPr>
            <w:hyperlink w:anchor="page45">
              <w:r>
                <w:rPr>
                  <w:rFonts w:ascii="Arial" w:cs="Arial" w:eastAsia="Arial" w:hAnsi="Arial"/>
                  <w:sz w:val="18"/>
                  <w:szCs w:val="18"/>
                  <w:color w:val="0000FF"/>
                  <w:w w:val="88"/>
                </w:rPr>
                <w:t>Item 4. Controls and Procedures</w:t>
              </w:r>
            </w:hyperlink>
          </w:p>
        </w:tc>
        <w:tc>
          <w:tcPr>
            <w:tcW w:w="2580" w:type="dxa"/>
            <w:vAlign w:val="bottom"/>
            <w:gridSpan w:val="6"/>
          </w:tcPr>
          <w:p>
            <w:pPr>
              <w:spacing w:after="0"/>
              <w:rPr>
                <w:sz w:val="24"/>
                <w:szCs w:val="24"/>
                <w:color w:val="auto"/>
              </w:rPr>
            </w:pPr>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46</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60" w:type="dxa"/>
            <w:vAlign w:val="bottom"/>
            <w:gridSpan w:val="8"/>
          </w:tcPr>
          <w:p>
            <w:pPr>
              <w:spacing w:after="0"/>
              <w:rPr>
                <w:rFonts w:ascii="Arial" w:cs="Arial" w:eastAsia="Arial" w:hAnsi="Arial"/>
                <w:sz w:val="18"/>
                <w:szCs w:val="18"/>
                <w:color w:val="0000FF"/>
                <w:w w:val="95"/>
              </w:rPr>
            </w:pPr>
            <w:hyperlink w:anchor="page48">
              <w:r>
                <w:rPr>
                  <w:rFonts w:ascii="Arial" w:cs="Arial" w:eastAsia="Arial" w:hAnsi="Arial"/>
                  <w:sz w:val="18"/>
                  <w:szCs w:val="18"/>
                  <w:color w:val="0000FF"/>
                  <w:w w:val="95"/>
                </w:rPr>
                <w:t>PART II – OTHER INFORMATION</w:t>
              </w:r>
            </w:hyperlink>
          </w:p>
        </w:tc>
        <w:tc>
          <w:tcPr>
            <w:tcW w:w="804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20"/>
        </w:trPr>
        <w:tc>
          <w:tcPr>
            <w:tcW w:w="1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880" w:type="dxa"/>
            <w:vAlign w:val="bottom"/>
            <w:gridSpan w:val="5"/>
          </w:tcPr>
          <w:p>
            <w:pPr>
              <w:spacing w:after="0"/>
              <w:rPr>
                <w:rFonts w:ascii="Arial" w:cs="Arial" w:eastAsia="Arial" w:hAnsi="Arial"/>
                <w:sz w:val="18"/>
                <w:szCs w:val="18"/>
                <w:color w:val="0000FF"/>
                <w:w w:val="88"/>
              </w:rPr>
            </w:pPr>
            <w:hyperlink w:anchor="page48">
              <w:r>
                <w:rPr>
                  <w:rFonts w:ascii="Arial" w:cs="Arial" w:eastAsia="Arial" w:hAnsi="Arial"/>
                  <w:sz w:val="18"/>
                  <w:szCs w:val="18"/>
                  <w:color w:val="0000FF"/>
                  <w:w w:val="88"/>
                </w:rPr>
                <w:t>Item 1. Legal Proceedings</w:t>
              </w:r>
            </w:hyperlink>
          </w:p>
        </w:tc>
        <w:tc>
          <w:tcPr>
            <w:tcW w:w="640" w:type="dxa"/>
            <w:vAlign w:val="bottom"/>
            <w:gridSpan w:val="2"/>
          </w:tcPr>
          <w:p>
            <w:pPr>
              <w:spacing w:after="0"/>
              <w:rPr>
                <w:sz w:val="24"/>
                <w:szCs w:val="24"/>
                <w:color w:val="auto"/>
              </w:rPr>
            </w:pPr>
          </w:p>
        </w:tc>
        <w:tc>
          <w:tcPr>
            <w:tcW w:w="804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580" w:type="dxa"/>
            <w:vAlign w:val="bottom"/>
            <w:gridSpan w:val="4"/>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Item 1A. Risk Factors</w:t>
              </w:r>
            </w:hyperlink>
          </w:p>
        </w:tc>
        <w:tc>
          <w:tcPr>
            <w:tcW w:w="300" w:type="dxa"/>
            <w:vAlign w:val="bottom"/>
          </w:tcPr>
          <w:p>
            <w:pPr>
              <w:spacing w:after="0"/>
              <w:rPr>
                <w:sz w:val="24"/>
                <w:szCs w:val="24"/>
                <w:color w:val="auto"/>
              </w:rPr>
            </w:pPr>
          </w:p>
        </w:tc>
        <w:tc>
          <w:tcPr>
            <w:tcW w:w="8680" w:type="dxa"/>
            <w:vAlign w:val="bottom"/>
            <w:gridSpan w:val="1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900" w:type="dxa"/>
            <w:vAlign w:val="bottom"/>
            <w:gridSpan w:val="12"/>
          </w:tcPr>
          <w:p>
            <w:pP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Item 2. Unregistered Sales of Equity Securities and Use of Proceeds</w:t>
              </w:r>
            </w:hyperlink>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900" w:type="dxa"/>
            <w:vAlign w:val="bottom"/>
            <w:gridSpan w:val="12"/>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Item 6. Exhibits</w:t>
              </w:r>
            </w:hyperlink>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2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3"/>
          </w:tcPr>
          <w:p>
            <w:pPr>
              <w:spacing w:after="0"/>
              <w:rPr>
                <w:rFonts w:ascii="Arial" w:cs="Arial" w:eastAsia="Arial" w:hAnsi="Arial"/>
                <w:sz w:val="18"/>
                <w:szCs w:val="18"/>
                <w:color w:val="0000FF"/>
                <w:w w:val="92"/>
              </w:rPr>
            </w:pPr>
            <w:hyperlink w:anchor="page49">
              <w:r>
                <w:rPr>
                  <w:rFonts w:ascii="Arial" w:cs="Arial" w:eastAsia="Arial" w:hAnsi="Arial"/>
                  <w:sz w:val="18"/>
                  <w:szCs w:val="18"/>
                  <w:color w:val="0000FF"/>
                  <w:w w:val="92"/>
                </w:rPr>
                <w:t>SIGNATURES</w:t>
              </w:r>
            </w:hyperlink>
          </w:p>
        </w:tc>
        <w:tc>
          <w:tcPr>
            <w:tcW w:w="9600" w:type="dxa"/>
            <w:vAlign w:val="bottom"/>
            <w:gridSpan w:val="1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50</w:t>
              </w:r>
            </w:hyperlink>
          </w:p>
        </w:tc>
      </w:tr>
      <w:tr>
        <w:trPr>
          <w:trHeight w:val="20"/>
        </w:trPr>
        <w:tc>
          <w:tcPr>
            <w:tcW w:w="110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2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gridSpan w:val="4"/>
          </w:tcPr>
          <w:p>
            <w:pPr>
              <w:spacing w:after="0"/>
              <w:rPr>
                <w:rFonts w:ascii="Arial" w:cs="Arial" w:eastAsia="Arial" w:hAnsi="Arial"/>
                <w:sz w:val="18"/>
                <w:szCs w:val="18"/>
                <w:color w:val="0000FF"/>
                <w:w w:val="95"/>
              </w:rPr>
            </w:pPr>
            <w:hyperlink w:anchor="page50">
              <w:r>
                <w:rPr>
                  <w:rFonts w:ascii="Arial" w:cs="Arial" w:eastAsia="Arial" w:hAnsi="Arial"/>
                  <w:sz w:val="18"/>
                  <w:szCs w:val="18"/>
                  <w:color w:val="0000FF"/>
                  <w:w w:val="95"/>
                </w:rPr>
                <w:t>EXHIBIT INDEX</w:t>
              </w:r>
            </w:hyperlink>
          </w:p>
        </w:tc>
        <w:tc>
          <w:tcPr>
            <w:tcW w:w="9420" w:type="dxa"/>
            <w:vAlign w:val="bottom"/>
            <w:gridSpan w:val="1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51</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"the Company," or "UTC," unless the context otherwise requires, mean United Technologies Corporation and its subsidiaries. References to internet web sites in this Form 10-Q are provided for convenience only. Information available through these web sites is not incorporated by reference into this Form 10-Q.</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Quarter Ended September 30,</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60" w:type="dxa"/>
            <w:vAlign w:val="bottom"/>
          </w:tcPr>
          <w:p>
            <w:pPr>
              <w:spacing w:after="0"/>
              <w:rPr>
                <w:sz w:val="19"/>
                <w:szCs w:val="19"/>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9,642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10,250</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4,363</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14,613</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7,342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2,823</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640</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12,306</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2,612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2,427</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Noncontrolling interest in subsidiaries' earnings from continuing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1,755</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 (Note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133</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Transaction related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Less: Noncontrolling interest in subsidiaries' earnings from discontinued operations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attributable to common shareowners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297"/>
        </w:trPr>
        <w:tc>
          <w:tcPr>
            <w:tcW w:w="83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1,362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1,854</w:t>
            </w:r>
          </w:p>
        </w:tc>
      </w:tr>
      <w:tr>
        <w:trPr>
          <w:trHeight w:val="23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1.96</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2.04</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00" w:type="dxa"/>
            <w:vAlign w:val="bottom"/>
          </w:tcPr>
          <w:p>
            <w:pPr>
              <w:spacing w:after="0"/>
              <w:rPr>
                <w:sz w:val="19"/>
                <w:szCs w:val="19"/>
                <w:color w:val="auto"/>
              </w:rPr>
            </w:pPr>
          </w:p>
        </w:tc>
        <w:tc>
          <w:tcPr>
            <w:tcW w:w="1200" w:type="dxa"/>
            <w:vAlign w:val="bottom"/>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Product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29,725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30,834</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Service sales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12,086</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41,798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42,920</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Cost of products sold</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21,952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22,415</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 sold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7,752</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1,851</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4,552</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35,707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36,570</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963</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7,313</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6,698</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1,610</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5,088</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Noncontrolling interest in subsidiaries' earnings from continuing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4,788</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 (Note 2):</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(loss) from operations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Transaction related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Less: Noncontrolling interest in subsidiaries' earnings from discontinued operations</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attributable to common shareowners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97"/>
        </w:trPr>
        <w:tc>
          <w:tcPr>
            <w:tcW w:w="83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4,330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4,747</w:t>
            </w:r>
          </w:p>
        </w:tc>
      </w:tr>
      <w:tr>
        <w:trPr>
          <w:trHeight w:val="23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5.20</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29"/>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411"/>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5,088</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(loss) income from discontinued operations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4,611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5,048</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Foreign currency translation adjustments arising during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Reclassification adjustments for loss (gain) on sale of an investment in a</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foreign entity recognized in Other income, net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Pension and post-retirement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Pension and post-retirement benefit plans adjustments during the period</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 actuarial loss, prior service cost and transition obligation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Unrealized (loss) gain on available-for-sale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Unrealized holding (loss) gain arising during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Reclassification adjustments for gain included in 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Change in unrealized cash flow hedging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Unrealized cash flow hedging loss arising during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Loss reclassified into Product sales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3,821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4,725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Comprehensive income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5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Comprehensive income attributable to common shareowners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4,458</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7"/>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Pr>
          <w:p>
            <w:pPr>
              <w:spacing w:after="0"/>
              <w:rPr>
                <w:sz w:val="14"/>
                <w:szCs w:val="14"/>
                <w:color w:val="auto"/>
              </w:rPr>
            </w:pPr>
          </w:p>
        </w:tc>
        <w:tc>
          <w:tcPr>
            <w:tcW w:w="142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80" w:type="dxa"/>
            <w:vAlign w:val="bottom"/>
            <w:gridSpan w:val="3"/>
            <w:shd w:val="clear" w:color="auto" w:fill="CCEEFF"/>
          </w:tcPr>
          <w:p>
            <w:pPr>
              <w:jc w:val="center"/>
              <w:ind w:right="3840"/>
              <w:spacing w:after="0"/>
              <w:rPr>
                <w:sz w:val="20"/>
                <w:szCs w:val="20"/>
                <w:color w:val="auto"/>
              </w:rPr>
            </w:pPr>
            <w:r>
              <w:rPr>
                <w:rFonts w:ascii="Arial" w:cs="Arial" w:eastAsia="Arial" w:hAnsi="Arial"/>
                <w:sz w:val="17"/>
                <w:szCs w:val="17"/>
                <w:b w:val="1"/>
                <w:bCs w:val="1"/>
                <w:color w:val="auto"/>
                <w:w w:val="78"/>
              </w:rPr>
              <w:t>Assets</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40" w:type="dxa"/>
            <w:vAlign w:val="bottom"/>
            <w:tcBorders>
              <w:top w:val="single" w:sz="8" w:color="CCEEFF"/>
            </w:tcBorders>
            <w:gridSpan w:val="4"/>
          </w:tcPr>
          <w:p>
            <w:pPr>
              <w:ind w:left="40"/>
              <w:spacing w:after="0"/>
              <w:rPr>
                <w:sz w:val="20"/>
                <w:szCs w:val="20"/>
                <w:color w:val="auto"/>
              </w:rPr>
            </w:pPr>
            <w:r>
              <w:rPr>
                <w:rFonts w:ascii="Arial" w:cs="Arial" w:eastAsia="Arial" w:hAnsi="Arial"/>
                <w:sz w:val="17"/>
                <w:szCs w:val="17"/>
                <w:color w:val="auto"/>
              </w:rPr>
              <w:t>Cash and cash equivalents</w:t>
            </w:r>
          </w:p>
        </w:tc>
        <w:tc>
          <w:tcPr>
            <w:tcW w:w="440" w:type="dxa"/>
            <w:vAlign w:val="bottom"/>
            <w:tcBorders>
              <w:top w:val="single" w:sz="8" w:color="auto"/>
            </w:tcBorders>
          </w:tcPr>
          <w:p>
            <w:pPr>
              <w:spacing w:after="0"/>
              <w:rPr>
                <w:sz w:val="20"/>
                <w:szCs w:val="20"/>
                <w:color w:val="auto"/>
              </w:rPr>
            </w:pPr>
          </w:p>
        </w:tc>
        <w:tc>
          <w:tcPr>
            <w:tcW w:w="3840" w:type="dxa"/>
            <w:vAlign w:val="bottom"/>
            <w:tcBorders>
              <w:top w:val="single" w:sz="8" w:color="CCEEFF"/>
            </w:tcBorders>
            <w:gridSpan w:val="2"/>
          </w:tcPr>
          <w:p>
            <w:pPr>
              <w:spacing w:after="0"/>
              <w:rPr>
                <w:sz w:val="20"/>
                <w:szCs w:val="20"/>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5,477</w:t>
            </w: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5,229</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10,448</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Inventories and contracts in progress, net</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8,453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7,642</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Future income tax benefits, current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1,923</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Assets held for sale</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4,836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4,868</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Other assets, current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1,373</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Total Current Assets</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32,359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31,483</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Customer financing assets</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958</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Future income tax benefits</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1,341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1,491</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Fixed assets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18,069</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Less: Accumulated depreciation</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(9,729)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(9,477)</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Fixed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8,515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8,592</w:t>
            </w:r>
          </w:p>
        </w:tc>
        <w:tc>
          <w:tcPr>
            <w:tcW w:w="0" w:type="dxa"/>
            <w:vAlign w:val="bottom"/>
          </w:tcPr>
          <w:p>
            <w:pPr>
              <w:spacing w:after="0"/>
              <w:rPr>
                <w:sz w:val="1"/>
                <w:szCs w:val="1"/>
                <w:color w:val="auto"/>
              </w:rPr>
            </w:pP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Goodwill</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27,354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27,448</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15,528</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Other assets</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5,986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5,789</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7"/>
                <w:szCs w:val="17"/>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92,135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91,289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60" w:type="dxa"/>
            <w:vAlign w:val="bottom"/>
            <w:gridSpan w:val="4"/>
            <w:vMerge w:val="restart"/>
          </w:tcPr>
          <w:p>
            <w:pPr>
              <w:jc w:val="center"/>
              <w:ind w:right="3260"/>
              <w:spacing w:after="0"/>
              <w:rPr>
                <w:sz w:val="20"/>
                <w:szCs w:val="20"/>
                <w:color w:val="auto"/>
              </w:rPr>
            </w:pPr>
            <w:r>
              <w:rPr>
                <w:rFonts w:ascii="Arial" w:cs="Arial" w:eastAsia="Arial" w:hAnsi="Arial"/>
                <w:sz w:val="17"/>
                <w:szCs w:val="17"/>
                <w:b w:val="1"/>
                <w:bCs w:val="1"/>
                <w:color w:val="auto"/>
                <w:w w:val="94"/>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86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Short-term borrowings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Accounts payable</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6,333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6,250</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Accrued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11,875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12,527</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Liabilities held for sale</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2,242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2,781</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Long-term debt currently due</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1,791</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Total Current Liabilities</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23,689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23,475</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Long-term debt</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19,428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17,867</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Future pension and postretirement benefit obligations</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6,235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6,681</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10,562</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Total Liabilities</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59,952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58,585</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Commitments and contingent liabilities (Note 14)</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Redeemable noncontrolling interest</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Shareowners'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Common Stock</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16,731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15,300</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Treasury Stock</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(25,946)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(21,922)</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Retained earnings</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47,236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44,611</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Unearned ESOP shares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(7,388)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(6,661)</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6"/>
            <w:shd w:val="clear" w:color="auto" w:fill="CCEEFF"/>
          </w:tcPr>
          <w:p>
            <w:pPr>
              <w:ind w:left="1100"/>
              <w:spacing w:after="0"/>
              <w:rPr>
                <w:sz w:val="20"/>
                <w:szCs w:val="20"/>
                <w:color w:val="auto"/>
              </w:rPr>
            </w:pPr>
            <w:r>
              <w:rPr>
                <w:rFonts w:ascii="Arial" w:cs="Arial" w:eastAsia="Arial" w:hAnsi="Arial"/>
                <w:sz w:val="17"/>
                <w:szCs w:val="17"/>
                <w:color w:val="auto"/>
              </w:rPr>
              <w:t>Total Shareowners'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30,525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31,213</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Noncontrolling interest</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1,526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1,351</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Equity</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32,051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32,564</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080" w:type="dxa"/>
            <w:vAlign w:val="bottom"/>
            <w:gridSpan w:val="6"/>
          </w:tcPr>
          <w:p>
            <w:pPr>
              <w:ind w:left="340"/>
              <w:spacing w:after="0"/>
              <w:rPr>
                <w:sz w:val="20"/>
                <w:szCs w:val="20"/>
                <w:color w:val="auto"/>
              </w:rPr>
            </w:pPr>
            <w:r>
              <w:rPr>
                <w:rFonts w:ascii="Arial" w:cs="Arial" w:eastAsia="Arial" w:hAnsi="Arial"/>
                <w:sz w:val="17"/>
                <w:szCs w:val="17"/>
                <w:color w:val="auto"/>
              </w:rPr>
              <w:t>Total Liabilities and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92,135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91,289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9"/>
                <w:szCs w:val="19"/>
                <w:color w:val="auto"/>
              </w:rPr>
            </w:pPr>
          </w:p>
        </w:tc>
        <w:tc>
          <w:tcPr>
            <w:tcW w:w="1200" w:type="dxa"/>
            <w:vAlign w:val="bottom"/>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Activities of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income from continuing operations to net cash flows provided by operating</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activities of continuing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Deferred income tax provision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Stock compensation cost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Change in: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Inventories and contracts in progress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Global pension contributions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operating activities,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Investing Activities of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Investments in businesses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Dispositions of businesses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(Increase) decrease in customer financing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Increase in collaboration intangible assets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Receipts from settlements of derivative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Other investing activities, net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Financing Activities of Continuing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Issuance (repayment) of long-term debt,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Increase (decrease) in short-term borrowings, net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Common Stock issuance - equity unit remarketing</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Proceeds from Common Stock issued under employee stock plans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Dividends paid on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financing activities,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cash flows used in financing activities of continuing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flows used in discontinued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5,235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Less: Cash and cash equivalents of businesses held for sale</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220" w:type="dxa"/>
            <w:vAlign w:val="bottom"/>
            <w:vMerge w:val="restart"/>
          </w:tcPr>
          <w:p>
            <w:pPr>
              <w:spacing w:after="0" w:line="20" w:lineRule="exact"/>
              <w:rPr>
                <w:sz w:val="1"/>
                <w:szCs w:val="1"/>
                <w:color w:val="auto"/>
              </w:rPr>
            </w:pPr>
          </w:p>
        </w:tc>
        <w:tc>
          <w:tcPr>
            <w:tcW w:w="7080" w:type="dxa"/>
            <w:vAlign w:val="bottom"/>
            <w:vMerge w:val="restart"/>
          </w:tcPr>
          <w:p>
            <w:pPr>
              <w:ind w:left="1760"/>
              <w:spacing w:after="0"/>
              <w:rPr>
                <w:sz w:val="20"/>
                <w:szCs w:val="20"/>
                <w:color w:val="auto"/>
              </w:rPr>
            </w:pPr>
            <w:r>
              <w:rPr>
                <w:rFonts w:ascii="Arial" w:cs="Arial" w:eastAsia="Arial" w:hAnsi="Arial"/>
                <w:sz w:val="18"/>
                <w:szCs w:val="18"/>
                <w:color w:val="auto"/>
                <w:w w:val="87"/>
              </w:rPr>
              <w:t>See accompanying Notes to Condensed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70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The Condensed Consolidated Financial Statements at September 30, 2015 and for the quarters and nine months ended September 30, 2015 and 2014 are unaudited, but in the opinion of management include all adjustments (consisting only of normal recurring adjustments)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(2014 Annual Report) incorporated by reference to our Annual Report on Form 10-K for calendar year 2014 (2014 Form 10-K).</w:t>
      </w:r>
    </w:p>
    <w:p>
      <w:pPr>
        <w:spacing w:after="0" w:line="85" w:lineRule="exact"/>
        <w:rPr>
          <w:sz w:val="20"/>
          <w:szCs w:val="20"/>
          <w:color w:val="auto"/>
        </w:rPr>
      </w:pPr>
    </w:p>
    <w:p>
      <w:pPr>
        <w:ind w:right="40" w:firstLine="567"/>
        <w:spacing w:after="0" w:line="271" w:lineRule="auto"/>
        <w:rPr>
          <w:sz w:val="20"/>
          <w:szCs w:val="20"/>
          <w:color w:val="auto"/>
        </w:rPr>
      </w:pPr>
      <w:r>
        <w:rPr>
          <w:rFonts w:ascii="Arial" w:cs="Arial" w:eastAsia="Arial" w:hAnsi="Arial"/>
          <w:sz w:val="17"/>
          <w:szCs w:val="17"/>
          <w:color w:val="auto"/>
        </w:rPr>
        <w:t>Certain reclassifications have been made to the prior year amounts to conform to the current year presentation. On July 20, 2015, we announced an agreement to sell our Sikorsky Aircraft (Sikorsky) business to Lockheed Martin Corp. for $9 billion in cash, subject to a working capital and net indebtedness adjustment. As a result, Sikorsky met "held for sale" criteria in the quarter ended September 30, 2015. Sikorsky's results of operations and the related cash flows which result from this business have been reclassified to Discontinued Operations in our Condensed Consolidated Statement of Operations and Condensed Consolidated Statement of Cash Flows for all periods presented. The assets and liabilities of Sikorsky have been reclassified to Assets held for sale and Liabilities held for sale, respectively, in our Condensed Consolidated Balance Sheet as of September 30, 2015 and December 31, 2014. The sale is expected to close during the fourth quarter of 2015, subject to customary closing conditions, including regulatory approval. See Note 2 to the Condensed Consolidated Financial Statements for further discussion.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22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Business Acquisitions and Dispositions. </w:t>
      </w:r>
      <w:r>
        <w:rPr>
          <w:rFonts w:ascii="Arial" w:cs="Arial" w:eastAsia="Arial" w:hAnsi="Arial"/>
          <w:sz w:val="18"/>
          <w:szCs w:val="18"/>
          <w:color w:val="auto"/>
        </w:rPr>
        <w:t>During the nine months ended September 30, 2015, our investment in business acquisitions was $347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debt assumed of $18 million, and consisted of the acquisition of the majority interest in a UTC Climate, Controls &amp; Security business and a number of small acquisitions, primarily in our commercial businesses.</w:t>
      </w:r>
    </w:p>
    <w:p>
      <w:pPr>
        <w:spacing w:after="0" w:line="180" w:lineRule="exact"/>
        <w:rPr>
          <w:sz w:val="20"/>
          <w:szCs w:val="20"/>
          <w:color w:val="auto"/>
        </w:rPr>
      </w:pPr>
    </w:p>
    <w:p>
      <w:pPr>
        <w:ind w:firstLine="540"/>
        <w:spacing w:after="0" w:line="255" w:lineRule="auto"/>
        <w:rPr>
          <w:sz w:val="20"/>
          <w:szCs w:val="20"/>
          <w:color w:val="auto"/>
        </w:rPr>
      </w:pPr>
      <w:r>
        <w:rPr>
          <w:rFonts w:ascii="Arial" w:cs="Arial" w:eastAsia="Arial" w:hAnsi="Arial"/>
          <w:sz w:val="18"/>
          <w:szCs w:val="18"/>
          <w:color w:val="auto"/>
        </w:rPr>
        <w:t>As a result of the 2012 transactions related to IAE International Aero Engines AG (IAE), Pratt &amp; Whitney holds a 61% net interest in the collaboration and a 49.5% ownership interest in IAE. IAE's business purpose is to coordinate the design, development, manufacturing and product support of the V2500 jet engine program through involvement with the collaborators. IAE retains limited equity with the primary economics of the V2500 program passed to the participants in the separate collaboration arrangement. As such, we have determined that IAE is a variable interest entity with Pratt &amp; Whitney its primary beneficiary, and IAE has, therefore, been consolidated. The carrying amounts and classification of assets and liabilities for IAE in our Condensed Consolidated Balance Sheet as of September 30, 2015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6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680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43"/>
        </w:trPr>
        <w:tc>
          <w:tcPr>
            <w:tcW w:w="3620" w:type="dxa"/>
            <w:vAlign w:val="bottom"/>
            <w:gridSpan w:val="3"/>
          </w:tcPr>
          <w:p>
            <w:pPr>
              <w:ind w:left="40"/>
              <w:spacing w:after="0"/>
              <w:rPr>
                <w:sz w:val="20"/>
                <w:szCs w:val="20"/>
                <w:color w:val="auto"/>
              </w:rPr>
            </w:pPr>
            <w:r>
              <w:rPr>
                <w:rFonts w:ascii="Arial" w:cs="Arial" w:eastAsia="Arial" w:hAnsi="Arial"/>
                <w:sz w:val="18"/>
                <w:szCs w:val="18"/>
                <w:color w:val="auto"/>
              </w:rPr>
              <w:t>Noncurrent assets</w:t>
            </w:r>
          </w:p>
        </w:tc>
        <w:tc>
          <w:tcPr>
            <w:tcW w:w="6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6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62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68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6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80" w:type="dxa"/>
            <w:vAlign w:val="bottom"/>
            <w:gridSpan w:val="2"/>
          </w:tcPr>
          <w:p>
            <w:pPr>
              <w:ind w:left="340"/>
              <w:spacing w:after="0"/>
              <w:rPr>
                <w:sz w:val="20"/>
                <w:szCs w:val="20"/>
                <w:color w:val="auto"/>
              </w:rPr>
            </w:pPr>
            <w:r>
              <w:rPr>
                <w:rFonts w:ascii="Arial" w:cs="Arial" w:eastAsia="Arial" w:hAnsi="Arial"/>
                <w:sz w:val="18"/>
                <w:szCs w:val="18"/>
                <w:color w:val="auto"/>
              </w:rPr>
              <w:t>Total liabilities</w:t>
            </w:r>
          </w:p>
        </w:tc>
        <w:tc>
          <w:tcPr>
            <w:tcW w:w="62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200" w:type="dxa"/>
            <w:vAlign w:val="bottom"/>
            <w:vMerge w:val="restart"/>
          </w:tcPr>
          <w:p>
            <w:pPr>
              <w:jc w:val="right"/>
              <w:ind w:right="3970"/>
              <w:spacing w:after="0"/>
              <w:rPr>
                <w:sz w:val="20"/>
                <w:szCs w:val="20"/>
                <w:color w:val="auto"/>
              </w:rPr>
            </w:pPr>
            <w:r>
              <w:rPr>
                <w:rFonts w:ascii="Arial" w:cs="Arial" w:eastAsia="Arial" w:hAnsi="Arial"/>
                <w:sz w:val="18"/>
                <w:szCs w:val="18"/>
                <w:color w:val="auto"/>
              </w:rPr>
              <w:t>8</w:t>
            </w: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2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nine months ended September 30, 2015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Balance as of</w:t>
            </w:r>
          </w:p>
        </w:tc>
        <w:tc>
          <w:tcPr>
            <w:tcW w:w="2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Goodwill</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60" w:type="dxa"/>
            <w:vAlign w:val="bottom"/>
          </w:tcPr>
          <w:p>
            <w:pPr>
              <w:spacing w:after="0"/>
              <w:rPr>
                <w:sz w:val="14"/>
                <w:szCs w:val="14"/>
                <w:color w:val="auto"/>
              </w:rPr>
            </w:pPr>
          </w:p>
        </w:tc>
        <w:tc>
          <w:tcPr>
            <w:tcW w:w="14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Resulting from Business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January 1, 2015</w:t>
            </w:r>
          </w:p>
        </w:tc>
        <w:tc>
          <w:tcPr>
            <w:tcW w:w="240" w:type="dxa"/>
            <w:vAlign w:val="bottom"/>
          </w:tcPr>
          <w:p>
            <w:pPr>
              <w:spacing w:after="0"/>
              <w:rPr>
                <w:sz w:val="13"/>
                <w:szCs w:val="13"/>
                <w:color w:val="auto"/>
              </w:rPr>
            </w:pPr>
          </w:p>
        </w:tc>
        <w:tc>
          <w:tcPr>
            <w:tcW w:w="14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Combinations</w:t>
            </w:r>
          </w:p>
        </w:tc>
        <w:tc>
          <w:tcPr>
            <w:tcW w:w="170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Translation and Other</w:t>
            </w:r>
          </w:p>
        </w:tc>
        <w:tc>
          <w:tcPr>
            <w:tcW w:w="160" w:type="dxa"/>
            <w:vAlign w:val="bottom"/>
          </w:tcPr>
          <w:p>
            <w:pPr>
              <w:spacing w:after="0"/>
              <w:rPr>
                <w:sz w:val="13"/>
                <w:szCs w:val="13"/>
                <w:color w:val="auto"/>
              </w:rPr>
            </w:pPr>
          </w:p>
        </w:tc>
        <w:tc>
          <w:tcPr>
            <w:tcW w:w="1440" w:type="dxa"/>
            <w:vAlign w:val="bottom"/>
          </w:tcPr>
          <w:p>
            <w:pPr>
              <w:jc w:val="right"/>
              <w:ind w:right="114"/>
              <w:spacing w:after="0" w:line="158" w:lineRule="exact"/>
              <w:rPr>
                <w:sz w:val="20"/>
                <w:szCs w:val="20"/>
                <w:color w:val="auto"/>
              </w:rPr>
            </w:pPr>
            <w:r>
              <w:rPr>
                <w:rFonts w:ascii="Arial" w:cs="Arial" w:eastAsia="Arial" w:hAnsi="Arial"/>
                <w:sz w:val="14"/>
                <w:szCs w:val="14"/>
                <w:b w:val="1"/>
                <w:bCs w:val="1"/>
                <w:color w:val="auto"/>
                <w:w w:val="93"/>
              </w:rPr>
              <w:t>September 30, 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9,408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9,527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14,892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14,757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Segments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27,445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27,350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27,448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27,354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rPr>
              <w:t>September 30, 2015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52"/>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3"/>
                <w:szCs w:val="13"/>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260" w:type="dxa"/>
            <w:vAlign w:val="bottom"/>
          </w:tcPr>
          <w:p>
            <w:pPr>
              <w:spacing w:after="0"/>
              <w:rPr>
                <w:sz w:val="13"/>
                <w:szCs w:val="13"/>
                <w:color w:val="auto"/>
              </w:rPr>
            </w:pPr>
          </w:p>
        </w:tc>
        <w:tc>
          <w:tcPr>
            <w:tcW w:w="14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260" w:type="dxa"/>
            <w:vAlign w:val="bottom"/>
          </w:tcPr>
          <w:p>
            <w:pPr>
              <w:spacing w:after="0"/>
              <w:rPr>
                <w:sz w:val="13"/>
                <w:szCs w:val="13"/>
                <w:color w:val="auto"/>
              </w:rPr>
            </w:pPr>
          </w:p>
        </w:tc>
        <w:tc>
          <w:tcPr>
            <w:tcW w:w="13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Service portfolios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Patents and trademarks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IAE collaboration</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Customer relationships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17,917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17,446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Trademarks and other</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19,623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Customer relationship intangible assets include payments made to our customers to secure certain contractual rights. We amortize these intangible assets based on the underlying pattern of economic benefit, which may result in an amortization method other than straight-line. We classify amortization of such payments as a reduction of sales. The IAE collaboration intangible asset is amortized based upon the pattern of economic benefits as represented by the underlying cash flows.</w:t>
      </w:r>
    </w:p>
    <w:p>
      <w:pPr>
        <w:spacing w:after="0" w:line="79"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Amortization of intangible assets for the quarter and nine months ended September 30, 2015 was $183 million and $537 million, respectively, compared with $182 million and $536 million for the same periods of 2014. The following is the expected amortization of intangible assets for the years 2015 through 2020, which reflects an increase in expected amortization expense due to the pattern of economic benefit on certain aerospace intangible assets.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Remaining 2015</w:t>
            </w:r>
          </w:p>
        </w:tc>
        <w:tc>
          <w:tcPr>
            <w:tcW w:w="28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2020</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769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783</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29" w:lineRule="exact"/>
        <w:rPr>
          <w:sz w:val="20"/>
          <w:szCs w:val="20"/>
          <w:color w:val="auto"/>
        </w:rPr>
      </w:pPr>
    </w:p>
    <w:p>
      <w:pPr>
        <w:ind w:right="340" w:firstLine="567"/>
        <w:spacing w:after="0" w:line="286" w:lineRule="auto"/>
        <w:rPr>
          <w:sz w:val="20"/>
          <w:szCs w:val="20"/>
          <w:color w:val="auto"/>
        </w:rPr>
      </w:pPr>
      <w:r>
        <w:rPr>
          <w:rFonts w:ascii="Arial" w:cs="Arial" w:eastAsia="Arial" w:hAnsi="Arial"/>
          <w:sz w:val="17"/>
          <w:szCs w:val="17"/>
          <w:color w:val="auto"/>
        </w:rPr>
        <w:t>On July 20, 2015, we announced an agreement to sell our Sikorsky business to Lockheed Martin Corp. for $9 billion in cash, subject to a working capital and net indebtedness adjustment. The sale is expected to close during the fourth quarter of 2015, and is subject to customary closing conditions, including regulatory approval. The sale is expected to generate approximately $6 billion in net cash, on an after-tax basis.</w:t>
      </w:r>
    </w:p>
    <w:p>
      <w:pPr>
        <w:spacing w:after="0" w:line="166" w:lineRule="exact"/>
        <w:rPr>
          <w:sz w:val="20"/>
          <w:szCs w:val="20"/>
          <w:color w:val="auto"/>
        </w:rPr>
      </w:pPr>
    </w:p>
    <w:p>
      <w:pPr>
        <w:ind w:right="40" w:firstLine="567"/>
        <w:spacing w:after="0" w:line="276" w:lineRule="auto"/>
        <w:rPr>
          <w:sz w:val="20"/>
          <w:szCs w:val="20"/>
          <w:color w:val="auto"/>
        </w:rPr>
      </w:pPr>
      <w:r>
        <w:rPr>
          <w:rFonts w:ascii="Arial" w:cs="Arial" w:eastAsia="Arial" w:hAnsi="Arial"/>
          <w:sz w:val="17"/>
          <w:szCs w:val="17"/>
          <w:color w:val="auto"/>
        </w:rPr>
        <w:t>In the quarter ended September 30, 2015, Sikorsky met "held for sale" criteria. Sikorsky's results of operations and the related cash flows which result from this business have been reclassified to Discontinued Operations in our Condensed Consolidated Statement of Operations and Condensed Consolidated Statement of Cash Flows for all periods presented. The assets and liabilities of Sikorsky have been reclassified to Assets held for sale and Liabilities held for sale, respectively, in our Condensed Consolidated Balance Sheet as of September 30, 2015 and December 31, 2014. Cash flows from the operation of Sikorsky will continue to be included in our results until completion of the sale to Lockheed Martin Corp.</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following summarized financial information related to Sikorsky has been segregated from continuing operations and reported as Discontinued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sales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4,379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5,365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5,101</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Pension curtailment</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(income) expenses,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r>
      <w:tr>
        <w:trPr>
          <w:trHeight w:val="237"/>
        </w:trPr>
        <w:tc>
          <w:tcPr>
            <w:tcW w:w="40" w:type="dxa"/>
            <w:vAlign w:val="bottom"/>
          </w:tcPr>
          <w:p>
            <w:pPr>
              <w:spacing w:after="0"/>
              <w:rPr>
                <w:sz w:val="20"/>
                <w:szCs w:val="20"/>
                <w:color w:val="auto"/>
              </w:rPr>
            </w:pPr>
          </w:p>
        </w:tc>
        <w:tc>
          <w:tcPr>
            <w:tcW w:w="5580" w:type="dxa"/>
            <w:vAlign w:val="bottom"/>
            <w:gridSpan w:val="2"/>
          </w:tcPr>
          <w:p>
            <w:pPr>
              <w:ind w:left="46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Transaction related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(Loss) income from discontinued operations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0" w:firstLine="567"/>
        <w:spacing w:after="0" w:line="308" w:lineRule="auto"/>
        <w:rPr>
          <w:sz w:val="20"/>
          <w:szCs w:val="20"/>
          <w:color w:val="auto"/>
        </w:rPr>
      </w:pPr>
      <w:r>
        <w:rPr>
          <w:rFonts w:ascii="Arial" w:cs="Arial" w:eastAsia="Arial" w:hAnsi="Arial"/>
          <w:sz w:val="17"/>
          <w:szCs w:val="17"/>
          <w:color w:val="auto"/>
        </w:rPr>
        <w:t>The table above includes an income tax provision of approximately $68 million in the quarter and nine months ended September 30, 2015, as the undistributed earnings of Sikorsky's international subsidiaries will no longer be permanently reinvested, as a result of the sale of Sikorsky.</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assets and liabilities held for sale on the Condensed Consolidated Balance Sheet as of September 30, 2015 and December 31, 2014 are as follows: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7"/>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Pr>
          <w:p>
            <w:pPr>
              <w:spacing w:after="0"/>
              <w:rPr>
                <w:sz w:val="14"/>
                <w:szCs w:val="1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420" w:type="dxa"/>
            <w:vAlign w:val="bottom"/>
            <w:shd w:val="clear" w:color="auto" w:fill="CCEEFF"/>
          </w:tcPr>
          <w:p>
            <w:pPr>
              <w:spacing w:after="0"/>
              <w:rPr>
                <w:sz w:val="21"/>
                <w:szCs w:val="21"/>
                <w:color w:val="auto"/>
              </w:rPr>
            </w:pPr>
          </w:p>
        </w:tc>
        <w:tc>
          <w:tcPr>
            <w:tcW w:w="1360" w:type="dxa"/>
            <w:vAlign w:val="bottom"/>
            <w:gridSpan w:val="4"/>
            <w:shd w:val="clear" w:color="auto" w:fill="CCEEFF"/>
          </w:tcPr>
          <w:p>
            <w:pPr>
              <w:jc w:val="center"/>
              <w:ind w:right="600"/>
              <w:spacing w:after="0" w:line="196" w:lineRule="exact"/>
              <w:rPr>
                <w:sz w:val="20"/>
                <w:szCs w:val="20"/>
                <w:color w:val="auto"/>
              </w:rPr>
            </w:pPr>
            <w:r>
              <w:rPr>
                <w:rFonts w:ascii="Arial" w:cs="Arial" w:eastAsia="Arial" w:hAnsi="Arial"/>
                <w:sz w:val="18"/>
                <w:szCs w:val="18"/>
                <w:b w:val="1"/>
                <w:bCs w:val="1"/>
                <w:color w:val="auto"/>
                <w:w w:val="81"/>
              </w:rPr>
              <w:t>Assets</w:t>
            </w:r>
          </w:p>
        </w:tc>
        <w:tc>
          <w:tcPr>
            <w:tcW w:w="3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Borders>
              <w:top w:val="single" w:sz="8" w:color="CCEEFF"/>
            </w:tcBorders>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480" w:type="dxa"/>
            <w:vAlign w:val="bottom"/>
            <w:tcBorders>
              <w:top w:val="single" w:sz="8" w:color="auto"/>
            </w:tcBorders>
          </w:tcPr>
          <w:p>
            <w:pPr>
              <w:spacing w:after="0"/>
              <w:rPr>
                <w:sz w:val="21"/>
                <w:szCs w:val="21"/>
                <w:color w:val="auto"/>
              </w:rPr>
            </w:pPr>
          </w:p>
        </w:tc>
        <w:tc>
          <w:tcPr>
            <w:tcW w:w="740" w:type="dxa"/>
            <w:vAlign w:val="bottom"/>
            <w:tcBorders>
              <w:top w:val="single" w:sz="8" w:color="CCEEFF"/>
            </w:tcBorders>
            <w:gridSpan w:val="2"/>
          </w:tcPr>
          <w:p>
            <w:pPr>
              <w:spacing w:after="0"/>
              <w:rPr>
                <w:sz w:val="21"/>
                <w:szCs w:val="21"/>
                <w:color w:val="auto"/>
              </w:rPr>
            </w:pPr>
          </w:p>
        </w:tc>
        <w:tc>
          <w:tcPr>
            <w:tcW w:w="32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43"/>
        </w:trPr>
        <w:tc>
          <w:tcPr>
            <w:tcW w:w="5040" w:type="dxa"/>
            <w:vAlign w:val="bottom"/>
            <w:gridSpan w:val="7"/>
          </w:tcPr>
          <w:p>
            <w:pPr>
              <w:ind w:left="40"/>
              <w:spacing w:after="0"/>
              <w:rPr>
                <w:sz w:val="20"/>
                <w:szCs w:val="20"/>
                <w:color w:val="auto"/>
              </w:rPr>
            </w:pPr>
            <w:r>
              <w:rPr>
                <w:rFonts w:ascii="Arial" w:cs="Arial" w:eastAsia="Arial" w:hAnsi="Arial"/>
                <w:sz w:val="18"/>
                <w:szCs w:val="18"/>
                <w:color w:val="auto"/>
              </w:rPr>
              <w:t>Inventories and contracts in progress, net</w:t>
            </w:r>
          </w:p>
        </w:tc>
        <w:tc>
          <w:tcPr>
            <w:tcW w:w="3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Other assets, current</w:t>
            </w:r>
          </w:p>
        </w:tc>
        <w:tc>
          <w:tcPr>
            <w:tcW w:w="3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5040" w:type="dxa"/>
            <w:vAlign w:val="bottom"/>
            <w:gridSpan w:val="7"/>
          </w:tcPr>
          <w:p>
            <w:pPr>
              <w:ind w:left="40"/>
              <w:spacing w:after="0"/>
              <w:rPr>
                <w:sz w:val="20"/>
                <w:szCs w:val="20"/>
                <w:color w:val="auto"/>
              </w:rPr>
            </w:pPr>
            <w:r>
              <w:rPr>
                <w:rFonts w:ascii="Arial" w:cs="Arial" w:eastAsia="Arial" w:hAnsi="Arial"/>
                <w:sz w:val="18"/>
                <w:szCs w:val="18"/>
                <w:color w:val="auto"/>
              </w:rPr>
              <w:t>Fixed assets, net</w:t>
            </w:r>
          </w:p>
        </w:tc>
        <w:tc>
          <w:tcPr>
            <w:tcW w:w="3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43"/>
        </w:trPr>
        <w:tc>
          <w:tcPr>
            <w:tcW w:w="5040" w:type="dxa"/>
            <w:vAlign w:val="bottom"/>
            <w:gridSpan w:val="7"/>
          </w:tcPr>
          <w:p>
            <w:pPr>
              <w:ind w:left="40"/>
              <w:spacing w:after="0"/>
              <w:rPr>
                <w:sz w:val="20"/>
                <w:szCs w:val="20"/>
                <w:color w:val="auto"/>
              </w:rPr>
            </w:pPr>
            <w:r>
              <w:rPr>
                <w:rFonts w:ascii="Arial" w:cs="Arial" w:eastAsia="Arial" w:hAnsi="Arial"/>
                <w:sz w:val="18"/>
                <w:szCs w:val="18"/>
                <w:color w:val="auto"/>
              </w:rPr>
              <w:t>Intangible assets, net</w:t>
            </w:r>
          </w:p>
        </w:tc>
        <w:tc>
          <w:tcPr>
            <w:tcW w:w="3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5000" w:type="dxa"/>
            <w:vAlign w:val="bottom"/>
            <w:tcBorders>
              <w:bottom w:val="single" w:sz="8" w:color="CCEEFF"/>
            </w:tcBorders>
            <w:gridSpan w:val="6"/>
          </w:tcPr>
          <w:p>
            <w:pPr>
              <w:ind w:left="340"/>
              <w:spacing w:after="0"/>
              <w:rPr>
                <w:sz w:val="20"/>
                <w:szCs w:val="20"/>
                <w:color w:val="auto"/>
              </w:rPr>
            </w:pPr>
            <w:r>
              <w:rPr>
                <w:rFonts w:ascii="Arial" w:cs="Arial" w:eastAsia="Arial" w:hAnsi="Arial"/>
                <w:sz w:val="18"/>
                <w:szCs w:val="18"/>
                <w:color w:val="auto"/>
              </w:rPr>
              <w:t>Assets held for sale</w:t>
            </w:r>
          </w:p>
        </w:tc>
        <w:tc>
          <w:tcPr>
            <w:tcW w:w="308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4,836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190"/>
        </w:trPr>
        <w:tc>
          <w:tcPr>
            <w:tcW w:w="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780" w:type="dxa"/>
            <w:vAlign w:val="bottom"/>
            <w:gridSpan w:val="5"/>
            <w:shd w:val="clear" w:color="auto" w:fill="CCEEFF"/>
          </w:tcPr>
          <w:p>
            <w:pPr>
              <w:jc w:val="center"/>
              <w:ind w:left="1730"/>
              <w:spacing w:after="0" w:line="189" w:lineRule="exact"/>
              <w:rPr>
                <w:sz w:val="20"/>
                <w:szCs w:val="20"/>
                <w:color w:val="auto"/>
              </w:rPr>
            </w:pPr>
            <w:r>
              <w:rPr>
                <w:rFonts w:ascii="Arial" w:cs="Arial" w:eastAsia="Arial" w:hAnsi="Arial"/>
                <w:sz w:val="18"/>
                <w:szCs w:val="18"/>
                <w:b w:val="1"/>
                <w:bCs w:val="1"/>
                <w:color w:val="auto"/>
                <w:w w:val="91"/>
              </w:rPr>
              <w:t>Liabilities</w:t>
            </w:r>
          </w:p>
        </w:tc>
        <w:tc>
          <w:tcPr>
            <w:tcW w:w="3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0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040" w:type="dxa"/>
            <w:vAlign w:val="bottom"/>
            <w:gridSpan w:val="7"/>
          </w:tcPr>
          <w:p>
            <w:pPr>
              <w:ind w:left="40"/>
              <w:spacing w:after="0"/>
              <w:rPr>
                <w:sz w:val="20"/>
                <w:szCs w:val="20"/>
                <w:color w:val="auto"/>
              </w:rPr>
            </w:pPr>
            <w:r>
              <w:rPr>
                <w:rFonts w:ascii="Arial" w:cs="Arial" w:eastAsia="Arial" w:hAnsi="Arial"/>
                <w:sz w:val="18"/>
                <w:szCs w:val="18"/>
                <w:color w:val="auto"/>
              </w:rPr>
              <w:t>Short-term borrowing and long-term debt currently due</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43"/>
        </w:trPr>
        <w:tc>
          <w:tcPr>
            <w:tcW w:w="5040" w:type="dxa"/>
            <w:vAlign w:val="bottom"/>
            <w:gridSpan w:val="7"/>
          </w:tcPr>
          <w:p>
            <w:pPr>
              <w:ind w:left="40"/>
              <w:spacing w:after="0"/>
              <w:rPr>
                <w:sz w:val="20"/>
                <w:szCs w:val="20"/>
                <w:color w:val="auto"/>
              </w:rPr>
            </w:pPr>
            <w:r>
              <w:rPr>
                <w:rFonts w:ascii="Arial" w:cs="Arial" w:eastAsia="Arial" w:hAnsi="Arial"/>
                <w:sz w:val="18"/>
                <w:szCs w:val="18"/>
                <w:color w:val="auto"/>
              </w:rPr>
              <w:t>Accrued liabilities</w:t>
            </w:r>
          </w:p>
        </w:tc>
        <w:tc>
          <w:tcPr>
            <w:tcW w:w="3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040" w:type="dxa"/>
            <w:vAlign w:val="bottom"/>
            <w:gridSpan w:val="7"/>
          </w:tcPr>
          <w:p>
            <w:pPr>
              <w:ind w:left="40"/>
              <w:spacing w:after="0"/>
              <w:rPr>
                <w:sz w:val="20"/>
                <w:szCs w:val="20"/>
                <w:color w:val="auto"/>
              </w:rPr>
            </w:pPr>
            <w:r>
              <w:rPr>
                <w:rFonts w:ascii="Arial" w:cs="Arial" w:eastAsia="Arial" w:hAnsi="Arial"/>
                <w:sz w:val="18"/>
                <w:szCs w:val="18"/>
                <w:color w:val="auto"/>
              </w:rPr>
              <w:t>Other long-term liabilities</w:t>
            </w:r>
          </w:p>
        </w:tc>
        <w:tc>
          <w:tcPr>
            <w:tcW w:w="3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500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Liabilities held for sale</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2,242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29"/>
        </w:trPr>
        <w:tc>
          <w:tcPr>
            <w:tcW w:w="56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 shares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2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60" w:type="dxa"/>
            <w:vAlign w:val="bottom"/>
            <w:gridSpan w:val="2"/>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4,252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(loss) income from 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55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1,362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1,854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4,330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4,747</w:t>
            </w: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876.4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899.3</w:t>
            </w:r>
          </w:p>
        </w:tc>
        <w:tc>
          <w:tcPr>
            <w:tcW w:w="0" w:type="dxa"/>
            <w:vAlign w:val="bottom"/>
          </w:tcPr>
          <w:p>
            <w:pPr>
              <w:spacing w:after="0"/>
              <w:rPr>
                <w:sz w:val="1"/>
                <w:szCs w:val="1"/>
                <w:color w:val="auto"/>
              </w:rPr>
            </w:pPr>
          </w:p>
        </w:tc>
      </w:tr>
      <w:tr>
        <w:trPr>
          <w:trHeight w:val="243"/>
        </w:trPr>
        <w:tc>
          <w:tcPr>
            <w:tcW w:w="5600" w:type="dxa"/>
            <w:vAlign w:val="bottom"/>
            <w:gridSpan w:val="3"/>
          </w:tcPr>
          <w:p>
            <w:pPr>
              <w:ind w:left="40"/>
              <w:spacing w:after="0"/>
              <w:rPr>
                <w:sz w:val="20"/>
                <w:szCs w:val="20"/>
                <w:color w:val="auto"/>
              </w:rPr>
            </w:pPr>
            <w:r>
              <w:rPr>
                <w:rFonts w:ascii="Arial" w:cs="Arial" w:eastAsia="Arial" w:hAnsi="Arial"/>
                <w:sz w:val="18"/>
                <w:szCs w:val="18"/>
                <w:color w:val="auto"/>
              </w:rPr>
              <w:t>Stock awards and equity units</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Diluted weighted average number of shares outstanding</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885.0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893.6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913.1</w:t>
            </w: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gridSpan w:val="3"/>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60" w:type="dxa"/>
            <w:vAlign w:val="bottom"/>
            <w:gridSpan w:val="2"/>
          </w:tcPr>
          <w:p>
            <w:pPr>
              <w:ind w:left="240"/>
              <w:spacing w:after="0"/>
              <w:rPr>
                <w:sz w:val="20"/>
                <w:szCs w:val="20"/>
                <w:color w:val="auto"/>
              </w:rPr>
            </w:pPr>
            <w:r>
              <w:rPr>
                <w:rFonts w:ascii="Arial" w:cs="Arial" w:eastAsia="Arial" w:hAnsi="Arial"/>
                <w:sz w:val="18"/>
                <w:szCs w:val="18"/>
                <w:color w:val="auto"/>
              </w:rPr>
              <w:t>Net (loss) income from discontinued operations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3"/>
        </w:trPr>
        <w:tc>
          <w:tcPr>
            <w:tcW w:w="560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60" w:type="dxa"/>
            <w:vAlign w:val="bottom"/>
            <w:gridSpan w:val="2"/>
          </w:tcPr>
          <w:p>
            <w:pPr>
              <w:ind w:left="240"/>
              <w:spacing w:after="0"/>
              <w:rPr>
                <w:sz w:val="20"/>
                <w:szCs w:val="20"/>
                <w:color w:val="auto"/>
              </w:rPr>
            </w:pPr>
            <w:r>
              <w:rPr>
                <w:rFonts w:ascii="Arial" w:cs="Arial" w:eastAsia="Arial" w:hAnsi="Arial"/>
                <w:sz w:val="18"/>
                <w:szCs w:val="18"/>
                <w:color w:val="auto"/>
              </w:rPr>
              <w:t>Net (loss) income from discontinued operations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5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computation of diluted earnings per share excludes the effect of the potential exercise of stock awards, including stock appreciation rights and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options, when the average market price of the common stock is lower than the exercise price of the related stock awards during the period. These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awards are not included in the computation of diluted earnings per share because the effect would be anti-dilutive. For the quarters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2015 and 2014, the number of stock awards excluded from the computation was approximately 10.3 million and 3.6 million, respectively.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nine months ended September 30, 2015, the number of stock awards excluded from the computation was approximately 8.8 million. There were no anti-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dilutive stock awards excluded from the computation for the nine months ended September 30,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and Contracts in Progress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Pr>
          <w:p>
            <w:pPr>
              <w:spacing w:after="0"/>
              <w:rPr>
                <w:sz w:val="14"/>
                <w:szCs w:val="14"/>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1,683</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2,519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2,099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3,234</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Contracts in progress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8,685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8,189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15,205</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Progress payments, secured by lien, on U.S. Government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Billings on contracts in progress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(7,446)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68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7,642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Inventory also includes capitalized contract development costs related to certain aerospace programs at UTC Aerospace Systems. As of September 30, 2015 and December 31, 2014, these capitalized costs were $183 million and $141 million, respectively, which will be liquidated as production units are delivered to the customer.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 and Lines of Credit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Pr>
          <w:p>
            <w:pPr>
              <w:spacing w:after="0"/>
              <w:rPr>
                <w:sz w:val="14"/>
                <w:szCs w:val="14"/>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Other borrowings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126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432"/>
        <w:spacing w:after="0" w:line="286" w:lineRule="auto"/>
        <w:rPr>
          <w:sz w:val="20"/>
          <w:szCs w:val="20"/>
          <w:color w:val="auto"/>
        </w:rPr>
      </w:pPr>
      <w:r>
        <w:rPr>
          <w:rFonts w:ascii="Arial" w:cs="Arial" w:eastAsia="Arial" w:hAnsi="Arial"/>
          <w:sz w:val="16"/>
          <w:szCs w:val="16"/>
          <w:color w:val="auto"/>
        </w:rPr>
        <w:t>At September 30, 2015, we had revolving credit agreements with various banks permitting aggregate borrowings of up to $4.35 billion pursuant to a $2.20 billion revolving credit agreement and a $2.15 billion multicurrency revolving credit agreement, both of which expire in May 2019. As of September 30, 2015, there were no borrowings under these revolving credit agreements. The undrawn portions of these revolving credit agreements are also available to serve as backup facilities for the issuance of commercial paper. As of September 30, 2015, our maximum commercial paper borrowing limit was</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$4.35 billion. We use our commercial paper borrowings for general corporate purposes, including the funding of potential acquisitions, debt refinancing, and repurchases of our common stock. The need for commercial paper borrowings arises when the use of domestic cash for acquisitions, dividends, and share repurchases exceeds the sum of domestic cash generation and foreign cash repatriated to the U.S.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Pr>
          <w:p>
            <w:pPr>
              <w:spacing w:after="0"/>
              <w:rPr>
                <w:sz w:val="14"/>
                <w:szCs w:val="1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LIBOR plus 0.500% floating rate notes due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4.875% notes due 2015</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5.375% notes due 2017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1.800% notes due 2017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1,500</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1.778% junior subordinated notes due 2018</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6.800% notes due 2018 </w:t>
            </w:r>
            <w:r>
              <w:rPr>
                <w:rFonts w:ascii="Arial" w:cs="Arial" w:eastAsia="Arial" w:hAnsi="Arial"/>
                <w:sz w:val="25"/>
                <w:szCs w:val="25"/>
                <w:color w:val="auto"/>
                <w:vertAlign w:val="superscript"/>
              </w:rPr>
              <w:t>4</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99</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6.125% notes due 2019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8.875% notes due 2019</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271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4.500% notes due 2020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4.875% notes due 2020 </w:t>
            </w:r>
            <w:r>
              <w:rPr>
                <w:rFonts w:ascii="Arial" w:cs="Arial" w:eastAsia="Arial" w:hAnsi="Arial"/>
                <w:sz w:val="25"/>
                <w:szCs w:val="25"/>
                <w:color w:val="auto"/>
                <w:vertAlign w:val="superscript"/>
              </w:rPr>
              <w:t>4</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171</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8.750% notes due 2021</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3.100% notes due 2022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2,300</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1.550% junior subordinated notes due 2022</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1.250% notes due 2023 (€750 million principal value)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7.100% notes due 2027 </w:t>
            </w:r>
            <w:r>
              <w:rPr>
                <w:rFonts w:ascii="Arial" w:cs="Arial" w:eastAsia="Arial" w:hAnsi="Arial"/>
                <w:sz w:val="25"/>
                <w:szCs w:val="25"/>
                <w:color w:val="auto"/>
                <w:vertAlign w:val="superscript"/>
              </w:rPr>
              <w:t>4</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6.700% notes due 2028</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notes due 2029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5.400% notes due 2035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6.050% notes due 2036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6.800% notes due 2036 </w:t>
            </w:r>
            <w:r>
              <w:rPr>
                <w:rFonts w:ascii="Arial" w:cs="Arial" w:eastAsia="Arial" w:hAnsi="Arial"/>
                <w:sz w:val="25"/>
                <w:szCs w:val="25"/>
                <w:color w:val="auto"/>
                <w:vertAlign w:val="superscript"/>
              </w:rPr>
              <w:t>4</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134</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7.000% notes due 2038 </w:t>
            </w:r>
            <w:r>
              <w:rPr>
                <w:rFonts w:ascii="Arial" w:cs="Arial" w:eastAsia="Arial" w:hAnsi="Arial"/>
                <w:sz w:val="25"/>
                <w:szCs w:val="25"/>
                <w:color w:val="auto"/>
                <w:vertAlign w:val="superscript"/>
              </w:rPr>
              <w:t>4</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6.125% notes due 2038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5.700% notes due 2040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4.500% notes due 2042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4.150% notes due 2045 </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Project financing obligations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(including capitalized leases) </w:t>
            </w:r>
            <w:r>
              <w:rPr>
                <w:rFonts w:ascii="Arial" w:cs="Arial" w:eastAsia="Arial" w:hAnsi="Arial"/>
                <w:sz w:val="25"/>
                <w:szCs w:val="25"/>
                <w:color w:val="auto"/>
                <w:vertAlign w:val="superscript"/>
              </w:rPr>
              <w:t>4</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368</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Total principal long-term debt</w:t>
            </w:r>
          </w:p>
        </w:tc>
        <w:tc>
          <w:tcPr>
            <w:tcW w:w="16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19,491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19,490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(fair market value adjustments and discounts) </w:t>
            </w:r>
            <w:r>
              <w:rPr>
                <w:rFonts w:ascii="Arial" w:cs="Arial" w:eastAsia="Arial" w:hAnsi="Arial"/>
                <w:sz w:val="25"/>
                <w:szCs w:val="25"/>
                <w:color w:val="auto"/>
                <w:vertAlign w:val="superscript"/>
              </w:rPr>
              <w:t>4</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Total long-term debt</w:t>
            </w:r>
          </w:p>
        </w:tc>
        <w:tc>
          <w:tcPr>
            <w:tcW w:w="16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19,643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19,658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1,791</w:t>
            </w:r>
          </w:p>
        </w:tc>
      </w:tr>
      <w:tr>
        <w:trPr>
          <w:trHeight w:val="25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19,428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17,867</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hanging="332"/>
        <w:spacing w:after="0" w:line="256"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6"/>
          <w:szCs w:val="16"/>
          <w:color w:val="auto"/>
        </w:rPr>
        <w:t>We may redeem the above notes, in whole or in part, at our option at any time at a redemption price in U.S. Dollars equal to the greater of 100% of the principal amount of the notes to be redeemed or the sum of the present values of the remaining scheduled payments of principal and interest on the notes to be redeemed, discounted to the redemption date on a semiannual basis at the adjusted treasury rate plus 10-50 basis points. The redemption price will also include interest accrued to the date of redemption on the principal balance of the notes being redeemed.</w:t>
      </w:r>
    </w:p>
    <w:p>
      <w:pPr>
        <w:spacing w:after="0" w:line="25" w:lineRule="exact"/>
        <w:rPr>
          <w:sz w:val="20"/>
          <w:szCs w:val="20"/>
          <w:color w:val="auto"/>
        </w:rPr>
      </w:pPr>
    </w:p>
    <w:p>
      <w:pPr>
        <w:ind w:left="340" w:right="140" w:hanging="332"/>
        <w:spacing w:after="0" w:line="25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6"/>
          <w:szCs w:val="16"/>
          <w:color w:val="auto"/>
        </w:rPr>
        <w:t>We may redeem these notes, in whole or in part, at our option at any time. If redeemed prior to February 22, 2023, the redemption price in Euro shall equal the greater of 100% of the principal amount of the notes to be redeemed or the sum of the present values of the remaining scheduled payments of principal and interest on the notes to be redeemed, discounted to the redemption date on an annual basis at a rate based upon a comparable German federal government bond whose maturity is closest to the maturity of the notes plus 15 basis points. In addition, the notes may be redeemed at our option in whole, but not in part, at any time in the event of certain developments affecting U.S. taxation.</w:t>
      </w:r>
    </w:p>
    <w:p>
      <w:pPr>
        <w:spacing w:after="0" w:line="30" w:lineRule="exact"/>
        <w:rPr>
          <w:sz w:val="20"/>
          <w:szCs w:val="20"/>
          <w:color w:val="auto"/>
        </w:rPr>
      </w:pPr>
    </w:p>
    <w:p>
      <w:pPr>
        <w:ind w:left="340" w:right="60" w:hanging="332"/>
        <w:spacing w:after="0" w:line="286"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5"/>
          <w:szCs w:val="15"/>
          <w:color w:val="auto"/>
        </w:rPr>
        <w:t>We may redeem these notes, in whole or in part, at our option at any time. If redeemed prior to November 16, 2044, the redemption price in U.S. Dollars shall equal the greater of 100% of the principal amount of the notes to be redeemed or the sum of the present values of the remaining scheduled payments of principal and interest on the notes to be redeemed, discounted to the redemption date on a semiannual basis at the adjusted treasury rate plus 25 basis points.</w:t>
      </w:r>
    </w:p>
    <w:p>
      <w:pPr>
        <w:spacing w:after="0" w:line="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6"/>
          <w:szCs w:val="16"/>
          <w:color w:val="auto"/>
        </w:rPr>
        <w:t>Includes notes and remaining fair market value adjustments that were assumed as a part of the Goodrich acquisition on July 26, 2012.</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On May 4, 2015, we completed the previously announced optional remarketing of the 1.550% junior subordinated notes, which were originally issued as part of our equity units on June 18, 2012. As a result of the remarketing, these notes were redesignated as our 1.778% junior subordinated notes due May 4, 2018. The 1.778% junior subordinated notes are effectively subordinated to existing or future preferred stock and indebtedness, guarantees and other liabilities, and are not redeemable prior to maturity. On August 3, 2015, we received approximately $1.1 billion from the proceeds of the remarketing, and issued approximately 11.3 million shares of Common Stock to settle the purchase obligation of the holders of the equity units under the purchase contract entered into at the time of the original issuance of the equity units.</w:t>
      </w:r>
    </w:p>
    <w:p>
      <w:pPr>
        <w:spacing w:after="0" w:line="178"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On May 1, 2015, we repaid all 4.875% notes due in 2015, representing $1.2 billion in aggregate principal. On June 1, 2015, we repaid all floating rate notes due in 2015, representing $500 million in aggregate principal. On May 4, 2015, we issued $850 million aggregate principal amount of 4.150% notes due May 15, 2045. On May 22, 2015 we issued €750 million aggregate principal amount of 1.250% notes due May 22, 2023. The net proceeds from these debt issuances were used primarily to repay the notes that matured during the quarter ended June 30, 2015.</w:t>
      </w:r>
    </w:p>
    <w:p>
      <w:pPr>
        <w:spacing w:after="0" w:line="171"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We have an existing universal shelf registration statement filed with the Securities and Exchange Commission (SEC) for an indeterminate amount of equity and debt securities for future issuance, subject to our internal limitations on the amount of equity and debt to be issued under this shelf registration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22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Canada, China, France, Germany, Hong Kong, Italy, Japan, Singapore, South Korea, Spain, the United Kingdom and the United States. With few exceptions, we are no longer subject to U.S. federal, state and local, or non-U.S. income tax examinations for years before 2003.</w:t>
      </w:r>
    </w:p>
    <w:p>
      <w:pPr>
        <w:spacing w:after="0" w:line="8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a net reduction within a range of $25 million to $540 million of unrecognized tax benefits may occur within the next twelve months as a result of additional worldwide uncertain tax positions, the revaluation of current uncertain tax positions arising from developments in examinations, in appeals, or in the courts, or the closure of tax statutes. See Note 14, Contingent Liabilities, for discussion regarding uncertain tax positions, included in the above range, related to pending litigation with respect to certain deductions claimed in Germany.</w:t>
      </w:r>
    </w:p>
    <w:p>
      <w:pPr>
        <w:spacing w:after="0" w:line="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UTC tax years 2011 and 2012 are currently under review by the Examination Division of the Internal Revenue Service (IRS), which is expected to continue beyond the next 12 months. Goodrich Corporation tax years 2011 and 2012 through the date of acquisition by UTC are currently under review by the Examination Division of the IRS, which is also expected to continue beyond the next 12 months.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Employee Benefit Plans</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 Contributions to our plans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Quarter Ended 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5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jc w:val="right"/>
              <w:ind w:right="42"/>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w:t>
            </w: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Defined contribution plans</w:t>
            </w:r>
          </w:p>
        </w:tc>
        <w:tc>
          <w:tcPr>
            <w:tcW w:w="9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249</w:t>
            </w:r>
          </w:p>
        </w:tc>
      </w:tr>
    </w:tbl>
    <w:p>
      <w:pPr>
        <w:spacing w:after="0" w:line="229"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There were no significant contributions to our domestic defined benefit pension plans in the quarters and nine months ended September 30, 2015 and 2014. The following table illustrates the components of net periodic benefit cost for our defined pension and other postretirement benefit plans: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46"/>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w w:val="88"/>
              </w:rPr>
              <w:t>Pension Benefits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4"/>
          </w:tcPr>
          <w:p>
            <w:pPr>
              <w:jc w:val="center"/>
              <w:ind w:right="112"/>
              <w:spacing w:after="0"/>
              <w:rPr>
                <w:sz w:val="20"/>
                <w:szCs w:val="20"/>
                <w:color w:val="auto"/>
              </w:rPr>
            </w:pPr>
            <w:r>
              <w:rPr>
                <w:rFonts w:ascii="Arial" w:cs="Arial" w:eastAsia="Arial" w:hAnsi="Arial"/>
                <w:sz w:val="14"/>
                <w:szCs w:val="14"/>
                <w:b w:val="1"/>
                <w:bCs w:val="1"/>
                <w:color w:val="auto"/>
                <w:w w:val="92"/>
              </w:rPr>
              <w:t>Other Postretirement Benefits</w:t>
            </w:r>
          </w:p>
        </w:tc>
      </w:t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Quarter Ended September 30,</w:t>
            </w:r>
          </w:p>
        </w:tc>
        <w:tc>
          <w:tcPr>
            <w:tcW w:w="240" w:type="dxa"/>
            <w:vAlign w:val="bottom"/>
          </w:tcPr>
          <w:p>
            <w:pPr>
              <w:spacing w:after="0"/>
              <w:rPr>
                <w:sz w:val="16"/>
                <w:szCs w:val="16"/>
                <w:color w:val="auto"/>
              </w:rPr>
            </w:pPr>
          </w:p>
        </w:tc>
        <w:tc>
          <w:tcPr>
            <w:tcW w:w="260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w w:val="94"/>
              </w:rPr>
              <w:t>Quarter Ended September 30,</w:t>
            </w:r>
          </w:p>
        </w:tc>
      </w:tr>
      <w:tr>
        <w:trPr>
          <w:trHeight w:val="229"/>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settlement and curtailment loss</w:t>
            </w: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383"/>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w w:val="88"/>
              </w:rPr>
              <w:t>Pension Benefits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4"/>
          </w:tcPr>
          <w:p>
            <w:pPr>
              <w:jc w:val="center"/>
              <w:ind w:right="112"/>
              <w:spacing w:after="0"/>
              <w:rPr>
                <w:sz w:val="20"/>
                <w:szCs w:val="20"/>
                <w:color w:val="auto"/>
              </w:rPr>
            </w:pPr>
            <w:r>
              <w:rPr>
                <w:rFonts w:ascii="Arial" w:cs="Arial" w:eastAsia="Arial" w:hAnsi="Arial"/>
                <w:sz w:val="14"/>
                <w:szCs w:val="14"/>
                <w:b w:val="1"/>
                <w:bCs w:val="1"/>
                <w:color w:val="auto"/>
                <w:w w:val="92"/>
              </w:rPr>
              <w:t>Other Postretirement Benefits</w:t>
            </w:r>
          </w:p>
        </w:tc>
      </w:t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Nine Months Ended September 30,</w:t>
            </w:r>
          </w:p>
        </w:tc>
        <w:tc>
          <w:tcPr>
            <w:tcW w:w="240" w:type="dxa"/>
            <w:vAlign w:val="bottom"/>
          </w:tcPr>
          <w:p>
            <w:pPr>
              <w:spacing w:after="0"/>
              <w:rPr>
                <w:sz w:val="16"/>
                <w:szCs w:val="16"/>
                <w:color w:val="auto"/>
              </w:rPr>
            </w:pPr>
          </w:p>
        </w:tc>
        <w:tc>
          <w:tcPr>
            <w:tcW w:w="260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29"/>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settlement and curtailment loss</w:t>
            </w: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Net settlements and curtailment losses for pension benefits include curtailment losses of approximately $110 million related to, and recorded in, discontinued operations for the quarter and nine months ended September 30, 2015. There were no curtailment losses related to discontinued operations for the quarter and nine months ended September 30, 2014. In addition, total net periodic benefit cost includes approximately $25 million and $74 million related to, and recorded in, discontinued operations for the quarter and nine months, respectively, ended September 30, 2015. Total net periodic benefit cost includes approximately $24 million and $72 million related to, and recorded in, discontinued operations for the quarter and nine months, respectively, ended September 30, 2014.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Costs</w:t>
      </w:r>
    </w:p>
    <w:p>
      <w:pPr>
        <w:spacing w:after="0" w:line="22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During the nine months ended September 30, 2015, we recorded net pre-tax restructuring costs totaling $344 million for new and ongoing restructuring actions. We recorded charges in the segments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57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5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5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5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52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52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52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57"/>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52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280" w:type="dxa"/>
            <w:vAlign w:val="bottom"/>
            <w:vMerge w:val="restart"/>
          </w:tcPr>
          <w:p>
            <w:pPr>
              <w:jc w:val="right"/>
              <w:ind w:right="4390"/>
              <w:spacing w:after="0"/>
              <w:rPr>
                <w:sz w:val="20"/>
                <w:szCs w:val="20"/>
                <w:color w:val="auto"/>
              </w:rPr>
            </w:pPr>
            <w:r>
              <w:rPr>
                <w:rFonts w:ascii="Arial" w:cs="Arial" w:eastAsia="Arial" w:hAnsi="Arial"/>
                <w:sz w:val="18"/>
                <w:szCs w:val="18"/>
                <w:color w:val="auto"/>
              </w:rPr>
              <w:t>15</w:t>
            </w: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During the nine months ended September 30, 2015, we incurred restructuring costs that were recorded within discontinued operations of $139 million, which includes approximately $110 million of net settlements and curtailment losses for pension benefits. There were no curtailment losses related to discontinued operations for the quarter and nine months ended September 30, 2014. Restructuring charges incurred during the nine months ended September 30, 2015 primarily relate to actions initiated during 2015 and 2014, and were recorded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6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6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2015 Actions. </w:t>
      </w:r>
      <w:r>
        <w:rPr>
          <w:rFonts w:ascii="Arial" w:cs="Arial" w:eastAsia="Arial" w:hAnsi="Arial"/>
          <w:sz w:val="18"/>
          <w:szCs w:val="18"/>
          <w:color w:val="auto"/>
        </w:rPr>
        <w:t>During the nine months ended September 30, 2015, we recorded net pre-tax restructuring costs totaling $271 million, including $61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cost of sales, $68 million in selling, general and administrative expenses, and $142 million in discontinued operations. The 2015 actions relate to ongoing cost reduction efforts, including workforce reductions and the consolidation of field operations.</w:t>
      </w:r>
    </w:p>
    <w:p>
      <w:pPr>
        <w:spacing w:after="0" w:line="18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are targeting the majority of the remaining workforce and all facility related cost reduction actions for completion during 2015 and 2016. No specific plans for significant other actions have been finalized at this time. The following table summarizes the accrual balance and utilization by cost type for the 2015 restructuring actions: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Facility Exit,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Lease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Severance</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Termination and</w:t>
            </w: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678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accruals at July 1,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6780" w:type="dxa"/>
            <w:vAlign w:val="bottom"/>
            <w:gridSpan w:val="3"/>
          </w:tcPr>
          <w:p>
            <w:pPr>
              <w:ind w:left="40"/>
              <w:spacing w:after="0"/>
              <w:rPr>
                <w:sz w:val="20"/>
                <w:szCs w:val="20"/>
                <w:color w:val="auto"/>
              </w:rPr>
            </w:pPr>
            <w:r>
              <w:rPr>
                <w:rFonts w:ascii="Arial" w:cs="Arial" w:eastAsia="Arial" w:hAnsi="Arial"/>
                <w:sz w:val="18"/>
                <w:szCs w:val="18"/>
                <w:color w:val="auto"/>
              </w:rPr>
              <w:t>Net pre-tax restructuring costs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Utilization and foreign exchange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57"/>
        </w:trPr>
        <w:tc>
          <w:tcPr>
            <w:tcW w:w="6780" w:type="dxa"/>
            <w:vAlign w:val="bottom"/>
            <w:gridSpan w:val="3"/>
          </w:tcPr>
          <w:p>
            <w:pPr>
              <w:ind w:left="40"/>
              <w:spacing w:after="0"/>
              <w:rPr>
                <w:sz w:val="20"/>
                <w:szCs w:val="20"/>
                <w:color w:val="auto"/>
              </w:rPr>
            </w:pPr>
            <w:r>
              <w:rPr>
                <w:rFonts w:ascii="Arial" w:cs="Arial" w:eastAsia="Arial" w:hAnsi="Arial"/>
                <w:sz w:val="18"/>
                <w:szCs w:val="18"/>
                <w:color w:val="auto"/>
              </w:rPr>
              <w:t>Balance at September 30, 2015</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2015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Costs Incurred</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Costs Incurred</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Costs Incurred</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Remaining Costs at</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80" w:type="dxa"/>
            <w:vAlign w:val="bottom"/>
          </w:tcPr>
          <w:p>
            <w:pPr>
              <w:spacing w:after="0"/>
              <w:rPr>
                <w:sz w:val="12"/>
                <w:szCs w:val="12"/>
                <w:color w:val="auto"/>
              </w:rPr>
            </w:pPr>
          </w:p>
        </w:tc>
        <w:tc>
          <w:tcPr>
            <w:tcW w:w="118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8"/>
        </w:trPr>
        <w:tc>
          <w:tcPr>
            <w:tcW w:w="4120" w:type="dxa"/>
            <w:vAlign w:val="bottom"/>
            <w:gridSpan w:val="3"/>
            <w:vMerge w:val="continue"/>
          </w:tcPr>
          <w:p>
            <w:pPr>
              <w:spacing w:after="0"/>
              <w:rPr>
                <w:sz w:val="13"/>
                <w:szCs w:val="13"/>
                <w:color w:val="auto"/>
              </w:rPr>
            </w:pPr>
          </w:p>
        </w:tc>
        <w:tc>
          <w:tcPr>
            <w:tcW w:w="1000" w:type="dxa"/>
            <w:vAlign w:val="bottom"/>
          </w:tcPr>
          <w:p>
            <w:pPr>
              <w:jc w:val="right"/>
              <w:ind w:right="39"/>
              <w:spacing w:after="0" w:line="158" w:lineRule="exact"/>
              <w:rPr>
                <w:sz w:val="20"/>
                <w:szCs w:val="20"/>
                <w:color w:val="auto"/>
              </w:rPr>
            </w:pPr>
            <w:r>
              <w:rPr>
                <w:rFonts w:ascii="Arial" w:cs="Arial" w:eastAsia="Arial" w:hAnsi="Arial"/>
                <w:sz w:val="14"/>
                <w:szCs w:val="14"/>
                <w:b w:val="1"/>
                <w:bCs w:val="1"/>
                <w:color w:val="auto"/>
              </w:rPr>
              <w:t>Costs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March 31, 2015</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June 30, 2015</w:t>
            </w:r>
          </w:p>
        </w:tc>
        <w:tc>
          <w:tcPr>
            <w:tcW w:w="148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September 30, 2015</w:t>
            </w:r>
          </w:p>
        </w:tc>
        <w:tc>
          <w:tcPr>
            <w:tcW w:w="180" w:type="dxa"/>
            <w:vAlign w:val="bottom"/>
          </w:tcPr>
          <w:p>
            <w:pPr>
              <w:spacing w:after="0"/>
              <w:rPr>
                <w:sz w:val="13"/>
                <w:szCs w:val="13"/>
                <w:color w:val="auto"/>
              </w:rPr>
            </w:pPr>
          </w:p>
        </w:tc>
        <w:tc>
          <w:tcPr>
            <w:tcW w:w="1180" w:type="dxa"/>
            <w:vAlign w:val="bottom"/>
          </w:tcPr>
          <w:p>
            <w:pPr>
              <w:jc w:val="center"/>
              <w:ind w:right="94"/>
              <w:spacing w:after="0" w:line="158" w:lineRule="exact"/>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0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0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Discontinued operations</w:t>
            </w:r>
          </w:p>
        </w:tc>
        <w:tc>
          <w:tcPr>
            <w:tcW w:w="10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 xml:space="preserve">2014 Actions. </w:t>
      </w:r>
      <w:r>
        <w:rPr>
          <w:rFonts w:ascii="Arial" w:cs="Arial" w:eastAsia="Arial" w:hAnsi="Arial"/>
          <w:sz w:val="18"/>
          <w:szCs w:val="18"/>
          <w:color w:val="auto"/>
        </w:rPr>
        <w:t>During the nine months ended September 30, 2015, we recorded net pre-tax restructuring costs totaling $73 million for restructuring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in 2014, including $44 million in cost of sales and $29 million in selling, general and administrative expenses. The 2014 actions relate to ongoing cost reduction efforts, including workforce reductions and the consolidation of field operations. The following table summarizes the accrual balances and utilization by cost type for the 2014 restructuring actions: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7080" w:type="dxa"/>
            <w:vAlign w:val="bottom"/>
            <w:gridSpan w:val="4"/>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Facility Exit,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Lease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Severance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Termination and</w:t>
            </w: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08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Restructuring accruals at July 1,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7080" w:type="dxa"/>
            <w:vAlign w:val="bottom"/>
            <w:gridSpan w:val="4"/>
          </w:tcPr>
          <w:p>
            <w:pPr>
              <w:ind w:left="40"/>
              <w:spacing w:after="0"/>
              <w:rPr>
                <w:sz w:val="20"/>
                <w:szCs w:val="20"/>
                <w:color w:val="auto"/>
              </w:rPr>
            </w:pPr>
            <w:r>
              <w:rPr>
                <w:rFonts w:ascii="Arial" w:cs="Arial" w:eastAsia="Arial" w:hAnsi="Arial"/>
                <w:sz w:val="18"/>
                <w:szCs w:val="18"/>
                <w:color w:val="auto"/>
              </w:rPr>
              <w:t>Net pre-tax restructuring costs</w:t>
            </w:r>
          </w:p>
        </w:tc>
        <w:tc>
          <w:tcPr>
            <w:tcW w:w="2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Utilization and foreign exchange</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7"/>
        </w:trPr>
        <w:tc>
          <w:tcPr>
            <w:tcW w:w="7080" w:type="dxa"/>
            <w:vAlign w:val="bottom"/>
            <w:gridSpan w:val="4"/>
          </w:tcPr>
          <w:p>
            <w:pPr>
              <w:ind w:left="40"/>
              <w:spacing w:after="0"/>
              <w:rPr>
                <w:sz w:val="20"/>
                <w:szCs w:val="20"/>
                <w:color w:val="auto"/>
              </w:rPr>
            </w:pPr>
            <w:r>
              <w:rPr>
                <w:rFonts w:ascii="Arial" w:cs="Arial" w:eastAsia="Arial" w:hAnsi="Arial"/>
                <w:sz w:val="18"/>
                <w:szCs w:val="18"/>
                <w:color w:val="auto"/>
              </w:rPr>
              <w:t>Balance at September 30, 2015</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2014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Costs Incurred in</w:t>
            </w: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Costs Incurred</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Costs Incurred</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Costs Incurred</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Remaining Costs at</w:t>
            </w:r>
          </w:p>
        </w:tc>
        <w:tc>
          <w:tcPr>
            <w:tcW w:w="0" w:type="dxa"/>
            <w:vAlign w:val="bottom"/>
          </w:tcPr>
          <w:p>
            <w:pPr>
              <w:spacing w:after="0"/>
              <w:rPr>
                <w:sz w:val="1"/>
                <w:szCs w:val="1"/>
                <w:color w:val="auto"/>
              </w:rPr>
            </w:pPr>
          </w:p>
        </w:tc>
      </w:tr>
      <w:tr>
        <w:trPr>
          <w:trHeight w:val="149"/>
        </w:trPr>
        <w:tc>
          <w:tcPr>
            <w:tcW w:w="2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60" w:type="dxa"/>
            <w:vAlign w:val="bottom"/>
          </w:tcPr>
          <w:p>
            <w:pPr>
              <w:spacing w:after="0"/>
              <w:rPr>
                <w:sz w:val="12"/>
                <w:szCs w:val="12"/>
                <w:color w:val="auto"/>
              </w:rPr>
            </w:pPr>
          </w:p>
        </w:tc>
        <w:tc>
          <w:tcPr>
            <w:tcW w:w="120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8"/>
        </w:trPr>
        <w:tc>
          <w:tcPr>
            <w:tcW w:w="2640" w:type="dxa"/>
            <w:vAlign w:val="bottom"/>
            <w:gridSpan w:val="3"/>
            <w:vMerge w:val="continue"/>
          </w:tcPr>
          <w:p>
            <w:pPr>
              <w:spacing w:after="0"/>
              <w:rPr>
                <w:sz w:val="13"/>
                <w:szCs w:val="13"/>
                <w:color w:val="auto"/>
              </w:rPr>
            </w:pPr>
          </w:p>
        </w:tc>
        <w:tc>
          <w:tcPr>
            <w:tcW w:w="1000" w:type="dxa"/>
            <w:vAlign w:val="bottom"/>
          </w:tcPr>
          <w:p>
            <w:pPr>
              <w:jc w:val="right"/>
              <w:ind w:right="39"/>
              <w:spacing w:after="0" w:line="158" w:lineRule="exact"/>
              <w:rPr>
                <w:sz w:val="20"/>
                <w:szCs w:val="20"/>
                <w:color w:val="auto"/>
              </w:rPr>
            </w:pPr>
            <w:r>
              <w:rPr>
                <w:rFonts w:ascii="Arial" w:cs="Arial" w:eastAsia="Arial" w:hAnsi="Arial"/>
                <w:sz w:val="14"/>
                <w:szCs w:val="14"/>
                <w:b w:val="1"/>
                <w:bCs w:val="1"/>
                <w:color w:val="auto"/>
              </w:rPr>
              <w:t>Costs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ind w:right="454"/>
              <w:spacing w:after="0" w:line="158"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March 31, 2015</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June 30, 2015</w:t>
            </w:r>
          </w:p>
        </w:tc>
        <w:tc>
          <w:tcPr>
            <w:tcW w:w="148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September 30, 2015</w:t>
            </w:r>
          </w:p>
        </w:tc>
        <w:tc>
          <w:tcPr>
            <w:tcW w:w="160" w:type="dxa"/>
            <w:vAlign w:val="bottom"/>
          </w:tcPr>
          <w:p>
            <w:pPr>
              <w:spacing w:after="0"/>
              <w:rPr>
                <w:sz w:val="13"/>
                <w:szCs w:val="13"/>
                <w:color w:val="auto"/>
              </w:rPr>
            </w:pPr>
          </w:p>
        </w:tc>
        <w:tc>
          <w:tcPr>
            <w:tcW w:w="1200" w:type="dxa"/>
            <w:vAlign w:val="bottom"/>
          </w:tcPr>
          <w:p>
            <w:pPr>
              <w:jc w:val="center"/>
              <w:ind w:right="74"/>
              <w:spacing w:after="0" w:line="158" w:lineRule="exact"/>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UTC Climate,</w:t>
            </w: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Controls &amp; Security</w:t>
            </w:r>
          </w:p>
        </w:tc>
        <w:tc>
          <w:tcPr>
            <w:tcW w:w="100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0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Discontinued operations</w:t>
            </w:r>
          </w:p>
        </w:tc>
        <w:tc>
          <w:tcPr>
            <w:tcW w:w="10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482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2013 Actions. </w:t>
      </w:r>
      <w:r>
        <w:rPr>
          <w:rFonts w:ascii="Arial" w:cs="Arial" w:eastAsia="Arial" w:hAnsi="Arial"/>
          <w:sz w:val="18"/>
          <w:szCs w:val="18"/>
          <w:color w:val="auto"/>
        </w:rPr>
        <w:t>As of September 30, 2015, we have approximately $42 million of accrual balances remaining related to 2013 actions.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8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$15.4 billion and $13.9 billion at September 30, 2015 and December 31, 2014, respectively.</w:t>
      </w:r>
    </w:p>
    <w:p>
      <w:pPr>
        <w:spacing w:after="0" w:line="170"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following table summarizes the fair value of derivative instruments as of September 30, 2015 and December 31, 2014 which consist solely of foreign exchange contracts: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Asset Derivatives</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Liability Derivatives</w:t>
            </w:r>
          </w:p>
        </w:tc>
        <w:tc>
          <w:tcPr>
            <w:tcW w:w="58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2015</w:t>
            </w: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2014</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2015</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50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71</w:t>
            </w:r>
          </w:p>
        </w:tc>
      </w:tr>
    </w:tbl>
    <w:p>
      <w:pPr>
        <w:spacing w:after="0" w:line="12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 xml:space="preserve">As discussed in Note 5, on May 22, 2015 we issued approximately €750 million of Euro-denominated debt, which qualifies as a net investment hedge against our investments in European businesses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 of September 30, 2015, the net investment hedge is deemed to be effective as defined under ASC 815.</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amount of gains and losses related to the Company's derivative financial instruments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recorded in Accumulated other comprehensive loss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8"/>
                <w:szCs w:val="18"/>
                <w:color w:val="auto"/>
                <w:w w:val="93"/>
              </w:rPr>
              <w:t>Loss reclassified from Accumulated other comprehensive loss into Product</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sales (effective portion)</w:t>
            </w: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55</w:t>
            </w:r>
          </w:p>
        </w:tc>
      </w:tr>
      <w:tr>
        <w:trPr>
          <w:trHeight w:val="48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17</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Assuming current market conditions continue, a $211 million pre-tax loss is expected to be reclassified from Accumulated other comprehensive loss into Product sales to reflect the fixed prices obtained from foreign exchange hedging within the next 12 months. At September 30, 2015, all derivative contracts accounted for as cash flow hedges will mature by October 2017.</w:t>
      </w:r>
    </w:p>
    <w:p>
      <w:pPr>
        <w:spacing w:after="0" w:line="181"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effect on the Condensed Consolidated Statement of Operations of foreign exchange contracts not designated as hedging instruments was as follows: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Quarter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60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jc w:val="right"/>
              <w:ind w:right="62"/>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6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Gain recognized in Other income, net</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22</w:t>
            </w:r>
          </w:p>
        </w:tc>
      </w:tr>
      <w:tr>
        <w:trPr>
          <w:trHeight w:val="27"/>
        </w:trPr>
        <w:tc>
          <w:tcPr>
            <w:tcW w:w="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We received $147 million and $153 million from settlements of derivative contracts during the nine months ended September 30,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Fair Value Measurements and Disclosure Topic of the FASB ASC establishes a valuation hierarchy for disclosure of the inputs to the valuations used to measure fair value. A financial asset or liability's classification within the hierarchy is determined based on the lowest level input that is significant to the fair value measurement. This hierarchy prioritizes the inputs into three broad levels as follows:</w:t>
      </w:r>
    </w:p>
    <w:p>
      <w:pPr>
        <w:spacing w:after="0" w:line="7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unobservable inputs based on our own assumptions used to measure assets and liabilities at fair value.</w:t>
      </w:r>
    </w:p>
    <w:p>
      <w:pPr>
        <w:spacing w:after="0" w:line="10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tables provide the valuation hierarchy classification of assets and liabilities that are carried at fair value and measured on a recurring and nonrecurring basis in our Condensed Consolidated Balance Sheet as of September 30, 2015 and December 31, 2014: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September 30, 2015 (Dollars in millions)</w:t>
            </w:r>
          </w:p>
        </w:tc>
        <w:tc>
          <w:tcPr>
            <w:tcW w:w="3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4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392"/>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2014 (Dollars in millions)</w:t>
            </w:r>
          </w:p>
        </w:tc>
        <w:tc>
          <w:tcPr>
            <w:tcW w:w="32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4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Business dispositions</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We have recorded net gains of approximately $126 million during the nine months ended September 30, 2015, as a result of a fair value adjustment related to the acquisition of a controlling interest in a UTC Climate, Controls &amp; Security joint venture investment.</w:t>
      </w:r>
    </w:p>
    <w:p>
      <w:pPr>
        <w:spacing w:after="0" w:line="62"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recorded net gains of approximately $23 million, including a $48 million net gain during the nine months ended September 30, 2014, as a result of fair value adjustments related to the acquisitions of the majority interest in a Pratt &amp; Whitney joint venture. During the nine months ended September 30, 2014, we also recorded a net gain of approximately $30 million from UTC Climate, Controls &amp; Security's ongoing portfolio transformation, primarily due to a gain on the sale of an interest in a joint venture in North America, and a charge of approximately $28 million, included in discontinued operations, to adjust the fair value of a Sikorsky joint venture investment.</w:t>
      </w:r>
    </w:p>
    <w:p>
      <w:pPr>
        <w:spacing w:after="0" w:line="76"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available-for-sale securities include equity investments that are traded in active markets, either domestically or internationally,</w:t>
      </w:r>
      <w:r>
        <w:rPr>
          <w:rFonts w:ascii="Arial" w:cs="Arial" w:eastAsia="Arial" w:hAnsi="Arial"/>
          <w:sz w:val="16"/>
          <w:szCs w:val="16"/>
          <w:b w:val="1"/>
          <w:bCs w:val="1"/>
          <w:color w:val="auto"/>
        </w:rPr>
        <w:t xml:space="preserve"> </w:t>
      </w:r>
      <w:r>
        <w:rPr>
          <w:rFonts w:ascii="Arial" w:cs="Arial" w:eastAsia="Arial" w:hAnsi="Arial"/>
          <w:sz w:val="16"/>
          <w:szCs w:val="16"/>
          <w:color w:val="auto"/>
        </w:rPr>
        <w:t>and are measured at fair value using closing stock prices from active markets. Our derivative assets and liabilities include foreign exchange contracts and commodity derivatives that are measured at fair value using internal models based on observable market inputs such as forward rates, interest rates, our own credit risk and our counterparties' credit risks. As of September 30, 2015, there were no significant transfers in and out of Level 1 and Level 2.</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As of September 30, 2015,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14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September 30, 2015 and December 31,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September 30, 2015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52"/>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3"/>
                <w:szCs w:val="13"/>
                <w:color w:val="auto"/>
              </w:rPr>
            </w:pPr>
          </w:p>
        </w:tc>
        <w:tc>
          <w:tcPr>
            <w:tcW w:w="11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3"/>
                <w:szCs w:val="13"/>
                <w:color w:val="auto"/>
              </w:rPr>
            </w:pPr>
          </w:p>
        </w:tc>
        <w:tc>
          <w:tcPr>
            <w:tcW w:w="106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1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060" w:type="dxa"/>
            <w:vAlign w:val="bottom"/>
          </w:tcPr>
          <w:p>
            <w:pPr>
              <w:jc w:val="right"/>
              <w:ind w:right="415"/>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2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as of September 30,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48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(20,886)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had commercial aerospace financing and other contractual commitments totaling approximately $10.3 billion and $11.3 billion as of September 30, 2015 and December 31, 2014, respectively, related to commercial aircraft and certain contractual rights to provide product on new aircraft platforms.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 The fair value of these commitments is not readily determinable.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Long-Term Financing Receivables</w:t>
      </w:r>
    </w:p>
    <w:p>
      <w:pPr>
        <w:spacing w:after="0" w:line="229" w:lineRule="exact"/>
        <w:rPr>
          <w:sz w:val="20"/>
          <w:szCs w:val="20"/>
          <w:color w:val="auto"/>
        </w:rPr>
      </w:pPr>
    </w:p>
    <w:p>
      <w:pPr>
        <w:ind w:right="300" w:firstLine="567"/>
        <w:spacing w:after="0" w:line="264" w:lineRule="auto"/>
        <w:rPr>
          <w:sz w:val="20"/>
          <w:szCs w:val="20"/>
          <w:color w:val="auto"/>
        </w:rPr>
      </w:pPr>
      <w:r>
        <w:rPr>
          <w:rFonts w:ascii="Arial" w:cs="Arial" w:eastAsia="Arial" w:hAnsi="Arial"/>
          <w:sz w:val="18"/>
          <w:szCs w:val="18"/>
          <w:color w:val="auto"/>
        </w:rPr>
        <w:t>Our long-term financing receivables primarily represent balances related to our aerospace businesses, such as long-term trade accounts receivable, leases receivable, and notes receivable. We also have other long-term receivables related to our commercial businesses; however, both the individual and aggregate amounts of those other receivables are not significant.</w:t>
      </w:r>
    </w:p>
    <w:p>
      <w:pPr>
        <w:spacing w:after="0" w:line="73" w:lineRule="exact"/>
        <w:rPr>
          <w:sz w:val="20"/>
          <w:szCs w:val="20"/>
          <w:color w:val="auto"/>
        </w:rPr>
      </w:pPr>
    </w:p>
    <w:p>
      <w:pPr>
        <w:ind w:right="20" w:firstLine="567"/>
        <w:spacing w:after="0" w:line="297" w:lineRule="auto"/>
        <w:rPr>
          <w:sz w:val="20"/>
          <w:szCs w:val="20"/>
          <w:color w:val="auto"/>
        </w:rPr>
      </w:pPr>
      <w:r>
        <w:rPr>
          <w:rFonts w:ascii="Arial" w:cs="Arial" w:eastAsia="Arial" w:hAnsi="Arial"/>
          <w:sz w:val="16"/>
          <w:szCs w:val="16"/>
          <w:color w:val="auto"/>
        </w:rPr>
        <w:t>Long-term trade accounts receivable, including unbilled receivables primarily related to long-term aftermarket contracts, are principally amounts arising from the sale of goods and delivery of services with a contractual maturity date or realization period of greater than one year, and are recognized as Other assets in our Condensed Consolidated Balance Sheet. Notes and leases receivable represent notes and lease receivables other than receivables related to operating leases, and are recognized as Customer financing assets in our Condensed Consolidated Balance Sheet. The following table summarizes the balance by class of aerospace business-related long-term receivables as of September 30, 2015 and December 31, 2014.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2015</w:t>
            </w:r>
          </w:p>
        </w:tc>
        <w:tc>
          <w:tcPr>
            <w:tcW w:w="200" w:type="dxa"/>
            <w:vAlign w:val="bottom"/>
          </w:tcPr>
          <w:p>
            <w:pPr>
              <w:spacing w:after="0"/>
              <w:rPr>
                <w:sz w:val="14"/>
                <w:szCs w:val="14"/>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trade accounts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651</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Notes and leases receivable</w:t>
            </w: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381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long-term receivables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1,032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540"/>
        <w:spacing w:after="0" w:line="302" w:lineRule="auto"/>
        <w:rPr>
          <w:sz w:val="20"/>
          <w:szCs w:val="20"/>
          <w:color w:val="auto"/>
        </w:rPr>
      </w:pPr>
      <w:r>
        <w:rPr>
          <w:rFonts w:ascii="Arial" w:cs="Arial" w:eastAsia="Arial" w:hAnsi="Arial"/>
          <w:sz w:val="16"/>
          <w:szCs w:val="16"/>
          <w:color w:val="auto"/>
        </w:rPr>
        <w:t>Customer credit ratings range from customers with an extremely strong capacity to meet financial obligations, to customers whose uncollateralized receivable is in default. There can be no assurance that actual results will not differ from estimates or that consideration of these factors in the future will not result in an increase or decrease to the allowance for credit losses on long-term receivables. Based upon the customer credit ratings, approximately 12% and 9% of our total long-term receivables were considered to bear high credit risk as of September 30, 2015 and December 31, 2014, respectively.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300" w:firstLine="540"/>
        <w:spacing w:after="0" w:line="279" w:lineRule="auto"/>
        <w:rPr>
          <w:sz w:val="20"/>
          <w:szCs w:val="20"/>
          <w:color w:val="auto"/>
        </w:rPr>
      </w:pPr>
      <w:r>
        <w:rPr>
          <w:rFonts w:ascii="Arial" w:cs="Arial" w:eastAsia="Arial" w:hAnsi="Arial"/>
          <w:sz w:val="17"/>
          <w:szCs w:val="17"/>
          <w:color w:val="auto"/>
        </w:rPr>
        <w:t>For long-term trade accounts receivable, we evaluate credit risk and collectability individually to determine if an allowance is necessary. Our long-term receivables included in the table above are individually evaluated for recoverability, and we had valuation reserves of $19 million as of September 30, 2015 and $10 million as of December 31, 2014. At September 30, 2015 and December 31, 2014, we did not have any significant balances that are considered to be delinquent, on non-accrual status, past due 90 days or more, or considered to be not recoverable.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Shareowners' Equity and Noncontrolling Interest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summary of the changes in shareowners' equity and noncontrolling interest comprising total equity for the quarters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2014 is provided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Quarter Ended September 30,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820" w:type="dxa"/>
            <w:vAlign w:val="bottom"/>
          </w:tcPr>
          <w:p>
            <w:pPr>
              <w:jc w:val="right"/>
              <w:ind w:right="212"/>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Comprehensive income for the period: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Total other comprehensive loss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comprehensive income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Common Stock issued - equity unit remarketing</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Common Stock issued under employee plans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Common Stock repurchased</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Dividends on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on ESOP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Dividends attributable to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w w:val="99"/>
              </w:rPr>
              <w:t>Sale (purchase) of subsidiary shares from noncontrolling</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end of period</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30,525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1,526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32,051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34,049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35,389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7"/>
              </w:rPr>
              <w:t>Nine Months Ended September 30,</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Interest</w:t>
            </w:r>
          </w:p>
        </w:tc>
        <w:tc>
          <w:tcPr>
            <w:tcW w:w="200" w:type="dxa"/>
            <w:vAlign w:val="bottom"/>
          </w:tcPr>
          <w:p>
            <w:pPr>
              <w:spacing w:after="0"/>
              <w:rPr>
                <w:sz w:val="13"/>
                <w:szCs w:val="13"/>
                <w:color w:val="auto"/>
              </w:rPr>
            </w:pPr>
          </w:p>
        </w:tc>
        <w:tc>
          <w:tcPr>
            <w:tcW w:w="9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820" w:type="dxa"/>
            <w:vAlign w:val="bottom"/>
          </w:tcPr>
          <w:p>
            <w:pPr>
              <w:jc w:val="right"/>
              <w:ind w:right="212"/>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Comprehensive income for the period: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Total other comprehensive loss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comprehensive income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Common Stock issued - equity unit remarketing</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Common Stock issued under employee plans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Common Stock repurchased</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Dividends on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Dividends on ESOP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Dividends attributable to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w w:val="99"/>
              </w:rPr>
              <w:t>Sale (purchase) of subsidiary shares from noncontrolling</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Acquisition of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Disposition of noncontrolling interest</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Equity, end of period</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30,525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32,051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34,049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35,389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00" w:firstLine="392"/>
        <w:spacing w:after="0" w:line="279" w:lineRule="auto"/>
        <w:rPr>
          <w:sz w:val="20"/>
          <w:szCs w:val="20"/>
          <w:color w:val="auto"/>
        </w:rPr>
      </w:pPr>
      <w:r>
        <w:rPr>
          <w:rFonts w:ascii="Arial" w:cs="Arial" w:eastAsia="Arial" w:hAnsi="Arial"/>
          <w:sz w:val="17"/>
          <w:szCs w:val="17"/>
          <w:color w:val="auto"/>
        </w:rPr>
        <w:t>On March 13, 2015, we entered into accelerated share repurchase (ASR) agreements with each of Goldman, Sachs &amp; Co. and Morgan Stanley &amp; Co. LLC to repurchase shares of our common stock for an aggregate purchase price of $2.65 billion. Each ASR agreement provided for the repurchase of our common stock based on the average of the daily volume-weighted average prices of our common stock during the term of such ASR agreement, less a discount and subject to adjustments pursuant to the terms and conditions of the ASR agreement.</w:t>
      </w:r>
    </w:p>
    <w:p>
      <w:pPr>
        <w:spacing w:after="0" w:line="171" w:lineRule="exact"/>
        <w:rPr>
          <w:sz w:val="20"/>
          <w:szCs w:val="20"/>
          <w:color w:val="auto"/>
        </w:rPr>
      </w:pPr>
    </w:p>
    <w:p>
      <w:pPr>
        <w:ind w:right="120" w:firstLine="392"/>
        <w:spacing w:after="0" w:line="255" w:lineRule="auto"/>
        <w:rPr>
          <w:sz w:val="20"/>
          <w:szCs w:val="20"/>
          <w:color w:val="auto"/>
        </w:rPr>
      </w:pPr>
      <w:r>
        <w:rPr>
          <w:rFonts w:ascii="Arial" w:cs="Arial" w:eastAsia="Arial" w:hAnsi="Arial"/>
          <w:sz w:val="18"/>
          <w:szCs w:val="18"/>
          <w:color w:val="auto"/>
        </w:rPr>
        <w:t>On March 13, 2015, we paid the aggregate purchase price and received an initial delivery of 18.6 million shares of common stock at a price of $121.24 per share, representing approximately 85% of the shares expected to be repurchased. The aggregate purchase price was recorded as a reduction to Shareowners’ Equity, consisting of a $2.25 billion increase in Treasury Stock and a $398 million decrease in additional paid-in capital. On July 31, 2015, the shares associated with the remaining portion of the aggregate purchase were settled upon final delivery of approximately 4.2 million additional shares of common stock. Including the remaining shares settled on July 31, 2015, the final price under the ASR was $116.11 per share. The $398 million initially recorded in additional paid-in capital was reclassified to Treasury Stock.</w:t>
      </w:r>
    </w:p>
    <w:p>
      <w:pPr>
        <w:spacing w:after="0" w:line="193" w:lineRule="exact"/>
        <w:rPr>
          <w:sz w:val="20"/>
          <w:szCs w:val="20"/>
          <w:color w:val="auto"/>
        </w:rPr>
      </w:pPr>
    </w:p>
    <w:p>
      <w:pPr>
        <w:ind w:right="100" w:firstLine="392"/>
        <w:spacing w:after="0" w:line="259" w:lineRule="auto"/>
        <w:rPr>
          <w:sz w:val="20"/>
          <w:szCs w:val="20"/>
          <w:color w:val="auto"/>
        </w:rPr>
      </w:pPr>
      <w:r>
        <w:rPr>
          <w:rFonts w:ascii="Arial" w:cs="Arial" w:eastAsia="Arial" w:hAnsi="Arial"/>
          <w:sz w:val="18"/>
          <w:szCs w:val="18"/>
          <w:color w:val="auto"/>
        </w:rPr>
        <w:t>As discussed in Note 5, on August 3, 2015, we received approximately $1.1 billion from the proceeds of the remarketing of our 1.550% junior subordinated notes, which were originally issued as part of our equity units on June 18, 2012, and issued approximately 11.3 million shares of common stock to settle the purchase obligation of the holders of the equity units under the purchase contract entered into at the time of the original issuance of the equity units.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summary of the changes in each component of accumulated other comprehensive income (loss), net of tax for the quarters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2014 is provided below:</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Unrealized Gains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7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September 30, 2015</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June 30, 2015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(6,577)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September 30, 2015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 2015</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December 31, 2014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(5,709)</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1"/>
              </w:rPr>
              <w:t>Other comprehensive (loss) income before reclassifications,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September 30, 2015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Unrealized Gains</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7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September 30, 2014</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June 30, 2014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Tax benefit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September 30, 2014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 2014</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December 31, 2013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September 30, 2014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Amounts reclassified related to our defined benefit pension and postretirement plans include amortization of prior service costs and transition obligations, and actuarial net losses recognized during each period presented. These costs are recorded as components of net periodic pension cost for each period presented (see Note 7 for additional details).</w:t>
      </w:r>
    </w:p>
    <w:p>
      <w:pPr>
        <w:spacing w:after="0" w:line="181"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 A summary of the changes in redeemable noncontrolling interest recorded in the mezzanine section of the Condensed Consolidated Balance Sheet for the quarters and nine months ended September 30, 2015 and 2014 is provided below: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4"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49"/>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Quarter Ended September 30,</w:t>
            </w:r>
          </w:p>
        </w:tc>
        <w:tc>
          <w:tcPr>
            <w:tcW w:w="240" w:type="dxa"/>
            <w:vAlign w:val="bottom"/>
          </w:tcPr>
          <w:p>
            <w:pPr>
              <w:spacing w:after="0"/>
              <w:rPr>
                <w:sz w:val="24"/>
                <w:szCs w:val="24"/>
                <w:color w:val="auto"/>
              </w:rPr>
            </w:pPr>
          </w:p>
        </w:tc>
        <w:tc>
          <w:tcPr>
            <w:tcW w:w="26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 beginning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Dividends attributable to noncontrolling interest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Purchase of subsidiary shares from noncontrolling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Redeemable noncontrolling interest fair value adjustment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7"/>
              </w:rPr>
              <w:t>Redeemable noncontrolling interest reclassification to noncontrolling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r>
      <w:tr>
        <w:trPr>
          <w:trHeight w:val="257"/>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Redeemable noncontrolling interest, end of period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141</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Changes in noncontrolling interests that do not result in a change of control and where there is a difference between fair value and carrying value are accounted for as equity transactions. A summary of these changes in ownership interests in subsidiaries and the pro-forma effect on Net income attributable to common shareowners had they been recorded through net income for the quarters and nine months ended September 30, 2015 and 2014 is provided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4,747</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Transfers to noncontrolling interests: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Increase in common stock for sale of subsidiary shares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180"/>
              <w:spacing w:after="0"/>
              <w:rPr>
                <w:sz w:val="20"/>
                <w:szCs w:val="20"/>
                <w:color w:val="auto"/>
              </w:rPr>
            </w:pPr>
            <w:r>
              <w:rPr>
                <w:rFonts w:ascii="Arial" w:cs="Arial" w:eastAsia="Arial" w:hAnsi="Arial"/>
                <w:sz w:val="18"/>
                <w:szCs w:val="18"/>
                <w:color w:val="auto"/>
              </w:rPr>
              <w:t>Decrease in common stock for purchase of subsidiary shares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 after transfers to</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1,363</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1,830</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4,342</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4,714</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Guarantees</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guarantees outstanding since December 31, 2014. The changes in the carrying amount of service and product warranties and product performance guarantees for the nine months ended September 30, 2015 and 2014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1,324</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Warranties and performance guarantees issued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Settlements made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September 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1,229</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amounts above exclude service and product warranties and product performance guarantees related to Sikorsky of approximately $42 million and $38 million as of September 30, 2015 and 2014, respectively, which have been included in Liabilities held for sale.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Contingent Liabilities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Summarized below are the matters previously described in Note 17 of the Notes to the Consolidated Financial Statements in our 2014 Annual Report, incorporated by reference in our 2014 Form 10-K, updated as applicable.</w:t>
      </w:r>
    </w:p>
    <w:p>
      <w:pPr>
        <w:spacing w:after="0" w:line="170"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cash flows or financial condition.</w:t>
      </w:r>
    </w:p>
    <w:p>
      <w:pPr>
        <w:spacing w:after="0" w:line="120"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Our operations are subject to environmental regulation by federal, state and local authorities in the United States and regulatory authorities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 jurisdiction over our foreign operations. As described in Note 1 to the Consolidated Financial Statements in our 2014 Annual Report, we have accrued for the costs of environmental remediation activities and</w:t>
      </w:r>
    </w:p>
    <w:p>
      <w:pPr>
        <w:sectPr>
          <w:pgSz w:w="11900" w:h="16838" w:orient="portrait"/>
          <w:cols w:equalWidth="0" w:num="1">
            <w:col w:w="11420"/>
          </w:cols>
          <w:pgMar w:left="240" w:top="114"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14" w:right="239" w:bottom="1440" w:gutter="0" w:footer="0" w:header="0"/>
          <w:type w:val="continuous"/>
        </w:sectPr>
      </w:pPr>
    </w:p>
    <w:bookmarkStart w:id="23" w:name="page24"/>
    <w:bookmarkEnd w:id="23"/>
    <w:p>
      <w:pPr>
        <w:ind w:right="720"/>
        <w:spacing w:after="0" w:line="342" w:lineRule="auto"/>
        <w:rPr>
          <w:sz w:val="20"/>
          <w:szCs w:val="20"/>
          <w:color w:val="auto"/>
        </w:rPr>
      </w:pPr>
      <w:r>
        <w:rPr>
          <w:rFonts w:ascii="Arial" w:cs="Arial" w:eastAsia="Arial" w:hAnsi="Arial"/>
          <w:sz w:val="16"/>
          <w:szCs w:val="16"/>
          <w:color w:val="auto"/>
        </w:rPr>
        <w:t>periodically reassess these amounts. We believe that the likelihood of incurring losses materially in excess of amounts accrued is remote. Additional information pertaining to environmental matters is included in Note 1 to the Consolidated Financial Statements in our 2014 Annual Report.</w:t>
      </w:r>
    </w:p>
    <w:p>
      <w:pPr>
        <w:spacing w:after="0" w:line="12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Government. </w:t>
      </w:r>
      <w:r>
        <w:rPr>
          <w:rFonts w:ascii="Arial" w:cs="Arial" w:eastAsia="Arial" w:hAnsi="Arial"/>
          <w:sz w:val="18"/>
          <w:szCs w:val="18"/>
          <w:color w:val="auto"/>
        </w:rPr>
        <w:t>We are now, and believe that, in light of the current U.S. Government contracting environment, we will continue to be the subject of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U.S. Government investigations.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could void any contracts found to be tainted by fraud.</w:t>
      </w:r>
    </w:p>
    <w:p>
      <w:pPr>
        <w:spacing w:after="0" w:line="192" w:lineRule="exact"/>
        <w:rPr>
          <w:sz w:val="20"/>
          <w:szCs w:val="20"/>
          <w:color w:val="auto"/>
        </w:rPr>
      </w:pPr>
    </w:p>
    <w:p>
      <w:pPr>
        <w:ind w:right="40" w:firstLine="540"/>
        <w:spacing w:after="0" w:line="297" w:lineRule="auto"/>
        <w:rPr>
          <w:sz w:val="20"/>
          <w:szCs w:val="20"/>
          <w:color w:val="auto"/>
        </w:rPr>
      </w:pPr>
      <w:r>
        <w:rPr>
          <w:rFonts w:ascii="Arial" w:cs="Arial" w:eastAsia="Arial" w:hAnsi="Arial"/>
          <w:sz w:val="16"/>
          <w:szCs w:val="16"/>
          <w:color w:val="auto"/>
        </w:rPr>
        <w:t>Our contracts with the U.S. Government are also subject to audits. Like many defense contractors, we have received audit reports which recommend that certain contract prices should be reduced to comply with various government regulations. Some of these audit reports involved substantial amounts. We have made voluntary refunds in those cases we believe appropriate, have settled some allegations and continue to litigate certain cases.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accrued the minimum amount.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F100 Engine Litigation</w:t>
      </w:r>
    </w:p>
    <w:p>
      <w:pPr>
        <w:spacing w:after="0" w:line="117"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As previously disclosed, the United States Government sued us in 1999 in the United States District Court for the Southern District of Ohio, claiming that Pratt &amp; Whitney violated the civil False Claims Act and common law. The claims relate to the “Fighter Engine Competition” between Pratt &amp; Whitney's F100 engine and General Electric's F110 engine. The government alleged that it overpaid for F100 engines under contracts awarded by the U.S. Air Force in fiscal years 1985 through 1990 because Pratt &amp; Whitney inflated its estimated costs for some purchased parts and withheld data that would have revealed the overstatements. At trial, which ended in April 2005, the government claimed Pratt &amp; Whitney's liability to be approximately $624 million. On August 1, 2008, the trial court held that the Air Force had not suffered any actual damages because Pratt &amp; Whitney had made significant price concessions after the alleged overstatements were made. However, the trial court judge found that Pratt &amp; Whitney violated the False Claims Act due to inaccurate statements contained in its 1983 initial engine pricing proposal. In the absence of actual damages, the trial court awarded the government the maximum civil penalty of $7,090,000, or $10,000 for each of the 709 invoices Pratt &amp; Whitney submitted in 1989 and later under the contracts. In September 2008, both the government and UTC appealed the decision to the United States Court of Appeals for the Sixth Circuit. In November 2010, the Sixth Circuit affirmed Pratt &amp; Whitney's liability for the civil penalty under the False Claims Act, but remanded the case to the trial court for further proceedings on the issues of False Claims Act damages and common law liability and damages.</w:t>
      </w:r>
    </w:p>
    <w:p>
      <w:pPr>
        <w:spacing w:after="0" w:line="18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On June 18, 2012, the trial court found that Pratt &amp; Whitney had breached obligations imposed by common law based on the same conduct with respect to which the court previously found liability under the False Claims Act. Under the common law claims, the U.S. Air Force seeks damages for events occurring before March 3, 1989, which are not recoverable under the False Claims Act.</w:t>
      </w:r>
    </w:p>
    <w:p>
      <w:pPr>
        <w:spacing w:after="0" w:line="18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June 17, 2013, the trial court awarded the government approximately $473 million in damages and penalties, plus prejudgment interest in an amount to be determined. On July 1, 2013, the trial court, after determining the amount of prejudgment interest, entered judgment in favor of the government in the amount of approximately $664 million. The trial court also awarded post-judgment interest on the full amount of the judgment to accrue from July 2, 2013, at the federal variable interest rate determined pursuant to 28 U.S.C. § 1961. The judgment included four different components: (1) common law damages of approximately $109 million; (2) prejudgment interest on common law damages of approximately $191 million; (3) False Claims Act treble damages of approximately $357 million; and (4) the civil penalty of approximately $7 million. The penalty component of the judgment previously was affirmed by the United States Court of Appeals in 2010.</w:t>
      </w:r>
    </w:p>
    <w:p>
      <w:pPr>
        <w:spacing w:after="0" w:line="18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filed an appeal from the judgment to the United States Court of Appeals for the Sixth Circuit on August 26, 2013. On April 6, 2015, the Sixth Circuit reversed the trial court’s decision and vacated the prior damages award, noting that the government did not prove any damages. The court rejected as a matter of law the evidence submitted by the government on damages and remanded the case to the trial court to decide in the first instance whether the government should have another opportunity to prove that it suffered any actual damages.</w:t>
      </w:r>
    </w:p>
    <w:p>
      <w:pPr>
        <w:spacing w:after="0" w:line="79"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On July 17, 2015, the case returned to the District Court, at which time we filed a motion for entry of judgment, seeking a judgment of zero actual damages. The government responded by filing a motion on August 28, 2015, in which it abandoned its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33" w:right="259" w:bottom="1440" w:gutter="0" w:footer="0" w:header="0"/>
        </w:sectPr>
      </w:pPr>
    </w:p>
    <w:bookmarkStart w:id="24" w:name="page25"/>
    <w:bookmarkEnd w:id="24"/>
    <w:p>
      <w:pPr>
        <w:spacing w:after="0" w:line="258" w:lineRule="auto"/>
        <w:rPr>
          <w:sz w:val="20"/>
          <w:szCs w:val="20"/>
          <w:color w:val="auto"/>
        </w:rPr>
      </w:pPr>
      <w:r>
        <w:rPr>
          <w:rFonts w:ascii="Arial" w:cs="Arial" w:eastAsia="Arial" w:hAnsi="Arial"/>
          <w:sz w:val="18"/>
          <w:szCs w:val="18"/>
          <w:color w:val="auto"/>
        </w:rPr>
        <w:t xml:space="preserve">claim for actual damages, but now seeks a </w:t>
      </w:r>
      <w:r>
        <w:rPr>
          <w:rFonts w:ascii="Arial" w:cs="Arial" w:eastAsia="Arial" w:hAnsi="Arial"/>
          <w:sz w:val="18"/>
          <w:szCs w:val="18"/>
          <w:color w:val="231F20"/>
        </w:rPr>
        <w:t>judgment of approximately $85 million, representing (1) disgorgement of UTC’s alleged profits in fiscal year 1985,</w:t>
      </w:r>
      <w:r>
        <w:rPr>
          <w:rFonts w:ascii="Arial" w:cs="Arial" w:eastAsia="Arial" w:hAnsi="Arial"/>
          <w:sz w:val="18"/>
          <w:szCs w:val="18"/>
          <w:color w:val="auto"/>
        </w:rPr>
        <w:t xml:space="preserve"> </w:t>
      </w:r>
      <w:r>
        <w:rPr>
          <w:rFonts w:ascii="Arial" w:cs="Arial" w:eastAsia="Arial" w:hAnsi="Arial"/>
          <w:sz w:val="18"/>
          <w:szCs w:val="18"/>
          <w:color w:val="231F20"/>
        </w:rPr>
        <w:t>the first year of the multi-year engine competition, (2) prejudgment interest and (3) the civil penalty.</w:t>
      </w:r>
    </w:p>
    <w:p>
      <w:pPr>
        <w:spacing w:after="0" w:line="1" w:lineRule="exact"/>
        <w:rPr>
          <w:sz w:val="20"/>
          <w:szCs w:val="20"/>
          <w:color w:val="auto"/>
        </w:rPr>
      </w:pPr>
    </w:p>
    <w:p>
      <w:pPr>
        <w:ind w:right="60" w:firstLine="432"/>
        <w:spacing w:after="0" w:line="279" w:lineRule="auto"/>
        <w:rPr>
          <w:sz w:val="20"/>
          <w:szCs w:val="20"/>
          <w:color w:val="auto"/>
        </w:rPr>
      </w:pPr>
      <w:r>
        <w:rPr>
          <w:rFonts w:ascii="Arial" w:cs="Arial" w:eastAsia="Arial" w:hAnsi="Arial"/>
          <w:sz w:val="18"/>
          <w:szCs w:val="18"/>
          <w:color w:val="auto"/>
        </w:rPr>
        <w:t>We continue to believe that the government suffered no actual damages as a result of the inaccurate statements made in 1983. We also believe that there is no basis for the government’s new profit disgorgement claim. Accordingly, we continue not to accrue a reserve beyond the approximately $7 million civil penalty referenced above.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Accounting Standards Claim</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By letter dated December 24, 2013, a Divisional Administrative Contracting Officer of the United States Defense Contract Management Agency asserted a claim and demand for payment of approximately $211 million against Pratt &amp; Whitney. The claim is based on Pratt &amp; Whitney's alleged noncompliance with cost accounting standards from January 1, 2005 to December 31, 2012, due to its method of determining the cost of collaborator parts used in the calculation of material overhead costs for government contracts. We believe this claim is without merit. On March 18, 2014, Pratt &amp; Whitney filed an appeal to the Armed Services Board of Contract Appeals.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 Tax Litigation</w:t>
      </w:r>
    </w:p>
    <w:p>
      <w:pPr>
        <w:spacing w:after="0" w:line="225"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As previously disclosed, UTC has been involved in administrative review proceedings with the German Tax Office, which concern approximately €215 million (approximately $241 million) of tax benefits that we have claimed related to a 1998 reorganization of the corporate structure of Otis operations in Germany. Upon audit, these tax benefits were disallowed by the German Tax Office. UTC estimates interest associated with the aforementioned tax benefits is an additional approximately €118 million (approximately $133 million). On August 3, 2012, we filed suit in the local German Tax Court (Berlin-Brandenburg). In 2008 the German Federal Tax Court (FTC) denied benefits to another taxpayer in a case involving a German tax law relevant to our reorganization. The determination of the FTC on this other matter was appealed to the European Court of Justice (ECJ) to determine if the underlying German tax law is violative of European Union principles. On September 17, 2009, the ECJ issued an opinion in this case that is generally favorable to the other taxpayer and referred the case back to the FTC for further consideration of certain related issues. In May 2010, the FTC released its decision, in which it resolved certain tax issues that may be relevant to our suit and remanded the case to a lower court for further development. In 2012, the lower court decided in favor of the other taxpayer and the German Government again appealed the findings to the FTC. In November 2014, the FTC ruled in favor of the German Government, and against the other taxpayer. We believe that the FTC decision in the case involving the other taxpayer is not determinative of the outcome in our case, and we will continue vigorously to litigate the matter. However, in light of the FTC decision in the case involving the other taxpayer, we fully accrued for the matter during the quarter ended December 31, 2014. While we continue to litigate the matter at the local German Tax Court, UTC made tax and interest payments to German tax authorities of €38 million (approximately $42 million) in the quarter ended September 30, 2015. UTC has made aggregate tax and interest payments to the German tax authorities of €275 million (approximately $300 million) through September 30, 2015 (including the payments noted in the immediately preceding sentence) to avoid additional interest accruals pending final resolution of this matter.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As described in Note 16 to the Consolidated Financial Statements in our 2014 Annual Report,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181"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We have accrued for environmental investigatory, remediation, operating and maintenance costs, performance guarantees and other litigation and claims based on our estimate of the probable outcome of these matters. While it is possible that the outcome of these matters may differ from the recorded liability, we believe that resolution of these matters will not have a material impact on our competitive position, results of operations, cash flows or financial condition.</w:t>
      </w:r>
    </w:p>
    <w:p>
      <w:pPr>
        <w:spacing w:after="0" w:line="14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181"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We are also subject to a number of routine lawsuits, investigations and claims (some of which involve substantial amounts) arising out of the ordinary course of our business. We do not believe that these matters will have a material adverse effect upon our competitive position, results of operations, cash flows or financial condition.</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Financial Data</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operations are classified into four principal segments: Otis, UTC Climate, Controls &amp; Security, Pratt &amp; Whitney, and UTC Aerospace Systems. The segments are generally based on the management structure of the businesses and the grouping of similar operating companies, where each management organization has general operating autonomy over diversified products and services.</w:t>
      </w:r>
    </w:p>
    <w:p>
      <w:pPr>
        <w:spacing w:after="0" w:line="181" w:lineRule="exact"/>
        <w:rPr>
          <w:sz w:val="20"/>
          <w:szCs w:val="20"/>
          <w:color w:val="auto"/>
        </w:rPr>
      </w:pPr>
    </w:p>
    <w:p>
      <w:pPr>
        <w:ind w:right="400" w:firstLine="567"/>
        <w:spacing w:after="0" w:line="308" w:lineRule="auto"/>
        <w:rPr>
          <w:sz w:val="20"/>
          <w:szCs w:val="20"/>
          <w:color w:val="auto"/>
        </w:rPr>
      </w:pPr>
      <w:r>
        <w:rPr>
          <w:rFonts w:ascii="Arial" w:cs="Arial" w:eastAsia="Arial" w:hAnsi="Arial"/>
          <w:sz w:val="17"/>
          <w:szCs w:val="17"/>
          <w:color w:val="auto"/>
        </w:rPr>
        <w:t>As discussed in Note 2, in the quarter ended September 30, 2015, Sikorsky met "held for sale" criteria. Sikorsky's results of operations have been reclassified to Discontinued Operations in our Condensed Consolidated Statement of Operations for all periods presented.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for the quarters ended September 30, 2015 and 2014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4"/>
                <w:szCs w:val="14"/>
                <w:b w:val="1"/>
                <w:bCs w:val="1"/>
                <w:color w:val="auto"/>
              </w:rPr>
              <w:t>Operating Profits</w:t>
            </w:r>
          </w:p>
        </w:tc>
        <w:tc>
          <w:tcPr>
            <w:tcW w:w="254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4,279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4,351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3,457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3,535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segments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57"/>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13,788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14,613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2,612</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for the nine months ended September 30, 2015 and 2014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4"/>
                <w:szCs w:val="14"/>
                <w:b w:val="1"/>
                <w:bCs w:val="1"/>
                <w:color w:val="auto"/>
              </w:rPr>
              <w:t>Operating Profits</w:t>
            </w:r>
          </w:p>
        </w:tc>
        <w:tc>
          <w:tcPr>
            <w:tcW w:w="254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8,886</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9,646</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UTC Climate, Controls &amp; Security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10,243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10,485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UTC Aerospace Systems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10,637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7"/>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Total segments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42,351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43,383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7,165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7,345</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41,798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42,920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6,899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7,313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jc w:val="center"/>
        <w:ind w:right="440"/>
        <w:spacing w:after="0"/>
        <w:rPr>
          <w:sz w:val="20"/>
          <w:szCs w:val="20"/>
          <w:color w:val="auto"/>
        </w:rPr>
      </w:pPr>
      <w:r>
        <w:rPr>
          <w:rFonts w:ascii="Arial" w:cs="Arial" w:eastAsia="Arial" w:hAnsi="Arial"/>
          <w:sz w:val="17"/>
          <w:szCs w:val="17"/>
          <w:color w:val="auto"/>
        </w:rPr>
        <w:t>See Note 8 to the Condensed Consolidated Financial Statements for a discussion of restructuring costs included in segment operating results.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Accounting Pronouncements</w:t>
      </w:r>
    </w:p>
    <w:p>
      <w:pPr>
        <w:spacing w:after="0" w:line="22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May 2014, the FASB issued Accounting Standards Update (ASU) No. 2014-09, "Revenue from Contracts with Customers." This ASU is intended to clarify the principles for recognizing revenue by removing inconsistencies in revenue requirements; providing a more robust framework for addressing revenue issues; improving comparability of revenue recognition practices across entities, industries, jurisdictions and capital markets; and providing more useful information to users of financial statements through improved revenue disclosure requirements. On August 12, 2015, the FASB issued ASU 2015-14, "Revenue from Contracts with Customers (Topic 606): Deferral of the Effective Date," which delays the effective date of ASU 2014-09 by one year. The new standard is effective for reporting periods beginning after December 15, 2017. Early application is permitted for reporting periods beginning after December 15, 2016. We are evaluating the impact of ASU 2014-09.</w:t>
      </w:r>
    </w:p>
    <w:p>
      <w:pPr>
        <w:spacing w:after="0" w:line="8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February 2015, the FASB issued ASU No. 2015-02, "Amendments to the Consolidation Analysis." This update is intended to improve targeted areas of consolidation guidance by simplifying the consolidation evaluation process, and by placing more emphasis on risk of loss when determining a controlling financial interest. The provisions of this ASU are effective for interim and annual periods beginning after December 15, 2015. We are currently evaluating the impact of this ASU.</w:t>
      </w:r>
    </w:p>
    <w:p>
      <w:pPr>
        <w:spacing w:after="0" w:line="7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In April 2015, the FASB issued ASU No. 2015-03, "Simplifying the Presentation of Debt Issuance Costs." This ASU more closely aligns the treatment of debt issuance costs with debt discounts and premiums and requires debt issuance costs be presented as a direct deduction from the carrying amount of the related debt. The amendments in this ASU are effective for financial statements issued for fiscal years beginning after December 15, 2015 and interim periods within those fiscal years. This ASU is not expected to have a significant impact on our financial statements or disclosures.</w:t>
      </w:r>
    </w:p>
    <w:p>
      <w:pPr>
        <w:spacing w:after="0" w:line="63"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July 2015, FASB issued ASU 2015-11, “Simplifying the Measurement of Inventory.” This ASU changes the measurement principle for inventory from the lower of cost or market to lower of cost and net realizable value. Net realizable value is defined as the estimated selling prices in the ordinary course of business; less reasonably predictable costs of completion, disposal and transportation. The provisions of this ASU are effective for years beginning after December 15, 2016. This ASU is not expected to have a significant impact on our financial statements or disclosures.</w:t>
      </w:r>
    </w:p>
    <w:p>
      <w:pPr>
        <w:spacing w:after="0" w:line="6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September 2015, the FASB issued ASU 2015-16, “Business Combinations: Simplifying the Accounting For Measurement Period Adjustments.” This ASU requires that an acquirer recognize adjustments to provisional amounts that are identified during the measurement period in the reporting period in which the adjustment amounts are determined. The amendments in this ASU are effective for fiscal years beginning after December 15, 2015. This ASU is not expected to have a significant impact on our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and nine months ended September 30, 2015 and 2014, PricewaterhouseCoopers LLP (PricewaterhouseCoopers) reported that it has applied limited procedures in accordance with professional standards for a review of such information. However, its report dated October 23, 2015,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00" w:lineRule="exact"/>
        <w:rPr>
          <w:sz w:val="20"/>
          <w:szCs w:val="20"/>
          <w:color w:val="auto"/>
        </w:rPr>
      </w:pPr>
    </w:p>
    <w:p>
      <w:pPr>
        <w:spacing w:after="0" w:line="286" w:lineRule="exact"/>
        <w:rPr>
          <w:sz w:val="20"/>
          <w:szCs w:val="20"/>
          <w:color w:val="auto"/>
        </w:rPr>
      </w:pPr>
    </w:p>
    <w:p>
      <w:pPr>
        <w:ind w:right="3440" w:firstLine="3453"/>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reviewed the accompanying condensed consolidated balance sheet of United Technologies Corporation and its subsidiaries as of September 30, 2015 and the related condensed consolidated statements of operations and of comprehensive income for the three-month and nine-month periods ended September 30, 2015 and 2014 and the condensed consolidated statement of cash flows for the nine-month periods ended September 30, 2015 and 2014. This interim financial information is the responsibility of the Corporation’s management.</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170"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We previously audited, in accordance with the standards of the Public Company Accounting Oversight Board (United States), the consolidated balance sheet as of December 31, 2014 and the related consolidated statements of operations, of comprehensive income, of changes in equity, and of cash flows for the year then ended (not presented herein), and in our report dated February 5, 2015, we expressed an unqualified opinion on those consolidated financial statements.</w:t>
      </w:r>
    </w:p>
    <w:p>
      <w:pPr>
        <w:ind w:right="180"/>
        <w:spacing w:after="0" w:line="261" w:lineRule="auto"/>
        <w:rPr>
          <w:sz w:val="20"/>
          <w:szCs w:val="20"/>
          <w:color w:val="auto"/>
        </w:rPr>
      </w:pPr>
      <w:r>
        <w:rPr>
          <w:rFonts w:ascii="Arial" w:cs="Arial" w:eastAsia="Arial" w:hAnsi="Arial"/>
          <w:sz w:val="18"/>
          <w:szCs w:val="18"/>
          <w:color w:val="auto"/>
        </w:rPr>
        <w:t>As discussed in Note 2 to the accompanying condensed consolidated interim financial information, the Corporation has reflected the effects of discontinued operations. The accompanying December 31, 2014 condensed consolidated balance sheet reflects this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23, 2015</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are a global provider of high technology products and services to the building systems and aerospace industries. Our operations are classified into four principal business segments: Otis, UTC Climate, Controls &amp; Security, Pratt &amp; Whitney and UTC Aerospace Systems. Otis and UTC Climate, Controls &amp; Security are referred to as the "commercial businesses," while Pratt &amp; Whitney and UTC Aerospace Systems are referred to as the "aerospace businesses." UTC Building &amp; Industrial Systems was an organizational structure consisting of our commercial businesses. On September 10, 2015, we announced a change in organizational structure and now operate Otis and UTC Climate, Controls &amp; Security as stand-alone businesses that are no longer combined within UTC Building &amp; Industrial Systems. Otis and UTC Climate, Controls &amp; Security each report their financial and operational results as separate segments, which is consistent with how we allocate resources and measure the financial performance of these businesses. On July 20, 2015, we announced an agreement to sell our Sikorsky Aircraft business (Sikorsky) to Lockheed Martin Corp. The results of operations and the related cash flows of Sikorsky have been reclassified to Discontinued Operations in our Condensed Consolidated Statements of Operations and Cash Flows for all periods presented.</w:t>
      </w:r>
    </w:p>
    <w:p>
      <w:pPr>
        <w:spacing w:after="0" w:line="16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current status of significant factors affecting our business environment in 2015 is discussed below. For additional discussion, refer to the "Business Overview" section in Management's Discussion and Analysis of Financial Condition and Results of Operations in our 2014 Annual Report, which is incorporated by reference in our 2014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worldwide operations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operations include original equipment manufacturing (OEM) and extensive related aftermarket parts and services in both our commercial and aerospace businesses. Our business mix also reflects the combination of shorter cycles at UTC Climate, Controls &amp; Security and in our commercial aerospace aftermarket businesses, and longer cycles at Otis and in our aerospace OEM businesses. Our customers include companies in the private sector and governments, and our businesses reflect an extensive geographic diversification that has evolved with the continued globalization of world economies.</w:t>
      </w:r>
    </w:p>
    <w:p>
      <w:pPr>
        <w:spacing w:after="0" w:line="189"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global economy continues to expand in 2015 with world gross domestic product (GDP) growth projected to reach approximately 3.0% with strength in the U.S., modest improvements in Western Europe and a slowing but still growing China economy. U.S. GDP growth is forecasted to be 2.5%, with favorable consumer sentiment and strong retail sales aided by lower gas prices. Although emerging markets have historically led global growth relative to advanced and developing countries, slowing growth rates in China and contraction in Russia and Brazil have tempered growth expectations for emerging markets in 2015 to approximately 4.0%.</w:t>
      </w:r>
    </w:p>
    <w:p>
      <w:pPr>
        <w:spacing w:after="0" w:line="188"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Our military businesses sales are affected by U.S. Department of Defense budget and spending levels. However, the pending sale of Sikorsky reduces our U.S. Government defense-spending exposure. Excluding Sikorsky, total sales to the U.S. Government were $1.3 billion and $1.5 billion, or 10% of total UTC sales in the quarters ended September 30, 2015 and 2014, respectively. The defense portion of our aerospace business is affected by changes in market demand and the global political environment. Our participation in long-term production and development programs for the U.S. Government has and is expected to contribute positively to our results in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Discontinued Operations</w:t>
      </w:r>
    </w:p>
    <w:p>
      <w:pPr>
        <w:spacing w:after="0" w:line="22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On July 20, 2015, we announced an agreement to sell our Sikorsky business to Lockheed Martin Corp. for $9 billion in cash, subject to a working capital and net indebtedness adjustment. The sale is expected to close during the fourth quarter of 2015, and is subject to customary closing conditions, including regulatory approval. The sale is expected to generate approximately $6 billion in net cash, on an after-tax basis. Proceeds from the sale are expected to be used to fund additional share repurchase of UTC stock, including through entry into additional accelerated share repurchase (ASR) agreements in 2015. As a result of the decision to sell, Sikorsky met the "held-for-sale" criteria in the third quarter of 2015. The results of operations and the related cash flows of Sikorsky have been reclassified to Discontinued Operations in our Condensed Consolidated Statements of Operations, Comprehensive Income and Cash Flows for all periods presented. Income from Discontinued Operations in the quarter and nine months ended September 30, 2015 includes transaction related expenses of $38 million and $66 million, respectively. Cash flows from the operation of Sikorsky are expected to continue until completion of the sale to Lockheed Martin Corp. in the fourth quarter of 2015.</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225"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During the nine months ended September 30, 2015, our investment in business acquisitions was approximately $347 million, including debt assumed of $18 million, which includes the acquisition of a majority interest in a UTC Climate, Controls &amp; Security business and a number of other small acquisitions primarily in our commercial businesses. We expect cash investment in acquisitions to be approximately $1 billion in 2015. However, actual acquisition spending may vary depending upon the timing, availability and value of acquisition opportunities.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8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Global economic and political conditions, changes in raw material and commodity prices, interest rates, foreign currency exchange rates, energy costs, levels of end market demand in construction, levels of air travel, the financial condition of commercial airlines, and the impact from natural disasters and weather conditions create uncertainties that could impact our earnings outlook for the remainder of 2015. See Part I, Item 1A, "Risk Factors" in our 2014 Form 10-K for further discussion.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2014 Annual Report, incorporated by reference in our 2014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nine months ended September 30, 2015.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13,788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14,613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41,798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42,920</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factors contributing to the total percentage change year-over-year in total net sales for the quarter and nine months ended September 30, 2015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Quarter Ended</w:t>
            </w:r>
          </w:p>
        </w:tc>
        <w:tc>
          <w:tcPr>
            <w:tcW w:w="1820" w:type="dxa"/>
            <w:vAlign w:val="bottom"/>
          </w:tcPr>
          <w:p>
            <w:pPr>
              <w:jc w:val="right"/>
              <w:ind w:right="217"/>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 2015</w:t>
            </w:r>
          </w:p>
        </w:tc>
        <w:tc>
          <w:tcPr>
            <w:tcW w:w="1820" w:type="dxa"/>
            <w:vAlign w:val="bottom"/>
          </w:tcPr>
          <w:p>
            <w:pPr>
              <w:jc w:val="right"/>
              <w:ind w:right="237"/>
              <w:spacing w:after="0"/>
              <w:rPr>
                <w:sz w:val="20"/>
                <w:szCs w:val="20"/>
                <w:color w:val="auto"/>
              </w:rPr>
            </w:pPr>
            <w:r>
              <w:rPr>
                <w:rFonts w:ascii="Arial" w:cs="Arial" w:eastAsia="Arial" w:hAnsi="Arial"/>
                <w:sz w:val="14"/>
                <w:szCs w:val="14"/>
                <w:b w:val="1"/>
                <w:bCs w:val="1"/>
                <w:color w:val="auto"/>
              </w:rPr>
              <w:t>September 30, 2015</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 Change</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During the quarter ended September 30, 2015, organic sales declined at Pratt &amp; Whitney (8%) which was partially offset by organic sales growth at UTC Climate, Controls &amp; Security (3%) and Otis (2%). Organic sales at UTC Aerospace Systems were consistent with the prior year. The decline in sales at Pratt &amp; Whitney was due to lower military aftermarket sales and to lower commercial and military engine sales, as the transition to a new third-party material logistics center during the third quarter disrupted engine deliveries. Organic sales growth at UTC Climate, Controls &amp; Security was driven by the U.S. commercial and residential heating, ventilation, and air conditioning (HVAC) and transport refrigeration businesses. The Otis organic sales increase was primarily due to higher new equipment sales in North America and Asia outside of China.</w:t>
      </w:r>
    </w:p>
    <w:p>
      <w:pPr>
        <w:sectPr>
          <w:pgSz w:w="11900" w:h="16838" w:orient="portrait"/>
          <w:cols w:equalWidth="0" w:num="1">
            <w:col w:w="11420"/>
          </w:cols>
          <w:pgMar w:left="240" w:top="121"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Organic sales growth during the nine months ended September 30, 2015 was led by UTC Climate, Controls &amp; Security (5%), UTC Aerospace Systems (3%), and Otis (2%), which was partially offset by an organic sales decline at Pratt &amp; Whitney (2%). Organic sales growth at UTC Climate, Controls &amp; Security was driven by the U.S. commercial and residential HVAC and transport refrigeration businesses. Organic sales growth at UTC Aerospace Systems was primarily due to growth in commercial aerospace OEM sales, while the organic sales growth at Otis was primarily due to higher new equipment sales in North America and Asia outside of China. The decline in sales at Pratt &amp; Whitney was due to lower commercial and military engine sales, as the transition to a new third-party material logistics center during the third quarter disrupted engine deliveries.</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Quarter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7,114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7,342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21,952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22,415</w:t>
            </w: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Percentage of product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services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2,686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7,826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7,752</w:t>
            </w: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Percentage of service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cost of products and services sold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9,800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10,165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29,778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30,167</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factors contributing to the percentage change year-over-year for the quarter and nine months ended September 30, 2015 in total cost of products and services sold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Quarter Ended</w:t>
            </w:r>
          </w:p>
        </w:tc>
        <w:tc>
          <w:tcPr>
            <w:tcW w:w="1820" w:type="dxa"/>
            <w:vAlign w:val="bottom"/>
          </w:tcPr>
          <w:p>
            <w:pPr>
              <w:jc w:val="right"/>
              <w:ind w:right="216"/>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 2015</w:t>
            </w:r>
          </w:p>
        </w:tc>
        <w:tc>
          <w:tcPr>
            <w:tcW w:w="1820" w:type="dxa"/>
            <w:vAlign w:val="bottom"/>
          </w:tcPr>
          <w:p>
            <w:pPr>
              <w:jc w:val="right"/>
              <w:ind w:right="236"/>
              <w:spacing w:after="0"/>
              <w:rPr>
                <w:sz w:val="20"/>
                <w:szCs w:val="20"/>
                <w:color w:val="auto"/>
              </w:rPr>
            </w:pPr>
            <w:r>
              <w:rPr>
                <w:rFonts w:ascii="Arial" w:cs="Arial" w:eastAsia="Arial" w:hAnsi="Arial"/>
                <w:sz w:val="14"/>
                <w:szCs w:val="14"/>
                <w:b w:val="1"/>
                <w:bCs w:val="1"/>
                <w:color w:val="auto"/>
              </w:rPr>
              <w:t>September 30, 2015</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The organic increase in total cost of products and services sold, despite a decrease in organic sales, in the quarter ended September 30, 2015 was driven by a higher proportion of OEM sales mix and the related negative engine margin in 2015 relative to 2014, within Pratt &amp; Whitney. Foreign exchange fluctuations provided a benefit through lower cost of sales of approximately 6% driven by Otis and UTC Climate, Controls &amp; Security.</w:t>
      </w:r>
    </w:p>
    <w:p>
      <w:pPr>
        <w:spacing w:after="0" w:line="166"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The organic increase in total cost of products and services sold in the nine months ended September 30, 2015 was driven by the organic sales increase noted above as well as by a higher proportion of OEM sales mix and the related negative engine margin in 2015 relative to 2014, within Pratt &amp; Whitney. Foreign exchange fluctuations provided a benefit through lower cost of sales of approximately 5% driven by Otis and UTC Climate, Controls &amp; Security.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Arial" w:cs="Arial" w:eastAsia="Arial" w:hAnsi="Arial"/>
                <w:sz w:val="14"/>
                <w:szCs w:val="14"/>
                <w:b w:val="1"/>
                <w:bCs w:val="1"/>
                <w:color w:val="auto"/>
              </w:rPr>
              <w:t>Quarter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4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3,988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4,448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12,020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12,753</w:t>
            </w:r>
          </w:p>
        </w:tc>
      </w:tr>
      <w:tr>
        <w:trPr>
          <w:trHeight w:val="243"/>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w:t>
            </w: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150 basis point decline in gross margin as a percentage of sales for the quarter ended September 30, 2015 is driven by lower gross margin at Pratt</w:t>
      </w:r>
    </w:p>
    <w:p>
      <w:pPr>
        <w:spacing w:after="0" w:line="46" w:lineRule="exact"/>
        <w:rPr>
          <w:sz w:val="20"/>
          <w:szCs w:val="20"/>
          <w:color w:val="auto"/>
        </w:rPr>
      </w:pPr>
    </w:p>
    <w:p>
      <w:pPr>
        <w:ind w:right="260" w:firstLine="8"/>
        <w:spacing w:after="0" w:line="290" w:lineRule="auto"/>
        <w:tabs>
          <w:tab w:leader="none" w:pos="185" w:val="left"/>
        </w:tabs>
        <w:numPr>
          <w:ilvl w:val="0"/>
          <w:numId w:val="8"/>
        </w:numPr>
        <w:rPr>
          <w:rFonts w:ascii="Arial" w:cs="Arial" w:eastAsia="Arial" w:hAnsi="Arial"/>
          <w:sz w:val="17"/>
          <w:szCs w:val="17"/>
          <w:color w:val="auto"/>
        </w:rPr>
      </w:pPr>
      <w:r>
        <w:rPr>
          <w:rFonts w:ascii="Arial" w:cs="Arial" w:eastAsia="Arial" w:hAnsi="Arial"/>
          <w:sz w:val="17"/>
          <w:szCs w:val="17"/>
          <w:color w:val="auto"/>
        </w:rPr>
        <w:t>Whitney on a decline in the amount of favorable contract performance adjustments (60 basis points) and an increase in negative engine margin (40 basis points), and higher restructuring costs (10 basis points). The remaining decline is primarily driven by higher pension expense in 2015.</w:t>
      </w:r>
    </w:p>
    <w:p>
      <w:pPr>
        <w:spacing w:after="0" w:line="162"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90 basis point decline in gross margin as a percentage of sales for nine months ended September 30, 2015 is primarily due to lower gross margin at Pratt &amp; Whitney on a decline in the amount of favorable contract performance adjustments (20 basis points) and higher negative engine margin (50 basis points). The remaining decline is primarily driven by higher pension expense in 2015.</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4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5"/>
              </w:rPr>
              <w:t>Quarter Ended 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ind w:left="560"/>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9"/>
                <w:szCs w:val="19"/>
                <w:color w:val="auto"/>
              </w:rPr>
            </w:pPr>
          </w:p>
        </w:tc>
        <w:tc>
          <w:tcPr>
            <w:tcW w:w="1080" w:type="dxa"/>
            <w:vAlign w:val="bottom"/>
          </w:tcPr>
          <w:p>
            <w:pPr>
              <w:jc w:val="right"/>
              <w:ind w:right="494"/>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3"/>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1,668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1,851</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3"/>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1,209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1,506</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121"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decrease in company-funded research and development (15%) for the quarter ended September 30, 2015 is primarily related to lower research and development within UTC Aerospace Systems (4%) and at Pratt &amp; Whitney (11%), which resulted principally from the wind down of development activities on certain key programs such as the CSeries and A320neo. Customer-funded research and development declined 21%, due principally to lower U.S. Government spending at Pratt &amp; Whitney (18%). This decline reflects the latter stages of development on various U.S. Government programs.</w:t>
      </w:r>
    </w:p>
    <w:p>
      <w:pPr>
        <w:spacing w:after="0" w:line="165" w:lineRule="exact"/>
        <w:rPr>
          <w:sz w:val="20"/>
          <w:szCs w:val="20"/>
          <w:color w:val="auto"/>
        </w:rPr>
      </w:pPr>
    </w:p>
    <w:p>
      <w:pPr>
        <w:ind w:right="540" w:firstLine="432"/>
        <w:spacing w:after="0" w:line="259" w:lineRule="auto"/>
        <w:rPr>
          <w:sz w:val="20"/>
          <w:szCs w:val="20"/>
          <w:color w:val="auto"/>
        </w:rPr>
      </w:pPr>
      <w:r>
        <w:rPr>
          <w:rFonts w:ascii="Arial" w:cs="Arial" w:eastAsia="Arial" w:hAnsi="Arial"/>
          <w:sz w:val="18"/>
          <w:szCs w:val="18"/>
          <w:color w:val="auto"/>
        </w:rPr>
        <w:t>The year-over-year decrease in company-funded research and development (10%) for the nine months ended September 30, 2015 is due to lower research and development within Pratt &amp; Whitney (6%) primarily related to the development of multiple geared turbo-fan platforms and within UTC Aerospace Systems related to several commercial aerospace programs (4%). Customer-funded research and development declined (20%) due to lower spending on U.S. Government and commercial engine programs at Pratt &amp; Whitney.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company-funded research and development for the full year 2015 to decline approximately $200 million from 2014 levels.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Quarter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4,261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4,552</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w:t>
            </w:r>
          </w:p>
        </w:tc>
      </w:tr>
    </w:tbl>
    <w:p>
      <w:pPr>
        <w:spacing w:after="0" w:line="121" w:lineRule="exact"/>
        <w:rPr>
          <w:sz w:val="20"/>
          <w:szCs w:val="20"/>
          <w:color w:val="auto"/>
        </w:rPr>
      </w:pPr>
    </w:p>
    <w:p>
      <w:pPr>
        <w:ind w:right="560" w:firstLine="432"/>
        <w:spacing w:after="0" w:line="342" w:lineRule="auto"/>
        <w:rPr>
          <w:sz w:val="20"/>
          <w:szCs w:val="20"/>
          <w:color w:val="auto"/>
        </w:rPr>
      </w:pPr>
      <w:r>
        <w:rPr>
          <w:rFonts w:ascii="Arial" w:cs="Arial" w:eastAsia="Arial" w:hAnsi="Arial"/>
          <w:sz w:val="16"/>
          <w:szCs w:val="16"/>
          <w:color w:val="auto"/>
        </w:rPr>
        <w:t>Selling, general and administrative expenses declined 9% in the quarter ended September 30, 2015 due to the benefit of foreign exchange (6%), particularly within the commercial businesses, and lower employee compensation related expenses (5%), partially offset by higher pension costs (1%).</w:t>
      </w:r>
    </w:p>
    <w:p>
      <w:pPr>
        <w:spacing w:after="0" w:line="124"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Selling, general and administrative expenses declined 6% in the nine months ended September 30, 2015 due to the benefit of foreign exchange (6%), particularly within the commercial businesses. Higher pension costs (1%) were offset by lower employee compensation related expenses.</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 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20" w:type="dxa"/>
            <w:vAlign w:val="bottom"/>
          </w:tcPr>
          <w:p>
            <w:pPr>
              <w:jc w:val="right"/>
              <w:ind w:right="2"/>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6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305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963</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Other income, net includes equity earnings in unconsolidated entities, royalty income, foreign exchange gains and losses as well as other ongoing and nonrecurring items. The year-over-year decrease in other income, net (28%) in the quarter ended September 30, 2015 reflects lower joint venture income (7%) and the absence of a prior year gain primarily from fair value adjustments related to the acquisition of the majority interest in a Pratt &amp; Whitney joint venture (27%) and a prior year net gain from UTC Climate, Controls &amp; Security's ongoing portfolio transformation (10%), partially offset by higher licensing income (13%) and favorable transactional foreign exchange gains embedded within certain elevator new equipment contracts (5%). The remaining difference is attributable to other normal recurring operational activity.</w:t>
      </w:r>
    </w:p>
    <w:p>
      <w:pPr>
        <w:spacing w:after="0" w:line="193"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The year-over-year decrease in other income, net (16%) in the nine months ended September 30, 2015 reflects lower joint venture income (7%) and the absence of: a prior year gain primarily from fair value adjustments related to the acquisition of the majority interest in a Pratt &amp; Whitney joint venture (9%), a prior year net gain from UTC Climate, Controls &amp; Security's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ongoing portfolio transformation (3%), and a prior year gain on an agreement with a state taxing authority for the monetization of tax credits (23%). Other income benefited from higher licensing income (5%), a gain on the re-measurement to fair value of previously held equity interests in UTC Climate, Controls</w:t>
      </w:r>
    </w:p>
    <w:p>
      <w:pPr>
        <w:ind w:right="260" w:firstLine="8"/>
        <w:spacing w:after="0" w:line="290" w:lineRule="auto"/>
        <w:tabs>
          <w:tab w:leader="none" w:pos="185" w:val="left"/>
        </w:tabs>
        <w:numPr>
          <w:ilvl w:val="0"/>
          <w:numId w:val="9"/>
        </w:numPr>
        <w:rPr>
          <w:rFonts w:ascii="Arial" w:cs="Arial" w:eastAsia="Arial" w:hAnsi="Arial"/>
          <w:sz w:val="17"/>
          <w:szCs w:val="17"/>
          <w:color w:val="auto"/>
        </w:rPr>
      </w:pPr>
      <w:r>
        <w:rPr>
          <w:rFonts w:ascii="Arial" w:cs="Arial" w:eastAsia="Arial" w:hAnsi="Arial"/>
          <w:sz w:val="17"/>
          <w:szCs w:val="17"/>
          <w:color w:val="auto"/>
        </w:rPr>
        <w:t>Security joint venture investments (13%) as a result of obtaining controlling interests in the ventures, and the absence of a prior year charge to adjust the fair value of a Pratt &amp; Whitney joint venture (6%). The remaining difference is attributable to other normal recurring operational activity.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Quarter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722</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(107)</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615</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Average interest expense rate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12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decline in interest income in the quarter ended September 30, 2015 includes the absence of $23 million of favorable pre-tax interest adjustments primarily related to the resolution of disputes with the appeals division of the IRS for the Company's 2006 through 2008 tax years, recorded during the quarter ended September 30, 2014. In addition, the decline in interest income in the nine months ended September 30, 2015 also includes the absence of $21 million of favorable pre-tax interest adjustments, primarily related to the conclusion of the IRS's examination of the Company's 2009 and 2010 tax years, recorded during the quarter ended June 30, 2014.</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4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3"/>
              </w:rPr>
              <w:t>Quarter Ended September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46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96"/>
              </w:rPr>
              <w:t>2015</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2014</w:t>
            </w:r>
          </w:p>
        </w:tc>
      </w:tr>
      <w:tr>
        <w:trPr>
          <w:trHeight w:val="243"/>
        </w:trPr>
        <w:tc>
          <w:tcPr>
            <w:tcW w:w="6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23.7%</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7"/>
        </w:trPr>
        <w:tc>
          <w:tcPr>
            <w:tcW w:w="5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The increase in the effective tax rate for the quarter ended September 30, 2015, primarily reflects the absence of the favorable non-cash income tax impacts of $118 million, recorded in the third quarter of 2014, related to the resolution of disputes with the Appeals Division of the IRS for the Company’s 2006 through 2008 tax years, as well as the conclusion of the Canada Revenue Agency’s examination of the Company’s 2006 through 2012 tax years.</w:t>
      </w:r>
    </w:p>
    <w:p>
      <w:pPr>
        <w:spacing w:after="0" w:line="14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increase in the effective tax rate for the nine months ended September 30, 2015 primarily reflects the absence of the items noted above, as well as the favorable non-cash impact of items recorded in the second quarter of 2014, including $213 million related to the conclusion of the IRS examination of the Company’s 2009 and 2010 tax years and $40 million related to the conclusion of the State of Connecticut's review of the Company’s 2010 through 2012 tax years. The absence of these items is partially offset by the non-taxable gain recognized on the re-measurement to fair value of a previously held equity interest in a UTC Climate, Controls &amp; Security joint venture that was recorded in the first quarter of 2015.</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estimate our full year continuing operations annual effective income tax rate to be approximately 28.5%, excluding nonrecurring items.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Income from Continuing Operations Attributable to Common Shareowners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960" w:type="dxa"/>
            <w:vAlign w:val="bottom"/>
            <w:gridSpan w:val="6"/>
          </w:tcPr>
          <w:p>
            <w:pPr>
              <w:ind w:left="520"/>
              <w:spacing w:after="0"/>
              <w:rPr>
                <w:sz w:val="20"/>
                <w:szCs w:val="20"/>
                <w:color w:val="auto"/>
              </w:rPr>
            </w:pPr>
            <w:r>
              <w:rPr>
                <w:rFonts w:ascii="Arial" w:cs="Arial" w:eastAsia="Arial" w:hAnsi="Arial"/>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2"/>
              </w:rPr>
              <w:t>Net income from continuing operations attributable to common shareowners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1,426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4,788</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 from continuing operations</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5.24</w:t>
            </w:r>
          </w:p>
        </w:tc>
      </w:tr>
    </w:tbl>
    <w:p>
      <w:pPr>
        <w:spacing w:after="0" w:line="12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Net income from continuing operations attributable to common shareowners for the quarter ended September 30, 2015 includes restructuring charges, net of tax benefit, of $52 million. The effect of restructuring charges on diluted earnings per share for the quarter ended September 30, 2015 was $0.06 per share. The impact of foreign currency translation and hedging generated an unfavorable effect of $0.05 per diluted share on our operational performance in the quarter ended September 30, 2015.</w:t>
      </w:r>
    </w:p>
    <w:p>
      <w:pPr>
        <w:spacing w:after="0" w:line="18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Net income from continuing operations attributable to common shareowners for the quarter ended September 30, 2014 includes restructuring charges, net of tax benefit, of $42 million as well as a net benefit from non-recurring items, net of tax</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expense of $239 million. The net benefit to diluted earnings per share for the quarter ended September 30, 2014 of non-recurring items was $0.27 per share, offset by restructuring charges of $0.05 per share.</w:t>
      </w:r>
    </w:p>
    <w:p>
      <w:pPr>
        <w:spacing w:after="0" w:line="17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Net income from continuing operations attributable to common shareowners for the nine months ended September 30, 2015 includes restructuring charges, net of tax benefit, of $140 million as well as a net benefit from nonrecurring items, net of tax expense of $127 million. The effect of restructuring charges on diluted earnings per share for the nine months ended September 30, 2015 was $0.15, which was partially offset by a net benefit from nonrecurring items of $0.14. The impact of foreign currency translation and hedging generated an unfavorable effect of $0.18 per diluted share on our operational performance in the nine months ended September 30, 2015.</w:t>
      </w:r>
    </w:p>
    <w:p>
      <w:pPr>
        <w:spacing w:after="0" w:line="188"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Net income from continuing operations attributable to common shareowners for the nine months ended September 30, 2014 includes restructuring charges, net of tax benefit, of $153 million as well as a net benefit from non-recurring items, net of tax expense of $568 million. The effect on diluted earnings per share for the nine months ended September 30, 2014 of restructuring charges was $0.17 per share, offset by a net $0.63 benefit from non-recurring items.</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i w:val="1"/>
          <w:iCs w:val="1"/>
          <w:u w:val="single" w:color="auto"/>
          <w:color w:val="auto"/>
        </w:rPr>
        <w:t>Net Income from Discontinued Operations Attributable to Common Shareowners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9"/>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(loss) income from discontinued operations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attributable to common shareowners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 from discontinued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(0.04)</w:t>
            </w:r>
          </w:p>
        </w:tc>
      </w:tr>
    </w:tbl>
    <w:p>
      <w:pPr>
        <w:spacing w:after="0" w:line="121"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Net income from discontinued operations attributable to common shareowners for the quarter ended September 30, 2015 includes income from Sikorsky's operations, net of tax expense, of $21 million, including pension curtailment charges associated with our domestic pension plans, offset by costs incurred in connection with the planned sale of Sikorsky, net of tax benefit, of $85 million</w:t>
      </w:r>
      <w:r>
        <w:rPr>
          <w:rFonts w:ascii="Arial" w:cs="Arial" w:eastAsia="Arial" w:hAnsi="Arial"/>
          <w:sz w:val="14"/>
          <w:szCs w:val="14"/>
          <w:color w:val="auto"/>
        </w:rPr>
        <w:t>.</w:t>
      </w:r>
    </w:p>
    <w:p>
      <w:pPr>
        <w:spacing w:after="0" w:line="181"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Net income from discontinued operations attributable to common shareowners for the nine months ended September 30, 2015 includes income from Sikorsky's operations, net of tax expense, of $188 million, including pension curtailment charges associated with our domestic pension plans, partially offset by costs incurred in connection with the planned sale of Sikorsky, net of tax benefit, of $110 million. Net income from discontinued operations attributable to common shareowners for the nine months ended September 30, 2014 includes a previously disclosed cumulative adjustment that was recorded in the second quarter of 2014, related to a contract with the Canadian Government for the development by Sikorsky of the CH-148 derivative of the H-92 helicopter, a military variant of the S-92 helicopter. The cumulative adjustment reflects the percentage of completion under the contract with the Canadian Government as a change in estimate and resulted in the recognition of losses, net of tax benefit, of $277 million in the second quarter of 2014.</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9"/>
                <w:szCs w:val="19"/>
                <w:color w:val="auto"/>
              </w:rPr>
            </w:pPr>
          </w:p>
        </w:tc>
        <w:tc>
          <w:tcPr>
            <w:tcW w:w="1120" w:type="dxa"/>
            <w:vAlign w:val="bottom"/>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included within continuing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Restructuring costs included within discontinued operations</w:t>
            </w: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Restructuring actions are an essential component of our operating margin improvement efforts and relate to both existing operations and those recently acquired. Charges generally arise from severance related to workforce reductions, accelerated depreciation on assets and facility exit and lease termination costs associated with the consolidation of field and manufacturing operations. We expect to incur restructuring costs within continuing operations in 2015 of more than $300 million, including trailing costs related to prior actions associated with our continuing cost reduction efforts and the integration of acquisitions. The expected adverse impact on earnings in 2015 from anticipated additional restructuring costs is expected to be offset by the beneficial impact from gains and other items that are outside the normal operating activities of the business. Although no specific plans for significant actions have been finalized or approved at this time, we continue to closely monitor the economic environment and may undertake further restructuring actions to keep our cost structure aligned with the demands of the prevailing market conditions.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During the nine months ended September 30, 2015, we incurred restructuring costs that were recorded within discontinued operations of $139 million, which includes approximately $110 million of curtailment losses for pension benefits. There were no curtailment losses related to discontinued operations for the quarter and nine months ended September 30, 2014. As described below, the charges incurred in the nine months ended September 30, 2015 primarily relate to actions initiated during 2015 and 2014, while the charges incurred in the nine months ended September 30, 2014 primarily relate to actions initiated during 2014 and 2013.</w:t>
      </w:r>
    </w:p>
    <w:p>
      <w:pPr>
        <w:spacing w:after="0" w:line="184"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2015 Actions. </w:t>
      </w:r>
      <w:r>
        <w:rPr>
          <w:rFonts w:ascii="Arial" w:cs="Arial" w:eastAsia="Arial" w:hAnsi="Arial"/>
          <w:sz w:val="18"/>
          <w:szCs w:val="18"/>
          <w:color w:val="auto"/>
        </w:rPr>
        <w:t>During the nine months ended September 30, 2015, we recorded net pre-tax restructuring charges of $271 million relating to ongoing cost</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 actions initiated in 2015.</w:t>
      </w:r>
    </w:p>
    <w:p>
      <w:pPr>
        <w:spacing w:after="0" w:line="166"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We are targeting to complete in 2015 and 2016 the majority of the remaining workforce and facility related cost reduction actions initiated in 2015. Approximately 60% of the total pre-tax charge will require cash payments, which we have funded and expect to continue to fund with cash generated from operations. During the nine months ended September 30, 2015, we had cash outflows of approximately $66 million related to the 2015 actions. We expect to incur additional restructuring charges of $60 million to complete these actions. We expect recurring pre-tax savings in continuing operations to increase over the two-year period subsequent to initiating the actions to approximately $145 million annually.</w:t>
      </w:r>
    </w:p>
    <w:p>
      <w:pPr>
        <w:spacing w:after="0" w:line="169"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2014 Actions. </w:t>
      </w:r>
      <w:r>
        <w:rPr>
          <w:rFonts w:ascii="Arial" w:cs="Arial" w:eastAsia="Arial" w:hAnsi="Arial"/>
          <w:sz w:val="18"/>
          <w:szCs w:val="18"/>
          <w:color w:val="auto"/>
        </w:rPr>
        <w:t>During the nine months ended September 30, 2015 and 2014, we recorded net pre-tax restructuring charges of $73 million and $215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for actions initiated in 2014. The 2014 actions relate to ongoing cost reduction efforts, including severance related to workforce reductions and facility exit and lease termination costs related to the consolidation of field and manufacturing operations.</w:t>
      </w:r>
    </w:p>
    <w:p>
      <w:pPr>
        <w:spacing w:after="0" w:line="18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are targeting to complete in 2015 the majority of the remaining workforce and facility related cost reduction actions initiated in 2014. Approximately 85% of the total pre-tax charge will require cash payments, which we have and expect to continue to fund with cash generated from operations. During the nine months ended September 30, 2015, we had cash outflows of approximately $103 million related to the 2014 actions. We expect to incur additional restructuring charges of $64 million to complete these actions. We expect recurring pre-tax savings in continuing operations to increase over the two-year period subsequent to initiating the actions to approximately $275 million annually, of which, approximately $145 million was realized during the nine months ended September 30, 2015.</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additional discussion of restructuring, see Note 8 to the Condensed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22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Segments are generally based on the management structure of the businesses and the grouping of similar operating companies, where each management organization has general operating autonomy over diversified products and services. We have previously reported the results of Sikorsky within our Aerospace Businesses as a separate reporting segment, but have reclassified Sikorsky's results to discontinued operations for all periods presented, as noted in the “Discontinued Operations” section of our Business Overview in Management’s Discussion and Analysis of Financial Condition and Results of Operations. Adjustments to reconcile segment reporting to the consolidated results for the quarters and nine months ended September 30, 2015 and 2014 are included in "Eliminations and other" below, which also includes certain smaller subsidiaries. We attempt to quantify material cited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225"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Our commercial businesses generally serve customers in the worldwide commercial and residential property industries, and UTC Climate, Controls &amp; Security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credit markets and other global and political factors. UTC Climate, Controls &amp; Security's financial performance can also be influenced by production and utilization of transport equipment, and, in the case of its residential business, weather conditions. To ensure adequate supply of products in the distribution channel, UTC Climate, Controls &amp; Security customarily offers its customers incentives to purchase products. The principal incentive program provides reimbursements to distributors for offering promotional pricing on UTC Climate, Controls &amp; Security products. We account for incentive payments made as a reduction to sales.</w:t>
      </w:r>
    </w:p>
    <w:p>
      <w:pPr>
        <w:spacing w:after="0" w:line="71"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At constant currency and excluding the effect of acquisitions and divestitures, UTC Climate, Controls &amp; Security global commercial HVAC orders increased (7%) as order growth of commercial HVAC equipment in the Americas (8%) and Europe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and the Middle East (6%) was offset by a decline in commercial HVAC orders in China (10%) during the third quarter of 2015. Within the Otis segment, new equipment orders increased (2%) in the quarter ended September 30, 2015 with continued strong order growth in North America (47%) including a large order in New York, offset by declines in orders in Europe and the Middle East (9%) and China (19%).</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quarters ended September 30, 2015 and 2014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Otis</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7"/>
          </w:tcPr>
          <w:p>
            <w:pPr>
              <w:jc w:val="right"/>
              <w:ind w:right="713"/>
              <w:spacing w:after="0"/>
              <w:rPr>
                <w:sz w:val="20"/>
                <w:szCs w:val="20"/>
                <w:color w:val="auto"/>
              </w:rPr>
            </w:pPr>
            <w:r>
              <w:rPr>
                <w:rFonts w:ascii="Arial" w:cs="Arial" w:eastAsia="Arial" w:hAnsi="Arial"/>
                <w:sz w:val="14"/>
                <w:szCs w:val="14"/>
                <w:b w:val="1"/>
                <w:bCs w:val="1"/>
                <w:color w:val="auto"/>
              </w:rPr>
              <w:t>UTC Climate, Controls &amp; Security</w:t>
            </w:r>
          </w:p>
        </w:tc>
      </w:tr>
      <w:tr>
        <w:trPr>
          <w:trHeight w:val="229"/>
        </w:trPr>
        <w:tc>
          <w:tcPr>
            <w:tcW w:w="38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2,047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2,948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2,991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21.1%</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18.5%</w:t>
            </w:r>
          </w:p>
        </w:tc>
        <w:tc>
          <w:tcPr>
            <w:tcW w:w="1060" w:type="dxa"/>
            <w:vAlign w:val="bottom"/>
          </w:tcPr>
          <w:p>
            <w:pPr>
              <w:spacing w:after="0"/>
              <w:rPr>
                <w:sz w:val="24"/>
                <w:szCs w:val="24"/>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nine months ended September 30, 2015 and 2014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Otis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6"/>
          </w:tcPr>
          <w:p>
            <w:pPr>
              <w:jc w:val="right"/>
              <w:ind w:right="694"/>
              <w:spacing w:after="0"/>
              <w:rPr>
                <w:sz w:val="20"/>
                <w:szCs w:val="20"/>
                <w:color w:val="auto"/>
              </w:rPr>
            </w:pPr>
            <w:r>
              <w:rPr>
                <w:rFonts w:ascii="Arial" w:cs="Arial" w:eastAsia="Arial" w:hAnsi="Arial"/>
                <w:sz w:val="14"/>
                <w:szCs w:val="14"/>
                <w:b w:val="1"/>
                <w:bCs w:val="1"/>
                <w:color w:val="auto"/>
              </w:rPr>
              <w:t>UTC Climate, Controls &amp; Security</w:t>
            </w:r>
          </w:p>
        </w:tc>
      </w:tr>
      <w:tr>
        <w:trPr>
          <w:trHeight w:val="229"/>
        </w:trPr>
        <w:tc>
          <w:tcPr>
            <w:tcW w:w="38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134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9"/>
                <w:szCs w:val="19"/>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1240" w:type="dxa"/>
            <w:vAlign w:val="bottom"/>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9,646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12,631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r>
      <w:tr>
        <w:trPr>
          <w:trHeight w:val="243"/>
        </w:trPr>
        <w:tc>
          <w:tcPr>
            <w:tcW w:w="386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5,978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6,476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8,719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8,758</w:t>
            </w:r>
          </w:p>
        </w:tc>
        <w:tc>
          <w:tcPr>
            <w:tcW w:w="120" w:type="dxa"/>
            <w:vAlign w:val="bottom"/>
          </w:tcPr>
          <w:p>
            <w:pPr>
              <w:spacing w:after="0"/>
              <w:rPr>
                <w:sz w:val="21"/>
                <w:szCs w:val="21"/>
                <w:color w:val="auto"/>
              </w:rPr>
            </w:pPr>
          </w:p>
        </w:tc>
        <w:tc>
          <w:tcPr>
            <w:tcW w:w="1240" w:type="dxa"/>
            <w:vAlign w:val="bottom"/>
          </w:tcPr>
          <w:p>
            <w:pPr>
              <w:jc w:val="right"/>
              <w:ind w:right="174"/>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3,170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r>
      <w:tr>
        <w:trPr>
          <w:trHeight w:val="243"/>
        </w:trPr>
        <w:tc>
          <w:tcPr>
            <w:tcW w:w="386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1,204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1,714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1,966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2,159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ind w:left="40"/>
              <w:spacing w:after="0"/>
              <w:rPr>
                <w:sz w:val="20"/>
                <w:szCs w:val="20"/>
                <w:color w:val="auto"/>
              </w:rPr>
            </w:pPr>
            <w:r>
              <w:rPr>
                <w:rFonts w:ascii="Arial" w:cs="Arial" w:eastAsia="Arial" w:hAnsi="Arial"/>
                <w:sz w:val="18"/>
                <w:szCs w:val="18"/>
                <w:color w:val="auto"/>
              </w:rPr>
              <w:t>Operating Profit Margins</w:t>
            </w:r>
          </w:p>
        </w:tc>
        <w:tc>
          <w:tcPr>
            <w:tcW w:w="1640" w:type="dxa"/>
            <w:vAlign w:val="bottom"/>
            <w:gridSpan w:val="2"/>
          </w:tcPr>
          <w:p>
            <w:pPr>
              <w:jc w:val="center"/>
              <w:ind w:left="976"/>
              <w:spacing w:after="0"/>
              <w:rPr>
                <w:sz w:val="20"/>
                <w:szCs w:val="20"/>
                <w:color w:val="auto"/>
              </w:rPr>
            </w:pPr>
            <w:r>
              <w:rPr>
                <w:rFonts w:ascii="Arial" w:cs="Arial" w:eastAsia="Arial" w:hAnsi="Arial"/>
                <w:sz w:val="18"/>
                <w:szCs w:val="18"/>
                <w:color w:val="auto"/>
                <w:w w:val="90"/>
              </w:rPr>
              <w:t>20.2%</w:t>
            </w:r>
          </w:p>
        </w:tc>
        <w:tc>
          <w:tcPr>
            <w:tcW w:w="1600" w:type="dxa"/>
            <w:vAlign w:val="bottom"/>
          </w:tcPr>
          <w:p>
            <w:pPr>
              <w:jc w:val="right"/>
              <w:ind w:right="278"/>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40" w:type="dxa"/>
            <w:vAlign w:val="bottom"/>
            <w:gridSpan w:val="3"/>
          </w:tcPr>
          <w:p>
            <w:pPr>
              <w:jc w:val="right"/>
              <w:ind w:right="668"/>
              <w:spacing w:after="0"/>
              <w:rPr>
                <w:sz w:val="20"/>
                <w:szCs w:val="20"/>
                <w:color w:val="auto"/>
              </w:rPr>
            </w:pPr>
            <w:r>
              <w:rPr>
                <w:rFonts w:ascii="Arial" w:cs="Arial" w:eastAsia="Arial" w:hAnsi="Arial"/>
                <w:sz w:val="18"/>
                <w:szCs w:val="18"/>
                <w:color w:val="auto"/>
              </w:rPr>
              <w:t>18.5%</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17.1%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460" w:type="dxa"/>
            <w:vAlign w:val="bottom"/>
          </w:tcPr>
          <w:p>
            <w:pPr>
              <w:spacing w:after="0"/>
              <w:rPr>
                <w:sz w:val="20"/>
                <w:szCs w:val="20"/>
                <w:color w:val="auto"/>
              </w:rPr>
            </w:pPr>
            <w:r>
              <w:rPr>
                <w:rFonts w:ascii="Arial" w:cs="Arial" w:eastAsia="Arial" w:hAnsi="Arial"/>
                <w:sz w:val="18"/>
                <w:szCs w:val="18"/>
                <w:b w:val="1"/>
                <w:bCs w:val="1"/>
                <w:color w:val="auto"/>
              </w:rPr>
              <w:t>Otis –</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2"/>
              </w:rPr>
              <w:t>Quarter Ended September 30, 2015 Compared with Quarter Ended September 30, 2014</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46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6"/>
          </w:tcPr>
          <w:p>
            <w:pPr>
              <w:jc w:val="right"/>
              <w:ind w:right="868"/>
              <w:spacing w:after="0"/>
              <w:rPr>
                <w:sz w:val="20"/>
                <w:szCs w:val="20"/>
                <w:color w:val="auto"/>
              </w:rPr>
            </w:pPr>
            <w:r>
              <w:rPr>
                <w:rFonts w:ascii="Arial" w:cs="Arial" w:eastAsia="Arial" w:hAnsi="Arial"/>
                <w:sz w:val="14"/>
                <w:szCs w:val="14"/>
                <w:b w:val="1"/>
                <w:bCs w:val="1"/>
                <w:color w:val="auto"/>
              </w:rPr>
              <w:t>Factors contributing to total % Change</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16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Organic /</w:t>
            </w:r>
          </w:p>
        </w:tc>
        <w:tc>
          <w:tcPr>
            <w:tcW w:w="1700" w:type="dxa"/>
            <w:vAlign w:val="bottom"/>
            <w:gridSpan w:val="2"/>
          </w:tcPr>
          <w:p>
            <w:pPr>
              <w:ind w:left="700"/>
              <w:spacing w:after="0" w:line="153" w:lineRule="exact"/>
              <w:rPr>
                <w:sz w:val="20"/>
                <w:szCs w:val="20"/>
                <w:color w:val="auto"/>
              </w:rPr>
            </w:pPr>
            <w:r>
              <w:rPr>
                <w:rFonts w:ascii="Arial" w:cs="Arial" w:eastAsia="Arial" w:hAnsi="Arial"/>
                <w:sz w:val="14"/>
                <w:szCs w:val="14"/>
                <w:b w:val="1"/>
                <w:bCs w:val="1"/>
                <w:color w:val="auto"/>
              </w:rPr>
              <w:t>FX</w:t>
            </w:r>
          </w:p>
        </w:tc>
        <w:tc>
          <w:tcPr>
            <w:tcW w:w="1260" w:type="dxa"/>
            <w:vAlign w:val="bottom"/>
          </w:tcPr>
          <w:p>
            <w:pPr>
              <w:jc w:val="center"/>
              <w:ind w:left="148"/>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ind w:left="168"/>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Operational</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1"/>
              </w:rPr>
              <w:t>Divestitures, net</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87"/>
              </w:rPr>
              <w:t>Costs</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40" w:type="dxa"/>
            <w:vAlign w:val="bottom"/>
            <w:tcBorders>
              <w:bottom w:val="single" w:sz="8" w:color="CCEEFF"/>
            </w:tcBorders>
            <w:shd w:val="clear" w:color="auto" w:fill="CCEEFF"/>
          </w:tcPr>
          <w:p>
            <w:pPr>
              <w:jc w:val="center"/>
              <w:ind w:left="1136"/>
              <w:spacing w:after="0"/>
              <w:rPr>
                <w:sz w:val="20"/>
                <w:szCs w:val="20"/>
                <w:color w:val="auto"/>
              </w:rPr>
            </w:pPr>
            <w:r>
              <w:rPr>
                <w:rFonts w:ascii="Arial" w:cs="Arial" w:eastAsia="Arial" w:hAnsi="Arial"/>
                <w:sz w:val="18"/>
                <w:szCs w:val="18"/>
                <w:color w:val="auto"/>
                <w:w w:val="92"/>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40" w:type="dxa"/>
            <w:vAlign w:val="bottom"/>
          </w:tcPr>
          <w:p>
            <w:pPr>
              <w:jc w:val="center"/>
              <w:ind w:left="1136"/>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540" w:type="dxa"/>
            <w:vAlign w:val="bottom"/>
            <w:shd w:val="clear" w:color="auto" w:fill="CCEEFF"/>
          </w:tcPr>
          <w:p>
            <w:pPr>
              <w:jc w:val="center"/>
              <w:ind w:left="1136"/>
              <w:spacing w:after="0"/>
              <w:rPr>
                <w:sz w:val="20"/>
                <w:szCs w:val="20"/>
                <w:color w:val="auto"/>
              </w:rPr>
            </w:pPr>
            <w:r>
              <w:rPr>
                <w:rFonts w:ascii="Arial" w:cs="Arial" w:eastAsia="Arial" w:hAnsi="Arial"/>
                <w:sz w:val="18"/>
                <w:szCs w:val="18"/>
                <w:color w:val="auto"/>
                <w:w w:val="92"/>
              </w:rPr>
              <w:t>2%</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Organic sales increased 2% primarily due to higher new equipment sales (2%), with growth in North America (2%) and Asia outside of China (2%), partially offset by decline in China (2%).</w:t>
      </w:r>
    </w:p>
    <w:p>
      <w:pPr>
        <w:spacing w:after="0" w:line="170"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Operational profit increased 2% due to higher new equipment contribution (1%) and favorable transactional foreign exchange gains from mark-to-market adjustments and embedded foreign currency derivatives within certain new equipment contracts (4%), partially offset by higher selling, general and administrative expenses (2%).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2015 Compared with Nine Months Ended September 30,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5"/>
          </w:tcPr>
          <w:p>
            <w:pPr>
              <w:ind w:left="1160"/>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20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95"/>
              </w:rPr>
              <w:t>Organic /</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ind w:left="700"/>
              <w:spacing w:after="0" w:line="153" w:lineRule="exact"/>
              <w:rPr>
                <w:sz w:val="20"/>
                <w:szCs w:val="20"/>
                <w:color w:val="auto"/>
              </w:rPr>
            </w:pPr>
            <w:r>
              <w:rPr>
                <w:rFonts w:ascii="Arial" w:cs="Arial" w:eastAsia="Arial" w:hAnsi="Arial"/>
                <w:sz w:val="14"/>
                <w:szCs w:val="14"/>
                <w:b w:val="1"/>
                <w:bCs w:val="1"/>
                <w:color w:val="auto"/>
              </w:rPr>
              <w:t>FX</w:t>
            </w:r>
          </w:p>
        </w:tc>
        <w:tc>
          <w:tcPr>
            <w:tcW w:w="1900" w:type="dxa"/>
            <w:vAlign w:val="bottom"/>
            <w:gridSpan w:val="3"/>
          </w:tcPr>
          <w:p>
            <w:pPr>
              <w:jc w:val="center"/>
              <w:ind w:right="44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3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Restructuring</w:t>
            </w:r>
          </w:p>
        </w:tc>
        <w:tc>
          <w:tcPr>
            <w:tcW w:w="14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7"/>
              </w:rPr>
              <w:t>Operational</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 net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900" w:type="dxa"/>
            <w:vAlign w:val="bottom"/>
            <w:gridSpan w:val="3"/>
          </w:tcPr>
          <w:p>
            <w:pPr>
              <w:ind w:left="1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59"/>
        </w:trPr>
        <w:tc>
          <w:tcPr>
            <w:tcW w:w="3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right"/>
              <w:ind w:right="778"/>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Organic sales increased 2% due to higher new equipment sales (2%), with growth in North America (2%) and Asia outside of China (1%), partially offset by a decline in China (1%). Lower service sales in Europe (1%) were offset by higher service sales in Asia (1%).</w:t>
      </w:r>
    </w:p>
    <w:p>
      <w:pPr>
        <w:spacing w:after="0" w:line="17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Operational profit increased 1% due to higher new equipment contribution (5%) partially offset by lower service contribution (2%) primarily in Europe and higher selling, general and administrative expenses (2%).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Climate, Controls &amp; Security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2015 Compared with Quarter Ended September 30,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Factors contributing to total % Change</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95"/>
              </w:rPr>
              <w:t>Organic /</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rPr>
              <w:t>FX</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Acquisitions /</w:t>
            </w:r>
          </w:p>
        </w:tc>
        <w:tc>
          <w:tcPr>
            <w:tcW w:w="15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5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5"/>
              </w:rPr>
              <w:t>Operational</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2"/>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Divestitures, net</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5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Organic sales increased 3% primarily reflecting growth in Americas (2%) driven by the U.S. commercial and residential HVAC businesses, and growth in refrigeration (2%) driven by the transport refrigeration business, partially offset by decline in Europe, the Middle East and Asia (combined 1%) due primarily to lower commercial HVAC sales.</w:t>
      </w:r>
    </w:p>
    <w:p>
      <w:pPr>
        <w:spacing w:after="0" w:line="18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5% operational profit increase was driven by net restructuring and cost productivity (4%) and lower commodity costs (2%). The contribution from organic sales growth (3%), noted above, was offset by adverse sales mix. The 5% decline in "Other" primarily reflects the absence of a gain from UTC Climate, Controls &amp; Security portfolio transformation in the third quarter of 2014 (4%).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2015 Compared with Nine Months Ended September 30,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180" w:type="dxa"/>
            <w:vAlign w:val="bottom"/>
          </w:tcPr>
          <w:p>
            <w:pPr>
              <w:jc w:val="center"/>
              <w:ind w:left="288"/>
              <w:spacing w:after="0" w:line="153" w:lineRule="exact"/>
              <w:rPr>
                <w:sz w:val="20"/>
                <w:szCs w:val="20"/>
                <w:color w:val="auto"/>
              </w:rPr>
            </w:pPr>
            <w:r>
              <w:rPr>
                <w:rFonts w:ascii="Arial" w:cs="Arial" w:eastAsia="Arial" w:hAnsi="Arial"/>
                <w:sz w:val="14"/>
                <w:szCs w:val="14"/>
                <w:b w:val="1"/>
                <w:bCs w:val="1"/>
                <w:color w:val="auto"/>
                <w:w w:val="95"/>
              </w:rPr>
              <w:t>Organic /</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rPr>
              <w:t>FX</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3"/>
          </w:tcPr>
          <w:p>
            <w:pPr>
              <w:jc w:val="center"/>
              <w:ind w:right="44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3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Restructuring</w:t>
            </w:r>
          </w:p>
        </w:tc>
        <w:tc>
          <w:tcPr>
            <w:tcW w:w="15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7"/>
              </w:rPr>
              <w:t>Operational</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2"/>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 net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4"/>
              </w:rPr>
              <w:t>(7)%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w:t>
            </w:r>
          </w:p>
        </w:tc>
        <w:tc>
          <w:tcPr>
            <w:tcW w:w="100" w:type="dxa"/>
            <w:vAlign w:val="bottom"/>
            <w:shd w:val="clear" w:color="auto" w:fill="CCEEFF"/>
          </w:tcPr>
          <w:p>
            <w:pPr>
              <w:spacing w:after="0"/>
              <w:rPr>
                <w:sz w:val="21"/>
                <w:szCs w:val="21"/>
                <w:color w:val="auto"/>
              </w:rPr>
            </w:pP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Organic sales increased 5% primarily reflecting growth in Americas (3%) driven by the U.S. commercial and residential HVAC businesses, and growth in refrigeration (2%) driven by the transport refrigeration business.</w:t>
      </w:r>
    </w:p>
    <w:p>
      <w:pPr>
        <w:spacing w:after="0" w:line="17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6% operational profit increase was primarily driven by favorable volume and price (combined 4%). The beneficial impact from lower commodity costs (2%) and net restructuring and cost productivity (1%) was partially offset by lower joint venture income (1%). The 6% increase in "Other" is driven by a gain as a result of a fair value adjustment related to the acquisition of a controlling interest in a joint venture investment (6%), a gain as a result of a fair value adjustment related to a separate acquisition of a controlling interest in another joint venture investment (1%), and a gain on a property sale (1%), partially offset by the absence of a gain from UTC Climate, Controls &amp; Security portfolio transformation in the third quarter of 2014 (1%).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225"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The aerospace businesses serve both commercial and government aerospace customers.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continue to see growth in our commercial OEM business based on a strong airline industry which is benefiting from traffic growth and lower fuel costs. Airline traffic, as measured by RPMs, grew over 6% in the first eight months of 2015, while jet fuel costs have declined approximately 40% relative to prices one year ago in all geographic regions.</w:t>
      </w:r>
    </w:p>
    <w:p>
      <w:pPr>
        <w:spacing w:after="0" w:line="181"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Our commercial aftermarket businesses continue to evolve as an increasing proportion of our aerospace businesses' customers are covered under Fleet Management Programs (FMP). FMP are comprehensive long-term spare part and service agreements with our customers. We expect a continued shift to FMP in lieu of transactional spare part sales as new engines enter our customers' fleets on FMP, and legacy fleets are retired. Overall shop visits for engines under FMP were lower in the quarter reflecting our ongoing efforts to improve the engine time on wing. Commercial aftermarket sales at both Pratt &amp; Whitney and UTC Aerospace Systems benefited from a favorable contract termination.</w:t>
      </w:r>
    </w:p>
    <w:p>
      <w:pPr>
        <w:spacing w:after="0" w:line="173"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We record changes in contract estimates using the cumulative catch-up method in accordance with the Revenue Recognition Topic of the FASB ASC. Operating profit included significant net favorable changes in aerospace contract estimates of $7 million and $137 million in the quarter and nine months ended September 30, 2015, respectively, primarily representing favorable contract adjustments recorded at Pratt &amp; Whitney.</w:t>
      </w:r>
    </w:p>
    <w:p>
      <w:pPr>
        <w:spacing w:after="0" w:line="166"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As previously disclosed, Pratt &amp; Whitney's PurePower PW1500G engine models have been selected by Bombardier to power the new CSeries passenger aircraft, which is scheduled to enter service in 2016. There have been multi-year delays in the development of the CSeries aircraft. Notwithstanding these delays, Bombardier reports that they have received over 240 orders for the aircraft, and that the aircraft has nearly completed the certification process and has been exceeding performance expectations. We have made various investments in support of the production and delivery of our PW1500G engines and systems for the CSeries program, which we currently expect to recover through future deliveries of PW1500G powered CSeries aircraft. We will continue to monitor the progress of the program and our ability to recover our investments.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quarters ended September 30, 2015 and 2014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7"/>
              </w:rPr>
              <w:t>Pratt &amp; Whitney</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6"/>
              </w:rPr>
              <w:t>UTC Aerospace Systems</w:t>
            </w:r>
          </w:p>
        </w:tc>
        <w:tc>
          <w:tcPr>
            <w:tcW w:w="980" w:type="dxa"/>
            <w:vAlign w:val="bottom"/>
            <w:tcBorders>
              <w:bottom w:val="single" w:sz="8" w:color="auto"/>
            </w:tcBorders>
          </w:tcPr>
          <w:p>
            <w:pPr>
              <w:spacing w:after="0"/>
              <w:rPr>
                <w:sz w:val="16"/>
                <w:szCs w:val="16"/>
                <w:color w:val="auto"/>
              </w:rPr>
            </w:pPr>
          </w:p>
        </w:tc>
      </w:tr>
      <w:tr>
        <w:trPr>
          <w:trHeight w:val="229"/>
        </w:trPr>
        <w:tc>
          <w:tcPr>
            <w:tcW w:w="38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9"/>
                <w:szCs w:val="19"/>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2,464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2,557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Operating Expenses &amp; Other</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8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4"/>
                <w:szCs w:val="24"/>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17.8%</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24"/>
                <w:szCs w:val="24"/>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16.3%</w:t>
            </w:r>
          </w:p>
        </w:tc>
        <w:tc>
          <w:tcPr>
            <w:tcW w:w="980" w:type="dxa"/>
            <w:vAlign w:val="bottom"/>
          </w:tcPr>
          <w:p>
            <w:pPr>
              <w:spacing w:after="0"/>
              <w:rPr>
                <w:sz w:val="24"/>
                <w:szCs w:val="24"/>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nine months ended September 30, 2015 and 2014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7"/>
              </w:rPr>
              <w:t>Pratt &amp; Whitney</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6"/>
              </w:rPr>
              <w:t>UTC Aerospace Systems</w:t>
            </w:r>
          </w:p>
        </w:tc>
        <w:tc>
          <w:tcPr>
            <w:tcW w:w="980" w:type="dxa"/>
            <w:vAlign w:val="bottom"/>
            <w:tcBorders>
              <w:bottom w:val="single" w:sz="8" w:color="auto"/>
            </w:tcBorders>
          </w:tcPr>
          <w:p>
            <w:pPr>
              <w:spacing w:after="0"/>
              <w:rPr>
                <w:sz w:val="16"/>
                <w:szCs w:val="16"/>
                <w:color w:val="auto"/>
              </w:rPr>
            </w:pPr>
          </w:p>
        </w:tc>
      </w:tr>
      <w:tr>
        <w:trPr>
          <w:trHeight w:val="229"/>
        </w:trPr>
        <w:tc>
          <w:tcPr>
            <w:tcW w:w="38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9"/>
                <w:szCs w:val="19"/>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10,637</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7,873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7,835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7,739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7,606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Operating Expenses &amp; Other</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1,767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6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4"/>
                <w:szCs w:val="24"/>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13.9%</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24"/>
                <w:szCs w:val="24"/>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16.6%</w:t>
            </w:r>
          </w:p>
        </w:tc>
        <w:tc>
          <w:tcPr>
            <w:tcW w:w="98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3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2015 Compared with Quarter Ended September 30,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5"/>
          </w:tcPr>
          <w:p>
            <w:pPr>
              <w:jc w:val="center"/>
              <w:ind w:left="1139"/>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20" w:type="dxa"/>
            <w:vAlign w:val="bottom"/>
          </w:tcPr>
          <w:p>
            <w:pPr>
              <w:spacing w:after="0"/>
              <w:rPr>
                <w:sz w:val="13"/>
                <w:szCs w:val="13"/>
                <w:color w:val="auto"/>
              </w:rPr>
            </w:pPr>
          </w:p>
        </w:tc>
        <w:tc>
          <w:tcPr>
            <w:tcW w:w="1660" w:type="dxa"/>
            <w:vAlign w:val="bottom"/>
            <w:gridSpan w:val="2"/>
          </w:tcPr>
          <w:p>
            <w:pPr>
              <w:ind w:left="480"/>
              <w:spacing w:after="0" w:line="153" w:lineRule="exact"/>
              <w:rPr>
                <w:sz w:val="20"/>
                <w:szCs w:val="20"/>
                <w:color w:val="auto"/>
              </w:rPr>
            </w:pPr>
            <w:r>
              <w:rPr>
                <w:rFonts w:ascii="Arial" w:cs="Arial" w:eastAsia="Arial" w:hAnsi="Arial"/>
                <w:sz w:val="14"/>
                <w:szCs w:val="14"/>
                <w:b w:val="1"/>
                <w:bCs w:val="1"/>
                <w:color w:val="auto"/>
              </w:rPr>
              <w:t>Organic /</w:t>
            </w:r>
          </w:p>
        </w:tc>
        <w:tc>
          <w:tcPr>
            <w:tcW w:w="1660" w:type="dxa"/>
            <w:vAlign w:val="bottom"/>
            <w:gridSpan w:val="2"/>
          </w:tcPr>
          <w:p>
            <w:pPr>
              <w:ind w:left="680"/>
              <w:spacing w:after="0" w:line="153" w:lineRule="exact"/>
              <w:rPr>
                <w:sz w:val="20"/>
                <w:szCs w:val="20"/>
                <w:color w:val="auto"/>
              </w:rPr>
            </w:pPr>
            <w:r>
              <w:rPr>
                <w:rFonts w:ascii="Arial" w:cs="Arial" w:eastAsia="Arial" w:hAnsi="Arial"/>
                <w:sz w:val="14"/>
                <w:szCs w:val="14"/>
                <w:b w:val="1"/>
                <w:bCs w:val="1"/>
                <w:color w:val="auto"/>
              </w:rPr>
              <w:t>FX</w:t>
            </w:r>
          </w:p>
        </w:tc>
        <w:tc>
          <w:tcPr>
            <w:tcW w:w="202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3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Restructuring</w:t>
            </w:r>
          </w:p>
        </w:tc>
        <w:tc>
          <w:tcPr>
            <w:tcW w:w="15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5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The organic sales decrease (8%) is primarily due to lower commercial engine sales (5%) and lower military engine and aftermarket sales (3%), partially offset by higher commercial aftermarket sales (1%) which benefited from a favorable contract termination in the quarter. A contributing factor to lower sales was startup challenges related to the transition to a new third-party material logistics center that delayed some large engine shipments during the third quarter of 2015.</w:t>
      </w:r>
    </w:p>
    <w:p>
      <w:pPr>
        <w:spacing w:after="0" w:line="187"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Pratt &amp; Whitney's operating profit includes higher pension cost partially offset by restructuring savings across its business. The operational profit decrease (18%) was due to higher negative engine margin within the Large Commercial Engine business, lower engine volume and unfavorable mix within the Military Engine business and lower volume within Pratt Canada (12%), lower favorable contract performance adjustments (11%), unfavorable aftermarket mix (10%), and lower commercial development profit (4%), partially offset by lower research and development spending (10%), and a favorable contract termination benefit (8%). Operating profit decreased (1%) as a result of the acquisition of a majority interest in a joint venture in the third quarter of 2014. "Other" decrease (15%) reflects the absence of a gain primarily as a result of fair value adjustments related to the acquisition of a majority interest in a joint venture (13%), and the absence of intellectual property sales (4%), offset by a favorable fair value adjustment to a development agreement of contingent consideration related to a 2013 Pratt &amp; Whitney divestiture (1%).</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2015 Compared with Nine Months Ended September 30,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5"/>
          </w:tcPr>
          <w:p>
            <w:pPr>
              <w:ind w:left="116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68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Organic /</w:t>
            </w:r>
          </w:p>
        </w:tc>
        <w:tc>
          <w:tcPr>
            <w:tcW w:w="1660" w:type="dxa"/>
            <w:vAlign w:val="bottom"/>
            <w:gridSpan w:val="2"/>
          </w:tcPr>
          <w:p>
            <w:pPr>
              <w:ind w:left="680"/>
              <w:spacing w:after="0" w:line="153" w:lineRule="exact"/>
              <w:rPr>
                <w:sz w:val="20"/>
                <w:szCs w:val="20"/>
                <w:color w:val="auto"/>
              </w:rPr>
            </w:pPr>
            <w:r>
              <w:rPr>
                <w:rFonts w:ascii="Arial" w:cs="Arial" w:eastAsia="Arial" w:hAnsi="Arial"/>
                <w:sz w:val="14"/>
                <w:szCs w:val="14"/>
                <w:b w:val="1"/>
                <w:bCs w:val="1"/>
                <w:color w:val="auto"/>
              </w:rPr>
              <w:t>FX</w:t>
            </w:r>
          </w:p>
        </w:tc>
        <w:tc>
          <w:tcPr>
            <w:tcW w:w="1960" w:type="dxa"/>
            <w:vAlign w:val="bottom"/>
            <w:gridSpan w:val="3"/>
          </w:tcPr>
          <w:p>
            <w:pPr>
              <w:ind w:left="360"/>
              <w:spacing w:after="0" w:line="153" w:lineRule="exact"/>
              <w:rPr>
                <w:sz w:val="20"/>
                <w:szCs w:val="20"/>
                <w:color w:val="auto"/>
              </w:rPr>
            </w:pPr>
            <w:r>
              <w:rPr>
                <w:rFonts w:ascii="Arial" w:cs="Arial" w:eastAsia="Arial" w:hAnsi="Arial"/>
                <w:sz w:val="14"/>
                <w:szCs w:val="14"/>
                <w:b w:val="1"/>
                <w:bCs w:val="1"/>
                <w:color w:val="auto"/>
              </w:rPr>
              <w:t>Acquisitions /</w:t>
            </w:r>
          </w:p>
        </w:tc>
        <w:tc>
          <w:tcPr>
            <w:tcW w:w="13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Restructuring</w:t>
            </w:r>
          </w:p>
        </w:tc>
        <w:tc>
          <w:tcPr>
            <w:tcW w:w="14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6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9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73" w:lineRule="auto"/>
        <w:tabs>
          <w:tab w:leader="none" w:pos="1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For Pratt &amp; Whitney only, the transactional impact of foreign exchange hedging at Pratt &amp; Whitney Canada has been netted against the translational foreign exchange impact for presentation purposes in the above tables. For all other segments, these foreign exchange transactional impacts are included within the organic/operational caption in their respective tables. Due to its potential significance to Pratt &amp; Whitney's overall operating results, we believe it is useful to segregate the foreign exchange transactional impact in order to clearly identify the underlying financial performance.</w:t>
      </w:r>
    </w:p>
    <w:p>
      <w:pPr>
        <w:spacing w:after="0" w:line="69"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The organic sales decrease (2%) primarily reflects lower commercial engine sales (3%) partially offset by higher military engine sales (1%). Sales increased 1% as a result of the acquisition of a majority interest in a joint venture in the third quarter of 2014. A contributing factor to lower sales was startup challenges related to the transition to a new third-party material logistics center that delayed some large engine shipments during the third quarter of 2015.</w:t>
      </w:r>
    </w:p>
    <w:p>
      <w:pPr>
        <w:spacing w:after="0" w:line="14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Pratt &amp; Whitney's operating profit includes higher pension cost partially offset by restructuring savings across its business. The operational profit decrease (14%) was due to higher negative engine margin within the Large Commercial Engine business and lower volume within Pratt Canada (15%), lower aftermarket profits within the Military and Large Commercial Engine businesses (11%), higher repayments of government research and development support in the form of royalties at Pratt &amp; Whitney Canada (2%), and lower commercial engine development profit (2%), partially offset by lower research and development spending (6%), an increase in favorable contract termination benefits (5%), higher aftermarket profits at Pratt &amp; Whitney Canada (4%), and favorable military engine margin volume and mix (1%). Operating profit increased (2%) as a result of the acquisition of a majority interest in a joint venture, mentioned above.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Aerospace Systems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2015 Compared with Quarter Ended September 30,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5"/>
          </w:tcPr>
          <w:p>
            <w:pPr>
              <w:ind w:left="120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660" w:type="dxa"/>
            <w:vAlign w:val="bottom"/>
            <w:gridSpan w:val="2"/>
          </w:tcPr>
          <w:p>
            <w:pPr>
              <w:ind w:left="480"/>
              <w:spacing w:after="0" w:line="153" w:lineRule="exact"/>
              <w:rPr>
                <w:sz w:val="20"/>
                <w:szCs w:val="20"/>
                <w:color w:val="auto"/>
              </w:rPr>
            </w:pPr>
            <w:r>
              <w:rPr>
                <w:rFonts w:ascii="Arial" w:cs="Arial" w:eastAsia="Arial" w:hAnsi="Arial"/>
                <w:sz w:val="14"/>
                <w:szCs w:val="14"/>
                <w:b w:val="1"/>
                <w:bCs w:val="1"/>
                <w:color w:val="auto"/>
              </w:rPr>
              <w:t>Organic /</w:t>
            </w:r>
          </w:p>
        </w:tc>
        <w:tc>
          <w:tcPr>
            <w:tcW w:w="1660" w:type="dxa"/>
            <w:vAlign w:val="bottom"/>
            <w:gridSpan w:val="2"/>
          </w:tcPr>
          <w:p>
            <w:pPr>
              <w:ind w:left="680"/>
              <w:spacing w:after="0" w:line="153" w:lineRule="exact"/>
              <w:rPr>
                <w:sz w:val="20"/>
                <w:szCs w:val="20"/>
                <w:color w:val="auto"/>
              </w:rPr>
            </w:pPr>
            <w:r>
              <w:rPr>
                <w:rFonts w:ascii="Arial" w:cs="Arial" w:eastAsia="Arial" w:hAnsi="Arial"/>
                <w:sz w:val="14"/>
                <w:szCs w:val="14"/>
                <w:b w:val="1"/>
                <w:bCs w:val="1"/>
                <w:color w:val="auto"/>
              </w:rPr>
              <w:t>FX</w:t>
            </w:r>
          </w:p>
        </w:tc>
        <w:tc>
          <w:tcPr>
            <w:tcW w:w="2000" w:type="dxa"/>
            <w:vAlign w:val="bottom"/>
            <w:gridSpan w:val="3"/>
          </w:tcPr>
          <w:p>
            <w:pPr>
              <w:ind w:left="380"/>
              <w:spacing w:after="0" w:line="153" w:lineRule="exact"/>
              <w:rPr>
                <w:sz w:val="20"/>
                <w:szCs w:val="20"/>
                <w:color w:val="auto"/>
              </w:rPr>
            </w:pPr>
            <w:r>
              <w:rPr>
                <w:rFonts w:ascii="Arial" w:cs="Arial" w:eastAsia="Arial" w:hAnsi="Arial"/>
                <w:sz w:val="14"/>
                <w:szCs w:val="14"/>
                <w:b w:val="1"/>
                <w:bCs w:val="1"/>
                <w:color w:val="auto"/>
              </w:rPr>
              <w:t>Acquisitions /</w:t>
            </w:r>
          </w:p>
        </w:tc>
        <w:tc>
          <w:tcPr>
            <w:tcW w:w="13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Restructuring</w:t>
            </w:r>
          </w:p>
        </w:tc>
        <w:tc>
          <w:tcPr>
            <w:tcW w:w="15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4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Organic sales remained unchanged for the quarter as the benefit from a change in a customer contract relationship (2%) and the favorable impact of a contract termination (1%) were offset by lower commercial OEM and commercial aftermarket sales (2%), and lower military OEM sales (1%).</w:t>
      </w:r>
    </w:p>
    <w:p>
      <w:pPr>
        <w:spacing w:after="0" w:line="12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organic decrease in operational profit (7%) reflects lower commercial aerospace OEM profit contribution (16%) primarily due to adverse mix, lower commercial aftermarket profit contribution (8%), higher pension costs (6%), and lower military profit contribution (4%), partially offset by a favorable contract termination benefit (7%), lower selling, general and administrative expenses (5%), lower research and development costs (4%), the benefit from sales to a third party aftermarket parts company (4%), benefits from favorable dispute resolutions and other settlements (3%), and higher income from licensing agreements (3%).</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2015 Compared with Nine Months Ended September 30,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60" w:type="dxa"/>
            <w:vAlign w:val="bottom"/>
          </w:tcPr>
          <w:p>
            <w:pPr>
              <w:spacing w:after="0"/>
              <w:rPr>
                <w:sz w:val="13"/>
                <w:szCs w:val="13"/>
                <w:color w:val="auto"/>
              </w:rPr>
            </w:pPr>
          </w:p>
        </w:tc>
        <w:tc>
          <w:tcPr>
            <w:tcW w:w="116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rPr>
              <w:t>FX</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3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Restructuring</w:t>
            </w:r>
          </w:p>
        </w:tc>
        <w:tc>
          <w:tcPr>
            <w:tcW w:w="14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7"/>
              </w:rPr>
              <w:t>Operational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5"/>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4"/>
              </w:rPr>
              <w:t>(3)%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21"/>
                <w:szCs w:val="21"/>
                <w:color w:val="auto"/>
              </w:rPr>
            </w:pPr>
          </w:p>
        </w:tc>
        <w:tc>
          <w:tcPr>
            <w:tcW w:w="20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520" w:firstLine="405"/>
        <w:spacing w:after="0" w:line="264" w:lineRule="auto"/>
        <w:rPr>
          <w:sz w:val="20"/>
          <w:szCs w:val="20"/>
          <w:color w:val="auto"/>
        </w:rPr>
      </w:pPr>
      <w:r>
        <w:rPr>
          <w:rFonts w:ascii="Arial" w:cs="Arial" w:eastAsia="Arial" w:hAnsi="Arial"/>
          <w:sz w:val="18"/>
          <w:szCs w:val="18"/>
          <w:color w:val="auto"/>
        </w:rPr>
        <w:t>The organic sales growth (3%) primarily reflects an increase in commercial aerospace OEM sales volume (2%) and a benefit from a change in a customer contract relationship (2%), partially offset by the absence of the favorable impact of a prior year customer contract settlement (1%) and lower military OEM sales volume (1%).</w:t>
      </w:r>
    </w:p>
    <w:p>
      <w:pPr>
        <w:spacing w:after="0" w:line="18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organic decrease in operational profit (3%) primarily reflects lower commercial aerospace OEM profit contribution (7%), primarily due to adverse mix, higher pension costs (5%), lower military profit contribution (3%), the absence of the favorable impact of a prior year customer contract settlement (2%), and lower commercial aerospace aftermarket profit contribution (2%), partially offset by benefits from favorable customer contract negotiations, dispute resolutions and other settlements (5%), lower research and development costs (4%), lower selling, general and administrative expenses (3%), a favorable contract termination benefit (2%), the benefit from sales to a third party aftermarket parts company (1%), and higher income from licensing agreements (1%).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419"/>
              <w:spacing w:after="0"/>
              <w:rPr>
                <w:sz w:val="20"/>
                <w:szCs w:val="20"/>
                <w:color w:val="auto"/>
              </w:rPr>
            </w:pPr>
            <w:r>
              <w:rPr>
                <w:rFonts w:ascii="Arial" w:cs="Arial" w:eastAsia="Arial" w:hAnsi="Arial"/>
                <w:sz w:val="14"/>
                <w:szCs w:val="14"/>
                <w:b w:val="1"/>
                <w:bCs w:val="1"/>
                <w:color w:val="auto"/>
                <w:w w:val="88"/>
              </w:rPr>
              <w:t>Net Sales</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399"/>
              <w:spacing w:after="0"/>
              <w:rPr>
                <w:sz w:val="20"/>
                <w:szCs w:val="20"/>
                <w:color w:val="auto"/>
              </w:rPr>
            </w:pPr>
            <w:r>
              <w:rPr>
                <w:rFonts w:ascii="Arial" w:cs="Arial" w:eastAsia="Arial" w:hAnsi="Arial"/>
                <w:sz w:val="14"/>
                <w:szCs w:val="14"/>
                <w:b w:val="1"/>
                <w:bCs w:val="1"/>
                <w:color w:val="auto"/>
                <w:w w:val="94"/>
              </w:rPr>
              <w:t>Operating Profits</w:t>
            </w:r>
          </w:p>
        </w:tc>
        <w:tc>
          <w:tcPr>
            <w:tcW w:w="440" w:type="dxa"/>
            <w:vAlign w:val="bottom"/>
            <w:tcBorders>
              <w:bottom w:val="single" w:sz="8" w:color="auto"/>
            </w:tcBorders>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640" w:type="dxa"/>
            <w:vAlign w:val="bottom"/>
            <w:tcBorders>
              <w:bottom w:val="single" w:sz="8" w:color="auto"/>
            </w:tcBorders>
            <w:gridSpan w:val="4"/>
          </w:tcPr>
          <w:p>
            <w:pPr>
              <w:jc w:val="center"/>
              <w:ind w:left="402"/>
              <w:spacing w:after="0"/>
              <w:rPr>
                <w:sz w:val="20"/>
                <w:szCs w:val="20"/>
                <w:color w:val="auto"/>
              </w:rPr>
            </w:pPr>
            <w:r>
              <w:rPr>
                <w:rFonts w:ascii="Arial" w:cs="Arial" w:eastAsia="Arial" w:hAnsi="Arial"/>
                <w:sz w:val="14"/>
                <w:szCs w:val="14"/>
                <w:b w:val="1"/>
                <w:bCs w:val="1"/>
                <w:color w:val="auto"/>
                <w:w w:val="93"/>
              </w:rPr>
              <w:t>Quarter Ended September 30,</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Borders>
              <w:bottom w:val="single" w:sz="8" w:color="auto"/>
            </w:tcBorders>
            <w:gridSpan w:val="4"/>
          </w:tcPr>
          <w:p>
            <w:pPr>
              <w:jc w:val="center"/>
              <w:ind w:left="402"/>
              <w:spacing w:after="0"/>
              <w:rPr>
                <w:sz w:val="20"/>
                <w:szCs w:val="20"/>
                <w:color w:val="auto"/>
              </w:rPr>
            </w:pPr>
            <w:r>
              <w:rPr>
                <w:rFonts w:ascii="Arial" w:cs="Arial" w:eastAsia="Arial" w:hAnsi="Arial"/>
                <w:sz w:val="14"/>
                <w:szCs w:val="14"/>
                <w:b w:val="1"/>
                <w:bCs w:val="1"/>
                <w:color w:val="auto"/>
                <w:w w:val="94"/>
              </w:rPr>
              <w:t>Quarter Ended September 30,</w:t>
            </w:r>
          </w:p>
        </w:tc>
        <w:tc>
          <w:tcPr>
            <w:tcW w:w="440" w:type="dxa"/>
            <w:vAlign w:val="bottom"/>
            <w:tcBorders>
              <w:bottom w:val="single" w:sz="8" w:color="auto"/>
            </w:tcBorders>
          </w:tcPr>
          <w:p>
            <w:pPr>
              <w:spacing w:after="0"/>
              <w:rPr>
                <w:sz w:val="21"/>
                <w:szCs w:val="21"/>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(124)</w:t>
            </w:r>
          </w:p>
        </w:tc>
      </w:tr>
      <w:tr>
        <w:trPr>
          <w:trHeight w:val="42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right="419"/>
              <w:spacing w:after="0"/>
              <w:rPr>
                <w:sz w:val="20"/>
                <w:szCs w:val="20"/>
                <w:color w:val="auto"/>
              </w:rPr>
            </w:pPr>
            <w:r>
              <w:rPr>
                <w:rFonts w:ascii="Arial" w:cs="Arial" w:eastAsia="Arial" w:hAnsi="Arial"/>
                <w:sz w:val="14"/>
                <w:szCs w:val="14"/>
                <w:b w:val="1"/>
                <w:bCs w:val="1"/>
                <w:color w:val="auto"/>
                <w:w w:val="88"/>
              </w:rPr>
              <w:t>Net Sales</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right="399"/>
              <w:spacing w:after="0"/>
              <w:rPr>
                <w:sz w:val="20"/>
                <w:szCs w:val="20"/>
                <w:color w:val="auto"/>
              </w:rPr>
            </w:pPr>
            <w:r>
              <w:rPr>
                <w:rFonts w:ascii="Arial" w:cs="Arial" w:eastAsia="Arial" w:hAnsi="Arial"/>
                <w:sz w:val="14"/>
                <w:szCs w:val="14"/>
                <w:b w:val="1"/>
                <w:bCs w:val="1"/>
                <w:color w:val="auto"/>
                <w:w w:val="94"/>
              </w:rPr>
              <w:t>Operating Profits</w:t>
            </w:r>
          </w:p>
        </w:tc>
        <w:tc>
          <w:tcPr>
            <w:tcW w:w="440" w:type="dxa"/>
            <w:vAlign w:val="bottom"/>
            <w:tcBorders>
              <w:bottom w:val="single" w:sz="8" w:color="auto"/>
            </w:tcBorders>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640" w:type="dxa"/>
            <w:vAlign w:val="bottom"/>
            <w:tcBorders>
              <w:bottom w:val="single" w:sz="8" w:color="auto"/>
            </w:tcBorders>
            <w:gridSpan w:val="4"/>
          </w:tcPr>
          <w:p>
            <w:pPr>
              <w:jc w:val="center"/>
              <w:ind w:left="402"/>
              <w:spacing w:after="0"/>
              <w:rPr>
                <w:sz w:val="20"/>
                <w:szCs w:val="20"/>
                <w:color w:val="auto"/>
              </w:rPr>
            </w:pPr>
            <w:r>
              <w:rPr>
                <w:rFonts w:ascii="Arial" w:cs="Arial" w:eastAsia="Arial" w:hAnsi="Arial"/>
                <w:sz w:val="14"/>
                <w:szCs w:val="14"/>
                <w:b w:val="1"/>
                <w:bCs w:val="1"/>
                <w:color w:val="auto"/>
                <w:w w:val="93"/>
              </w:rPr>
              <w:t>Nine Months Ended September 30,</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Borders>
              <w:bottom w:val="single" w:sz="8" w:color="auto"/>
            </w:tcBorders>
            <w:gridSpan w:val="4"/>
          </w:tcPr>
          <w:p>
            <w:pPr>
              <w:jc w:val="center"/>
              <w:ind w:left="402"/>
              <w:spacing w:after="0"/>
              <w:rPr>
                <w:sz w:val="20"/>
                <w:szCs w:val="20"/>
                <w:color w:val="auto"/>
              </w:rPr>
            </w:pPr>
            <w:r>
              <w:rPr>
                <w:rFonts w:ascii="Arial" w:cs="Arial" w:eastAsia="Arial" w:hAnsi="Arial"/>
                <w:sz w:val="14"/>
                <w:szCs w:val="14"/>
                <w:b w:val="1"/>
                <w:bCs w:val="1"/>
                <w:color w:val="auto"/>
                <w:w w:val="92"/>
              </w:rPr>
              <w:t>Nine Months Ended September 30,</w:t>
            </w:r>
          </w:p>
        </w:tc>
        <w:tc>
          <w:tcPr>
            <w:tcW w:w="440" w:type="dxa"/>
            <w:vAlign w:val="bottom"/>
            <w:tcBorders>
              <w:bottom w:val="single" w:sz="8" w:color="auto"/>
            </w:tcBorders>
          </w:tcPr>
          <w:p>
            <w:pPr>
              <w:spacing w:after="0"/>
              <w:rPr>
                <w:sz w:val="21"/>
                <w:szCs w:val="21"/>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(355)</w:t>
            </w:r>
          </w:p>
        </w:tc>
      </w:tr>
    </w:tbl>
    <w:p>
      <w:pPr>
        <w:spacing w:after="0" w:line="12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Eliminations and other reflects the elimination of sales, other income and operating profit transacted between segments, as well as the operating results of certain smaller businesses. The year-over-year increase in the amount of sales eliminations for the quarter and nine months ended September 30, 2015, as compared with the same period of 2014, reflects an increase in the amount of inter-segment sales eliminations, principally between our aerospace businesses. The year-over-year decline in operating profit for the nine months ended September 30, 2015, as compared with the same period of 2014, reflects the absence of an approximately $220 million gain on an agreement with a state taxing authority for the monetization of tax credits that was recorded in the second quarter of 2014.</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2015</w:t>
            </w:r>
          </w:p>
        </w:tc>
        <w:tc>
          <w:tcPr>
            <w:tcW w:w="200" w:type="dxa"/>
            <w:vAlign w:val="bottom"/>
          </w:tcPr>
          <w:p>
            <w:pPr>
              <w:spacing w:after="0"/>
              <w:rPr>
                <w:sz w:val="14"/>
                <w:szCs w:val="14"/>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2014</w:t>
            </w:r>
          </w:p>
        </w:tc>
        <w:tc>
          <w:tcPr>
            <w:tcW w:w="180" w:type="dxa"/>
            <w:vAlign w:val="bottom"/>
          </w:tcPr>
          <w:p>
            <w:pPr>
              <w:spacing w:after="0"/>
              <w:rPr>
                <w:sz w:val="14"/>
                <w:szCs w:val="14"/>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3"/>
              </w:rPr>
              <w:t>September 30, 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6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5,477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5,030</w:t>
            </w:r>
          </w:p>
        </w:tc>
      </w:tr>
      <w:tr>
        <w:trPr>
          <w:trHeight w:val="243"/>
        </w:trPr>
        <w:tc>
          <w:tcPr>
            <w:tcW w:w="622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21"/>
                <w:szCs w:val="21"/>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22,667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19,784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19,674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debt (total debt less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17,190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14,555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14,644</w:t>
            </w:r>
          </w:p>
        </w:tc>
      </w:tr>
      <w:tr>
        <w:trPr>
          <w:trHeight w:val="243"/>
        </w:trPr>
        <w:tc>
          <w:tcPr>
            <w:tcW w:w="6220" w:type="dxa"/>
            <w:vAlign w:val="bottom"/>
            <w:gridSpan w:val="3"/>
          </w:tcPr>
          <w:p>
            <w:pPr>
              <w:ind w:left="40"/>
              <w:spacing w:after="0"/>
              <w:rPr>
                <w:sz w:val="20"/>
                <w:szCs w:val="20"/>
                <w:color w:val="auto"/>
              </w:rPr>
            </w:pPr>
            <w:r>
              <w:rPr>
                <w:rFonts w:ascii="Arial" w:cs="Arial" w:eastAsia="Arial" w:hAnsi="Arial"/>
                <w:sz w:val="18"/>
                <w:szCs w:val="18"/>
                <w:color w:val="auto"/>
              </w:rPr>
              <w:t>Total equity</w:t>
            </w:r>
          </w:p>
        </w:tc>
        <w:tc>
          <w:tcPr>
            <w:tcW w:w="180" w:type="dxa"/>
            <w:vAlign w:val="bottom"/>
          </w:tcPr>
          <w:p>
            <w:pPr>
              <w:spacing w:after="0"/>
              <w:rPr>
                <w:sz w:val="21"/>
                <w:szCs w:val="21"/>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32,051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32,564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35,389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capitalization (debt plus equity)</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54,718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52,348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55,063</w:t>
            </w:r>
          </w:p>
        </w:tc>
      </w:tr>
      <w:tr>
        <w:trPr>
          <w:trHeight w:val="243"/>
        </w:trPr>
        <w:tc>
          <w:tcPr>
            <w:tcW w:w="6220" w:type="dxa"/>
            <w:vAlign w:val="bottom"/>
            <w:gridSpan w:val="3"/>
          </w:tcPr>
          <w:p>
            <w:pPr>
              <w:ind w:left="40"/>
              <w:spacing w:after="0"/>
              <w:rPr>
                <w:sz w:val="20"/>
                <w:szCs w:val="20"/>
                <w:color w:val="auto"/>
              </w:rPr>
            </w:pPr>
            <w:r>
              <w:rPr>
                <w:rFonts w:ascii="Arial" w:cs="Arial" w:eastAsia="Arial" w:hAnsi="Arial"/>
                <w:sz w:val="18"/>
                <w:szCs w:val="18"/>
                <w:color w:val="auto"/>
              </w:rPr>
              <w:t>Net capitalization (debt plus equity less cash and cash equivalents)</w:t>
            </w:r>
          </w:p>
        </w:tc>
        <w:tc>
          <w:tcPr>
            <w:tcW w:w="180" w:type="dxa"/>
            <w:vAlign w:val="bottom"/>
          </w:tcPr>
          <w:p>
            <w:pPr>
              <w:spacing w:after="0"/>
              <w:rPr>
                <w:sz w:val="21"/>
                <w:szCs w:val="21"/>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49,241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47,119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50,033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 to total capitalization</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6220" w:type="dxa"/>
            <w:vAlign w:val="bottom"/>
            <w:gridSpan w:val="3"/>
          </w:tcPr>
          <w:p>
            <w:pPr>
              <w:ind w:left="40"/>
              <w:spacing w:after="0"/>
              <w:rPr>
                <w:sz w:val="20"/>
                <w:szCs w:val="20"/>
                <w:color w:val="auto"/>
              </w:rPr>
            </w:pPr>
            <w:r>
              <w:rPr>
                <w:rFonts w:ascii="Arial" w:cs="Arial" w:eastAsia="Arial" w:hAnsi="Arial"/>
                <w:sz w:val="18"/>
                <w:szCs w:val="18"/>
                <w:color w:val="auto"/>
              </w:rPr>
              <w:t>Net debt to net capitalization</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21"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We assess our liquidity in terms of our ability to generate cash to fund our operating, investing and financing activities. Our principal source of liquidity is operating cash flows of continuing operations, which, after netting out capital expenditures, we generally target to approximate net income from continuing operations attributable to common shareowners. For 2015, we expect this to approximate 90% to 100% of net income from continuing operations attributable to common shareowners.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redemptions of debt, and the ability to attract long-term capital at satisfactory terms.</w:t>
      </w:r>
    </w:p>
    <w:p>
      <w:pPr>
        <w:spacing w:after="0" w:line="165"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As a matter of practice, we continually assess our current business and closely monitor the impact on our customers and suppliers, and have determined that overall there was not a significant adverse impact on our financial position, results of operations or liquidity during the first nine months of 2015.</w:t>
      </w:r>
    </w:p>
    <w:p>
      <w:pPr>
        <w:spacing w:after="0" w:line="124" w:lineRule="exact"/>
        <w:rPr>
          <w:sz w:val="20"/>
          <w:szCs w:val="20"/>
          <w:color w:val="auto"/>
        </w:rPr>
      </w:pPr>
    </w:p>
    <w:p>
      <w:pPr>
        <w:ind w:right="260" w:firstLine="405"/>
        <w:spacing w:after="0" w:line="273" w:lineRule="auto"/>
        <w:rPr>
          <w:sz w:val="20"/>
          <w:szCs w:val="20"/>
          <w:color w:val="auto"/>
        </w:rPr>
      </w:pPr>
      <w:r>
        <w:rPr>
          <w:rFonts w:ascii="Arial" w:cs="Arial" w:eastAsia="Arial" w:hAnsi="Arial"/>
          <w:sz w:val="17"/>
          <w:szCs w:val="17"/>
          <w:color w:val="auto"/>
        </w:rPr>
        <w:t>Our domestic pension funds experienced a negative return on assets of 2.61% during the first nine months of 2015. Approximately 86% of these domestic pension plans' funds are invested in readily-liquid investments, including equity, fixed income, asset-backed receivables and structured products. The balance of these domestic pension plans' funds (14%) is invested in less-liquid but market-valued investments, including real estate and private equity. Across our global pension plans, the impact of lower discount rates and the adoption of new mortality tables in the U.S. and Canada, partially offset by the positive asset experience from 2010 - 2013 and positive returns experienced during 2014, are expected to result in increased pension expense in continuing operations in 2015 of approximately $300 million as compared to 2014.</w:t>
      </w:r>
    </w:p>
    <w:p>
      <w:pPr>
        <w:spacing w:after="0" w:line="17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Historically, our strong debt ratings and financial position have enabled us to issue long-term debt at favorable market rates. Our ability to obtain debt financing at comparable risk-based interest rates is partly a function of our existing debt-to-</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total-capitalization level as well as our credit standing. In September 2015, several external rating agencies downgraded our debt ratings ("A"to "A-", and "A2" to "A3") with a stable ratings outlook, primarily attributing their actions to the level of completed and projected share repurchase activity. Our debt-to-total-capitalization increased 3 points from 38% at December 31, 2014 to 41% at September 30, 2015 due to the use of short-term borrowings. We use our commercial paper borrowings for general corporate purposes, including the funding of potential acquisitions, debt refinancing, and repurchases of our common stock. The need for commercial paper borrowings arises when the use of domestic cash for acquisitions, dividends, and share repurchases exceeds the sum of domestic cash generation and foreign cash repatriated to the U.S.</w:t>
      </w:r>
    </w:p>
    <w:p>
      <w:pPr>
        <w:spacing w:after="0" w:line="17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May 4, 2015, we completed the previously announced optional remarketing of the 1.550% junior subordinated notes, which were originally issued as part of our equity units on June 18, 2012. As a result of the remarketing, these notes were redesignated as our 1.778% junior subordinated notes due May 4, 2018. On August 3, 2015, we received approximately $1.1 billion from the proceeds of the remarketing, and issued approximately 11.3 million shares of Common Stock to settle the purchase obligation of the holders of the equity units under the purchase contract entered into at the time of the original issuance of the equity units.</w:t>
      </w:r>
    </w:p>
    <w:p>
      <w:pPr>
        <w:spacing w:after="0" w:line="18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During the quarter ended June 30, 2015, we repaid at maturity all 4.875% notes due in 2015 and all floating rate notes due in 2015, representing $1.7 billion in aggregate principal. On May 4, 2015, we issued $850 million aggregate principal amount of 4.150% notes due May 15, 2045. On May 22, 2015 we issued €750 million aggregate principal amount of 1.250% notes due May 22, 2023. The net proceeds from these debt issuances were used primarily to repay the notes maturing during the quarter ended June 30, 2015.</w:t>
      </w:r>
    </w:p>
    <w:p>
      <w:pPr>
        <w:spacing w:after="0" w:line="18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During the nine months ended September 30, 2014, we redeemed all remaining outstanding 2016 Goodrich 6.290% notes, representing approximately $188 million in aggregate principal, under our redemption notice issued on February 28, 2014.</w:t>
      </w:r>
    </w:p>
    <w:p>
      <w:pPr>
        <w:spacing w:after="0" w:line="17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At September 30, 2015, we had revolving credit agreements with various banks permitting aggregate borrowings of up to $4.35 billion pursuant to a $2.20 billion revolving credit agreement and a $2.15 billion multicurrency revolving credit agreement, both of which expire in May 2019. As of September 30, 2015, there were no borrowings under these revolving credit agreements. The undrawn portions of these revolving credit agreements are also available to serve as backup facilities for the issuance of commercial paper. As of September 30, 2015, our maximum commercial paper borrowing limit was $4.35 billion.</w:t>
      </w:r>
    </w:p>
    <w:p>
      <w:pPr>
        <w:spacing w:after="0" w:line="18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continue to have access to the commercial paper markets and our existing credit facilities, and continue to expect strong generation of operating cash flows. While the impact of market volatility cannot be predicted, we believe we have sufficient operating flexibility, cash reserves and funding sources to maintain adequate amounts of liquidity and to meet our future operating cash needs.</w:t>
      </w:r>
    </w:p>
    <w:p>
      <w:pPr>
        <w:spacing w:after="0" w:line="181" w:lineRule="exact"/>
        <w:rPr>
          <w:sz w:val="20"/>
          <w:szCs w:val="20"/>
          <w:color w:val="auto"/>
        </w:rPr>
      </w:pPr>
    </w:p>
    <w:p>
      <w:pPr>
        <w:ind w:right="80" w:firstLine="540"/>
        <w:spacing w:after="0" w:line="271" w:lineRule="auto"/>
        <w:rPr>
          <w:sz w:val="20"/>
          <w:szCs w:val="20"/>
          <w:color w:val="auto"/>
        </w:rPr>
      </w:pPr>
      <w:r>
        <w:rPr>
          <w:rFonts w:ascii="Arial" w:cs="Arial" w:eastAsia="Arial" w:hAnsi="Arial"/>
          <w:sz w:val="17"/>
          <w:szCs w:val="17"/>
          <w:color w:val="auto"/>
        </w:rPr>
        <w:t>At September 30, 2015, approximately 99% of our cash was held by UTC's foreign subsidiaries, due to our extensive international operations. We manage our worldwide cash requirements by reviewing available funds among the many subsidiaries through which we conduct our business and the cost effectiveness with which those funds can be accessed. The repatriation of cash balances from certain of our subsidiaries could have adverse tax consequences or be subject to capital controls; however, those balances are generally available without legal restrictions to fund ordinary business operations. As a result of our announced sale of Sikorsky to Lockheed Martin Corp., we recognized an income tax provision of approximately $68 million in the quarter ended September 30, 2015, as the undistributed earnings of Sikorsky's international subsidiaries will no longer be permanently reinvested. With few other exceptions, U.S. income taxes have not been provided on undistributed earnings of international subsidiaries. Our intention is to reinvest these earnings permanently or to repatriate the earnings only when it is tax effective to do so.</w:t>
      </w:r>
    </w:p>
    <w:p>
      <w:pPr>
        <w:spacing w:after="0" w:line="71" w:lineRule="exact"/>
        <w:rPr>
          <w:sz w:val="20"/>
          <w:szCs w:val="20"/>
          <w:color w:val="auto"/>
        </w:rPr>
      </w:pPr>
    </w:p>
    <w:p>
      <w:pPr>
        <w:ind w:right="20" w:firstLine="540"/>
        <w:spacing w:after="0" w:line="279" w:lineRule="auto"/>
        <w:rPr>
          <w:sz w:val="20"/>
          <w:szCs w:val="20"/>
          <w:color w:val="auto"/>
        </w:rPr>
      </w:pPr>
      <w:r>
        <w:rPr>
          <w:rFonts w:ascii="Arial" w:cs="Arial" w:eastAsia="Arial" w:hAnsi="Arial"/>
          <w:sz w:val="17"/>
          <w:szCs w:val="17"/>
          <w:color w:val="auto"/>
        </w:rPr>
        <w:t>We continue to be involved in litigation with the German Tax Office in the German Tax Court with respect to certain tax benefits that we have claimed related to a 1998 reorganization of the corporate structure of Otis operations in Germany. We have made tax and interest payments of approximately $300 million during the nine months ended September 30, 2015 to avoid additional interest accruals while we continue to litigate this matter. See Note 14 to the Condensed Consolidated Financial Statements for a further discussion of this German tax litigation.</w:t>
      </w:r>
    </w:p>
    <w:p>
      <w:pPr>
        <w:spacing w:after="0" w:line="17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or divestitures or other legal obligations. As of September 30, 2015 and December 31, 2014, the amount of such restricted cash was approximately $42 million and $255 million, respectively.</w:t>
      </w:r>
    </w:p>
    <w:p>
      <w:pPr>
        <w:spacing w:after="0" w:line="181"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We believe our future operating cash flows will be sufficient to meet our future operating cash needs. Further, our ability to obtain debt or equity financing, as well as the availability under committed credit lines, provides additional potential sources of liquidity should they be required or appropriate.</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 of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4"/>
                <w:szCs w:val="14"/>
                <w:b w:val="1"/>
                <w:bCs w:val="1"/>
                <w:color w:val="auto"/>
              </w:rPr>
              <w:t>Nine Months Ended September 30,</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4,044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5,022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Cash generated from operating activities of continuing operations in the nine months ended September 30, 2015 was approximately $1 billion lower than the same period in 2014. Lower net income and noncash deferred income tax provision, stock compensation cost and depreciation and amortization charges totaling approximately $370 million, and an increase in cash outflows for working capital investments of approximately $820 million in the nine months ended September 30, 2015 over the prior year period, were partially offset by lower non-cash gains as compared to the nine months ended September 30, 2014, including the absence of an approximately $220 million gain on an agreement with a state taxing authority for the monetization tax credits.</w:t>
      </w:r>
    </w:p>
    <w:p>
      <w:pPr>
        <w:spacing w:after="0" w:line="158"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cash outflows in the nine months ended September 30, 2015 for working capital were driven by increases in inventories and accounts receivable, as well as net liquidations of customer advances primarily in Pratt &amp; Whitney's military programs, partially offset by increases in accounts payable. Inventories increased at Pratt &amp; Whitney and UTC Aerospace Systems supporting an increase in customers' platform deliveries and related aftermarket demand, as well as due to Pratt &amp; Whitney's transition to a new third-party material logistics center during the third quarter. This transition is now largely complete. Inventories increased at UTC Climate, Controls &amp; Security, primarily supporting seasonal peak in international HVAC and refrigeration markets, and at Otis supporting significant projects in Europe and Asia. Accounts receivable increased approximately $430 million, primarily in our commercial businesses, driven by the U.S. commercial and residential HVAC business at UTC Climate, Controls &amp; Security and Otis new equipment sales, primarily in North America. Factoring activity in the quarter ended September 30, 2015 was approximately $530 million lower than the prior quarter, primarily in our aerospace businesses. Customer financed factoring at Pratt &amp; Whitney, related to certain extensions of contractual payment terms, was consistent with the prior quarter. Reductions in accrued liabilities primarily relate to liquidation of customer advances and deferred revenues, as well as payments of approximately $300 million related to tax and interest accruals on the German tax matter discussed further in Note 14 to the Condensed Consolidated Financial Statements.</w:t>
      </w:r>
    </w:p>
    <w:p>
      <w:pPr>
        <w:spacing w:after="0" w:line="173"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For the nine months ended September 30, 2014, cash outflows for working capital were primarily driven by increases in inventory to support deliveries and other contractual commitments across all businesses. Reductions in accounts receivable in our aerospace businesses, driven primarily by accelerated customer collections and selected factoring primarily at Pratt &amp; Whitney, were largely offset by increases in accounts receivable in our commercial businesses. Increases in accounts payable and accrued liabilities were partially offset by liquidations of customer advances, primarily in Pratt &amp; Whitney's military business.</w:t>
      </w:r>
    </w:p>
    <w:p>
      <w:pPr>
        <w:spacing w:after="0" w:line="188"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The funded status of our defined benefit pension plans is dependent upon many factors, including returns on invested assets, the level of market interest rates and actuarial mortality assumptions. We can contribute cash or UTC shares to our plans at our discretion, subject to applicable regulations. Total cash contributions to our global defined benefit pension plans during the nine months ended September 30, 2015 and 2014 were $93 million and $204 million, respectively. Although our domestic pension plans are approximately 86% funded on a projected benefit obligation basis as of September 30, 2015, and we are not required to make additional contributions through the end of 2019, we may elect to make discretionary contributions in 2015. We expect to make total cash contributions of approximately $150 million to our global defined benefit pension plans in 2015. Contributions to our global defined benefit pension plans in 2015 are expected to meet or exceed the current funding requirements.</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 of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4"/>
                <w:szCs w:val="14"/>
                <w:b w:val="1"/>
                <w:bCs w:val="1"/>
                <w:color w:val="auto"/>
              </w:rPr>
              <w:t>Nine Months Ended September 30,</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90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567"/>
        <w:spacing w:after="0" w:line="273" w:lineRule="auto"/>
        <w:rPr>
          <w:sz w:val="20"/>
          <w:szCs w:val="20"/>
          <w:color w:val="auto"/>
        </w:rPr>
      </w:pPr>
      <w:r>
        <w:rPr>
          <w:rFonts w:ascii="Arial" w:cs="Arial" w:eastAsia="Arial" w:hAnsi="Arial"/>
          <w:sz w:val="17"/>
          <w:szCs w:val="17"/>
          <w:color w:val="auto"/>
        </w:rPr>
        <w:t>Cash flows used in investing activities of continuing operations for the nine months ended September 30, 2015 primarily reflect capital expenditures of approximately $1.0 billion and payments related to our collaboration intangible assets and contractual rights to provide product on new aircraft platforms of approximately $500 million, partially offset by net cash proceeds of approximately $147 million from the settlement of derivative instruments and $172 million from business dispositions. Cash flows used in investing activities of continuing operations for the nine months ended September 30, 2014 primarily reflect capital expenditures of approximately $1.1 billion, cash investment in business acquisitions of $378 million, partially offset by net proceeds of approximately $244 million from business dispositions, and payments related to our</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collaboration intangible assets and contractual rights to provide product on new aircraft platforms of approximately $600 million.</w:t>
      </w:r>
    </w:p>
    <w:p>
      <w:pPr>
        <w:spacing w:after="0" w:line="225" w:lineRule="exact"/>
        <w:rPr>
          <w:sz w:val="20"/>
          <w:szCs w:val="20"/>
          <w:color w:val="auto"/>
        </w:rPr>
      </w:pPr>
    </w:p>
    <w:p>
      <w:pPr>
        <w:ind w:right="260" w:firstLine="540"/>
        <w:spacing w:after="0" w:line="286" w:lineRule="auto"/>
        <w:rPr>
          <w:sz w:val="20"/>
          <w:szCs w:val="20"/>
          <w:color w:val="auto"/>
        </w:rPr>
      </w:pPr>
      <w:r>
        <w:rPr>
          <w:rFonts w:ascii="Arial" w:cs="Arial" w:eastAsia="Arial" w:hAnsi="Arial"/>
          <w:sz w:val="17"/>
          <w:szCs w:val="17"/>
          <w:color w:val="auto"/>
        </w:rPr>
        <w:t>During the nine months ended September 30, 2015, we increased our collaboration intangible assets by approximately $331 million, of which $217 million represented payments made under our 2012 agreement to acquire Rolls-Royce's collaboration interest in IAE. Capital expenditures for the nine months ended September 30, 2015 primarily relate to investments in new programs at Pratt &amp; Whitney and UTC Aerospace Systems.</w:t>
      </w:r>
    </w:p>
    <w:p>
      <w:pPr>
        <w:spacing w:after="0" w:line="166" w:lineRule="exact"/>
        <w:rPr>
          <w:sz w:val="20"/>
          <w:szCs w:val="20"/>
          <w:color w:val="auto"/>
        </w:rPr>
      </w:pPr>
    </w:p>
    <w:p>
      <w:pPr>
        <w:ind w:firstLine="540"/>
        <w:spacing w:after="0" w:line="255" w:lineRule="auto"/>
        <w:rPr>
          <w:sz w:val="20"/>
          <w:szCs w:val="20"/>
          <w:color w:val="auto"/>
        </w:rPr>
      </w:pPr>
      <w:r>
        <w:rPr>
          <w:rFonts w:ascii="Arial" w:cs="Arial" w:eastAsia="Arial" w:hAnsi="Arial"/>
          <w:sz w:val="18"/>
          <w:szCs w:val="18"/>
          <w:color w:val="auto"/>
        </w:rPr>
        <w:t>Cash investments in businesses in the nine months ended September 30, 2015 were approximately $329 million, and consisted of the acquisition of the majority interest in a UTC Climate, Controls &amp; Security business and a number of small acquisitions, primarily in our commercial businesses. Approximately $210 million of our restricted cash balance as of December 31, 2014 was utilized in the cash investments in businesses in the nine months ended September 30, 2015. We expect total cash investments for acquisitions in 2015 to be approximately $1 billion, including acquisitions completed during the nine months ended September 30, 2015. However, actual acquisition spending may vary depending upon the timing, availability and appropriate value of acquisition opportunities.</w:t>
      </w:r>
    </w:p>
    <w:p>
      <w:pPr>
        <w:spacing w:after="0" w:line="193" w:lineRule="exact"/>
        <w:rPr>
          <w:sz w:val="20"/>
          <w:szCs w:val="20"/>
          <w:color w:val="auto"/>
        </w:rPr>
      </w:pPr>
    </w:p>
    <w:p>
      <w:pPr>
        <w:ind w:right="80" w:firstLine="540"/>
        <w:spacing w:after="0" w:line="272" w:lineRule="auto"/>
        <w:rPr>
          <w:sz w:val="20"/>
          <w:szCs w:val="20"/>
          <w:color w:val="auto"/>
        </w:rPr>
      </w:pPr>
      <w:r>
        <w:rPr>
          <w:rFonts w:ascii="Arial" w:cs="Arial" w:eastAsia="Arial" w:hAnsi="Arial"/>
          <w:sz w:val="17"/>
          <w:szCs w:val="17"/>
          <w:color w:val="auto"/>
        </w:rPr>
        <w:t>As discussed in Note 9 to the Condensed Consolidated Financial Statements, 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During the nine months ended September 30, 2015 and 2014, we had net cash receipts of approximately $147 million and $153 million, respectively, from the settlement of these derivative instruments, primarily related to the strengthening of the U.S. Dollar.</w:t>
      </w:r>
    </w:p>
    <w:p>
      <w:pPr>
        <w:spacing w:after="0" w:line="178"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Customer financing activities were a net use of cash of $128 million for the nine months ended September 30, 2015 and a source of cash of $72 million for the nine months ended September 30, 2014. While we expect that 2015 customer financing activity will be a net use of funds, actual funding is subject to usage under existing customer financing commitments during the remainder of the year. We may also arrange for third-party investors to assume a portion of our commitments. We had commercial aerospace financing and other contractual commitments of approximately $10.3 billion at September 30, 2015 related to commercial aircraft and certain contractual rights to provide product on new aircraft platforms, of which up to $0.4 billion may be required to be disbursed during the remainder of 2015. We had commercial aerospace financing and other contractual commitments of approximately $11.3 billion at December 31, 2014.</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 of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4"/>
                <w:szCs w:val="14"/>
                <w:b w:val="1"/>
                <w:bCs w:val="1"/>
                <w:color w:val="auto"/>
              </w:rPr>
              <w:t>Nine Months Ended September 30,</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financing activities of continuing operations</w:t>
            </w:r>
          </w:p>
        </w:tc>
        <w:tc>
          <w:tcPr>
            <w:tcW w:w="90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(1,861)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timing and levels of certain cash flow activities, such as acquisitions and repurchases of our stock, have resulted in the issuance of both long-term and short-term debt. Commercial paper borrowings and revolving credit facilities provide short-term liquidity to supplement operating cash flows and are used for general corporate purposes, including the funding of potential acquisitions and repurchases of our stock. We had approximately $2.9 billion of outstanding commercial paper at September 30, 2015.</w:t>
      </w:r>
    </w:p>
    <w:p>
      <w:pPr>
        <w:spacing w:after="0" w:line="18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May 4, 2015, we completed the previously announced optional remarketing of the 1.550% junior subordinated notes, which were originally issued as part of our equity units on June 18, 2012. As a result of the remarketing, these notes were redesignated as our 1.778% junior subordinated notes due May 4, 2018. On August 3, 2015, we received approximately $1.1 billion from the proceeds of the remarketing, and issued approximately 11.3 million shares of our common stock to settle the purchase obligation of the holders of the equity units under the purchase contract entered into at the time of the original issuance of the equity units.</w:t>
      </w:r>
    </w:p>
    <w:p>
      <w:pPr>
        <w:spacing w:after="0" w:line="188"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On March 13, 2015, we entered into accelerated share repurchase (ASR) agreements to repurchase an aggregate of $2.65 billion of our common stock, which was largely funded by our commercial paper borrowings. Under the terms of the ASR agreements, we made the aggregate payments and received an initial delivery of approximately 18.6 million shares of our common stock, representing approximately 85% of the shares expected to be repurchased. On July 31, 2015, the shares associated with the remaining portion of the aggregate purchase were settled upon final delivery of approximately 4.2 million additional shares of common stock. See Note 12 to the Condensed Consolidated Financial Statements for further discussion.</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On July 19, 2015, our Board of Directors authorized a share repurchase program for up to 75 million shares of our common stock, replacing the program announced on February 4, 2013 which was nearing completion. The remaining authority to repurchase approximately 16.2 million shares of our common stock under the February 2013 share repurchase program was revoked and replaced as of July 19, 2015 with the new share repurchase program. At September 30, 2015, management had authority to repurchase approximately 59.8 million shares under the new share repurchase program. Under this program and the October 2015 program discussed below,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In addition to transactions under the ASR agreements discussed above, we repurchased approximately 14 million shares of our common stock for approximately $1.35 billion during the nine months ended September 30, 2015. Our share repurchase levels are influenced by various factors, including the level of other investing activities.</w:t>
      </w:r>
    </w:p>
    <w:p>
      <w:pPr>
        <w:spacing w:after="0" w:line="17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On October 14, 2015, our Board of Directors authorized a share repurchase program for up to $12 billion of our common stock, replacing the program announced on July 19, 2015. Including the approximately $4 billion of share repurchase completed in the nine months ended September 30, 2015, we now expect total share repurchases of approximately $10 billion in 2015, including entering into additional ASRs in 2015 and utilization of the anticipated net cash proceeds to be realized upon the completion of the sale of Sikorsky to Lockheed Martin Corp.</w:t>
      </w:r>
    </w:p>
    <w:p>
      <w:pPr>
        <w:spacing w:after="0" w:line="187" w:lineRule="exact"/>
        <w:rPr>
          <w:sz w:val="20"/>
          <w:szCs w:val="20"/>
          <w:color w:val="auto"/>
        </w:rPr>
      </w:pPr>
    </w:p>
    <w:p>
      <w:pPr>
        <w:jc w:val="both"/>
        <w:ind w:right="140" w:firstLine="432"/>
        <w:spacing w:after="0" w:line="286" w:lineRule="auto"/>
        <w:rPr>
          <w:sz w:val="20"/>
          <w:szCs w:val="20"/>
          <w:color w:val="auto"/>
        </w:rPr>
      </w:pPr>
      <w:r>
        <w:rPr>
          <w:rFonts w:ascii="Arial" w:cs="Arial" w:eastAsia="Arial" w:hAnsi="Arial"/>
          <w:sz w:val="17"/>
          <w:szCs w:val="17"/>
          <w:color w:val="auto"/>
        </w:rPr>
        <w:t>We paid dividends on common stock of $1.92 per share ($0.64 per share in each of the first three quarters of 2015) totaling approximately $1.6 billion in the aggregate for the nine months ended September 30, 2015. On October 14, 2015, the Board of Directors declared a dividend of $0.64 per share payable December 10, 2015 to shareowners of record at the close of business on November 13, 2015.</w:t>
      </w:r>
    </w:p>
    <w:p>
      <w:pPr>
        <w:spacing w:after="0" w:line="166" w:lineRule="exact"/>
        <w:rPr>
          <w:sz w:val="20"/>
          <w:szCs w:val="20"/>
          <w:color w:val="auto"/>
        </w:rPr>
      </w:pPr>
    </w:p>
    <w:p>
      <w:pPr>
        <w:ind w:right="560" w:firstLine="432"/>
        <w:spacing w:after="0" w:line="308" w:lineRule="auto"/>
        <w:rPr>
          <w:sz w:val="20"/>
          <w:szCs w:val="20"/>
          <w:color w:val="auto"/>
        </w:rPr>
      </w:pPr>
      <w:r>
        <w:rPr>
          <w:rFonts w:ascii="Arial" w:cs="Arial" w:eastAsia="Arial" w:hAnsi="Arial"/>
          <w:sz w:val="17"/>
          <w:szCs w:val="17"/>
          <w:color w:val="auto"/>
        </w:rPr>
        <w:t>We have an existing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Discontinued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9"/>
                <w:szCs w:val="19"/>
                <w:color w:val="auto"/>
              </w:rPr>
            </w:pPr>
          </w:p>
        </w:tc>
        <w:tc>
          <w:tcPr>
            <w:tcW w:w="1200" w:type="dxa"/>
            <w:vAlign w:val="bottom"/>
          </w:tcPr>
          <w:p>
            <w:pPr>
              <w:jc w:val="right"/>
              <w:ind w:right="52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discontinued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Cash flows used in discontinued operations primarily relate to the cash flows of Sikorsky. For the nine months ended September 30, 2015, cash flows used in operating activities of discontinued operations resulted primarily from operating income of approximately $250 million, which was more than offset by investments in working capital and other net operating assets, primarily through reductions in accounts payable, customer advances and accrued liabilities, and partially offset by reductions in accounts receivable. Cash flows used in investing activities of discontinued operations were driven by capital expenditures of Sikorsky.</w:t>
      </w:r>
    </w:p>
    <w:p>
      <w:pPr>
        <w:spacing w:after="0" w:line="188"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For the nine months ended September 30, 2014, cash flows used in discontinued operations primarily reflect cash used in investing activities of $85 million, primarily related to capital expenditures of Sikorsky. Cash provided by operating activities of discontinued operations of approximately $3 million reflects Sikorsky operating losses of approximately $60 million, offset by noncash charges, including $438 million of charges related to the change in estimate for the Amended Arrangements signed with the Canadian Government for the Cyclone Helicopter program, and working capital investments in inventories and reductions in accounts payable and accrued liabilities.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 our 2014 Annual Report, incorporated by reference in our 2014 Form 10-K, we disclosed our off-balance sheet arrangements and contractual obligations. As of September 30, 2015, there have been no material changes to these off-balance sheet arrangements and contractual obligations outside the ordinary course of business.</w:t>
      </w:r>
    </w:p>
    <w:p>
      <w:pPr>
        <w:spacing w:after="0" w:line="2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There has been no significant change in our exposure to market risk during the nine months ended September 30, 2015. For discussion of our exposure to market risk, refer to Part II, Item 7A, "Quantitative and Qualitative Disclosures About Market Risk," contained in our 2014 Form 10-K.</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As required by Rule 13a-15 under the Exchange Act, we carried out an evaluation under the supervision and with the participation of our management, including the President and Chief Executive Officer (CEO), the Senior Vice President and Chief Financial Officer (CFO) and the Vice President and Controller (Controller), of the effectiveness of the design and operation of our disclosure controls and procedures as of September 30, 2015.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September 30, 2015,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78"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or nine months ended September 30, 2015,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122" w:right="29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273"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"confident" and other words of similar meaning in connection with a discussion of future operating or financial performance. Forward-looking statements may include, among other things, statements relating to future sales, earnings, cash flow, results of operations, uses of cash, share repurchases, and other measures of financial performance or potential future plans, strategies or transactions.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129" w:lineRule="exact"/>
        <w:rPr>
          <w:sz w:val="20"/>
          <w:szCs w:val="20"/>
          <w:color w:val="auto"/>
        </w:rPr>
      </w:pPr>
    </w:p>
    <w:p>
      <w:pPr>
        <w:ind w:left="740" w:right="160" w:hanging="327"/>
        <w:spacing w:after="0" w:line="302" w:lineRule="auto"/>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effect of economic conditions in the industries and markets in which we operate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condition of commercial airlines, the impact of weather conditions and natural disasters and the financial condition of our customers and suppliers;</w:t>
      </w:r>
    </w:p>
    <w:p>
      <w:pPr>
        <w:spacing w:after="0" w:line="100" w:lineRule="exact"/>
        <w:rPr>
          <w:rFonts w:ascii="Arial" w:cs="Arial" w:eastAsia="Arial" w:hAnsi="Arial"/>
          <w:sz w:val="16"/>
          <w:szCs w:val="16"/>
          <w:color w:val="auto"/>
        </w:rPr>
      </w:pPr>
    </w:p>
    <w:p>
      <w:pPr>
        <w:ind w:left="740" w:right="80" w:hanging="327"/>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nature, impact or timing of acquisition and divestiture activity, including among other things integration of acquired businesses into our existing businesses and realization of synergies and opportunities for growth and innovation;</w:t>
      </w:r>
    </w:p>
    <w:p>
      <w:pPr>
        <w:spacing w:after="0" w:line="116" w:lineRule="exact"/>
        <w:rPr>
          <w:rFonts w:ascii="Arial" w:cs="Arial" w:eastAsia="Arial" w:hAnsi="Arial"/>
          <w:sz w:val="18"/>
          <w:szCs w:val="18"/>
          <w:color w:val="auto"/>
        </w:rPr>
      </w:pPr>
    </w:p>
    <w:p>
      <w:pPr>
        <w:ind w:left="740" w:right="160" w:hanging="327"/>
        <w:spacing w:after="0" w:line="312" w:lineRule="auto"/>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ability of the parties to satisfy the conditions precedent and consummate the previously announced agreement to sell Sikorsky to Lockheed Martin, the timing of consummation of the transaction, the ability of the parties to secure regulatory approval in a timely manner or on the terms desired or anticipated, and the ability to implement the anticipated business plans following closing and achieve anticipated benefits and savings;</w:t>
      </w:r>
    </w:p>
    <w:p>
      <w:pPr>
        <w:spacing w:after="0" w:line="92" w:lineRule="exact"/>
        <w:rPr>
          <w:rFonts w:ascii="Arial" w:cs="Arial" w:eastAsia="Arial" w:hAnsi="Arial"/>
          <w:sz w:val="16"/>
          <w:szCs w:val="16"/>
          <w:color w:val="auto"/>
        </w:rPr>
      </w:pPr>
    </w:p>
    <w:p>
      <w:pPr>
        <w:ind w:left="740" w:right="60" w:hanging="327"/>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challenges in the development, production, delivery, support, performance and realization of the anticipated benefits of advanced technologies and new products and services;</w:t>
      </w:r>
    </w:p>
    <w:p>
      <w:pPr>
        <w:spacing w:after="0" w:line="116"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 and research and development spending;</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and Company- directed cost reduction efforts and restructuring costs and savings and other consequences thereof;</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realize the intended benefits of organizational changes;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scope of future repurchases of our common stock;</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outcome of legal proceedings, investigations and other contingencies;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changes in political conditions in the U.S. and other countries in which we operate; and</w:t>
      </w:r>
    </w:p>
    <w:p>
      <w:pPr>
        <w:spacing w:after="0" w:line="171" w:lineRule="exact"/>
        <w:rPr>
          <w:rFonts w:ascii="Arial" w:cs="Arial" w:eastAsia="Arial" w:hAnsi="Arial"/>
          <w:sz w:val="18"/>
          <w:szCs w:val="18"/>
          <w:color w:val="auto"/>
        </w:rPr>
      </w:pPr>
    </w:p>
    <w:p>
      <w:pPr>
        <w:ind w:left="740" w:right="20" w:hanging="327"/>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changes in tax, environmental, regulatory (including among other things import/export) and other laws and regulations in the U.S. and other countries in which we operate.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122" w:right="31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addition, this Form 10-Q includes important information as to risks, uncertainties and other factors that may cause actual results to differ materially from those expressed or implied in the forward-looking statements. See the "Notes to Consolidated Financial Statements" under the heading "Contingent Liabilities," the section titled "Management's Discussion and Analysis of Financial Condition and Results of Operations" under the headings "Business Overview," "Results of Operations," "Liquidity and Financial Condition," and "Critical Accounting Estimates," and the sections titled "Legal Proceedings" and "Risk Factors" in this Form 10-Q and in our 2014 Annual Report. Additional important information as to these factors is included in our 2014 Annual Report in the section titled "Management's Discussion and Analysis of Financial Condition and Results of Operations" under the headings "Restructuring Costs," "Environmental Matters" and "Governmental Matters" and in our 2014 Form 10-K in the "Business" section under the headings "General," "Description of Business by Segment" and "Other Matters Relating to Our Business as a Whole."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14, Contingent Liabilities, for discussion regarding legal proceedings.</w:t>
      </w:r>
    </w:p>
    <w:p>
      <w:pPr>
        <w:spacing w:after="0" w:line="225"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Except as otherwise noted above, there have been no material developments in legal proceedings. For previously reported information about legal proceedings refer to Part I, Item 3, "Legal Proceedings," of our 2014 Form 10-K and Part II, Item 1, "Legal Proceedings" of our 2015 Form 10-Q(Q1) and Form 10-Q(Q2).</w:t>
      </w:r>
    </w:p>
    <w:p>
      <w:pPr>
        <w:spacing w:after="0" w:line="2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have been no material changes in the Company's risk factors from those disclosed in Part I, Item 1A, Risk Factors, in our 2014 Form 10-K.</w:t>
      </w:r>
    </w:p>
    <w:p>
      <w:pPr>
        <w:spacing w:after="0" w:line="2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provides information about our purchases during the quarter ended September 30, 2015 of equity securities that are registered by us pursuant to Section 12 of the Exchange 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Total Number of Shares</w:t>
            </w: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 Purchased</w:t>
            </w:r>
          </w:p>
        </w:tc>
        <w:tc>
          <w:tcPr>
            <w:tcW w:w="2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a Publicly Announced</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Program</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(000's)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Share</w:t>
            </w:r>
          </w:p>
        </w:tc>
        <w:tc>
          <w:tcPr>
            <w:tcW w:w="20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(000's)</w:t>
            </w:r>
          </w:p>
        </w:tc>
        <w:tc>
          <w:tcPr>
            <w:tcW w:w="2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Program (000's) *</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 July 31 *</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4,245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100.73</w:t>
            </w:r>
          </w:p>
        </w:tc>
        <w:tc>
          <w:tcPr>
            <w:tcW w:w="2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4,245</w:t>
            </w:r>
          </w:p>
        </w:tc>
        <w:tc>
          <w:tcPr>
            <w:tcW w:w="18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70,755</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August 1 - August 31</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5,348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91.59</w:t>
            </w:r>
          </w:p>
        </w:tc>
        <w:tc>
          <w:tcPr>
            <w:tcW w:w="200" w:type="dxa"/>
            <w:vAlign w:val="bottom"/>
          </w:tcPr>
          <w:p>
            <w:pPr>
              <w:spacing w:after="0"/>
              <w:rPr>
                <w:sz w:val="21"/>
                <w:szCs w:val="21"/>
                <w:color w:val="auto"/>
              </w:rPr>
            </w:pPr>
          </w:p>
        </w:tc>
        <w:tc>
          <w:tcPr>
            <w:tcW w:w="2280" w:type="dxa"/>
            <w:vAlign w:val="bottom"/>
          </w:tcPr>
          <w:p>
            <w:pPr>
              <w:jc w:val="right"/>
              <w:ind w:right="39"/>
              <w:spacing w:after="0"/>
              <w:rPr>
                <w:sz w:val="20"/>
                <w:szCs w:val="20"/>
                <w:color w:val="auto"/>
              </w:rPr>
            </w:pPr>
            <w:r>
              <w:rPr>
                <w:rFonts w:ascii="Arial" w:cs="Arial" w:eastAsia="Arial" w:hAnsi="Arial"/>
                <w:sz w:val="18"/>
                <w:szCs w:val="18"/>
                <w:color w:val="auto"/>
              </w:rPr>
              <w:t>5,348</w:t>
            </w:r>
          </w:p>
        </w:tc>
        <w:tc>
          <w:tcPr>
            <w:tcW w:w="1800" w:type="dxa"/>
            <w:vAlign w:val="bottom"/>
            <w:gridSpan w:val="2"/>
          </w:tcPr>
          <w:p>
            <w:pPr>
              <w:jc w:val="right"/>
              <w:ind w:right="48"/>
              <w:spacing w:after="0"/>
              <w:rPr>
                <w:sz w:val="20"/>
                <w:szCs w:val="20"/>
                <w:color w:val="auto"/>
              </w:rPr>
            </w:pPr>
            <w:r>
              <w:rPr>
                <w:rFonts w:ascii="Arial" w:cs="Arial" w:eastAsia="Arial" w:hAnsi="Arial"/>
                <w:sz w:val="18"/>
                <w:szCs w:val="18"/>
                <w:color w:val="auto"/>
              </w:rPr>
              <w:t>65,407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 September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5,576</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91.49</w:t>
            </w:r>
          </w:p>
        </w:tc>
        <w:tc>
          <w:tcPr>
            <w:tcW w:w="20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5,576</w:t>
            </w:r>
          </w:p>
        </w:tc>
        <w:tc>
          <w:tcPr>
            <w:tcW w:w="18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59,831</w:t>
            </w:r>
          </w:p>
        </w:tc>
        <w:tc>
          <w:tcPr>
            <w:tcW w:w="0" w:type="dxa"/>
            <w:vAlign w:val="bottom"/>
          </w:tcPr>
          <w:p>
            <w:pPr>
              <w:spacing w:after="0"/>
              <w:rPr>
                <w:sz w:val="1"/>
                <w:szCs w:val="1"/>
                <w:color w:val="auto"/>
              </w:rPr>
            </w:pPr>
          </w:p>
        </w:tc>
      </w:tr>
      <w:tr>
        <w:trPr>
          <w:trHeight w:val="250"/>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15,169</w:t>
            </w:r>
          </w:p>
        </w:tc>
        <w:tc>
          <w:tcPr>
            <w:tcW w:w="24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94.11</w:t>
            </w:r>
          </w:p>
        </w:tc>
        <w:tc>
          <w:tcPr>
            <w:tcW w:w="200" w:type="dxa"/>
            <w:vAlign w:val="bottom"/>
          </w:tcPr>
          <w:p>
            <w:pPr>
              <w:spacing w:after="0"/>
              <w:rPr>
                <w:sz w:val="21"/>
                <w:szCs w:val="21"/>
                <w:color w:val="auto"/>
              </w:rPr>
            </w:pPr>
          </w:p>
        </w:tc>
        <w:tc>
          <w:tcPr>
            <w:tcW w:w="22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15,169</w:t>
            </w: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8890</wp:posOffset>
            </wp:positionV>
            <wp:extent cx="40563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 w:lineRule="exact"/>
        <w:rPr>
          <w:sz w:val="20"/>
          <w:szCs w:val="20"/>
          <w:color w:val="auto"/>
        </w:rPr>
      </w:pPr>
    </w:p>
    <w:p>
      <w:pPr>
        <w:ind w:left="500" w:right="100" w:hanging="411"/>
        <w:spacing w:after="0" w:line="26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remaining authority to repurchase approximately 16.2 million shares of our common stock under the previously approved February 2013 share repurchase program was revoked and replaced as of July 19, 2015. The 59.8 million shares available for repurchase as of September 30, 2015 were all pursuant to the share repurchase program authorized July 19, 2015, as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-432435</wp:posOffset>
            </wp:positionV>
            <wp:extent cx="4056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3"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On July 19, 2015, our Board of Directors authorized a share repurchase program for up to 75 million shares of our common stock. This new authorization replaces a previous program, approved in February 2013, which was nearing completion. At September 30, 2015, the maximum number of remaining shares that could be purchased under this program was approximately 59.8 million shares. Under both the July 2015 program and the October 2015 program referenced below, shares may be purchased on the open market, in privately negotiated transactions, under accelerated share repurchase (ASR) programs and under plans complying with Rules 10b5-1 and 10b-18 under the Securities Exchange Act of 1934, as amended. We may also reacquire shares outside of the program from time to time in connection with the surrender of shares to cover taxes on vesting of restricted stock. No shares were reacquired in transactions outside the program during the quarter ended September 30, 2015.</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In connection with ASR agreements entered into on March 13, 2015, we received an initial delivery of approximately 18.6 million shares at a price of $121.24 per share, representing approximately 85% of the shares expected to be repurchased. On July 31, 2015, the shares associated with the remaining portion of the aggregate purchase were settled upon final delivery of approximately 4.2 million additional shares. Including the remaining shares settled on July 31, 2015, the final price under the ASR was $116.11 per share.</w:t>
      </w:r>
    </w:p>
    <w:p>
      <w:pPr>
        <w:spacing w:after="0" w:line="18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On October 14, 2015, our Board of Directors authorized a share repurchase program for up to $12 billion of our common stock, revoking and replacing the program announced on July 19, 2015.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4"/>
              </w:rPr>
              <w:t>Item 6.</w:t>
            </w:r>
          </w:p>
        </w:tc>
        <w:tc>
          <w:tcPr>
            <w:tcW w:w="1024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88"/>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040" w:type="dxa"/>
            <w:vAlign w:val="bottom"/>
            <w:tcBorders>
              <w:top w:val="single" w:sz="8" w:color="auto"/>
            </w:tcBorders>
          </w:tcPr>
          <w:p>
            <w:pPr>
              <w:jc w:val="center"/>
              <w:ind w:right="417"/>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24"/>
                <w:szCs w:val="24"/>
                <w:color w:val="auto"/>
              </w:rPr>
            </w:pPr>
          </w:p>
        </w:tc>
        <w:tc>
          <w:tcPr>
            <w:tcW w:w="10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40" w:type="dxa"/>
            <w:vAlign w:val="bottom"/>
          </w:tcPr>
          <w:p>
            <w:pPr>
              <w:jc w:val="center"/>
              <w:ind w:right="417"/>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1010"/>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84" w:lineRule="exact"/>
        <w:rPr>
          <w:rFonts w:ascii="Arial" w:cs="Arial" w:eastAsia="Arial" w:hAnsi="Arial"/>
          <w:sz w:val="18"/>
          <w:szCs w:val="18"/>
          <w:color w:val="auto"/>
        </w:rPr>
      </w:pPr>
    </w:p>
    <w:p>
      <w:pPr>
        <w:ind w:left="1180" w:hanging="1010"/>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utx-20150930.xml)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utx-20150930.xsd)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utx-20150930_cal.xml)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utx-20150930_def.xml)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utx-20150930_lab.xml)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utx-20150930_pre.xml)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Operations for the quarters and nine months ended September 30, 2015 and 2014, (ii) Condensed Consolidated Statements of Comprehensive Income for the quarters and nine months ended September 30, 2015 and 2014, (iii) Condensed Consolidated Balance Sheets as of September 30, 2015 and December 31, 2014, (iv) Condensed Consolidated Statements of Cash Flows for the nine months ended September 30, 2015 and 2014, and (v) Notes to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(Registrant)</w:t>
      </w:r>
    </w:p>
    <w:p>
      <w:pPr>
        <w:spacing w:after="0" w:line="170" w:lineRule="exact"/>
        <w:rPr>
          <w:sz w:val="20"/>
          <w:szCs w:val="20"/>
          <w:color w:val="auto"/>
        </w:rPr>
      </w:pPr>
    </w:p>
    <w:p>
      <w:pPr>
        <w:ind w:left="40"/>
        <w:spacing w:after="0"/>
        <w:tabs>
          <w:tab w:leader="none" w:pos="820" w:val="left"/>
          <w:tab w:leader="none" w:pos="4940" w:val="left"/>
          <w:tab w:leader="none" w:pos="76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23,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w:t>
      </w:r>
      <w:r>
        <w:rPr>
          <w:rFonts w:ascii="Arial" w:cs="Arial" w:eastAsia="Arial" w:hAnsi="Arial"/>
          <w:sz w:val="14"/>
          <w:szCs w:val="14"/>
          <w:color w:val="auto"/>
        </w:rPr>
        <w:t>KHIL</w:t>
      </w:r>
      <w:r>
        <w:rPr>
          <w:rFonts w:ascii="Arial" w:cs="Arial" w:eastAsia="Arial" w:hAnsi="Arial"/>
          <w:sz w:val="18"/>
          <w:szCs w:val="18"/>
          <w:color w:val="auto"/>
        </w:rPr>
        <w:t xml:space="preserve"> J</w:t>
      </w:r>
      <w:r>
        <w:rPr>
          <w:rFonts w:ascii="Arial" w:cs="Arial" w:eastAsia="Arial" w:hAnsi="Arial"/>
          <w:sz w:val="14"/>
          <w:szCs w:val="14"/>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31750</wp:posOffset>
            </wp:positionV>
            <wp:extent cx="3824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48"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Akhil Johri</w:t>
      </w:r>
    </w:p>
    <w:p>
      <w:pPr>
        <w:spacing w:after="0" w:line="96"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(on behalf of the Registrant and as the Registrant's Principal Financial Officer)</w:t>
      </w:r>
    </w:p>
    <w:p>
      <w:pPr>
        <w:spacing w:after="0" w:line="383" w:lineRule="exact"/>
        <w:rPr>
          <w:sz w:val="20"/>
          <w:szCs w:val="20"/>
          <w:color w:val="auto"/>
        </w:rPr>
      </w:pPr>
    </w:p>
    <w:p>
      <w:pPr>
        <w:ind w:left="40"/>
        <w:spacing w:after="0"/>
        <w:tabs>
          <w:tab w:leader="none" w:pos="820" w:val="left"/>
          <w:tab w:leader="none" w:pos="4940" w:val="left"/>
          <w:tab w:leader="none" w:pos="7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23,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w:t>
      </w:r>
      <w:r>
        <w:rPr>
          <w:rFonts w:ascii="Arial" w:cs="Arial" w:eastAsia="Arial" w:hAnsi="Arial"/>
          <w:sz w:val="13"/>
          <w:szCs w:val="13"/>
          <w:color w:val="auto"/>
        </w:rPr>
        <w:t>EIL</w:t>
      </w:r>
      <w:r>
        <w:rPr>
          <w:rFonts w:ascii="Arial" w:cs="Arial" w:eastAsia="Arial" w:hAnsi="Arial"/>
          <w:sz w:val="17"/>
          <w:szCs w:val="17"/>
          <w:color w:val="auto"/>
        </w:rPr>
        <w:t xml:space="preserve"> G. M</w:t>
      </w:r>
      <w:r>
        <w:rPr>
          <w:rFonts w:ascii="Arial" w:cs="Arial" w:eastAsia="Arial" w:hAnsi="Arial"/>
          <w:sz w:val="13"/>
          <w:szCs w:val="13"/>
          <w:color w:val="auto"/>
        </w:rPr>
        <w:t>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31750</wp:posOffset>
            </wp:positionV>
            <wp:extent cx="3824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48"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Neil G. Mitchill, Jr.</w:t>
      </w:r>
    </w:p>
    <w:p>
      <w:pPr>
        <w:spacing w:after="0" w:line="96"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Vice President and Controller</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behalf of the Registrant and as the Registrant's Principal Accounting Officer)</w:t>
      </w: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00"/>
          </w:cols>
          <w:pgMar w:left="240" w:top="122" w:right="35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4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04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02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40" w:type="dxa"/>
            <w:vAlign w:val="bottom"/>
          </w:tcPr>
          <w:p>
            <w:pPr>
              <w:jc w:val="right"/>
              <w:ind w:right="599"/>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0240" w:type="dxa"/>
            <w:vAlign w:val="bottom"/>
            <w:gridSpan w:val="3"/>
          </w:tcPr>
          <w:p>
            <w:pPr>
              <w:ind w:left="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1010"/>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84" w:lineRule="exact"/>
        <w:rPr>
          <w:rFonts w:ascii="Arial" w:cs="Arial" w:eastAsia="Arial" w:hAnsi="Arial"/>
          <w:sz w:val="18"/>
          <w:szCs w:val="18"/>
          <w:color w:val="auto"/>
        </w:rPr>
      </w:pPr>
    </w:p>
    <w:p>
      <w:pPr>
        <w:ind w:left="1180" w:hanging="1010"/>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utx-20150930.xml)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utx-20150930.xsd)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utx-20150930_cal.xml)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utx-20150930_def.xml)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utx-20150930_lab.xml)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utx-20150930_pre.xml)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Operations for the quarters and nine months ended September 30, 2015 and 2014, (ii) Condensed Consolidated Statements of Comprehensive Income for the quarters and nine months ended September 30, 2015 and 2014, (iii) Condensed Consolidated Balance Sheets as of September 30, 2015 and December 31, 2014, (iv) Condensed Consolidated Statements of Cash Flows for the nine months ended September 30, 2015 and 2014, and (v)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2" w:right="259" w:bottom="1440" w:gutter="0" w:footer="0" w:header="0"/>
        </w:sectPr>
      </w:pPr>
    </w:p>
    <w:bookmarkStart w:id="51" w:name="page52"/>
    <w:bookmarkEnd w:id="51"/>
    <w:p>
      <w:pPr>
        <w:ind w:left="10620"/>
        <w:spacing w:after="0"/>
        <w:rPr>
          <w:sz w:val="20"/>
          <w:szCs w:val="20"/>
          <w:color w:val="auto"/>
        </w:rPr>
      </w:pPr>
      <w:r>
        <w:rPr>
          <w:rFonts w:ascii="Arial" w:cs="Arial" w:eastAsia="Arial" w:hAnsi="Arial"/>
          <w:sz w:val="16"/>
          <w:szCs w:val="16"/>
          <w:b w:val="1"/>
          <w:bCs w:val="1"/>
          <w:color w:val="auto"/>
        </w:rPr>
        <w:t>Exhibit 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120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32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8320" w:type="dxa"/>
            <w:vAlign w:val="bottom"/>
            <w:tcBorders>
              <w:bottom w:val="single" w:sz="8" w:color="CCEEFF"/>
            </w:tcBorders>
            <w:gridSpan w:val="2"/>
          </w:tcPr>
          <w:p>
            <w:pPr>
              <w:ind w:left="340"/>
              <w:spacing w:after="0" w:line="270" w:lineRule="exact"/>
              <w:rPr>
                <w:sz w:val="20"/>
                <w:szCs w:val="20"/>
                <w:color w:val="auto"/>
              </w:rPr>
            </w:pPr>
            <w:r>
              <w:rPr>
                <w:rFonts w:ascii="Arial" w:cs="Arial" w:eastAsia="Arial" w:hAnsi="Arial"/>
                <w:sz w:val="18"/>
                <w:szCs w:val="18"/>
                <w:color w:val="auto"/>
              </w:rPr>
              <w:t xml:space="preserve">One-third of rents </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Fixed charges per above</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capitalized interest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interest capitalized</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3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earnings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7,093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51"/>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40" w:hanging="332"/>
        <w:spacing w:after="0" w:line="232" w:lineRule="auto"/>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Pursuant to the guidance in the Income Taxes Topic of the Financial Accounting Standards Board Accounting Standards Codification, interest related to unrecognized tax benefits recorded was approximately $27 million and $26 million for the nine months ended September 30, 2015 and 2014, respectively. The ratio of earnings to fixed charges would have been 8.90 and 9.16 for the nine months ended September 30, 2015 and 2014, respectively, if such interest were excluded from the calculation.</w:t>
      </w:r>
    </w:p>
    <w:p>
      <w:pPr>
        <w:spacing w:after="0" w:line="9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Reasonable approximation of the interest factor.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October 23,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are aware that our report dated October 23, 2015 on our review of interim financial information of United Technologies Corporation (the "Corporation") for the three-month and nine-month periods ended September 30, 2015 and 2014 and included in the Corporation's quarterly report on Form 10-Q for the quarter ended September 30, 2015 is incorporated by reference in its Registration Statement on Form S-3 (No. 333-188957) and in the Registration Statements on Form S-8 (Nos. 333-207193, 333-197704, 333-183123, 333-177520, 333-175781, 333-150643, 333-125293, 333-110020, 333-100724, 333-100723, 333-100718 and 033-51385).</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760" w:val="left"/>
        </w:tabs>
        <w:rPr>
          <w:sz w:val="20"/>
          <w:szCs w:val="20"/>
          <w:color w:val="auto"/>
        </w:rPr>
      </w:pPr>
      <w:r>
        <w:rPr>
          <w:rFonts w:ascii="Arial" w:cs="Arial" w:eastAsia="Arial" w:hAnsi="Arial"/>
          <w:sz w:val="18"/>
          <w:szCs w:val="18"/>
          <w:color w:val="auto"/>
        </w:rPr>
        <w:t>Date:</w:t>
        <w:tab/>
        <w:t>October 23, 2015</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Akhil Johri, certify that:</w:t>
      </w:r>
    </w:p>
    <w:p>
      <w:pPr>
        <w:spacing w:after="0" w:line="17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760" w:val="left"/>
        </w:tabs>
        <w:rPr>
          <w:sz w:val="20"/>
          <w:szCs w:val="20"/>
          <w:color w:val="auto"/>
        </w:rPr>
      </w:pPr>
      <w:r>
        <w:rPr>
          <w:rFonts w:ascii="Arial" w:cs="Arial" w:eastAsia="Arial" w:hAnsi="Arial"/>
          <w:sz w:val="18"/>
          <w:szCs w:val="18"/>
          <w:color w:val="auto"/>
        </w:rPr>
        <w:t>Date:</w:t>
        <w:tab/>
        <w:t>October 23, 2015</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Neil G. Mitchill, Jr., certify that:</w:t>
      </w:r>
    </w:p>
    <w:p>
      <w:pPr>
        <w:spacing w:after="0" w:line="171"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860" w:val="left"/>
        </w:tabs>
        <w:rPr>
          <w:sz w:val="20"/>
          <w:szCs w:val="20"/>
          <w:color w:val="auto"/>
        </w:rPr>
      </w:pPr>
      <w:r>
        <w:rPr>
          <w:rFonts w:ascii="Arial" w:cs="Arial" w:eastAsia="Arial" w:hAnsi="Arial"/>
          <w:sz w:val="18"/>
          <w:szCs w:val="18"/>
          <w:color w:val="auto"/>
        </w:rPr>
        <w:t>Date:</w:t>
        <w:tab/>
        <w:t>October 23, 2015</w:t>
      </w:r>
      <w:r>
        <w:rPr>
          <w:sz w:val="20"/>
          <w:szCs w:val="20"/>
          <w:color w:val="auto"/>
        </w:rPr>
        <w:tab/>
      </w:r>
      <w:r>
        <w:rPr>
          <w:rFonts w:ascii="Arial" w:cs="Arial" w:eastAsia="Arial" w:hAnsi="Arial"/>
          <w:sz w:val="17"/>
          <w:szCs w:val="17"/>
          <w:color w:val="auto"/>
        </w:rPr>
        <w:t>/s/ N</w:t>
      </w:r>
      <w:r>
        <w:rPr>
          <w:rFonts w:ascii="Arial" w:cs="Arial" w:eastAsia="Arial" w:hAnsi="Arial"/>
          <w:sz w:val="13"/>
          <w:szCs w:val="13"/>
          <w:color w:val="auto"/>
        </w:rPr>
        <w:t>EIL</w:t>
      </w:r>
      <w:r>
        <w:rPr>
          <w:rFonts w:ascii="Arial" w:cs="Arial" w:eastAsia="Arial" w:hAnsi="Arial"/>
          <w:sz w:val="17"/>
          <w:szCs w:val="17"/>
          <w:color w:val="auto"/>
        </w:rPr>
        <w:t xml:space="preserve"> G. M</w:t>
      </w:r>
      <w:r>
        <w:rPr>
          <w:rFonts w:ascii="Arial" w:cs="Arial" w:eastAsia="Arial" w:hAnsi="Arial"/>
          <w:sz w:val="13"/>
          <w:szCs w:val="13"/>
          <w:color w:val="auto"/>
        </w:rPr>
        <w:t>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Neil G. Mitchill, Jr.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Vice President and Controller</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 that:</w:t>
      </w:r>
    </w:p>
    <w:p>
      <w:pPr>
        <w:spacing w:after="0" w:line="93"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The Quarterly Report on Form 10-Q for the quarter ended September 30, 2015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316"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23, 2015</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President and Chief Executive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23, 2015</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Senior Vice President and Chief Financial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23, 2015</w:t>
      </w:r>
      <w:r>
        <w:rPr>
          <w:sz w:val="20"/>
          <w:szCs w:val="20"/>
          <w:color w:val="auto"/>
        </w:rPr>
        <w:tab/>
      </w:r>
      <w:r>
        <w:rPr>
          <w:rFonts w:ascii="Arial" w:cs="Arial" w:eastAsia="Arial" w:hAnsi="Arial"/>
          <w:sz w:val="17"/>
          <w:szCs w:val="17"/>
          <w:color w:val="auto"/>
        </w:rPr>
        <w:t>/s/ N</w:t>
      </w:r>
      <w:r>
        <w:rPr>
          <w:rFonts w:ascii="Arial" w:cs="Arial" w:eastAsia="Arial" w:hAnsi="Arial"/>
          <w:sz w:val="13"/>
          <w:szCs w:val="13"/>
          <w:color w:val="auto"/>
        </w:rPr>
        <w:t>EIL</w:t>
      </w:r>
      <w:r>
        <w:rPr>
          <w:rFonts w:ascii="Arial" w:cs="Arial" w:eastAsia="Arial" w:hAnsi="Arial"/>
          <w:sz w:val="17"/>
          <w:szCs w:val="17"/>
          <w:color w:val="auto"/>
        </w:rPr>
        <w:t xml:space="preserve"> G. M</w:t>
      </w:r>
      <w:r>
        <w:rPr>
          <w:rFonts w:ascii="Arial" w:cs="Arial" w:eastAsia="Arial" w:hAnsi="Arial"/>
          <w:sz w:val="13"/>
          <w:szCs w:val="13"/>
          <w:color w:val="auto"/>
        </w:rPr>
        <w:t>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Neil G. Mitchill, Jr.</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Vice President and Controller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bullet"/>
      <w:start w:val="1"/>
    </w:lvl>
  </w:abstractNum>
  <w:abstractNum w:abstractNumId="3">
    <w:nsid w:val="140E0F76"/>
    <w:multiLevelType w:val="hybridMultilevel"/>
    <w:lvl w:ilvl="0">
      <w:lvlJc w:val="left"/>
      <w:lvlText w:val="2"/>
      <w:numFmt w:val="bullet"/>
      <w:start w:val="1"/>
    </w:lvl>
  </w:abstractNum>
  <w:abstractNum w:abstractNumId="4">
    <w:nsid w:val="3352255A"/>
    <w:multiLevelType w:val="hybridMultilevel"/>
    <w:lvl w:ilvl="0">
      <w:lvlJc w:val="left"/>
      <w:lvlText w:val="3"/>
      <w:numFmt w:val="bullet"/>
      <w:start w:val="1"/>
    </w:lvl>
  </w:abstractNum>
  <w:abstractNum w:abstractNumId="5">
    <w:nsid w:val="109CF92E"/>
    <w:multiLevelType w:val="hybridMultilevel"/>
    <w:lvl w:ilvl="0">
      <w:lvlJc w:val="left"/>
      <w:lvlText w:val="4"/>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amp;"/>
      <w:numFmt w:val="bullet"/>
      <w:start w:val="1"/>
    </w:lvl>
  </w:abstractNum>
  <w:abstractNum w:abstractNumId="8">
    <w:nsid w:val="1BEFD79F"/>
    <w:multiLevelType w:val="hybridMultilevel"/>
    <w:lvl w:ilvl="0">
      <w:lvlJc w:val="left"/>
      <w:lvlText w:val="&amp;"/>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3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3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bullet"/>
      <w:start w:val="1"/>
    </w:lvl>
  </w:abstractNum>
  <w:abstractNum w:abstractNumId="17">
    <w:nsid w:val="257130A3"/>
    <w:multiLevelType w:val="hybridMultilevel"/>
    <w:lvl w:ilvl="0">
      <w:lvlJc w:val="left"/>
      <w:lvlText w:val="2"/>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2019-12-29T15:52:21Z</dcterms:created>
  <dcterms:modified xsi:type="dcterms:W3CDTF">2019-12-29T15:52:21Z</dcterms:modified>
</cp:coreProperties>
</file>