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September 30, 2009 there were 937,539,417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23"/>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24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 of Operations for the quarters ended September 30, 2009 and 2008</w:t>
              </w:r>
            </w:hyperlink>
          </w:p>
        </w:tc>
        <w:tc>
          <w:tcPr>
            <w:tcW w:w="30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 of Operations for the nine months ended September 30, 2009 and 2008</w:t>
              </w:r>
            </w:hyperlink>
          </w:p>
        </w:tc>
        <w:tc>
          <w:tcPr>
            <w:tcW w:w="27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 at September 30, 2009 and December 31, 2008</w:t>
              </w:r>
            </w:hyperlink>
          </w:p>
        </w:tc>
        <w:tc>
          <w:tcPr>
            <w:tcW w:w="412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nine months ended September 30,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6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7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10180" w:type="dxa"/>
            <w:vAlign w:val="bottom"/>
            <w:gridSpan w:val="19"/>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1.</w:t>
              </w:r>
            </w:hyperlink>
          </w:p>
        </w:tc>
        <w:tc>
          <w:tcPr>
            <w:tcW w:w="1640" w:type="dxa"/>
            <w:vAlign w:val="bottom"/>
            <w:tcBorders>
              <w:top w:val="single" w:sz="8" w:color="0000EE"/>
            </w:tcBorders>
            <w:gridSpan w:val="7"/>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854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86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10180" w:type="dxa"/>
            <w:vAlign w:val="bottom"/>
            <w:gridSpan w:val="19"/>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426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92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58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40" w:type="dxa"/>
            <w:vAlign w:val="bottom"/>
            <w:gridSpan w:val="1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EXHIBIT INDEX</w:t>
            </w:r>
          </w:p>
        </w:tc>
        <w:tc>
          <w:tcPr>
            <w:tcW w:w="984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As used herein, the terms “we,” “us,” “our” or “UTC,” unless the context otherwise requires, mean United Technologies Corporation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60" w:type="dxa"/>
            <w:vAlign w:val="bottom"/>
          </w:tcPr>
          <w:p>
            <w:pPr>
              <w:spacing w:after="0"/>
              <w:rPr>
                <w:sz w:val="24"/>
                <w:szCs w:val="24"/>
                <w:color w:val="auto"/>
              </w:rPr>
            </w:pPr>
          </w:p>
        </w:tc>
        <w:tc>
          <w:tcPr>
            <w:tcW w:w="188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Quarter Ended September 30,</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9,398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00" w:type="dxa"/>
            <w:vAlign w:val="bottom"/>
            <w:gridSpan w:val="5"/>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Average number of shares outstanding:</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8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92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27,387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Average number of shares outstanding:</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060" w:type="dxa"/>
            <w:vAlign w:val="bottom"/>
            <w:gridSpan w:val="7"/>
          </w:tcPr>
          <w:p>
            <w:pPr>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jc w:val="center"/>
              <w:ind w:right="4560"/>
              <w:spacing w:after="0" w:line="170" w:lineRule="exact"/>
              <w:rPr>
                <w:sz w:val="20"/>
                <w:szCs w:val="20"/>
                <w:color w:val="auto"/>
              </w:rPr>
            </w:pPr>
            <w:r>
              <w:rPr>
                <w:rFonts w:ascii="Arial" w:cs="Arial" w:eastAsia="Arial" w:hAnsi="Arial"/>
                <w:sz w:val="18"/>
                <w:szCs w:val="18"/>
                <w:b w:val="1"/>
                <w:bCs w:val="1"/>
                <w:color w:val="auto"/>
                <w:w w:val="77"/>
              </w:rPr>
              <w:t>Assets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auto"/>
            </w:tcBorders>
          </w:tcPr>
          <w:p>
            <w:pPr>
              <w:spacing w:after="0"/>
              <w:rPr>
                <w:sz w:val="18"/>
                <w:szCs w:val="18"/>
                <w:color w:val="auto"/>
              </w:rPr>
            </w:pPr>
          </w:p>
        </w:tc>
        <w:tc>
          <w:tcPr>
            <w:tcW w:w="45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4,632</w:t>
            </w: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4,327</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9,480</w:t>
            </w: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23"/>
        </w:trPr>
        <w:tc>
          <w:tcPr>
            <w:tcW w:w="20" w:type="dxa"/>
            <w:vAlign w:val="bottom"/>
          </w:tcPr>
          <w:p>
            <w:pPr>
              <w:spacing w:after="0"/>
              <w:rPr>
                <w:sz w:val="19"/>
                <w:szCs w:val="19"/>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100" w:type="dxa"/>
            <w:vAlign w:val="bottom"/>
            <w:shd w:val="clear" w:color="auto" w:fill="CCEEFF"/>
          </w:tcPr>
          <w:p>
            <w:pPr>
              <w:spacing w:after="0"/>
              <w:rPr>
                <w:sz w:val="18"/>
                <w:szCs w:val="18"/>
                <w:color w:val="auto"/>
              </w:rPr>
            </w:pPr>
          </w:p>
        </w:tc>
      </w:tr>
      <w:tr>
        <w:trPr>
          <w:trHeight w:val="221"/>
        </w:trPr>
        <w:tc>
          <w:tcPr>
            <w:tcW w:w="9060" w:type="dxa"/>
            <w:vAlign w:val="bottom"/>
            <w:gridSpan w:val="7"/>
          </w:tcPr>
          <w:p>
            <w:pPr>
              <w:spacing w:after="0"/>
              <w:rPr>
                <w:sz w:val="20"/>
                <w:szCs w:val="20"/>
                <w:color w:val="auto"/>
              </w:rPr>
            </w:pPr>
            <w:r>
              <w:rPr>
                <w:rFonts w:ascii="Arial" w:cs="Arial" w:eastAsia="Arial" w:hAnsi="Arial"/>
                <w:sz w:val="18"/>
                <w:szCs w:val="18"/>
                <w:color w:val="auto"/>
              </w:rPr>
              <w:t>Customer financing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r>
      <w:tr>
        <w:trPr>
          <w:trHeight w:val="218"/>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15,475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15,106</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(8,758)</w:t>
            </w: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Net Fixed Assets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gridSpan w:val="6"/>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57,577</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jc w:val="center"/>
              <w:ind w:right="3980"/>
              <w:spacing w:after="0" w:line="170" w:lineRule="exact"/>
              <w:rPr>
                <w:sz w:val="20"/>
                <w:szCs w:val="20"/>
                <w:color w:val="auto"/>
              </w:rPr>
            </w:pPr>
            <w:r>
              <w:rPr>
                <w:rFonts w:ascii="Arial" w:cs="Arial" w:eastAsia="Arial" w:hAnsi="Arial"/>
                <w:sz w:val="18"/>
                <w:szCs w:val="18"/>
                <w:b w:val="1"/>
                <w:bCs w:val="1"/>
                <w:color w:val="auto"/>
                <w:w w:val="89"/>
              </w:rPr>
              <w:t>Liabilities and Equity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borrowings</w:t>
            </w:r>
          </w:p>
        </w:tc>
        <w:tc>
          <w:tcPr>
            <w:tcW w:w="1620" w:type="dxa"/>
            <w:vAlign w:val="bottom"/>
            <w:tcBorders>
              <w:top w:val="single" w:sz="8" w:color="auto"/>
            </w:tcBorders>
            <w:gridSpan w:val="3"/>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943</w:t>
            </w: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w:t>
            </w: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12,069</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18,200</w:t>
            </w: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w:t>
            </w: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37,931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39,911</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11,516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11,179</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(14,316)</w:t>
            </w:r>
          </w:p>
        </w:tc>
      </w:tr>
      <w:tr>
        <w:trPr>
          <w:trHeight w:val="216"/>
        </w:trPr>
        <w:tc>
          <w:tcPr>
            <w:tcW w:w="20" w:type="dxa"/>
            <w:vAlign w:val="bottom"/>
          </w:tcPr>
          <w:p>
            <w:pPr>
              <w:spacing w:after="0"/>
              <w:rPr>
                <w:sz w:val="18"/>
                <w:szCs w:val="18"/>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26,827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25,159</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Unearned ESOP shares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20" w:type="dxa"/>
            <w:vAlign w:val="bottom"/>
          </w:tcPr>
          <w:p>
            <w:pPr>
              <w:spacing w:after="0"/>
              <w:rPr>
                <w:sz w:val="19"/>
                <w:szCs w:val="19"/>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(4,580)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1280"/>
              <w:spacing w:after="0"/>
              <w:rPr>
                <w:sz w:val="20"/>
                <w:szCs w:val="20"/>
                <w:color w:val="auto"/>
              </w:rPr>
            </w:pPr>
            <w:r>
              <w:rPr>
                <w:rFonts w:ascii="Arial" w:cs="Arial" w:eastAsia="Arial" w:hAnsi="Arial"/>
                <w:sz w:val="18"/>
                <w:szCs w:val="18"/>
                <w:color w:val="auto"/>
              </w:rPr>
              <w:t>Total Shareowners’ Equity</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gridSpan w:val="6"/>
          </w:tcPr>
          <w:p>
            <w:pPr>
              <w:ind w:left="42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57,577</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4"/>
                <w:szCs w:val="1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88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2,756</w:t>
            </w:r>
          </w:p>
        </w:tc>
        <w:tc>
          <w:tcPr>
            <w:tcW w:w="6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3,010</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80"/>
              <w:spacing w:after="0"/>
              <w:rPr>
                <w:sz w:val="20"/>
                <w:szCs w:val="20"/>
                <w:color w:val="auto"/>
              </w:rPr>
            </w:pPr>
            <w:r>
              <w:rPr>
                <w:rFonts w:ascii="Arial" w:cs="Arial" w:eastAsia="Arial" w:hAnsi="Arial"/>
                <w:sz w:val="18"/>
                <w:szCs w:val="18"/>
                <w:color w:val="auto"/>
              </w:rPr>
              <w:t>Stock compensation cost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Domestic pension contributions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2"/>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3,878</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2"/>
        </w:trPr>
        <w:tc>
          <w:tcPr>
            <w:tcW w:w="886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issuance of long-term debt,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(Decrease) increase in short-term borrowings, net</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8860" w:type="dxa"/>
            <w:vAlign w:val="bottom"/>
            <w:gridSpan w:val="3"/>
            <w:vMerge w:val="restart"/>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Condensed Consolidated Financial Statements at September 30, 2009 and for the quarters and nine months ended September 30, 2009 and 2008 are unaudited, but in the opinion of management include all adjustments (consisting only of normal recurring adjustments) necessary for a fair presentation of the results for the interim periods. We have evaluated for disclosure subsequent events that have occurred up to October 23, 2009, the date of issuance of our financial statements.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(2008 Annual Report) incorporated by reference to our Annual Report on Form 10-K for calendar year 2008 (2008 Form 10-K). Certain reclassifications have been made herein to 2008 amounts to conform to the current year presentation of noncontrolling interests and collaborative arrangements as required by the Consolidation Topic and Collaborative Arrangements Topic, respectively, of the FASB Accounting Standards Codification (FASB ASC). For further information, see discussion in Notes 9 and 11, respectively,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Business Acquisitions</w:t>
      </w:r>
      <w:r>
        <w:rPr>
          <w:rFonts w:ascii="Arial" w:cs="Arial" w:eastAsia="Arial" w:hAnsi="Arial"/>
          <w:sz w:val="16"/>
          <w:szCs w:val="16"/>
          <w:color w:val="auto"/>
        </w:rPr>
        <w:t>. We account for business combinations as required by the provisions of the Business Combinations Topic of the FASB ASC,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provisions that we adopted effective January 1, 2009. The accounting for business combinations retains the underlying concepts of the previously issued standard in that all business combinations are still required to be accounted for at fair value, but changes the method of applying the acquisition method in a number of significant aspects. Acquisition costs are generally expensed as incurred; noncontrolling interests are valued at fair value at the acquisition date; in-process research and development is recorded at fair value as an indefinite-lived intangible asset at the acquisition date; restructuring costs associated with a business combination are generally expensed subsequent to the acquisition date; and changes in deferred tax asset valuation allowances and income tax uncertainties after the acquisition date generally affect income tax expense. These changes are effective on a prospective basis for all of our business combinations for which the acquisition date is on or after January 1, 2009, with the exception of the accounting for valuation allowances on deferred taxes and acquired tax contingencies. Adjustments for valuation allowances on deferred taxes and acquired tax contingencies associated with acquisitions that closed prior to January 1, 2009 would also apply the revised accounting for business combination provisions.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the first nine months of 2009, our investment in businesses was approximately $557 million. Investments in the third quarter of 2009 amounted to $360 million, primarily reflecting the acquisition of additional shares in GST Holdings Limited (GST), a fire alarm system provider in China. The acquisition of these additional shares in GST increased our share ownership from 29% to 99% and further strengthens UTC Fire &amp; Security’s presence in the Chinese fire safety industry. The remainder of our investment in businesses for the first nine months of the year consisted of a number of small acquisitions in both our commercial and aerospace businesses. For acquisitions completed prior to January 1, 2009, the final purchase price allocation of all acquired businesses is subject to the completion of the valuation of certain assets and liabilities, as well as plans for consolidation of facilities, relocation or reduction of employees and other restructuring activities. For acquisitions occurring on or after January 1, 2009, during the measurement period we will recognize additional assets or liabilities if new information is obtained about facts and circumstances that existed as of the acquisition date that, if known, would have resulted in the recognition of those assets and liabilities as of that date. The measurement period shall not exceed one year from the acquisition date. Further, any associated restructuring activities will be expensed in future periods and not recorded through purchase accounting as previously done for acquisitions occurring prior to January 1, 2009. There was no significant impact on our acquisition activity in the first nine months of 2009 from these changes in the provisions of accounting for business combinations.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second quarter of 2009, Otis recorded a $52 million non-cash, non-taxable gain recognized on the remeasurement to fair value of a previously held equity interest in a joint venture as a result of the purchase of a controlling interest.</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2009, Carrier and Watsco, Inc (Watsco) formed Carrier Enterprise, LLC, a venture to distribute Carrier, Bryant, Payne and Totaline residential and light commercial heating, ventilating and air-conditioning products in the U.S. Sunbelt region and selected territories in the Caribbean and Latin America. As part of the transaction, Carrier contributed its distribution businesses located in these regions into the new venture. In consideration of its contribution, Carrier received approximately 3 million shares of common stock of Watsco and a 40 percent noncontrolling interest in the new venture, which included a business contributed by Watsco. Watsco owns a 60 percent interest in the venture with options to purchase an additional 20 percent interest from Carrier in future years. Carrier recognized a gain of approximately $57 million in the third quarter of 2009 as a result of its contribution of the majority of its U.S. residential sales and distribution businesses in this new venture.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nine months of 2009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1"/>
              </w:rPr>
              <w:t>Balance as of</w:t>
            </w:r>
          </w:p>
        </w:tc>
        <w:tc>
          <w:tcPr>
            <w:tcW w:w="7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Goodwill resulting from</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7"/>
              </w:rPr>
              <w:t>Foreign currency</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as of</w:t>
            </w:r>
          </w:p>
        </w:tc>
      </w:tr>
      <w:tr>
        <w:trPr>
          <w:trHeight w:val="16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January 1, 2009</w:t>
            </w:r>
          </w:p>
        </w:tc>
        <w:tc>
          <w:tcPr>
            <w:tcW w:w="7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business combinations</w:t>
            </w:r>
          </w:p>
        </w:tc>
        <w:tc>
          <w:tcPr>
            <w:tcW w:w="74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translation and other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September 30, 2009</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2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7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3,270</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1,037</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7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7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7"/>
              </w:rPr>
              <w:t>September 30, 2009</w:t>
            </w:r>
          </w:p>
        </w:tc>
        <w:tc>
          <w:tcPr>
            <w:tcW w:w="5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8"/>
              </w:rPr>
              <w:t>December 31, 2008</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3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1,769</w:t>
            </w:r>
          </w:p>
        </w:tc>
        <w:tc>
          <w:tcPr>
            <w:tcW w:w="5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1,625</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(1,918)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(1,628)</w:t>
            </w:r>
          </w:p>
        </w:tc>
        <w:tc>
          <w:tcPr>
            <w:tcW w:w="0" w:type="dxa"/>
            <w:vAlign w:val="bottom"/>
          </w:tcPr>
          <w:p>
            <w:pPr>
              <w:spacing w:after="0"/>
              <w:rPr>
                <w:sz w:val="1"/>
                <w:szCs w:val="1"/>
                <w:color w:val="auto"/>
              </w:rPr>
            </w:pPr>
          </w:p>
        </w:tc>
      </w:tr>
      <w:tr>
        <w:trPr>
          <w:trHeight w:val="222"/>
        </w:trPr>
        <w:tc>
          <w:tcPr>
            <w:tcW w:w="530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5,464</w:t>
            </w:r>
          </w:p>
        </w:tc>
        <w:tc>
          <w:tcPr>
            <w:tcW w:w="5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(1,918)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5,071</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of intangible assets for the quarter and nine months ended September 30, 2009 was $88 million and $259 million, respectively, compared with $85 million and $272 million for the same periods of 2008. Amortization of these intangible assets for 2009 through 2013 is expected to approximate $280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Average shares:</w:t>
            </w: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Stock awards</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(SARs) and stock options when the average market price of the common stock is lower than the exercise price of the related SARs and options during the period. These outstanding stock awards are not included in the computation of diluted earnings per share because the effect would have been antidilutive. For the quarter and nine months ended September 30, 2009, the number of stock awards excluded from the computation was 15.2 million and 35.7 million, respectively. For the quarter and nine months ended September 30, 2008, the number of stock awards excluded from the computation was 10.2 million and 10.1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8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Progress payments, secured by lien, on U.S. Government contracts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(6,195)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September 30, 2009 and December 31, 2008, inventory also includes capitalized research and development costs of $873 million and $833 million, respectively, related to certain aerospace programs. These capitalized costs are liquidated as production units are delivered to the customer. The capitalized contract research and development costs within inventory principally relate to capitalized costs on Sikorsky’s CH-148 contract with the Canadian government. The CH-148 is a derivative of the H-92, a military variant of the S-92.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the 2008 inventory components presented above in order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borrowings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40" w:type="dxa"/>
            <w:vAlign w:val="bottom"/>
            <w:gridSpan w:val="3"/>
          </w:tcPr>
          <w:p>
            <w:pPr>
              <w:ind w:left="1920"/>
              <w:spacing w:after="0"/>
              <w:rPr>
                <w:sz w:val="20"/>
                <w:szCs w:val="20"/>
                <w:color w:val="auto"/>
              </w:rPr>
            </w:pPr>
            <w:r>
              <w:rPr>
                <w:rFonts w:ascii="Arial" w:cs="Arial" w:eastAsia="Arial" w:hAnsi="Arial"/>
                <w:sz w:val="14"/>
                <w:szCs w:val="14"/>
                <w:b w:val="1"/>
                <w:bCs w:val="1"/>
                <w:color w:val="auto"/>
                <w:w w:val="83"/>
              </w:rPr>
              <w:t>September 30,</w:t>
            </w:r>
          </w:p>
        </w:tc>
        <w:tc>
          <w:tcPr>
            <w:tcW w:w="1560" w:type="dxa"/>
            <w:vAlign w:val="bottom"/>
            <w:gridSpan w:val="3"/>
          </w:tcPr>
          <w:p>
            <w:pPr>
              <w:ind w:left="7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Commercial paper</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592</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Revolving credit borrowings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Other borrowings</w:t>
            </w:r>
          </w:p>
        </w:tc>
        <w:tc>
          <w:tcPr>
            <w:tcW w:w="1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351</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943</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2009,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September 30, 2009, there were no borrowings under either of these revolving credit agreements, which expire in October 2011 and November 2011,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0" w:type="dxa"/>
            <w:vAlign w:val="bottom"/>
            <w:gridSpan w:val="4"/>
          </w:tcPr>
          <w:p>
            <w:pPr>
              <w:ind w:left="134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LIBOR+.07% floating rate notes due 2009</w:t>
            </w:r>
          </w:p>
        </w:tc>
        <w:tc>
          <w:tcPr>
            <w:tcW w:w="152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6.500% notes due 2009</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7.675% ESOP debt due 2009</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4.375% notes due 2010</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7.125% notes due 2010</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6.350% notes due 2011</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6.100% notes due 2012</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4.875% notes due 2015</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5.375% notes due 2017</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6.125% notes due 2019</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8.875% notes due 2019</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8.750% notes due 2021</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6.700% notes due 2028</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7.500% notes due 2029</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5.400% notes due 2035</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6.050% notes due 2036</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6.125% notes due 2038</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Project financing obligations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Other (including capitalized leases)</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(760)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5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2009, we redeemed the entire $500 million outstanding principal amount of our LIBOR+.07% floating rate notes that were due June 1, 2009 at a redemption price in U.S. dollars equal to 100% of the principal amount, plus interest accrued. On June 1, 2009, we repaid our $400 million of 6.500 % notes due 2009 which matured on the same date.</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recognize interest accrued related to unrecognized tax benefits in interest expense. Penalties, if incurred, would be recognized as a component of income tax expense.</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decrease of $125 million to a net increase of $50 million resulting from additional worldwide uncertain tax positions; from the reevaluation of current uncertain tax positions arising from developments in examinations, in appeals, or in the courts; or from the closure of tax statutes. Not included in the range is €182 million (approximately $267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After consideration of the ECJ decision, we continue to believe that it is more likely than not that the relevant German tax law is violative of EU principles and we have not accrued tax expense for this matter. As developments in the other taxpayer’s case in the German courts warrant, it may become necessary for us to accrue for this matter, and related interest.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third quarter of 2009, the Internal Revenue Service (IRS) completed examination fieldwork for the 2004 and 2005 tax years and issued its audit report. Based on the IRS audit report, in the third quarter of 2009 we filed a protest with respect to certain IRS-proposed adjustments with which we do not agree. These adjustments, included in the above range, will be addressed with the Appeals Division of the IRS. The timing of any resolution is currently uncertain. Also during the third quarter of 2009, the IRS commenced its review of our 2006 through 2008 tax years.</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recorded a $38 million reduction in tax expenses in the third quarter of 2009 relating to a re-evaluation of our liabilities and contingencies based on global examination activity in the quarter, including completion of our review of the 2004 and 2005 IRS audit report and our protest filing. In addition, we recognized approximately $17 million of associated pre-tax interest income adjustments in the third quarter of 2009.</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tax rate for the quarter ended September 30, 2009 has increased as compared to the same period of 2008 as a result of the tax effects of the Carrier and Watsco transaction and a $32 million adverse tax impact associated with a foreign reorganization, net of the reduction to tax expense relating to the re-evaluation of our tax liabilities and contingencies noted above. The effective tax rate for the nine months ended September 30, 2009 decreased as compared to the same period of 2008 as a result of the favorable tax impact of approximately $25 million in the first quarter of 2009 related to the formation of a commercial venture, the non-taxability in the second quarter of 2009 of the gain Otis realized on its purchase of a noncontrolling interest in a joint venture, partially offset by the net adverse impacts of the third quarter 2009 items.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postretirement plans.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plans during the quarters and nine months ended September 30, 2009 and 2008 were as follows: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800" w:type="dxa"/>
            <w:vAlign w:val="bottom"/>
            <w:gridSpan w:val="3"/>
            <w:vMerge w:val="continue"/>
          </w:tcPr>
          <w:p>
            <w:pPr>
              <w:spacing w:after="0"/>
              <w:rPr>
                <w:sz w:val="12"/>
                <w:szCs w:val="12"/>
                <w:color w:val="auto"/>
              </w:rPr>
            </w:pPr>
          </w:p>
        </w:tc>
        <w:tc>
          <w:tcPr>
            <w:tcW w:w="4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$ 13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633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$ 50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144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the first nine months of 2009, we contributed $551 million in cash to our domestic defined benefit pension plans, including $150 million which was contributed in the third quarter of 2009. There were no contributions to our domestic defined benefit pension plans in the first nine months of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pension and other postretirement benefits: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gridSpan w:val="4"/>
          </w:tcPr>
          <w:p>
            <w:pPr>
              <w:jc w:val="center"/>
              <w:ind w:left="201"/>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380" w:type="dxa"/>
            <w:vAlign w:val="bottom"/>
          </w:tcPr>
          <w:p>
            <w:pPr>
              <w:spacing w:after="0"/>
              <w:rPr>
                <w:sz w:val="14"/>
                <w:szCs w:val="14"/>
                <w:color w:val="auto"/>
              </w:rPr>
            </w:pPr>
          </w:p>
        </w:tc>
        <w:tc>
          <w:tcPr>
            <w:tcW w:w="1160" w:type="dxa"/>
            <w:vAlign w:val="bottom"/>
            <w:tcBorders>
              <w:bottom w:val="single" w:sz="8" w:color="auto"/>
            </w:tcBorders>
            <w:gridSpan w:val="4"/>
          </w:tcPr>
          <w:p>
            <w:pPr>
              <w:jc w:val="center"/>
              <w:ind w:left="221"/>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$ 108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140" w:type="dxa"/>
            <w:vAlign w:val="bottom"/>
            <w:gridSpan w:val="3"/>
          </w:tcPr>
          <w:p>
            <w:pPr>
              <w:jc w:val="right"/>
              <w:ind w:right="34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12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140" w:type="dxa"/>
            <w:vAlign w:val="bottom"/>
            <w:gridSpan w:val="3"/>
          </w:tcPr>
          <w:p>
            <w:pPr>
              <w:jc w:val="right"/>
              <w:ind w:right="3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2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w:t>
            </w:r>
          </w:p>
        </w:tc>
        <w:tc>
          <w:tcPr>
            <w:tcW w:w="2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Total net periodic benefit cost</w:t>
            </w:r>
          </w:p>
        </w:tc>
        <w:tc>
          <w:tcPr>
            <w:tcW w:w="2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3"/>
            <w:vMerge w:val="continue"/>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$ 170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80" w:type="dxa"/>
            <w:vAlign w:val="bottom"/>
            <w:vMerge w:val="restart"/>
          </w:tcPr>
          <w:p>
            <w:pPr>
              <w:jc w:val="right"/>
              <w:ind w:right="772"/>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left="259"/>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 (gain)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Total net periodic benefit cost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374</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first nine months of 2009, we recorded net pre-tax restructuring and related charges in our business segments totaling $695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3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7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charges included $361 million in cost of sales, $311 million in selling, general and administrative expenses and $23 million in other income and, as described below, primarily relate to actions initiated during 2009 and 2008. Restructuring costs reflected in Eliminations and other primarily reflect the costs associated with the curtailment of our domestic pension plans.</w:t>
      </w:r>
    </w:p>
    <w:p>
      <w:pPr>
        <w:spacing w:after="0" w:line="134"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2009 Actions. </w:t>
      </w:r>
      <w:r>
        <w:rPr>
          <w:rFonts w:ascii="Arial" w:cs="Arial" w:eastAsia="Arial" w:hAnsi="Arial"/>
          <w:sz w:val="16"/>
          <w:szCs w:val="16"/>
          <w:color w:val="auto"/>
        </w:rPr>
        <w:t>During the first nine months of 2009, we initiated restructuring actions relating to ongoing cost reduction efforts, including workforce</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reductions, the consolidation of field operations and the consolidation of repair and overhaul operations. We recorded net pre-tax restructuring and related charges totaling $667 million, including $335 million in cost of sales, $310 million in selling, general and administrative expenses and $22 million in other income.</w:t>
      </w:r>
    </w:p>
    <w:p>
      <w:pPr>
        <w:spacing w:after="0" w:line="10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the 2009 actions that were initiated in the first nine months to result in net workforce reductions of approximately 13,000 hourly and salaried employees, the exiting of approximately 4.3 million net square feet of facilities and the disposal of assets associated with the exited facilities. As of September 30, 2009, net workforce reductions of approximately 9,200 employees have been completed. The majority of the remaining workforce and all facility related cost reduction actions are targeted for completion during 2010 and 2011. No specific plans for significant other actions have been finalized at this time.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September 21, 2009, Pratt &amp; Whitney announced plans to close its Connecticut Airfoil Repair Operations facility in East Hartford, Connecticut by the second quarter of 2010 and its engine overhaul facility in Cheshire, Connecticut by early 2011. On September 22, 2009, the International Association of Machinists (IAM) filed a lawsuit in U.S. District Court in Hartford, Connecticut alleging that Pratt &amp; Whitney’s decision to close these facilities and transfer certain work to facilities outside Connecticut breached the terms of its collective bargaining agreement with the IAM, and seeking to enjoin Pratt &amp; Whitney from moving the work for the duration of the current collective bargaining agreement. Pratt &amp; Whitney believes that it has fully complied with the collective bargaining agreement and that the IAM’s contentions are without merit. Trial is currently scheduled to begin December 14, 2009, and a decision is anticipated by early 2010. Pratt &amp; Whitney has recorded $51 million of restructuring costs associated with these planned 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2009</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Facility Exit and</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3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2009</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Costs incurred - quarter ended September 30, 2009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Costs Incurred -</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Costs Incurred -</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Costs Incurred -</w:t>
            </w: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3"/>
              </w:rPr>
              <w:t>Expected Costs</w:t>
            </w:r>
          </w:p>
        </w:tc>
        <w:tc>
          <w:tcPr>
            <w:tcW w:w="58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2009</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June 30, 2009</w:t>
            </w:r>
          </w:p>
        </w:tc>
        <w:tc>
          <w:tcPr>
            <w:tcW w:w="3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nine months of 2009, we recorded net pre-tax restructuring and related charges and reversals totaling $26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actions initiated in 2008, including $24 million in cost of sales, $1 million in selling, general and administrative expenses and $1 million in other income. The 2008 actions relate to ongoing cost reduction efforts, including selling, general and administrative reductions, principally at Carrier, Pratt &amp; Whitney, and UTC Fire &amp; Security, and the consolidation of manufacturing facilities.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2009, net workforce reductions of approximately 5,000 employees of an expected 6,200 employees have been completed, and 200,000 net square feet of facilities of an expected 1.2 million net square feet have been exited. The majority of the remaining workforce and facility related cost reduction actions are targeted for completion during 2009 and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Asset</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2009</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3"/>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Facility Exit and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2008</w:t>
            </w: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2009</w:t>
            </w: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September 30, 2009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September 30, 2009</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Costs Incurred</w:t>
            </w:r>
          </w:p>
        </w:tc>
        <w:tc>
          <w:tcPr>
            <w:tcW w:w="2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Costs Incurred</w:t>
            </w: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through</w:t>
            </w:r>
          </w:p>
        </w:tc>
        <w:tc>
          <w:tcPr>
            <w:tcW w:w="22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Quarter ended</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1"/>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Expected Costs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 2009</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2009</w:t>
            </w:r>
          </w:p>
        </w:tc>
        <w:tc>
          <w:tcPr>
            <w:tcW w:w="2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to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the Derivatives and Hedging Topic of the FASB ASC, changes in the derivatives’ fair value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(i.e. payables, receivables) and other economic hedges where the hedge accounting criteria were not met.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$8.6 billion and $11.2 billion at September 30, 2009 and December 31, 2008, respectively.</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example, 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of commodity contracts were insignificant for the period ended September 30, 2009.</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outstanding notional amount of contracts hedging commodity exposures was insignificant at September 30, 2009 and December 31, 2008, respectively.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160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 Location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Derivatives not designated as hedging instruments:</w:t>
            </w:r>
          </w:p>
        </w:tc>
        <w:tc>
          <w:tcPr>
            <w:tcW w:w="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 Contracts</w:t>
            </w:r>
          </w:p>
        </w:tc>
        <w:tc>
          <w:tcPr>
            <w:tcW w:w="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195</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impact on Accumulated other comprehensive loss from foreign exchange derivative instruments that qualified as cash flow hedges for the period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2009</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80"/>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recorded in Accumulated other comprehensive loss</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w w:val="99"/>
              </w:rPr>
              <w:t>Loss reclassified from Accumulated other comprehensive loss into Product Sales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Arial" w:cs="Arial" w:eastAsia="Arial" w:hAnsi="Arial"/>
                <w:sz w:val="18"/>
                <w:szCs w:val="18"/>
                <w:color w:val="auto"/>
              </w:rPr>
              <w:t>(effective portion)</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right"/>
              <w:ind w:right="114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 on derivatives (ineffective portion)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Assuming current market conditions continue, of the amount recorded in Accumulated other comprehensive loss, a $9 million pre-tax gain is expected to be reclassified into product sales or cost of products sold to reflect the fixed prices obtained from foreign exchange hedging within the next 12 months. Gains and losses recognized in earnings related to the discontinuance or the ineffectiveness of cash flow hedges was $5 million for the nine months ended September 30, 2009. The ineffectiveness recognized in earnings was the result of certain forecasted product sales transactions no longer occurring and was recorded in the first quarter of 2009. At September 30, 2009, all derivative contracts accounted for as cash flow hedges mature by December 2014.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2009</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86"/>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recognized in Other Income, net</w:t>
            </w:r>
          </w:p>
        </w:tc>
        <w:tc>
          <w:tcPr>
            <w:tcW w:w="3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40" w:type="dxa"/>
            <w:vAlign w:val="bottom"/>
          </w:tcPr>
          <w:p>
            <w:pPr>
              <w:jc w:val="right"/>
              <w:ind w:right="1432"/>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Fair Value Disclosure. </w:t>
      </w:r>
      <w:r>
        <w:rPr>
          <w:rFonts w:ascii="Arial" w:cs="Arial" w:eastAsia="Arial" w:hAnsi="Arial"/>
          <w:sz w:val="16"/>
          <w:szCs w:val="16"/>
          <w:color w:val="auto"/>
        </w:rPr>
        <w:t>The Fair Value Measurements and Disclosures Topic of the FASB ASC defines fair value, establishes a framework for measuring</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adopted the requirements of the Fair Value Measurements and Disclosure Topic as of January 1, 2008, with the exception of the application to non-recurring nonfinancial assets and nonfinancial liabilities, which was delayed and therefore adopted as of January 1, 2009. As of September 30, 2009, we do not have any significant non-recurring measurements of nonfinancial assets and nonfinancial liabilities.</w:t>
      </w:r>
    </w:p>
    <w:p>
      <w:pPr>
        <w:spacing w:after="0" w:line="13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Fair Value Measurements and Disclosure Topic of the FASB ASC establishes a valuation hierarchy for disclosure of the inputs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September 30,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20" w:type="dxa"/>
            <w:vAlign w:val="bottom"/>
          </w:tcPr>
          <w:p>
            <w:pPr>
              <w:spacing w:after="0"/>
              <w:rPr>
                <w:sz w:val="14"/>
                <w:szCs w:val="14"/>
                <w:color w:val="auto"/>
              </w:rPr>
            </w:pPr>
          </w:p>
        </w:tc>
        <w:tc>
          <w:tcPr>
            <w:tcW w:w="17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6"/>
              </w:rPr>
              <w:t>Significant 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20" w:type="dxa"/>
            <w:vAlign w:val="bottom"/>
          </w:tcPr>
          <w:p>
            <w:pPr>
              <w:spacing w:after="0"/>
              <w:rPr>
                <w:sz w:val="12"/>
                <w:szCs w:val="12"/>
                <w:color w:val="auto"/>
              </w:rPr>
            </w:pPr>
          </w:p>
        </w:tc>
        <w:tc>
          <w:tcPr>
            <w:tcW w:w="17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4"/>
              </w:rPr>
              <w:t>September 30, 2009</w:t>
            </w: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631</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an active market. They are measured at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using closing stock prices from active markets and are classified within Level 1 of the valuation hierarchy. Our derivative assets and liabilities include foreign exchange and commodity derivatives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w:t>
      </w:r>
    </w:p>
    <w:p>
      <w:pPr>
        <w:spacing w:after="0" w:line="11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September 30, 2009,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Financial Instruments Topic of the FASB ASC requires interim disclosures regarding the fair values of financial instruments. Additionally, this topic requires disclosure of the methods and significant assumptions used to estimate the fair value of certain financial instruments on an interim basis as well as changes in the methods and significant assumptions from prior periods. The interim disclosure requirements of this Topic do not change the previous accounting treatment for these financial instruments. We adopted the interim disclosure requirements under this Topic during the quarter ended June 30, 2009.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fair values of financial instruments at September 30, 2009 and December 31, 2008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September 30, 2009</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660" w:type="dxa"/>
            <w:vAlign w:val="bottom"/>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Amount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 and Liabilities</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  631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receivables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Customer financing notes receivable</w:t>
            </w: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32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(943)</w:t>
            </w:r>
          </w:p>
        </w:tc>
        <w:tc>
          <w:tcPr>
            <w:tcW w:w="13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(943)</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22"/>
        </w:trPr>
        <w:tc>
          <w:tcPr>
            <w:tcW w:w="360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3280" w:type="dxa"/>
            <w:vAlign w:val="bottom"/>
          </w:tcPr>
          <w:p>
            <w:pPr>
              <w:jc w:val="right"/>
              <w:ind w:right="252"/>
              <w:spacing w:after="0"/>
              <w:rPr>
                <w:sz w:val="20"/>
                <w:szCs w:val="20"/>
                <w:color w:val="auto"/>
              </w:rPr>
            </w:pPr>
            <w:r>
              <w:rPr>
                <w:rFonts w:ascii="Arial" w:cs="Arial" w:eastAsia="Arial" w:hAnsi="Arial"/>
                <w:sz w:val="18"/>
                <w:szCs w:val="18"/>
                <w:color w:val="auto"/>
              </w:rPr>
              <w:t>(9,440)</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(10,352)</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(10,408)</w:t>
            </w:r>
          </w:p>
        </w:tc>
        <w:tc>
          <w:tcPr>
            <w:tcW w:w="1000" w:type="dxa"/>
            <w:vAlign w:val="bottom"/>
          </w:tcPr>
          <w:p>
            <w:pPr>
              <w:jc w:val="right"/>
              <w:spacing w:after="0"/>
              <w:rPr>
                <w:sz w:val="20"/>
                <w:szCs w:val="20"/>
                <w:color w:val="auto"/>
              </w:rPr>
            </w:pPr>
            <w:r>
              <w:rPr>
                <w:rFonts w:ascii="Arial" w:cs="Arial" w:eastAsia="Arial" w:hAnsi="Arial"/>
                <w:sz w:val="18"/>
                <w:szCs w:val="18"/>
                <w:color w:val="auto"/>
              </w:rPr>
              <w:t>(11,332)</w:t>
            </w:r>
          </w:p>
        </w:tc>
      </w:tr>
      <w:tr>
        <w:trPr>
          <w:trHeight w:val="356"/>
        </w:trPr>
        <w:tc>
          <w:tcPr>
            <w:tcW w:w="3600" w:type="dxa"/>
            <w:vAlign w:val="bottom"/>
          </w:tcPr>
          <w:p>
            <w:pPr>
              <w:spacing w:after="0"/>
              <w:rPr>
                <w:sz w:val="24"/>
                <w:szCs w:val="24"/>
                <w:color w:val="auto"/>
              </w:rPr>
            </w:pPr>
          </w:p>
        </w:tc>
        <w:tc>
          <w:tcPr>
            <w:tcW w:w="3280" w:type="dxa"/>
            <w:vAlign w:val="bottom"/>
          </w:tcPr>
          <w:p>
            <w:pPr>
              <w:jc w:val="right"/>
              <w:ind w:right="1452"/>
              <w:spacing w:after="0"/>
              <w:rPr>
                <w:sz w:val="20"/>
                <w:szCs w:val="20"/>
                <w:color w:val="auto"/>
              </w:rPr>
            </w:pPr>
            <w:r>
              <w:rPr>
                <w:rFonts w:ascii="Arial" w:cs="Arial" w:eastAsia="Arial" w:hAnsi="Arial"/>
                <w:sz w:val="18"/>
                <w:szCs w:val="18"/>
                <w:color w:val="auto"/>
              </w:rPr>
              <w:t>16</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values of marketable equity securities represent our investment in common stock that is classified as available for sale and is accounted for at fair value. The fair values of cash and cash equivalents, accounts receivable, net, short-term borrowings, and accounts payable approximate the carrying amounts due to the short-term maturities of these instruments.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outstanding financing and rental commitments totaling $1,036 million at September 30, 2009.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equity for the quarters and nine months ended September 30, 2009 and 2008 is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5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2"/>
                <w:szCs w:val="12"/>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1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w w:val="97"/>
              </w:rPr>
              <w:t>Increases (decreases)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available-for-sale investments, net</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Cash flow hedging gains (losses)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19,646</w:t>
            </w:r>
          </w:p>
        </w:tc>
        <w:tc>
          <w:tcPr>
            <w:tcW w:w="22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21,083</w:t>
            </w: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962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2009</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280" w:type="dxa"/>
            <w:vAlign w:val="bottom"/>
          </w:tcPr>
          <w:p>
            <w:pPr>
              <w:spacing w:after="0"/>
              <w:rPr>
                <w:sz w:val="11"/>
                <w:szCs w:val="11"/>
                <w:color w:val="auto"/>
              </w:rPr>
            </w:pPr>
          </w:p>
        </w:tc>
        <w:tc>
          <w:tcPr>
            <w:tcW w:w="58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15,917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w w:val="97"/>
              </w:rPr>
              <w:t>Increases (decreases)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available-for-sale investments, net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Cash flow hedging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(2,492)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19,646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Effective January 1, 2009, we adopted the provisions under the Consolidation Topic of the FASB ASC as it relates to the accounting for noncontrolling interests in Consolidated Financial Statements. These provisions require that the carrying value of noncontrolling interests (previously referred to as minority interests) be removed from the mezzanine section of the balance sheet and reclassified as equity, and that consolidated net income be recast to include net income attributable to the noncontrolling interest. As a result of this adoption, we reclassified noncontrolling interests in the amounts of $1,009 million and $962 million from the mezzanine section to equity in the December 31, 2008 and September 30, 2008, balance sheets, respectively.</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 and nine months ended September 30, 2009 is provided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w w:val="90"/>
              </w:rPr>
              <w:t>Quarter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September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2"/>
        </w:trPr>
        <w:tc>
          <w:tcPr>
            <w:tcW w:w="654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6540" w:type="dxa"/>
            <w:vAlign w:val="bottom"/>
            <w:gridSpan w:val="3"/>
          </w:tcPr>
          <w:p>
            <w:pPr>
              <w:spacing w:after="0"/>
              <w:rPr>
                <w:sz w:val="20"/>
                <w:szCs w:val="20"/>
                <w:color w:val="auto"/>
              </w:rPr>
            </w:pPr>
            <w:r>
              <w:rPr>
                <w:rFonts w:ascii="Arial" w:cs="Arial" w:eastAsia="Arial" w:hAnsi="Arial"/>
                <w:sz w:val="18"/>
                <w:szCs w:val="18"/>
                <w:color w:val="auto"/>
              </w:rPr>
              <w:t>Change from net income attributable to common shareowners and transfers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200"/>
              <w:spacing w:after="0"/>
              <w:rPr>
                <w:sz w:val="20"/>
                <w:szCs w:val="20"/>
                <w:color w:val="auto"/>
              </w:rPr>
            </w:pPr>
            <w:r>
              <w:rPr>
                <w:rFonts w:ascii="Arial" w:cs="Arial" w:eastAsia="Arial" w:hAnsi="Arial"/>
                <w:sz w:val="18"/>
                <w:szCs w:val="18"/>
                <w:color w:val="auto"/>
              </w:rPr>
              <w:t>to noncontrolling interests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1,021</w:t>
            </w:r>
          </w:p>
        </w:tc>
        <w:tc>
          <w:tcPr>
            <w:tcW w:w="13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2009 and 2008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Arrangements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September 30, 2009, the collaborators’ interests in existing engine production programs ranged from 1 percent to 29 percent. Pratt &amp; Whitney directs those programs and is the principal participant in all existing collaborative arrangements. There are no individually significant collaborative arrangements and none of the partners exceed 25 percent share in an individual program.</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illustrates the income statement classification and amounts attributable to transactions arising from the collaborative arrangements between participants for each period presented: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40" w:type="dxa"/>
            <w:vAlign w:val="bottom"/>
            <w:gridSpan w:val="3"/>
            <w:vMerge w:val="continue"/>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Collaborator share of revenues: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$167</w:t>
            </w: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$ 267</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  567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Collaborator share of program costs (reimbursement of expenses incurred):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Collaborative Arrangements Topic of the FASB ASC requires that participants in a collaborative arrangement report costs incurred and revenues generated from such transactions on a gross basis and in the appropriate line items in each company’s financial statements. This is pursuant to the guidance in the Revenue Recognition Topic of the FASB ASC that addresses whether an entity should report revenue gross or net depending on whether the entity functions as a principal or agent. The Collaborative Arrangements Topic also requires disclosure of the nature and purpose of the participant’s collaborative arrangements, the participant’s rights and obligations under these arrangements, the accounting policy for collaborative arrangements, the income statement classification and amounts attributable to transactions arising from collaboration arrangements between participants, and the disclosure related to individually significant collaborative arrangements. These requirements were effective for financial statements issued for fiscal years beginning after December 15, 2008, and interim periods within those fiscal years, and must be applied retrospectively to all prior periods presented for all collaborative arrangements existing as of the effective date.</w:t>
      </w:r>
    </w:p>
    <w:p>
      <w:pPr>
        <w:spacing w:after="0" w:line="12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We adopted the provisions of the Collaborative Arrangements Topic as of January 1, 2009. As required, we have applied the provisions retrospectively for all periods presented. As a result, the collaborators’ share of revenues, which were previously reported on a net basis, are now reported on a gross basis. Certain reclassifications were made to the prior year amounts in both the Condensed Consolidated Balance Sheet and Condensed Consolidated Statement of Operations. In the Condensed Consolidated Balance Sheet, accounts receivable and accounts payable were each increased by $368 million at December 31, 2008, in order to reflect the amounts owed to our collaborative partners for their share of revenues on a gross basis.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of the retroactive application on our Revenues and Costs and Expenses for all collaborative arrangements existing as of the effective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ind w:left="140"/>
              <w:spacing w:after="0"/>
              <w:rPr>
                <w:sz w:val="20"/>
                <w:szCs w:val="20"/>
                <w:color w:val="auto"/>
              </w:rPr>
            </w:pPr>
            <w:r>
              <w:rPr>
                <w:rFonts w:ascii="Arial" w:cs="Arial" w:eastAsia="Arial" w:hAnsi="Arial"/>
                <w:sz w:val="14"/>
                <w:szCs w:val="14"/>
                <w:b w:val="1"/>
                <w:bCs w:val="1"/>
                <w:color w:val="auto"/>
                <w:w w:val="96"/>
              </w:rPr>
              <w:t>Quarter Ended September 30, 2008</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7"/>
              </w:rPr>
              <w:t>Nine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Effect of</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Effect of</w:t>
            </w: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Retroactive</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Currently</w:t>
            </w:r>
          </w:p>
        </w:tc>
        <w:tc>
          <w:tcPr>
            <w:tcW w:w="3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Previously</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Retroactive</w:t>
            </w:r>
          </w:p>
        </w:tc>
        <w:tc>
          <w:tcPr>
            <w:tcW w:w="3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Currently</w:t>
            </w:r>
          </w:p>
        </w:tc>
        <w:tc>
          <w:tcPr>
            <w:tcW w:w="0" w:type="dxa"/>
            <w:vAlign w:val="bottom"/>
          </w:tcPr>
          <w:p>
            <w:pPr>
              <w:spacing w:after="0"/>
              <w:rPr>
                <w:sz w:val="1"/>
                <w:szCs w:val="1"/>
                <w:color w:val="auto"/>
              </w:rPr>
            </w:pPr>
          </w:p>
        </w:tc>
      </w:tr>
      <w:tr>
        <w:trPr>
          <w:trHeight w:val="16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Reported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Application</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Application</w:t>
            </w:r>
          </w:p>
        </w:tc>
        <w:tc>
          <w:tcPr>
            <w:tcW w:w="3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w w:val="79"/>
              </w:rPr>
              <w:t>794</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78"/>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14,814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44,182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794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78"/>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15 of the Notes to the Consolidated Financial Statements in our 2008 Annual Report, incorporated by reference in our 2008 Form 10-K.</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 later under the contracts. Both the DOJ</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2003 in connection with cost accounting changes approved by the DOD and implemented by Sikorsky in 1999 and 2006. These changes relate to the calculation of material overhead rates in government contracts. The DOD claimed that Sikorsky’s liability is approximately $80 million (including interest). We believe this claim is without merit and intend to appeal.</w:t>
      </w:r>
    </w:p>
    <w:p>
      <w:pPr>
        <w:spacing w:after="0" w:line="13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more fully in Note 11 to the Condensed Consolidated Financial Statements, as of January 1, 2009 the collaborators’ share of revenues, which were previously reported on a net basis, are now reported on a gross basis as required under the Collaborative Arrangements Topic of the FASB ASC. Prior period amounts include retrospective application of the accounting for Collaborative Arrangements.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nine months ended September 30, 2009 and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Quarter Ended September 30,</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29"/>
        </w:trPr>
        <w:tc>
          <w:tcPr>
            <w:tcW w:w="3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2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1"/>
                <w:szCs w:val="11"/>
                <w:color w:val="auto"/>
              </w:rPr>
            </w:pPr>
          </w:p>
        </w:tc>
        <w:tc>
          <w:tcPr>
            <w:tcW w:w="5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13,431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gridSpan w:val="3"/>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13,375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15,085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1,771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2,049</w:t>
            </w:r>
          </w:p>
        </w:tc>
        <w:tc>
          <w:tcPr>
            <w:tcW w:w="3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60" w:type="dxa"/>
            <w:vAlign w:val="bottom"/>
            <w:vMerge w:val="restart"/>
          </w:tcPr>
          <w:p>
            <w:pPr>
              <w:jc w:val="right"/>
              <w:ind w:right="35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Revenues</w:t>
            </w: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5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Carrier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11,682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1,156</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Pratt &amp; Whitney</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10,454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1,347</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1,602</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Sikorsky</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45,213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Eliminations and other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3"/>
              </w:rPr>
              <w:t>General corporate expenses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8"/>
                <w:szCs w:val="18"/>
                <w:color w:val="auto"/>
              </w:rPr>
              <w:t>Consolidated</w:t>
            </w: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gridSpan w:val="2"/>
            <w:vMerge w:val="continue"/>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38,820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44,987</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5,822</w:t>
            </w:r>
          </w:p>
        </w:tc>
        <w:tc>
          <w:tcPr>
            <w:tcW w:w="3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charges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2008, the FASB issued additional guidance, which resides under the Compensation – Retirement Benefits Topic of the FASB ASC, on an employer’s disclosures about plan assets of a defined benefit pension or other postretirement plan on investment policies and strategies, major categories of plan assets, inputs and valuation techniques used to measure the fair value of plan assets and significant concentrations of risk within plan assets. This guidance will be effective for fiscal years ending after December 15, 2009, with earlier application permitted. Upon initial application, the provisions of this guidance are not required for earlier periods that are presented for comparative purposes. We are currently evaluating the disclosure requirements of this guidance and anticipate that it will not have a significant impact on the reporting of our results of operations.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2009, the FASB issued SFAS No. 166, “Accounting for Transfers of Financial Assets – an amendment of FASB Statement No. 140” (SFAS 166). As of September 30, 2009, SFAS 166 has not been incorporated within the FASB ASC. SFAS 166 removes the concept of a qualifying special-purpose entity and establishes a new “participating interest” definition that must be met for transfers of portions of financial assets to be eligible for sale accounting, clarifies and amends the derecognition criteria for a transfer to be accounted for as a sale, and changes the amount that can be recognized as a gain or loss on a transfer accounted for as a sale when beneficial interests are received by the transferor. Enhanced disclosures are also required to provide information about transfers of financial assets and a transferor’s continuing involvement with transferred financial assets. This statement must be applied as of the beginning of an entity’s first annual reporting period that begins after November 15, 2009, for interim periods within that first annual reporting period, and for interim and annual reporting periods thereafter. Earlier application is prohibited. We are currently evaluating this new statement.</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June 2009, the FASB issued SFAS No. 167, “Amendments to FASB Interpretation No. 46(R)” (SFAS 167). As of September 30, 2009, SFAS 167 has not been incorporated within the FASB ASC. SFAS 167 amends previous accounting related to the Consolidation of Variable Interest Entities to require an enterprise to qualitatively assess the determination of the primary beneficiary of a variable interest entity (VIE) based on whether the entity (1) has the power to direct the activities of a VIE that most significantly impact the entity’s economic performance and (2) has the obligation to absorb losses of the entity or the right to receive benefits from the entity that could potentially be significant to the VIE. Also, SFAS 167 requires an ongoing reconsideration of the primary beneficiary, and amends the events that trigger a reassessment of whether an entity is a VIE. Enhanced disclosures are also required to provide information about an enterprise’s involvement in a VIE. This statement will be effective as of the beginning of each reporting entity’s first annual reporting period that begins after November 15, 2009, for interim periods within that first annual reporting period, and for interim and annual reporting periods thereafter. Earlier application is prohibited. We are currently evaluating this new statement.</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August 2009, the FASB issued Accounting Standards Update (ASU) No. 2009-05, “Measuring Liabilities at Fair Value.” This ASU clarifies the application of certain valuation techniques in circumstances in which a quoted price in an active market for the identical liability is not available and clarifies that when estimating the fair value of a liability, the fair value is not adjusted to reflect the impact of contractual restrictions that prevent its transfer. The guidance provided in this ASU becomes effective for us on October 1, 2009. We have evaluated this ASU and have determined there are no significant impacts to our financial position or results of operations.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2009, the FASB issued ASU No. 2009-12, “Investments in Certain Entities That Calculate Net Asset Value per Share (or Its Equivalent).” This ASU provides amendments for the fair value measurement of investments to create a practical expedient to measure the fair value of an investment in certain entities on the basis of the net asset value per share of the investment (or its equivalent) determined as of the reporting entity’s measurement date. Therefore, certain attributes of the investment (such as restrictions on redemption) and transaction prices from principal-to-principal or brokered transactions will not be considered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measuring the fair value of the investment if the practical expedient is used. The amendment in this ASU also requires disclosures by major category of investment about the attributes of those investments, such as the nature of any restrictions on the investor’s ability to redeem its investments at measurement date, any unfunded commitments, and the investment strategies of the investees. The amendments in this ASU are effective for interim and annual periods ending after December 15, 2009. Early application is permitted. We are currently evaluating this new ASU and anticipate that it will not have a significant impact on our financial position or results of operations.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2009, the FASB issued ASU No. 2009-13, “Multiple-Deliverable Revenue Arrangements.” This ASU establishes the accounting and reporting guidance for arrangements including multiple revenue-generating activities. This ASU provides amendments to the criteria for separating deliverables, measuring and allocating arrangement consideration to one or more units of accounting. The amendments in this ASU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in this ASU are effective prospectively for revenue arrangements entered into or materially modified in the fiscal years beginning on or after June 15, 2010. Early application is permitted. We are currently evaluating this new ASU.</w:t>
      </w:r>
    </w:p>
    <w:p>
      <w:pPr>
        <w:spacing w:after="0" w:line="11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In October 2009, the FASB issued ASU No. 2009-14, “Certain Revenue Arrangements That Include Software Elements.” This ASU changes the accounting model for revenue arrangements that include both tangible products and software elements that are “essential to the functionality,” and scopes these products out of current software revenue guidance. The new guidance will include factors to help companies determine what software elements are considered “essential to the functionality.” The amendments will now subject software-enabled products to other revenue guidance and disclosure requirements, such as guidance surrounding revenue arrangements with multiple-deliverables. The amendments in this ASU are effective prospectively for revenue arrangements entered into or materially modified in the fiscal years beginning on or after June 15, 2010. Early application is permitted. We are currently evaluating this new ASU.</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September 30, 2009 and 2008, PricewaterhouseCoopers LLP (PricewaterhouseCoopers) reported that it has applied limited procedures in accordance with professional standards for a review of such information. However, its report dated October 23, 2009,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193"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condensed consolidated balance sheets of United Technologies Corporation and its subsidiaries (the “Corporation”) as of September 30, 2009, and the related condensed consolidated statements of operations for the three-month and nine-month periods ended September 30, 2009 and 2008 and the condensed consolidated statements of cash flows for the nine-month periods ended September 30, 2009 and 2008.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discussed in the Notes to the condensed consolidated interim financial information, the Corporation changed the manner in which it discloses fair value, the manner in which the Corporation accounts for business combinations, noncontrolling interests, and collaborative arrangements and the manner in which it provides disclosures about derivatives and hedging activities, subsequent events, and fair value of financial instruments in 2009.</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2008, and the related consolidated statements of operations, of cash flows and of changes in shareowners’ equity for the year then ended (not presented herein), and in our report dated February 11, 2009 (which included an explanatory paragraph with respect to the Corporation’s change in the manner of accounting for defined benefit pension and other postretirement plans, uncertain tax positions and disclosures of fair value measurements)</w:t>
      </w:r>
      <w:r>
        <w:rPr>
          <w:rFonts w:ascii="Arial" w:cs="Arial" w:eastAsia="Arial" w:hAnsi="Arial"/>
          <w:sz w:val="16"/>
          <w:szCs w:val="16"/>
          <w:i w:val="1"/>
          <w:iCs w:val="1"/>
          <w:color w:val="auto"/>
        </w:rPr>
        <w:t>,</w:t>
      </w:r>
      <w:r>
        <w:rPr>
          <w:rFonts w:ascii="Arial" w:cs="Arial" w:eastAsia="Arial" w:hAnsi="Arial"/>
          <w:sz w:val="16"/>
          <w:szCs w:val="16"/>
          <w:color w:val="auto"/>
        </w:rPr>
        <w:t xml:space="preserve"> we expressed an unqualified opinion on those consolidated financial statements. As discussed in the Notes to the accompanying condensed consolidated financial information, the Corporation changed its method of accounting for noncontrolling interests and collaborative arrangements in 2009. The accompanying 2008 condensed consolidated financial information reflects this change.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23, 2009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2009 is discussed below. For additional discussion, refer to the “Business Overview” section in Management’s Discussion and Analysis of Financial Condition and Results of Operations in our 2008 Annual Report, which is incorporated by reference in our 2008 Form 10-K. Certain reclassifications have been made to the 2008 amounts to conform to the current year presentation of noncontrolling interests and collaborative arrangements as required by the Consolidation Topic and Collaborative Arrangements Topic, respectively, of the FASB Accounting Standards Codification (FASB ASC). See discussion in Notes 9 and 11, respectively, to the Condensed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As worldwide businesses, our operations can be affected by global and regional industrial, economic and political factors. In order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businesses with extensive related aftermarket parts and services businesses, as well as shorter cycles in our commercial businesses, particularly Carrier, and longer cycles in our aerospace businesses. Our customers include companies in the private sector and governments, and our businesses reflect extensive geographic diversification that has evolved with the continued globalization of world economies.</w:t>
      </w:r>
    </w:p>
    <w:p>
      <w:pPr>
        <w:spacing w:after="0" w:line="12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challenging and difficult end market environments in which our businesses have operated over the past year are showing signs of stabilization, although there is still considerable uncertainty as to the shape of the economic recovery. Asia’s emerging markets are showing some indications of recovery, particularly China, which has experienced increased bank lending as a result of significant government stimulus initiatives. In the U.S., both the financial and housing markets have shown signs of stability, but unemployment remains high and consumer spending is still weak. Although order rate declines for most of our businesses appear to have substantially stabilized, albeit at lower levels, with improvement noted at Otis and specifically in China, we are still operating in a difficult end market environment. Significant airline losses, weak airline traffic and business jet production, year-over-year declines in commercial construction activity and depressed conditions in the transport refrigeration industries as well as domestic and certain international housing markets have adversely impacted aspects of our underlying businesses during the first nine months of the year and are expected to continue to present challenges throughout the remainder of 2009.</w:t>
      </w:r>
    </w:p>
    <w:p>
      <w:pPr>
        <w:spacing w:after="0" w:line="108"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As a result of the difficult end market environment, total revenues declined 11% in the third quarter of 2009, as compared to the same period in the prior year. This includes a decline in organic revenue (7%) and the adverse impact of foreign currency translation (3%). The reduction in organic revenue reflects declines in new equipment sales at Otis and lower volume across all businesses at Carrier, particularly the higher-margin transport refrigeration business. UTC Fire &amp; Security’s organic revenue contraction reflects declines in both the fire safety and electronic security businesses. As a result of continued weakness in construction and general manufacturing markets, Hamilton Sundstrand’s industrial business saw organic revenue contraction year-over-year. Within the aerospace industry, weak airline traffic, the impact from capacity reductions, lower aircraft utilization and cash conservation measures at some airlines has resulted in a related decrease in commercial aerospace aftermarket volume at both Pratt &amp; Whitney and Hamilton Sundstrand. Low demand for business and general aviation aircraft continues to adversely impact Pratt &amp; Whitney Canada (P&amp;WC) engine shipments in the quarter. Continued government military spending and demand for military helicopters favorably impacted Sikorsky, which experienced 15% revenue growth in the third quarter of 2009 compared to the same period of 2008.</w:t>
      </w:r>
    </w:p>
    <w:p>
      <w:pPr>
        <w:spacing w:after="0" w:line="10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decline in revenue contributed to a consolidated operating profit decline of 14% in the third quarter of 2009, as compared with the same period of 2008. This year-over-year decline includes the adverse impacts of higher restructuring charges (7%), adverse foreign currency translation combined with the impact of currency hedges at P&amp;WC (combined 5%), and net divestitures (1%). To help mitigate the impact of the global economic downturn and better position us for the future, we continue to focus on restructuring and cost reduction actions. During the third quarter of 2009, we incurred restructuring charges of $231 million for actions to help mitigate the volume declines and to reduce structural and overhead costs across all of our businesses. We now expect full year restructuring costs to total approximately $800 million, including the $695 million of charges incurred in the first nine months of 2009. However, no specific plans for significant other actions have been finalized at this time. In addition to savings from restructuring, we are seeing benefits from other cost reductions, in areas such as travel, furloughs, research and development and employee attrition. This continued focus on costs that are within our control, including restructuring, has resulted in approximately $950 million of discrete cost reductions in the first nine months of 2009.</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year-over-year general strength of the U.S. dollar against certain currencies such as the Euro generated an adverse foreign currency impact of $.07 per share on our operational performance in the third quarter of 2009. This year-over-year impact represents the adverse impact of hedging at P&amp;WC net of the beneficial impact of foreign currency translation. The relative strength in the U.S. dollar benefits P&amp;WC operating results, as the majority of P&amp;WC’s revenues are denominated in U.S. dollars, while a significant portion of its costs are incurred in local currencies. However, this benefit was more than offset by the adverse impact on revenues of maturing hedges that were executed when the U.S. dollar was weaker.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Weak underlying global economic conditions have continued to adversely impact the commercial businesses to varying degrees with the most significant effects experienced at Carrier. A stronger U.S. dollar as compared to the first nine months of 2008, weak commercial construction, and weak demand in end markets have all posed operating challenges. Conversely, the U.S. housing market is showing signs of stabilization. Year-over-year order rates in the third quarter of 2009 have largely stabilized, with some improvement in the rates of decline compared to those experienced in the first half of 2009.</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Within the Otis segment, revenues decreased 12% in the first nine months of 2009 as compared to 2008, largely reflecting lower volume (5%) and the unfavorable impact of foreign currency translation (8%). Difficult economic conditions have adversely impacted many commercial construction markets around the world resulting in a decline in new equipment sales. Cost reduction actions and continued strength in the contractual maintenance business, along with lower commodity prices, helped mitigate the new equipment volume decline. During the first nine months of 2009, new equipment orders decreased 36% as compared to the same period in 2008.</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Weak market conditions continue to impact all businesses at Carrier, particularly the higher margin transport refrigeration business where revenues declined 35% in the third quarter of 2009 as compared to the same period of 2008. The challenging global economy continues to have an immediate impact on Carrier’s short cycle businesses, leading to a decline in organic revenue of 14% in the third quarter of 2009. In response to the difficult end market environment, Carrier continues to focus on implementing restructuring and other cost reduction initiatives to assist in mitigating the impact from the steep volume decline.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UTC Fire &amp; Security experienced a 15% revenue decline in the third quarter of 2009, as compared to the same period of 2008. Organic revenue contraction (9%) contributed to the lower revenues with comparable declines in both the fire safety and electronic security businesses in the third quarter. UTC Fire &amp; Security experienced particular weakness in the Americas and the United Kingdom as a result of the challenging economic conditions. The adverse impact of foreign currency translation (6%) contributed the remainder of the revenue decline year-over-year.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global aerospace industry continues to confront weak global economic conditions and reduced air travel, imposing a difficult operating environment and resulting in significant losses for airlines. As a result, airframers have seen lower levels of orders for aircraft compared to 2008. Due to the weak demand for business and general aviation aircraft, as corporations cut back on discretionary spending, business jet OEMs have seen lower levels of orders. Accordingly, business jet OEMs have made downward revisions to their production schedules, resulting in additional pressure on P&amp;WC. These factors have led to a 32% decrease in third quarter year-over-year engine shipments at P&amp;WC. In an effort to combat the impact of the current economic environment, airlines have slashed ticket prices to lure travelers, reduced capacity by idling some aircraft, retired older and less fuel efficient aircraft, and have delayed orders and deliveries of new planes. Continued weak passenger and cargo traffic, capacity reductions, lower aircraft utilization, and cash conservation measures at some airlines have led to a corresponding decrease in commercial aerospace aftermarket volume at both Pratt &amp; Whitney and Hamilton Sundstrand and, accordingly, consolidated commercial aerospace aftermarket revenue declined 14% for the first nine months of 2009 as compared to the same period of 2008.</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the commercial aircraft market remains a challenge, higher military aircraft deliveries as a result of continued government spending drove a 15% increase in Sikorsky’s third quarter revenues as compared to the same period of 2008. With the robust government demand, Sikorsky’s military backlog remains very strong.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nine months of 2009, our investment in businesses was approximately $557 million. Investments in the third quarter of 2009 amounted to $360 million, primarily reflecting the acquisition of additional shares of GST Holdings Limited (GST), a fire alarm system provider in China. The acquisition of these additional shares in GST increased our share ownership from 29% to 99% and further strengthens UTC Fire &amp; Security’s presence in the Chinese fire safety industry. The remainder of our investment in businesses for the first nine months of the year consisted of a number of small acquisitions in both our commercial and aerospace businesses. We recorded the excess of the purchase price over the estimated fair value of the assets acquired as an increase in goodwill. As a result of acquisition activity, goodwill increased approximately $ 531 million in the first nine months of 2009.</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second quarter of 2009, Otis recorded a $52 million non-cash, non-taxable gain recognized on the remeasurement to fair value of a previously held equity interest in a joint venture as a result of the purchase of a controlling interest.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Carrier continues its path of aggressive transformation, to a simpler, more focused, higher returns business. In July 2009, Carrier and Watsco, Inc (Watsco) formed Carrier Enterprise, LLC, a venture to distribute Carrier, Bryant, Payne and Totaline residential and light commercial heating, ventilating and air-conditioning products in the U.S. Sunbelt region and selected territories in the Caribbean and Latin America. As part of the transaction, Carrier contributed its distribution businesses located in these regions into the new venture. In consideration of its contribution, Carrier received approximately 3 million shares of common stock of Watsco and a 40 percent noncontrolling interest in the new venture, which included a business contributed by Watsco. Watsco owns a 60 percent interest in the venture with options to purchase an additional 20 percent interest from Carrier in future years. Carrier recognized a gain of approximately $57 million in the third quarter of 2009 as a result of its contribution of the majority of its U.S. residential sales and distribution businesses into this new venture.</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continue to expect to invest approximately $2 billion in acquisitions for 2009, including those investments during the first nine months of 2009, although this will depend upon the timing, availability and appropriate value of acquisition opportunities.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2009. See Part II, Item 1A, “Risk Factors” in this Form 10-Q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2008 Annual Report, incorporated by reference in our 2008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nine months of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7"/>
              </w:rPr>
              <w:t>Quarter Ended September 30,</w:t>
            </w:r>
          </w:p>
        </w:tc>
        <w:tc>
          <w:tcPr>
            <w:tcW w:w="3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6"/>
              </w:rPr>
              <w:t>Nine Months Ended September 30,</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262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67.9 %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11% revenue decline in the third quarter of 2009, as compared to the same period of 2008, primarily reflects organic revenue contraction ( 7%) and the adverse impact from foreign currency translation (3%) resulting from the year-over-year strength of the U.S. dollar relative to currencies such as the Euro. As discussed above in the “Business Overview” section, the revenue contraction reflects decreases in all but our Sikorsky business, with particular weakness in our commercial businesses as a result of challenging global economic conditions. Depressed conditions in the business jet market has adversely impacted P&amp;WC as it experienced a 32% decrease in engine shipments for the third quarter of 2009, as compared to the same period of 2008. Continued weak air traffic and cash conservation measures at some airlines have resulted in corresponding declines in aerospace aftermarket revenues, primarily at Pratt &amp; Whitney and Hamilton Sundstrand. Also contributing to the year-over-year revenue decline is the adverse impact of maturing currency hedges at P&amp;WC that were executed when the U.S. dollar was weaker.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14% revenue decline in the first nine months of 2009, as compared to the same period of 2008, reflects organic revenue contraction ( 8%), the adverse impact from foreign currency translation (5%) resulting from the year-over-year strength of the U.S. dollar relative to currencies such as the Euro and the impact of net acquisitions and divestitures (1%). As with the third quarter decline, the nine month revenue decline largely reflects decreases at most of our businesses as a result of challenging global economic conditions, with particular weakness in our commercial businesses, a decline in aerospace aftermarket revenues at both Pratt &amp; Whitney and Hamilton Sundstrand and the adverse impact from a depressed business jet market. Similar to the third quarter of 2009, year to date revenues also reflect the adverse impact of maturing currency hedges at P&amp;WC that were executed when the U.S. dollar was weaker.</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income, net for the third quarter of 2009 includes a gain at Carrier of approximately $57 million as a result of a contribution of the majority of its U.S. residential sales and distribution businesses into a new venture and favorable pretax interest income adjustments of approximately $17 million related to global tax examination activity in the quarter. The favorable pretax interest income adjustments primarily relate to the completion of our review of the 2004 to 2005 Internal Revenue Service (IRS) audit report. The year-over-year change in other income, net of the above mentioned gains, primarily reflects lower hedging costs on our cash management activities partially offset by lower net year-over-year change in gains generated from business divestiture activity and lower interest income across the businesses. Other income, net in the third quarter of 2008, includes a $37 million non-cash gain recognized on the sale of a partial investment at Pratt &amp; Whitney. The balance of other income is comprised of joint venture income, royalties, and other miscellaneous operating activities.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other income, net for the first nine months of 2009, as compared to the same period of the prior year, largely reflects a gain in the third quarter of 2009 at Carrier as result of the contribution of a majority of its U.S. residential sales and distribution businesses into a new venture and favorable pretax interest income adjustments, as noted above, as well as a $52 million gain recognized at Otis in the second quarter of 2009 on the remeasurement to fair value of an interest in a joint venture. Other income, net was also favorably impacted by lower hedging costs on our cash management activities. These increases in other income, net were largely offset by lower royalty and interest income across the businesses, lower net year-over-year gains on various fixed asset disposals, lower equity income at Carrier from a joint venture in Japan, lower net year-over-year gains generated from business divestiture activity, and higher costs related to miscellaneous operating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3800" w:type="dxa"/>
            <w:vAlign w:val="bottom"/>
          </w:tcPr>
          <w:p>
            <w:pPr>
              <w:spacing w:after="0"/>
              <w:rPr>
                <w:sz w:val="14"/>
                <w:szCs w:val="14"/>
                <w:color w:val="auto"/>
              </w:rPr>
            </w:pPr>
          </w:p>
        </w:tc>
        <w:tc>
          <w:tcPr>
            <w:tcW w:w="27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7"/>
              </w:rPr>
              <w:t>Quarter Ended September 30,</w:t>
            </w:r>
          </w:p>
        </w:tc>
        <w:tc>
          <w:tcPr>
            <w:tcW w:w="14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3,351</w:t>
            </w: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6"/>
              </w:rPr>
              <w:t>$   4,038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5220" w:type="dxa"/>
            <w:vAlign w:val="bottom"/>
            <w:gridSpan w:val="3"/>
          </w:tcPr>
          <w:p>
            <w:pPr>
              <w:jc w:val="right"/>
              <w:ind w:right="580"/>
              <w:spacing w:after="0"/>
              <w:rPr>
                <w:sz w:val="20"/>
                <w:szCs w:val="20"/>
                <w:color w:val="auto"/>
              </w:rPr>
            </w:pPr>
            <w:r>
              <w:rPr>
                <w:rFonts w:ascii="Arial" w:cs="Arial" w:eastAsia="Arial" w:hAnsi="Arial"/>
                <w:sz w:val="18"/>
                <w:szCs w:val="18"/>
                <w:color w:val="auto"/>
              </w:rPr>
              <w:t>25.4%</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160 basis point decrease in gross margin as a percentage of sales in the third quarter of 2009 as compared to 2008 is net of the adverse impact of higher year-over-year restructuring charges (90 basis points). Gross margin was adversely impacted as a result of lower sales volumes, particularly in our higher margin aerospace aftermarket and transport refrigeration businesses as well as the adverse impact from deliveries of low margin international development aircraft at Sikorsky. These adverse impacts were partially offset by the continued focus on cost reduction, savings from previously initiated restructuring actions, and margin growth experienced at Otis from lower commodity prices and the continued shift toward higher margin contractual maintenance sales, which more than offset the impact from lower new equipment volume to account for the remaining decline in gross margin as a percentage of sales.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the first nine months of 2009, the year-over-year decrease in gross margin as a percentage of sales of 70 basis points primarily reflects higher year-over-year restructuring charges (70 basis points). Continued focus on cost reduction, savings from previously initiated restructuring actions, net operational efficiencies and margin growth experienced at Otis from lower commodity prices and the continued shift toward higher margin contractual maintenance sales offset the impact of lower sales volumes, particularly in our higher margin aerospace aftermarket and transport refrigeration businesses.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60" w:type="dxa"/>
            <w:vAlign w:val="bottom"/>
            <w:gridSpan w:val="9"/>
          </w:tcPr>
          <w:p>
            <w:pPr>
              <w:ind w:left="280"/>
              <w:spacing w:after="0"/>
              <w:rPr>
                <w:sz w:val="20"/>
                <w:szCs w:val="20"/>
                <w:color w:val="auto"/>
              </w:rPr>
            </w:pPr>
            <w:r>
              <w:rPr>
                <w:rFonts w:ascii="Arial" w:cs="Arial" w:eastAsia="Arial" w:hAnsi="Arial"/>
                <w:sz w:val="14"/>
                <w:szCs w:val="14"/>
                <w:b w:val="1"/>
                <w:bCs w:val="1"/>
                <w:color w:val="auto"/>
              </w:rPr>
              <w:t>Quarter Ended September 30,</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gridSpan w:val="9"/>
          </w:tcPr>
          <w:p>
            <w:pPr>
              <w:jc w:val="right"/>
              <w:ind w:right="9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97"/>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92"/>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3"/>
            <w:vMerge w:val="continue"/>
          </w:tcPr>
          <w:p>
            <w:pPr>
              <w:spacing w:after="0"/>
              <w:rPr>
                <w:sz w:val="12"/>
                <w:szCs w:val="12"/>
                <w:color w:val="auto"/>
              </w:rPr>
            </w:pPr>
          </w:p>
        </w:tc>
        <w:tc>
          <w:tcPr>
            <w:tcW w:w="5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 of sales</w:t>
            </w:r>
          </w:p>
        </w:tc>
        <w:tc>
          <w:tcPr>
            <w:tcW w:w="54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Amount</w:t>
            </w:r>
          </w:p>
        </w:tc>
        <w:tc>
          <w:tcPr>
            <w:tcW w:w="3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 of sales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 of sales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$1,137</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1,583</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1,525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2,720</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decrease in company-funded research and development in the third quarter of 2009 as well as the first nine months of the year, compared to the same period in 2008, primarily reflects declines at Pratt &amp; Whitney and Hamilton Sundstrand. The decrease at Pratt &amp; Whitney was largely driven by the timing of program development activities, while the decrease at Hamilton Sundstrand primarily reflects lower costs on the Boeing 787 program. Company-funded research and development spending for the full year 2009 is expected to decrease by approximately $175 million from 2008 levels as a result of shifts in the timing of program development activities, lower requirements on key development programs, and the continued focus on cost reduction. Company-funded research and development spending is subject to the variable nature of program development schedules.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increase in customer-funded research and development in the third quarter of 2009, compared to the same period of 2008, largely relates to increases at both Hamilton Sundstrand and Sikorsky. The increase at Hamilton Sundstrand reflects higher spending on various commercial and space programs, while Sikorsky’s increase is primarily attributable to higher development spending on the CH-53K program. The increase in customer-funded research and development for the first nine months of 2009, compared to the same period of 2008, largely reflects increases at Hamilton Sundstrand on various commercial and space programs and at Sikorsky on higher development spending on the CH-53K program, partially offset by reduced effort at Pratt &amp; Whitney on the Joint Strike Fighter development program as it nears completion.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40" w:type="dxa"/>
            <w:vAlign w:val="bottom"/>
          </w:tcPr>
          <w:p>
            <w:pPr>
              <w:spacing w:after="0"/>
              <w:rPr>
                <w:sz w:val="14"/>
                <w:szCs w:val="14"/>
                <w:color w:val="auto"/>
              </w:rPr>
            </w:pPr>
          </w:p>
        </w:tc>
        <w:tc>
          <w:tcPr>
            <w:tcW w:w="2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6"/>
              </w:rPr>
              <w:t>Quarter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41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1,424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1,665</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214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decrease in selling, general and administrative expenses in the third quarter of 2009, as compared to the same period of 2008, is due primarily to a continued focus on cost reduction and the impact from restructuring and cost saving initiatives undertaken in 2008 and 2009 in anticipation of adverse economic conditions. As a percentage of sales, selling, general and administrative expenses decreased 30 basis points. This decrease includes the adverse impact of higher restructuring costs (approximately 20 basis points) year-over-year, which was more than offset by the benefit from cost reduction actions in such areas as travel, furloughs and employee attrition, and the favorable impact of foreign exchange.</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Similar to the third quarter of 2009, the decrease in selling, general and administrative expenses for the first nine months of 2009, as compared to the same period of 2008, is due primarily to a continued focus on cost reduction and the impact from restructuring and cost saving initiatives. As a percentage of sales, selling, general and administrative expenses increased 30 basis points. This increase includes the adverse impact of higher restructuring costs (approximately 60 basis points) year-over-year, more than offset by the benefit from reduced overhead costs and the favorable impact of foreign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4"/>
                <w:szCs w:val="1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3"/>
              </w:rPr>
              <w:t>Quarter Ended 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2008</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decrease in interest expense in the third quarter of 2009 as compared to the same period of the prior year largely reflects the redemption in February 2009 of our $500 million of LIBOR+.07% floating rate notes due 2009 and the repayment in June 2009 of our $400 million of 6.500% notes due 2009 partially offset by the impact from the issuance of $1.25 billion of long-term debt in December 2008. Interest expense also reflects the lower cost associated with our commercial paper borrowings. The redemptions and repayments as well as the lower cost of borrowing noted above resulted in a decline in the average interest rate in the third quarter of 2009 as compared to the same period of the prior year.</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interest expense for the first nine months of 2009 as compared to the same period of the prior year is primarily the result of the issuances of $1.25 billion and $1.0 billion of long-term debt in December and May 2008, respectively, both bearing interest at 6.125% partially offset by the absence of interest expense caused by the redemption in February 2009 of our $500 million of LIBOR+.07% floating rate notes due 2009 and the repayment in June 2009 of our $400 million of 6.500% notes due 2009. Interest expense also reflects the lower cost associated with our commercial paper borrowings.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0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Quarter Ended September 30,</w:t>
            </w:r>
          </w:p>
        </w:tc>
        <w:tc>
          <w:tcPr>
            <w:tcW w:w="2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46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2009</w:t>
            </w:r>
          </w:p>
        </w:tc>
        <w:tc>
          <w:tcPr>
            <w:tcW w:w="11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28.5%</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26.8%</w:t>
            </w:r>
          </w:p>
        </w:tc>
        <w:tc>
          <w:tcPr>
            <w:tcW w:w="18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27.2%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effective tax rate for the quarter ended September 30, 2009 has increased as compared to the same period of 2008 as a result of the tax effects of the Carrier and Watsco transaction and a $32 million adverse tax impact associated with a foreign reorganization, net of the reduction to tax expense relating to the re-evaluation of our tax liabilities and contingencies as described in Note 5 to the Condensed Consolidated Financial Statements. The effective tax rate for the nine months ended September 30, 2009 decreased as compared to the same period of 2008 as a result of the favorable tax impact of approximately $25 million in the first quarter of 2009 related to the formation of a commercial venture, and the non-taxability in the second quarter of 2009 of the gain Otis realized on its purchase of a controlling interest in a joint venture, partially offset by the net adverse impacts of the third quarter 2009 items noted above. The effective tax rate for the balance of the year is expected to be approximately 28% before the impact of any discrete events.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22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gridSpan w:val="3"/>
            <w:vMerge w:val="continue"/>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6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general strength of the U.S. dollar against certain currencies, such as the Euro, in the first nine months of 2009 as compared to 2008, generated an adverse foreign currency impact on our operational results of $.07 and $.26 per share in the third quarter and first nine months of 2009, respectively. These impacts include the net impacts of both foreign currency translation and hedging at P&amp;WC. In the third quarter of 2009, positive foreign currency translation at P&amp;WC of $.02 per share was more than offset by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adverse impact of hedging. At P&amp;WC, the strength of the U.S. dollar in the third quarter of 2009 generated positive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Due to the significant revenue growth at P&amp;WC over the past few years, as well as the dramatic increase in the strength of the Canadian dollar to the U.S. dollar in early 2008, the hedges previously entered into generated an adverse foreign exchange impact as the U.S. dollar strengthened. As a result of hedging programs currently in place, P&amp;WC’s 2009 full year operating results are now expected to include the adverse impact of foreign currency translation, net of hedging, of approximately $125 million. For additional discussion of hedging, refer to Note 8 to the Condensed Consolidated Financial Statements. Diluted earnings per share for the third quarter of 2009 and first nine months of the year were favorably impacted by approximately $.02 and $.05 per share, respectively, as a result of the shares repurchased since October 1, 2008 under our share repurchase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nine months of 2009, we recorded pre-tax restructuring and related charges totaling $695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3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7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charges included $361 million in cost of sales, $311 million in selling, general and administrative expenses and $23 million in other income and, as described below, primarily relate to actions initiated during 2009 and 2008. Restructuring costs reflected in Eliminations and other primarily reflect the costs associated with the curtailment of our domestic pension plans.</w:t>
      </w:r>
    </w:p>
    <w:p>
      <w:pPr>
        <w:spacing w:after="0" w:line="13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2009 Actions. </w:t>
      </w:r>
      <w:r>
        <w:rPr>
          <w:rFonts w:ascii="Arial" w:cs="Arial" w:eastAsia="Arial" w:hAnsi="Arial"/>
          <w:sz w:val="16"/>
          <w:szCs w:val="16"/>
          <w:color w:val="auto"/>
        </w:rPr>
        <w:t>During the first nine months of 2009, we initiated restructuring actions relating to ongoing cost reduction efforts, including workforce</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reductions, the consolidation of field operations and the consolidation of repair and overhaul operations. We recorded net pre-tax restructuring and related charges totaling $667 million as follows: Otis $130 million, Carrier $129 million, UTC Fire &amp; Security $100 million, Pratt &amp; Whitney $165 million, Hamilton Sundstrand $70 million, Sikorsky $7 million, Eliminations and other $63 million and General corporate expenses $3 million. The charges included $335 million in cost of sales, $310 million in selling, general and administrative expenses and $22 million in other income. Those costs included $595 million for severance and related employee termination costs, $45 million for asset write-downs and $27 million for facility exit and lease termination costs.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2009 actions that were initiated in the first nine months to result in net workforce reductions of approximately 13,000 hourly and salaried employees, the exiting of approximately 4.3 million net square feet of facilities and the disposal of assets associated with the exited facilities. As of September 30, 2009, we have completed net workforce reductions of approximately 9,200 employees. We are targeting the majority of the remaining workforce and all facility related cost reduction actions for completion during 2010 and 2011. Approximately 65% of the total pre-tax charge will require cash payments, which we will fund with cash generated from operations. During the first nine months of 2009, we had cash outflows of approximately $215 million related to the 2009 actions. We expect to incur additional restructuring and related charges of $141 million to complete these actions. We expect recurring pre-tax savings to increase over the two-year period subsequent to initiating the actions to approximately $640 million annually.</w:t>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On September 21, 2009, Pratt &amp; Whitney announced plans to close a repair facility and an engine overhaul facility in Connecticut. For additional</w:t>
      </w:r>
    </w:p>
    <w:p>
      <w:pPr>
        <w:spacing w:after="0" w:line="3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information concerning litigation related to Pratt &amp; Whitney’s decision to close these two facilities, see Part II, Item 1, “Legal Proceedings” in this Form 10-Q.</w:t>
      </w:r>
    </w:p>
    <w:p>
      <w:pPr>
        <w:spacing w:after="0" w:line="182" w:lineRule="exact"/>
        <w:rPr>
          <w:sz w:val="20"/>
          <w:szCs w:val="20"/>
          <w:color w:val="auto"/>
        </w:rPr>
      </w:pPr>
    </w:p>
    <w:p>
      <w:pPr>
        <w:jc w:val="both"/>
        <w:ind w:right="440"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nine months of 2009, we recorded net pre-tax restructuring and related charges and reversals of $26 million for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in 2008. The 2008 actions relate to ongoing cost reduction efforts, including selling, general and administrative reductions and the consolidation of manufacturing facilities. We recorded the charges (reversals) for the first nine months of 2009 as follows: Otis $1 million, Carrier $10 million, UTC Fire &amp; Security $7 million, Pratt &amp; Whitney $12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Hamilton Sundstrand ($3 million) and Eliminations and other ($1 million). The charges and reversals included $24 million in cost of sales, $1 million in selling, general and administrative expenses and $1 million in other income. Those costs and reversals included $11 million for severance and related employee termination costs, $1 million for asset write-downs and $14 million for facility exit and lease termination costs.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6,200 hourly and salaried employees, the exiting of approximately 1.2 million net square feet of facilities and the disposal of assets associated with the exited facilities. As of September 30, 2009, we have completed net workforce reductions of approximately 5,000 employees and exited 200,000 net square feet of facilities. We are targeting the majority of the remaining workforce and all facility related cost reduction actions for completion during 2009 and 2010. Approximately 65% of the total pre-tax charge will require cash payments, which we will fund with cash generated from operations. During the first nine months of 2009, we had cash outflows of approximately $110 million related to the 2008 actions. We expect to incur additional restructuring and related charges of $13 million to complete these actions. We expect recurring pre-tax savings to increase over the two-year period subsequent to initiating the actions to approximately $400 million annually.</w:t>
      </w:r>
    </w:p>
    <w:p>
      <w:pPr>
        <w:spacing w:after="0" w:line="11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Additional 2009 Actions. </w:t>
      </w:r>
      <w:r>
        <w:rPr>
          <w:rFonts w:ascii="Arial" w:cs="Arial" w:eastAsia="Arial" w:hAnsi="Arial"/>
          <w:sz w:val="18"/>
          <w:szCs w:val="18"/>
          <w:color w:val="auto"/>
        </w:rPr>
        <w:t>We expect to initiate additional restructuring actions during the remainder of 2009 related to the current global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downturn. Including trailing costs from previously announced restructuring actions, we now expect full year 2009 restructuring cost to total approximately $800 million, including the $695 million of charges incurred in the first nine months of 2009. These actions are expected to result in global employment reductions, in primarily overhead and selling, general and administrative functions of approximately 14,000, including those completed through September 2009; however, except for those actions described above and similar actions announced in October 2009,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nine months ended September 30, 2009 and 2008 are included in “Eliminations and other” below, which also includes certain small subsidiaries.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discussed more fully in Note 11 to the Condensed Consolidated Financial Statements, as of January 1, 2009 the collaborators’ share of revenues, which were previously reported on a net basis, are now reported on a gross basis as required under the Collaborative Arrangements Topic of the FASB ASC. Accordingly, revenues were increased by the collaborators’ share of revenues with an offsetting increase to cost of sales. Prior period amounts include retroactive application of the Collaborative Arrangements Topic.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September 30, 2009 and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15,177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2,172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gridSpan w:val="3"/>
            <w:vMerge w:val="continue"/>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13,375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15,085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1,771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2,049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vMerge w:val="restart"/>
          </w:tcPr>
          <w:p>
            <w:pPr>
              <w:jc w:val="right"/>
              <w:ind w:right="312"/>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Third quarter 2009 and 2008 restructuring and related charges included in consolidated operating profit totaled $231 million and $93 million, respectively,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w w:val="88"/>
              </w:rPr>
              <w:t>Quarter Ended September 30,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4"/>
            <w:vMerge w:val="restart"/>
          </w:tcPr>
          <w:p>
            <w:pPr>
              <w:ind w:left="440"/>
              <w:spacing w:after="0"/>
              <w:rPr>
                <w:sz w:val="20"/>
                <w:szCs w:val="20"/>
                <w:color w:val="auto"/>
              </w:rPr>
            </w:pPr>
            <w:r>
              <w:rPr>
                <w:rFonts w:ascii="Arial" w:cs="Arial" w:eastAsia="Arial" w:hAnsi="Arial"/>
                <w:sz w:val="18"/>
                <w:szCs w:val="18"/>
                <w:color w:val="auto"/>
                <w:w w:val="89"/>
              </w:rPr>
              <w:t>Results for the nine months ended September 30, 2009 and 2008 are as follows:</w:t>
            </w: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1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24"/>
                <w:szCs w:val="24"/>
                <w:color w:val="auto"/>
              </w:rPr>
            </w:pPr>
          </w:p>
        </w:tc>
        <w:tc>
          <w:tcPr>
            <w:tcW w:w="1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24"/>
                <w:szCs w:val="24"/>
                <w:color w:val="auto"/>
              </w:rPr>
            </w:pPr>
          </w:p>
        </w:tc>
        <w:tc>
          <w:tcPr>
            <w:tcW w:w="1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Operating Profits</w:t>
            </w:r>
          </w:p>
        </w:tc>
        <w:tc>
          <w:tcPr>
            <w:tcW w:w="180" w:type="dxa"/>
            <w:vAlign w:val="bottom"/>
          </w:tcPr>
          <w:p>
            <w:pPr>
              <w:spacing w:after="0"/>
              <w:rPr>
                <w:sz w:val="24"/>
                <w:szCs w:val="24"/>
                <w:color w:val="auto"/>
              </w:rPr>
            </w:pP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62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840" w:type="dxa"/>
            <w:vAlign w:val="bottom"/>
            <w:gridSpan w:val="3"/>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$ 8,579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$1,899</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Carrier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11,682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1,156</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Pratt &amp; Whitney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10,454</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1,602</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Sikorsky</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3,768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326</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45,213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6,173</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Eliminations and other</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(226)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(142)</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5"/>
            <w:vMerge w:val="restart"/>
          </w:tcPr>
          <w:p>
            <w:pPr>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5"/>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38,820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44,987</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4,658</w:t>
            </w:r>
          </w:p>
        </w:tc>
        <w:tc>
          <w:tcPr>
            <w:tcW w:w="18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5,822</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12.0%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first nine months of 2009 and 2008, restructuring and related charges included in consolidated operating profit totaled $695 million and $221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7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60" w:type="dxa"/>
            <w:vAlign w:val="bottom"/>
            <w:vMerge w:val="restart"/>
          </w:tcPr>
          <w:p>
            <w:pPr>
              <w:jc w:val="right"/>
              <w:ind w:right="1452"/>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revenues and operating profits: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Otis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87"/>
              </w:rPr>
              <w:t>Revenues</w:t>
            </w:r>
          </w:p>
        </w:tc>
        <w:tc>
          <w:tcPr>
            <w:tcW w:w="11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800" w:type="dxa"/>
            <w:vAlign w:val="bottom"/>
            <w:gridSpan w:val="2"/>
          </w:tcPr>
          <w:p>
            <w:pPr>
              <w:jc w:val="center"/>
              <w:ind w:right="85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4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8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(5)%</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1 %</w:t>
            </w:r>
          </w:p>
        </w:tc>
        <w:tc>
          <w:tcPr>
            <w:tcW w:w="2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1 %</w:t>
            </w:r>
          </w:p>
        </w:tc>
        <w:tc>
          <w:tcPr>
            <w:tcW w:w="1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Restructuring</w:t>
            </w:r>
          </w:p>
        </w:tc>
        <w:tc>
          <w:tcPr>
            <w:tcW w:w="1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(7)%</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2 %</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(9)%</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(12)%</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Revenues decreased $283 million (9%) and $1,127 million (12%) in the third quarter and first nine months of 2009, respectively, compared with the same periods of the prior year. The organic revenue decline in both the third quarter and the first nine months of 2009 was due to a decrease in new equipment sales as difficult economic conditions have adversely impacted global commercial construction.</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Operating profits decreased $15 million (2%) and $129 million (7%) in the third quarter and first nine months of 2009, respectively, compared with the same periods of the prior year. Operational profit improvement (9% and 6%, for the third quarter and first nine months of 2009, respectively) was driven by cost reduction strategies, lower commodity costs and continued strength in contractual maintenance that helped mitigate the impact of lower new equipment volume. The 2% increase contributed by “Other” in the first nine months of 2009, as compared to the same period of the prior year, primarily reflects the favorable impact of a gain recognized in the second quarter of 2009 on the remeasurement to fair value of a previously held equity interest in a joint venture as a result of the purchase of a controlling interest.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Revenues</w:t>
            </w:r>
          </w:p>
        </w:tc>
        <w:tc>
          <w:tcPr>
            <w:tcW w:w="11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800" w:type="dxa"/>
            <w:vAlign w:val="bottom"/>
            <w:gridSpan w:val="2"/>
          </w:tcPr>
          <w:p>
            <w:pPr>
              <w:jc w:val="center"/>
              <w:ind w:right="85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4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00" w:type="dxa"/>
            <w:vAlign w:val="bottom"/>
            <w:gridSpan w:val="2"/>
          </w:tcPr>
          <w:p>
            <w:pPr>
              <w:jc w:val="right"/>
              <w:ind w:right="632"/>
              <w:spacing w:after="0"/>
              <w:rPr>
                <w:sz w:val="20"/>
                <w:szCs w:val="20"/>
                <w:color w:val="auto"/>
              </w:rPr>
            </w:pPr>
            <w:r>
              <w:rPr>
                <w:rFonts w:ascii="Arial" w:cs="Arial" w:eastAsia="Arial" w:hAnsi="Arial"/>
                <w:sz w:val="18"/>
                <w:szCs w:val="18"/>
                <w:color w:val="auto"/>
              </w:rPr>
              <w:t>(3)%</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(8)%</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Restructuring</w:t>
            </w:r>
          </w:p>
        </w:tc>
        <w:tc>
          <w:tcPr>
            <w:tcW w:w="180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2 %</w:t>
            </w:r>
          </w:p>
        </w:tc>
        <w:tc>
          <w:tcPr>
            <w:tcW w:w="2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1 %</w:t>
            </w:r>
          </w:p>
        </w:tc>
        <w:tc>
          <w:tcPr>
            <w:tcW w:w="18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11 %</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800" w:type="dxa"/>
            <w:vAlign w:val="bottom"/>
            <w:gridSpan w:val="2"/>
          </w:tcPr>
          <w:p>
            <w:pPr>
              <w:jc w:val="right"/>
              <w:ind w:right="632"/>
              <w:spacing w:after="0"/>
              <w:rPr>
                <w:sz w:val="20"/>
                <w:szCs w:val="20"/>
                <w:color w:val="auto"/>
              </w:rPr>
            </w:pPr>
            <w:r>
              <w:rPr>
                <w:rFonts w:ascii="Arial" w:cs="Arial" w:eastAsia="Arial" w:hAnsi="Arial"/>
                <w:sz w:val="18"/>
                <w:szCs w:val="18"/>
                <w:color w:val="auto"/>
              </w:rPr>
              <w:t>(23)%</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(26)%</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Revenues decreased $910 million (23%) in the third quarter of 2009 compared with the same period of the prior year. The decline in organic revenue was a result of continued weak market conditions across all businesses, particularly the higher margin transport refrigeration business. The decrease contributed by “Acquisitions and divestitures, net” in the third quarter of 2009 reflects the net year-over-year impact from acquisitions and divestitures completed in the preceding twelve months, including the transaction in the third quarter of 2009 with Watsco, Inc. The 2% increase contributed by “Other” reflects a gain recognized from the contribution of the majority of the U.S. residential sales and distribution business into a new venture formed with Watsco, Inc. For the first nine months of 2009, revenues decreased $3,088 million (26%) compared with the same period of 2008. The decline in organic revenues is a result of continued weak market conditions across all businesses, particularly transport refrigeration. The 1% increase contributed by “Other” reflects a gain recognized from the contribution of the majority of the U.S. residential sales and distribution business into a new venture formed with Watsco,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Operating profits decreased $109 million (26%) in the third quarter of 2009 compared with the same period of the prior year, as most of the businesses experienced earnings declines due to unfavorable market conditions. The operational profit decline in the third quarter was primarily due to the volume decline (43%), especially in our higher margin businesses, partially offset by lower net operating costs and the benefits from restructuring actions (net combined 17%). The decrease contributed by “Acquisitions and divestitures, net” in the third quarter of 2009 reflects the net year-over-year impact from acquisitions and divestitures completed in the preceding twelve months, including the transaction in the third quarter of 2009 with Watsco, Inc. The 11% increase contributed by “Other” primarily reflects a gain recognized from the contribution of the majority of the U.S. residential sales and distribution business into a new venture formed with Watsco, Inc. For the first nine months of 2009, operating profits decreased $562 million (49%) compared with the same period of the prior year as all businesses experienced earnings declines due to unfavorable market conditions. The operational profit decrease was primarily due to the volume decline (55%), especially in our higher margin businesses, the adverse cost impact from worldwide currency shifts (7%), and lower equity income from a joint venture in Japan (2%). These adverse impacts were partially offset by the favorable impact from cost reduction and restructuring actions, lower commodity costs and favorable pricing (net combined 22%). The 3% increase contributed by “Other” primarily reflects a gain recognized from the contribution of the majority of the U.S. residential sales and distribution business into a new venture formed with Watsco, Inc.</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UTC Fire &amp; Security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Revenues</w:t>
            </w:r>
          </w:p>
        </w:tc>
        <w:tc>
          <w:tcPr>
            <w:tcW w:w="11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0" w:type="dxa"/>
            <w:vAlign w:val="bottom"/>
            <w:gridSpan w:val="2"/>
          </w:tcPr>
          <w:p>
            <w:pPr>
              <w:jc w:val="center"/>
              <w:ind w:right="85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4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00" w:type="dxa"/>
            <w:vAlign w:val="bottom"/>
            <w:gridSpan w:val="2"/>
          </w:tcPr>
          <w:p>
            <w:pPr>
              <w:jc w:val="right"/>
              <w:ind w:right="632"/>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(8)%</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18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3 %</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(15)%</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8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decreased $241 million (15%) and $961 million (19%) in the third quarter and first nine months of 2009, respectively, compared with the same periods of the prior year. Organically, the revenue contraction in both the third quarter and first nine months of 2009, was driven by declines in both the fire safety and electronic security businesses. Geographically, particular weakness was experienced in both the Americas and the United Kingdom in the third quarter and first nine months of the year as a result of weak economic conditions.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profits decreased $5 million (3%) and $98 million (25%) in the third quarter and first nine months of 2009, respectively, compared with the same period of the prior year. The operational profit improvement (7%) in the third quarter and first nine months of 2009 reflects the benefits from integration of field operations, previous restructuring actions, and continuing productivity and cost control initiatives which more than offset the impact of the lower revenues. The increase contributed by “Acquisitions and divestitures, net” in the third quarter of 2009 reflects the net year-over-year impact from acquisition and divestitures completed in the preceding twelve months, including the third quarter of 2009 acquisition of additional shares of GST, a fire alarm system provider in China.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Pratt &amp; Whitney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Revenues</w:t>
            </w:r>
          </w:p>
        </w:tc>
        <w:tc>
          <w:tcPr>
            <w:tcW w:w="11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w w:val="99"/>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4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(9)%</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Foreign currency (including P&amp;WC net hedging)*</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(2)%</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82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(11)%</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hanging="212"/>
        <w:spacing w:after="0" w:line="259" w:lineRule="auto"/>
        <w:tabs>
          <w:tab w:leader="none" w:pos="2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As discussed further in the “Business Overview” and “Results of Operations” sections of Management’s Discussion and Analysis, for Pratt &amp; Whitney only, the transactional impact of foreign exchange hedging at P&amp;WC has been netted against the translational foreign exchange impact for presentation purposes in the above table. For all other segments, these foreign exchange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i w:val="1"/>
          <w:iCs w:val="1"/>
          <w:color w:val="auto"/>
        </w:rPr>
        <w:t>transactional impacts are included within the organic revenue/operational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Revenues decreased $390 million (11%) in the third quarter of 2009 compared with the same period of the prior year. The decrease in revenues primarily reflects lower volume at both P&amp;WC (7%) and the large commercial engine business (2%). These declines are primarily attributable to both decreased engine shipments and lower aftermarket volume. For the first nine months of 2009, revenues decreased $1,132 million (11%) compared with the same period of the prior year. The decrease in revenues primarily reflects lower volume at both P&amp;WC (4%) and the large commercial engine business (3%). Similar to the third quarter of 2009, these declines are primarily attributable to both decreased engine shipments and lower aftermarket volume.</w:t>
      </w:r>
    </w:p>
    <w:p>
      <w:pPr>
        <w:spacing w:after="0" w:line="11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Operating profits decreased $86 million (16%) in the third quarter of 2009 compared with the same period of the prior year. The operational profit decline (4%) was primarily driven by a decrease in operating profits associated with lower volumes at both the large commercial engine business (11%), and at P&amp;WC</w:t>
      </w:r>
    </w:p>
    <w:p>
      <w:pPr>
        <w:ind w:right="60"/>
        <w:spacing w:after="0" w:line="281" w:lineRule="auto"/>
        <w:rPr>
          <w:sz w:val="20"/>
          <w:szCs w:val="20"/>
          <w:color w:val="auto"/>
        </w:rPr>
      </w:pPr>
      <w:r>
        <w:rPr>
          <w:rFonts w:ascii="Arial" w:cs="Arial" w:eastAsia="Arial" w:hAnsi="Arial"/>
          <w:sz w:val="16"/>
          <w:szCs w:val="16"/>
          <w:color w:val="auto"/>
        </w:rPr>
        <w:t>(7%), partially offset by the favorable impact of lower research and development expenses (8%) and the net beneficial impact of terminating or otherwise settling certain contracts, partially offset by provisions established for an ongoing contractual dispute (net 5%). The 4% decrease contributed by “Other” reflects the net year-over-year change in gains recognized on the sale of partial investments. For the first nine months of 2009, operating profits decreased $255 million</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(16%) compared with the same period of the prior year. The operational profit decline (4%) was primarily driven by a decrease in operating profits associated with lower volumes at both the large commercial engine business (8%) and at P&amp;WC (2%), partially offset by the favorable impact of lower research and development expenses (5%) and the net beneficial impact of terminating or otherwise settling certain contracts partially offset by the provisions established for an ongoing contractual dispute (net 2%).</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Hamilton Sundstrand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87"/>
              </w:rPr>
              <w:t>Revenues</w:t>
            </w:r>
          </w:p>
        </w:tc>
        <w:tc>
          <w:tcPr>
            <w:tcW w:w="11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800" w:type="dxa"/>
            <w:vAlign w:val="bottom"/>
            <w:gridSpan w:val="2"/>
          </w:tcPr>
          <w:p>
            <w:pPr>
              <w:jc w:val="center"/>
              <w:ind w:right="85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40" w:type="dxa"/>
            <w:vAlign w:val="bottom"/>
          </w:tcPr>
          <w:p>
            <w:pPr>
              <w:spacing w:after="0"/>
              <w:rPr>
                <w:sz w:val="11"/>
                <w:szCs w:val="11"/>
                <w:color w:val="auto"/>
              </w:rPr>
            </w:pPr>
          </w:p>
        </w:tc>
        <w:tc>
          <w:tcPr>
            <w:tcW w:w="182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(1)%</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182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Restructuring</w:t>
            </w:r>
          </w:p>
        </w:tc>
        <w:tc>
          <w:tcPr>
            <w:tcW w:w="1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1 %</w:t>
            </w:r>
          </w:p>
        </w:tc>
        <w:tc>
          <w:tcPr>
            <w:tcW w:w="21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(9)%</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820" w:type="dxa"/>
            <w:vAlign w:val="bottom"/>
            <w:gridSpan w:val="2"/>
          </w:tcPr>
          <w:p>
            <w:pPr>
              <w:jc w:val="right"/>
              <w:ind w:right="652"/>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Revenues decreased $132 million (9%) and $460 million (10%) in the third quarter and first nine months of 2009, respectively, compared with the same periods of the prior year. The organic revenue decline in the third quarter of 2009 was principally due to lower organic volume in both the industrial businesses (5%) and aerospace businesses (4%). The organic revenue contraction within aerospace reflects declines in aftermarket volume (3%) and OEM (1%). For the first nine months of 2009, the organic revenue decline reflects lower organic volume in the industrial businesses (5%) and aerospace businesses (1%). Within the aerospace businesses, a decline in aftermarket (3%) was largely offset by an increase in OEM (2%).</w:t>
      </w:r>
    </w:p>
    <w:p>
      <w:pPr>
        <w:spacing w:after="0" w:line="11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Operating profits decreased $39 million (14%) and $169 million (21%) in the third quarter and first nine months of 2009, respectively, compared with the same periods of the prior year. The decline in operational profit in the third quarter of 2009 reflects a decrease in the aerospace businesses (12%) and industrial businesses (4%). Within aerospace, the decrease was primarily attributable to lower aftermarket (13%), partially offset by an increase in OEM. An OEM operating profit decrease (10%) was more than offset by lower year-over-year research and development costs (11%). The 7% increase contributed by “Other” primarily reflects a gain on the sale of a business (5%). For the first nine months of 2009, the decline in operational profit reflects a decrease in the aerospace businesses (7%) and industrial businesses (5%). Within aerospace, a decrease in aftermarket (14%) was partially offset by an increase in OEM (7%), driven by lower year-over-year research and development costs (4%). The 2% increase contributed by “Other” reflects a gain in 2009 on the sale of a business.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Sikorsky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Contribution to Total % Change</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Revenues</w:t>
            </w:r>
          </w:p>
        </w:tc>
        <w:tc>
          <w:tcPr>
            <w:tcW w:w="116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780" w:type="dxa"/>
            <w:vAlign w:val="bottom"/>
            <w:gridSpan w:val="2"/>
          </w:tcPr>
          <w:p>
            <w:pPr>
              <w:jc w:val="center"/>
              <w:ind w:right="83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900" w:type="dxa"/>
            <w:vAlign w:val="bottom"/>
          </w:tcPr>
          <w:p>
            <w:pPr>
              <w:spacing w:after="0"/>
              <w:rPr>
                <w:sz w:val="11"/>
                <w:szCs w:val="11"/>
                <w:color w:val="auto"/>
              </w:rPr>
            </w:pPr>
          </w:p>
        </w:tc>
        <w:tc>
          <w:tcPr>
            <w:tcW w:w="1780" w:type="dxa"/>
            <w:vAlign w:val="bottom"/>
            <w:gridSpan w:val="2"/>
          </w:tcPr>
          <w:p>
            <w:pPr>
              <w:jc w:val="center"/>
              <w:ind w:right="832"/>
              <w:spacing w:after="0" w:line="129" w:lineRule="exact"/>
              <w:rPr>
                <w:sz w:val="20"/>
                <w:szCs w:val="20"/>
                <w:color w:val="auto"/>
              </w:rPr>
            </w:pPr>
            <w:r>
              <w:rPr>
                <w:rFonts w:ascii="Arial" w:cs="Arial" w:eastAsia="Arial" w:hAnsi="Arial"/>
                <w:sz w:val="14"/>
                <w:szCs w:val="14"/>
                <w:b w:val="1"/>
                <w:bCs w:val="1"/>
                <w:color w:val="auto"/>
                <w:w w:val="90"/>
              </w:rPr>
              <w:t>Quarter Ended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780" w:type="dxa"/>
            <w:vAlign w:val="bottom"/>
            <w:gridSpan w:val="2"/>
          </w:tcPr>
          <w:p>
            <w:pPr>
              <w:jc w:val="center"/>
              <w:ind w:right="81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0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780" w:type="dxa"/>
            <w:vAlign w:val="bottom"/>
            <w:gridSpan w:val="2"/>
          </w:tcPr>
          <w:p>
            <w:pPr>
              <w:jc w:val="center"/>
              <w:ind w:right="81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9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7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15 %</w:t>
            </w: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16 %</w:t>
            </w:r>
          </w:p>
        </w:tc>
        <w:tc>
          <w:tcPr>
            <w:tcW w:w="17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18 %</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Restructuring</w:t>
            </w:r>
          </w:p>
        </w:tc>
        <w:tc>
          <w:tcPr>
            <w:tcW w:w="178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1780" w:type="dxa"/>
            <w:vAlign w:val="bottom"/>
            <w:gridSpan w:val="2"/>
          </w:tcPr>
          <w:p>
            <w:pPr>
              <w:jc w:val="right"/>
              <w:ind w:right="672"/>
              <w:spacing w:after="0"/>
              <w:rPr>
                <w:sz w:val="20"/>
                <w:szCs w:val="20"/>
                <w:color w:val="auto"/>
              </w:rPr>
            </w:pPr>
            <w:r>
              <w:rPr>
                <w:rFonts w:ascii="Arial" w:cs="Arial" w:eastAsia="Arial" w:hAnsi="Arial"/>
                <w:sz w:val="18"/>
                <w:szCs w:val="18"/>
                <w:color w:val="auto"/>
              </w:rPr>
              <w:t>15 %</w:t>
            </w:r>
          </w:p>
        </w:tc>
        <w:tc>
          <w:tcPr>
            <w:tcW w:w="2060" w:type="dxa"/>
            <w:vAlign w:val="bottom"/>
            <w:gridSpan w:val="2"/>
          </w:tcPr>
          <w:p>
            <w:pPr>
              <w:jc w:val="right"/>
              <w:ind w:right="740"/>
              <w:spacing w:after="0"/>
              <w:rPr>
                <w:sz w:val="20"/>
                <w:szCs w:val="20"/>
                <w:color w:val="auto"/>
              </w:rPr>
            </w:pPr>
            <w:r>
              <w:rPr>
                <w:rFonts w:ascii="Arial" w:cs="Arial" w:eastAsia="Arial" w:hAnsi="Arial"/>
                <w:sz w:val="18"/>
                <w:szCs w:val="18"/>
                <w:color w:val="auto"/>
              </w:rPr>
              <w:t>16 %</w:t>
            </w:r>
          </w:p>
        </w:tc>
        <w:tc>
          <w:tcPr>
            <w:tcW w:w="1780" w:type="dxa"/>
            <w:vAlign w:val="bottom"/>
            <w:gridSpan w:val="2"/>
          </w:tcPr>
          <w:p>
            <w:pPr>
              <w:jc w:val="right"/>
              <w:ind w:right="672"/>
              <w:spacing w:after="0"/>
              <w:rPr>
                <w:sz w:val="20"/>
                <w:szCs w:val="20"/>
                <w:color w:val="auto"/>
              </w:rPr>
            </w:pPr>
            <w:r>
              <w:rPr>
                <w:rFonts w:ascii="Arial" w:cs="Arial" w:eastAsia="Arial" w:hAnsi="Arial"/>
                <w:sz w:val="18"/>
                <w:szCs w:val="18"/>
                <w:color w:val="auto"/>
              </w:rPr>
              <w:t>18 %</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Revenues increased $210 million (15%) in the third quarter of 2009, compared with the same period of the prior year. The organic revenue increase was primarily driven by higher volumes of military aircraft shipments, foreign military sales and favorable aircraft configurations (combined 18%). A decline in commercial aircraft revenues (6%) was partially offset by an increase in customer funded development program support and revenue from aftermarket support (combined 3%) to account for the remaining year-over-year change. For the first nine months of 2009, revenues increased $603 million (16%) compared with the same period of the prior year. The organic revenue increase was primarily driven by higher volumes of military aircraft shipments, foreign military sales as well as favorable aircraft configurations (combined 18%), partially offset by reduced commercial aircraft revenues (3%) to account for the majority of the remaining year-over-year change.</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Operating profits increased $24 million (18%) in the third quarter of 2009 as compared with the same period of the prior year. This improvement was primarily attributable to reduced operating expenses (10%) driven by various cost-savings initiatives, and increased aircraft deliveries (8%). For the first nine months of 2009, operating profits increased $80 million (25%) compared with the same period of the prior year. The operational profit improvement (36%) was primarily attributable to increased aircraft deliveries (38%). The remainder of the operational profit change primarily reflects an unfavorable mix in our aftermarket business partially offset by reduced selling, general and administrative costs due to various cost saving initiatives. The 9% decrease contributed by “Other” primarily reflects the adverse impact associated with a new union contract.</w:t>
      </w:r>
    </w:p>
    <w:p>
      <w:pPr>
        <w:spacing w:after="0" w:line="11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Eliminations and other – </w:t>
      </w:r>
      <w:r>
        <w:rPr>
          <w:rFonts w:ascii="Arial" w:cs="Arial" w:eastAsia="Arial" w:hAnsi="Arial"/>
          <w:sz w:val="16"/>
          <w:szCs w:val="16"/>
          <w:color w:val="auto"/>
        </w:rPr>
        <w:t>The increased costs in Eliminations and other for both the third quarter and first nine months of 2009, as compared to the same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prior year, primarily reflects the adverse impact of restructuring costs related to the curtailment of our domestic pension plans ($59 million). Lower hedging costs on our cash management activities as well as favorable interest adjustments related to global tax examination activity were more than offset by increased inventory reserves and project related reserves recorded at UTC Power to account for the remaining year-over-year change.</w:t>
      </w:r>
    </w:p>
    <w:p>
      <w:pPr>
        <w:spacing w:after="0" w:line="103"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General corporate expenses – </w:t>
      </w:r>
      <w:r>
        <w:rPr>
          <w:rFonts w:ascii="Arial" w:cs="Arial" w:eastAsia="Arial" w:hAnsi="Arial"/>
          <w:sz w:val="18"/>
          <w:szCs w:val="18"/>
          <w:color w:val="auto"/>
        </w:rPr>
        <w:t>The decrease in General corporate expenses for both the third quarter and first nine months of 2009, as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of the prior year, reflect lower corporate general and administrative spending across all cost categories as a result our cost reduction efforts initiated in light of the current economic environment.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10,432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11,476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11"/>
                <w:szCs w:val="11"/>
                <w:color w:val="auto"/>
              </w:rPr>
              <w:t>1</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16,926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11"/>
                <w:szCs w:val="11"/>
                <w:color w:val="auto"/>
              </w:rPr>
              <w:t>1</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r>
              <w:rPr>
                <w:rFonts w:ascii="Arial" w:cs="Arial" w:eastAsia="Arial" w:hAnsi="Arial"/>
                <w:sz w:val="11"/>
                <w:szCs w:val="11"/>
                <w:color w:val="auto"/>
              </w:rPr>
              <w:t>1</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25,446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24,075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r>
              <w:rPr>
                <w:rFonts w:ascii="Arial" w:cs="Arial" w:eastAsia="Arial" w:hAnsi="Arial"/>
                <w:sz w:val="11"/>
                <w:szCs w:val="11"/>
                <w:color w:val="auto"/>
              </w:rPr>
              <w:t>1</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11"/>
                <w:szCs w:val="11"/>
                <w:color w:val="auto"/>
              </w:rPr>
              <w:t>1</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680" w:right="200" w:hanging="674"/>
        <w:spacing w:after="0" w:line="255" w:lineRule="auto"/>
        <w:tabs>
          <w:tab w:leader="none" w:pos="660" w:val="left"/>
        </w:tabs>
        <w:rPr>
          <w:sz w:val="20"/>
          <w:szCs w:val="20"/>
          <w:color w:val="auto"/>
        </w:rPr>
      </w:pPr>
      <w:r>
        <w:rPr>
          <w:rFonts w:ascii="Arial" w:cs="Arial" w:eastAsia="Arial" w:hAnsi="Arial"/>
          <w:sz w:val="18"/>
          <w:szCs w:val="18"/>
          <w:color w:val="auto"/>
        </w:rPr>
        <w:t>Note 1</w:t>
        <w:tab/>
        <w:t>Effective January 1, 2009, as required under the Consolidation Topic of the FASB ASC as it relates to the accounting for noncontrolling interests in Consolidated Financial Statements, the carrying value of noncontrolling interests (previously referred to as minority interests) were removed from the mezzanine section of the balance sheet and reclassified as equity for all periods presented. As a result of this adoption, we reclassified noncontrolling interests in the amounts of $1,009 million and $962 million from the mezzanine section to equity in the December 31, 2008 and September 30, 2008 balance sheets,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Recent distress in the financial markets has had an adverse impact on financial market activities including, among other things, extreme volatility in security prices, severely diminished liquidity and credit availability, rating downgrades of certain investments and declining valuations of others. We have assessed the implications of these factors on our current business, are closely monitoring the impact on our customers and suppliers, and have determined that while there has been some impact to working capital, overall there has not been a significant effect on our financial position, results of operations or liquidity during the first nine months of 2009. Our pension plans have not experienced any significant impact on liquidity or counterparty exposure due to the volatility in the credit markets. However, as a result of losses experienced in the global equity markets, our domestic pension funds experienced a negative return on assets of approximately 27% in 2008. This negative return on our domestic plan in 2008, combined with a change in discount rate will increase pension costs by approximately $225 million in 2009 as compared to 2008. For the first nine months of 2009, our domestic pension funds produced an 18% positive return on assets, in contrast to the negative return on assets experienced for the full year of 2008.</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89% of our domestic pension plans are invested in readily-liquid investments, including equity, fixed income, asset-backed receivables and structured products. The balance of our domestic pension plans (11%) is invested in less-liquid but market-valued investments, including real estate and private equity.</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discussed further below, our strong debt ratings and financial position have historically enabled us to issue long-term debt at favorable market rates, including the $1.0 billion of long-term debt issuance in May 2008 and $1.25 billion of long-term debt issuance in December 2008. Also, in February 2009, we redeemed the entire $500 million outstanding principal amount of our LIBOR+.07% floating rate notes that were due June 1, 2009 at a redemption price in U.S. dollars equal to 100% of the principal amount, plus interest accrued, and on June 1, 2009, we repaid our $400 million of 6.500% notes due 2009 which matured on the same date.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obtain debt financing at comparable risk-based interest rates is partly a function of our existing cash-flow-to-debt and debt-to-capitalization levels as well as our current credit standing. Our credit ratings are reviewed regularly by major debt rating agencies such as Standard and Poor’s, Moody’s Investors Service and Fitch Ratings. In published reports from August and March of 2009, Standard and Poor’s affirmed our short-term debt rating as A-1 and our long-term debt rating as A, respectively. Similarly, in February 2009, Moody’s Investors Service also affirmed its corporate rating on our long-term debt rating as A2, and in November 2008 affirmed our short-term debt rating as P-1. Fitch Ratings also published data in June 2009, affirming UTC’s short-term debt rating as F1 and our long-term debt rating as A+. 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18"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 occasion, we are required to maintain cash deposits with certain banks in respect to contractual obligations related to acquisitions or divestitures or other legal obligations. As of September 30, 2009, $79 million of restricted cash is reported in current assets and $3 million is reported in other assets in the Condensed Consolidated Balance Sheet. Restricted cash as of September 30, 2008 was not significant.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2660" w:type="dxa"/>
            <w:vAlign w:val="bottom"/>
            <w:vMerge w:val="restart"/>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3,878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363"/>
        </w:trPr>
        <w:tc>
          <w:tcPr>
            <w:tcW w:w="1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0" w:type="dxa"/>
            <w:vAlign w:val="bottom"/>
          </w:tcPr>
          <w:p>
            <w:pPr>
              <w:jc w:val="right"/>
              <w:ind w:right="205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decrease in cash generated from operating activities in the first nine months of 2009 as compared with the same period in 2008, is due largely to the decline in net income attributable to common shareowners, as a result of lower volumes, and the $633 million of contributions to our global defined benefit pension plans made in the first nine months of 2009. However, a focus on working capital during the second and third quarters of 2009 helped to offset these declines. During the first nine months of 2009 working capital was a source of cash of $284 million compared to a cash outflow of $690 million during the first nine months of 2008, a year-over-year net benefit of $974 million. This year-over-year improvement in working capital was largely attributable to approximately $145 million reduction in inventory in the first nine months of 2009 as compared to an approximately $1.1 billion increase in inventory for the same period of the prior year, primarily driven by a year-over-year decrease at Carrier of approximately $550 million. The improvement in inventory was partially offset by lower customer advances of approximately $360 million at Sikorsky year-over-year. The impact of lower volume and improved collections of accounts receivable was effectively offset by the corresponding reduction to accounts payable stemming from the lower volumes.</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We made $633 million of cash contributions to our global defined benefit pension plans in the first nine months of 2009. We expect full year contributions of at least $750 million to our global pension plans during the year including the $551 million contributed to our domestic plans in the first nine months of 2009. Expected contributions to our defined pension plans in 2009 will meet or exceed the current funding requirements.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5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investing activities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decrease in the net use of cash flows year-over-year in investing activities is largely a result of a decrease in our capital expenditures of $309 million and a decrease of $151 million in acquisitions activity in the first nine months of 2009 as compared to the first nine months of 2008. Capital expenditures have been curtailed across the businesses in line with the volume reductions. For the full year, capital expenditures are expected to decrease approximately 30 percent from 2008 levels. Customer financing activities was a net use of cash of $36 million for the first nine months of 2009, compared to a net use of cash of $98 million for the same period in 2008. While we expect that 2009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$1,036 million and $1,142 million related to commercial aircraft at September 30, 2009 and December 31, 2008, respectively, of which as much as $72 million may be required to be disbursed during 2009. Acquisition activity in the first nine months of 2009 was $557 million, compared to $708 million for the same period in 2008. Investments in businesses in the third quarter of 2009 amounted to $360 million, primarily reflecting the acquisition of additional shares in GST Holdings Limited (GST), a fire alarm system provider in China. The acquisition of these additional shares in GST was partially funded from previously reported restricted cash. The remainder of our net acquisition activity for the first nine months of 2009 and 2008 consisted of a number of small purchases and divestitures both in the commercial and aerospace businesses in both years. We expect total investments in businesses in 2009 to approximate $2 billion, including acquisitions announced during the first nine months of 2009; however, actual acquisition spending may vary depending upon the timing and availability of acquisition opportunities.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366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financing activities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firstLine="456"/>
        <w:spacing w:after="0" w:line="254" w:lineRule="auto"/>
        <w:rPr>
          <w:sz w:val="20"/>
          <w:szCs w:val="20"/>
          <w:color w:val="auto"/>
        </w:rPr>
      </w:pPr>
      <w:r>
        <w:rPr>
          <w:rFonts w:ascii="Arial" w:cs="Arial" w:eastAsia="Arial" w:hAnsi="Arial"/>
          <w:sz w:val="18"/>
          <w:szCs w:val="18"/>
          <w:color w:val="auto"/>
        </w:rPr>
        <w:t>At September 30, 2009, we had two committed credit agreements from banks permitting aggregate borrowings of up to $2.5 billion. One credit commitment is a $1.5 billion revolving credit agreement. As of September 30, 2009, there were no borrowings under this revolving credit agreement, which expires in October 2011. We also have a $1.0 billion multicurrency revolving credit agreement that is available for general funding purposes, including acquisitions. During the first nine months of 2009, we repaid approximately $460 million which had been borrowed under the multicurrency revolving credit agreement as of December 31, 2008. As of September 30, 2009, there were no borrowings under this revolving credit agreement, which expires in November 2011.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undrawn portions of both the $1.5 billion revolving credit agreement and $1.0 billion multicurrency revolving credit agreement are also available to serve as backup facilities for the issuance of commercial paper. During the third quarter of 2009, we repaid approximately $856 million of the commercial paper which was outstanding as of June 30, 2009. We had approximately $592 million of commercial paper outstanding at September 30, 2009, all of which was scheduled to mature within one month.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February 2009, we redeemed the entire $500 million outstanding principal amount of our LIBOR+.07% floating rate notes that were due June 1, 2009 at a redemption price in U.S. dollars equal to 100% of the principal amount, plus interest accrued. On June 1, 2009, we repaid our $400 million of 6.500% notes due 2009 which matured on the same date.</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repurchased $780 million of common stock in the first nine months of 2009, under an existing 60 million share repurchase program. Share repurchase in the first nine months of 2009 represents approximately 14 million shares. At September 30, 2009, approximately 14 million shares remain available for repurchase under the program. We expect total share repurchases in 2009 to be approximately $1 billion and expect the total number of outstanding shares to decrease during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$0.385 per share in the first quarter of 2009 totaling $339 million, $0.385 per share in the second quarter of 2009 totaling $340 million and $0.385 per share in the third quarter of 2009 totaling $339 million. On October 14, 2009, the Board of Directors declared a dividend of $0.385 per share payable December 10, 2009.</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2008 Annual Report, incorporated by reference in our 2008 Form 10-K, we disclosed our off-balance sheet arrangements and contractual obligations. At September 30, 2009, there have been no material changes to these off-balance sheet arrangements and contractual obligations outside the ordinary course of business except as disclosed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nine months of 2009. For discussion of our exposure to market risk, refer to Part II, Item 7A, “Quantitative and Qualitative Disclosures About Market Risk,” contained in our 2008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President and Chief Executive Officer (CEO), the Senior Vice President and Chief Financial Officer (CFO), and the Vice President, Controller (Controller), of the effectiveness of the design and operation of our disclosure controls and procedures as of September 30, 2009.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2009,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2009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our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Our 2008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2008 Annual Report in the section titled “Management’s Discussion and Analysis of Financial Condition and Results of Operations” under the headings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21, 2009, Pratt &amp; Whitney announced plans to close its Connecticut Airfoil Repair Operations facility in East Hartford, Connecticut by the second quarter of 2010 and its engine overhaul facility in Cheshire, Connecticut by early 2011. On September 22, 2009, the International Association of Machinists (IAM) filed a lawsuit in U.S. District Court in Hartford, Connecticut alleging that Pratt &amp; Whitney’s decision to close these facilities and transfer certain work to facilities outside Connecticut breached the terms of its collective bargaining agreement with the IAM, and seeking to enjoin Pratt &amp; Whitney from moving the work for the duration of the current collective bargaining agreement. Pratt &amp; Whitney believes that it has fully complied with the collective bargaining agreement and that the IAM’s contentions are without merit. Trial is currently scheduled to begin December 14, 2009, and a decision is anticipated by early 2010. Pratt &amp; Whitney has recorded $51 million of restructuring costs associated with these planned closures. We do not believe that resolution of this matter will have a material adverse effect upon our competitive position, results of operations, cash flows or financial condition.</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Except as noted above, there have been no material developments in legal proceedings. For a description of previously reported legal proceedings refer to Part I, Item 3, “Legal Proceedings,” of our 2008 Form 10-K, and Part II, Item 1 of our Form 10-Q for the quarter ended June 30,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2008 Form 10-K, in “Management’s Discussion and Analysis of Financial Condition and Results of Operations” and “Notes to Consolidated Financial Statements” in our 2008 Annual Report, and in “Management’s Discussion and Analysis of Financial Condition and Results of Operations” and “Notes to Condensed Consolidated Financial Statements” in this Form 10-Q.</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widely reported, financial markets in the United States, Europe and Asia have been experiencing extreme disruption, including significant distress of financial institutions, extreme volatility in security prices, severely diminished liquidity and credit availability, rating downgrades of certain investments and declining valuations of others. Governments have taken unprecedented actions intended to address extreme financial and market conditions that include severely restricted credit and declines in real estate values. While currently these conditions have not impaired our ability to access credit markets and finance our operations,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 U.S. Dollar against certain major currencies such as the Euro, the Canadian Dollar and other currencies also adversely affects our results. We are unable to predict the likely duration and severity of disruption in financial markets and adverse economic conditions in the U.S. and other countries.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61% of our consolidated revenues in 2008,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39% of our consolidated revenues in 2008, are directly tied to the economic conditions in the commercial aviation and defense industries, which are cyclical in nature. The challenging operating environment currently faced by commercial airlines is expected to continue. As a result, financial difficulties, including bankruptcy, of one or more of the major commercial airlines could result in significant cancellations of orders, reductions in our aerospace revenues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or pandemic health issues could dramatically reduce both the demand for air travel and our aerospace businesses aftermarket sales and margins. Also, since a substantial portion of the backlog for commercial aerospace customers is scheduled for delivery beyond 2009,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208"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5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63% of our total 2008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majority of sales in the aerospace businesses is transacted in U.S. dollars, consistent with established industry practice, while the majority of costs at locations outside the United States is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2008 Annual Report and Note 8 to the Condensed Consolidated Financial Statements in this Form 10-Q for a discussion of our hedging strategies.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these factors or the impact of these factors are difficult to predict, any one or more of them could adversely affect our business, financial condition or operating results.</w:t>
      </w:r>
    </w:p>
    <w:p>
      <w:pPr>
        <w:spacing w:after="0" w:line="213"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5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99"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Furthermore, we may not realize the degree or timing of benefits we anticipate when we first enter into a transaction. Any of the foregoing could adversely affect our business and results of operations. In addition, the recent effectiveness of revisions to accounting for business combinations, which, among other things, require companies to expense certain acquisition costs as incurred, may cause us to incur greater earnings volatility and generally lower earnings during periods in which we acquire new businesses.</w:t>
      </w:r>
    </w:p>
    <w:p>
      <w:pPr>
        <w:spacing w:after="0" w:line="199"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2008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2009 of equity securities that are registered by us pursuant to Section 12 of the Exchange Act.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Total Number of Shares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Total Number of Shares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580" w:type="dxa"/>
            <w:vAlign w:val="bottom"/>
          </w:tcPr>
          <w:p>
            <w:pPr>
              <w:spacing w:after="0"/>
              <w:rPr>
                <w:sz w:val="12"/>
                <w:szCs w:val="12"/>
                <w:color w:val="auto"/>
              </w:rPr>
            </w:pPr>
          </w:p>
        </w:tc>
        <w:tc>
          <w:tcPr>
            <w:tcW w:w="1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Program</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3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(000’s)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per Share</w:t>
            </w:r>
          </w:p>
        </w:tc>
        <w:tc>
          <w:tcPr>
            <w:tcW w:w="580" w:type="dxa"/>
            <w:vAlign w:val="bottom"/>
          </w:tcPr>
          <w:p>
            <w:pPr>
              <w:spacing w:after="0"/>
              <w:rPr>
                <w:sz w:val="14"/>
                <w:szCs w:val="14"/>
                <w:color w:val="auto"/>
              </w:rPr>
            </w:pPr>
          </w:p>
        </w:tc>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(000’s)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August 1 - August 31</w:t>
            </w:r>
          </w:p>
        </w:tc>
        <w:tc>
          <w:tcPr>
            <w:tcW w:w="1380" w:type="dxa"/>
            <w:vAlign w:val="bottom"/>
          </w:tcPr>
          <w:p>
            <w:pPr>
              <w:jc w:val="right"/>
              <w:spacing w:after="0"/>
              <w:rPr>
                <w:sz w:val="20"/>
                <w:szCs w:val="20"/>
                <w:color w:val="auto"/>
              </w:rPr>
            </w:pPr>
            <w:r>
              <w:rPr>
                <w:rFonts w:ascii="Arial" w:cs="Arial" w:eastAsia="Arial" w:hAnsi="Arial"/>
                <w:sz w:val="18"/>
                <w:szCs w:val="18"/>
                <w:color w:val="auto"/>
              </w:rPr>
              <w:t>2,927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57.58</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2,922</w:t>
            </w:r>
          </w:p>
        </w:tc>
        <w:tc>
          <w:tcPr>
            <w:tcW w:w="1320" w:type="dxa"/>
            <w:vAlign w:val="bottom"/>
          </w:tcPr>
          <w:p>
            <w:pPr>
              <w:jc w:val="right"/>
              <w:spacing w:after="0"/>
              <w:rPr>
                <w:sz w:val="20"/>
                <w:szCs w:val="20"/>
                <w:color w:val="auto"/>
              </w:rPr>
            </w:pPr>
            <w:r>
              <w:rPr>
                <w:rFonts w:ascii="Arial" w:cs="Arial" w:eastAsia="Arial" w:hAnsi="Arial"/>
                <w:sz w:val="18"/>
                <w:szCs w:val="18"/>
                <w:color w:val="auto"/>
              </w:rPr>
              <w:t>18,151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7,221</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59.59</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7,213</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repurchase shares under a program announced on June 11, 2008, which authorized the repurchase of up to 60 million shares of our common stock. Under the current program, shares may be purchased on the open market, in privately negotiated transactions and under plans complying with Rules 10b5-1 and 10b-18 under the Exchange Act,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8,000 shares were reacquired in transactions outside the program during the quarter.</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38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3100" w:type="dxa"/>
            <w:vAlign w:val="bottom"/>
          </w:tcPr>
          <w:p>
            <w:pPr>
              <w:spacing w:after="0"/>
              <w:rPr>
                <w:sz w:val="14"/>
                <w:szCs w:val="14"/>
                <w:color w:val="auto"/>
              </w:rPr>
            </w:pPr>
          </w:p>
        </w:tc>
      </w:tr>
      <w:tr>
        <w:trPr>
          <w:trHeight w:val="316"/>
        </w:trPr>
        <w:tc>
          <w:tcPr>
            <w:tcW w:w="720" w:type="dxa"/>
            <w:vAlign w:val="bottom"/>
            <w:gridSpan w:val="2"/>
          </w:tcPr>
          <w:p>
            <w:pPr>
              <w:ind w:left="280"/>
              <w:spacing w:after="0"/>
              <w:rPr>
                <w:sz w:val="20"/>
                <w:szCs w:val="20"/>
                <w:color w:val="auto"/>
              </w:rPr>
            </w:pPr>
            <w:r>
              <w:rPr>
                <w:rFonts w:ascii="Arial" w:cs="Arial" w:eastAsia="Arial" w:hAnsi="Arial"/>
                <w:sz w:val="18"/>
                <w:szCs w:val="18"/>
                <w:color w:val="auto"/>
              </w:rPr>
              <w:t>10.7</w:t>
            </w:r>
          </w:p>
        </w:tc>
        <w:tc>
          <w:tcPr>
            <w:tcW w:w="9380" w:type="dxa"/>
            <w:vAlign w:val="bottom"/>
            <w:gridSpan w:val="3"/>
          </w:tcPr>
          <w:p>
            <w:pPr>
              <w:ind w:left="660"/>
              <w:spacing w:after="0"/>
              <w:rPr>
                <w:sz w:val="20"/>
                <w:szCs w:val="20"/>
                <w:color w:val="auto"/>
              </w:rPr>
            </w:pPr>
            <w:r>
              <w:rPr>
                <w:rFonts w:ascii="Arial" w:cs="Arial" w:eastAsia="Arial" w:hAnsi="Arial"/>
                <w:sz w:val="18"/>
                <w:szCs w:val="18"/>
                <w:color w:val="auto"/>
                <w:w w:val="87"/>
              </w:rPr>
              <w:t>United Technologies Corporation Executive Leadership Group Program, as amended and restated, effective June 10, 2009.*</w:t>
            </w:r>
          </w:p>
        </w:tc>
      </w:tr>
      <w:tr>
        <w:trPr>
          <w:trHeight w:val="324"/>
        </w:trPr>
        <w:tc>
          <w:tcPr>
            <w:tcW w:w="720" w:type="dxa"/>
            <w:vAlign w:val="bottom"/>
            <w:gridSpan w:val="2"/>
          </w:tcPr>
          <w:p>
            <w:pPr>
              <w:ind w:left="280"/>
              <w:spacing w:after="0"/>
              <w:rPr>
                <w:sz w:val="20"/>
                <w:szCs w:val="20"/>
                <w:color w:val="auto"/>
              </w:rPr>
            </w:pPr>
            <w:r>
              <w:rPr>
                <w:rFonts w:ascii="Arial" w:cs="Arial" w:eastAsia="Arial" w:hAnsi="Arial"/>
                <w:sz w:val="18"/>
                <w:szCs w:val="18"/>
                <w:color w:val="auto"/>
                <w:w w:val="93"/>
              </w:rPr>
              <w:t>10.37</w:t>
            </w:r>
          </w:p>
        </w:tc>
        <w:tc>
          <w:tcPr>
            <w:tcW w:w="9380" w:type="dxa"/>
            <w:vAlign w:val="bottom"/>
            <w:gridSpan w:val="3"/>
          </w:tcPr>
          <w:p>
            <w:pPr>
              <w:ind w:left="660"/>
              <w:spacing w:after="0"/>
              <w:rPr>
                <w:sz w:val="20"/>
                <w:szCs w:val="20"/>
                <w:color w:val="auto"/>
              </w:rPr>
            </w:pPr>
            <w:r>
              <w:rPr>
                <w:rFonts w:ascii="Arial" w:cs="Arial" w:eastAsia="Arial" w:hAnsi="Arial"/>
                <w:sz w:val="18"/>
                <w:szCs w:val="18"/>
                <w:color w:val="auto"/>
                <w:w w:val="99"/>
              </w:rPr>
              <w:t>United Technologies Corporation Savings Restoration Plan Summary Description, effective January 1, 2010.*</w:t>
            </w:r>
          </w:p>
        </w:tc>
      </w:tr>
      <w:tr>
        <w:trPr>
          <w:trHeight w:val="324"/>
        </w:trPr>
        <w:tc>
          <w:tcPr>
            <w:tcW w:w="720" w:type="dxa"/>
            <w:vAlign w:val="bottom"/>
            <w:gridSpan w:val="2"/>
          </w:tcPr>
          <w:p>
            <w:pPr>
              <w:ind w:left="280"/>
              <w:spacing w:after="0"/>
              <w:rPr>
                <w:sz w:val="20"/>
                <w:szCs w:val="20"/>
                <w:color w:val="auto"/>
              </w:rPr>
            </w:pPr>
            <w:r>
              <w:rPr>
                <w:rFonts w:ascii="Arial" w:cs="Arial" w:eastAsia="Arial" w:hAnsi="Arial"/>
                <w:sz w:val="18"/>
                <w:szCs w:val="18"/>
                <w:color w:val="auto"/>
              </w:rPr>
              <w:t>12</w:t>
            </w:r>
          </w:p>
        </w:tc>
        <w:tc>
          <w:tcPr>
            <w:tcW w:w="9380" w:type="dxa"/>
            <w:vAlign w:val="bottom"/>
            <w:gridSpan w:val="3"/>
          </w:tcPr>
          <w:p>
            <w:pPr>
              <w:ind w:left="6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72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9380" w:type="dxa"/>
            <w:vAlign w:val="bottom"/>
            <w:gridSpan w:val="3"/>
          </w:tcPr>
          <w:p>
            <w:pPr>
              <w:ind w:left="66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380" w:hanging="1109"/>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380" w:hanging="1109"/>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utx-20090930.xsd)</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6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utx-20090930_pre.xml)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utx-20090930_lab.xml)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6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 of Operations for the quarters ended September 30, 2009 and 2008, (ii) Condensed Consolidated Statement of Operations for the nine months ended September 30, 2009 and 2008, (iii) Condensed Consolidated Balance Sheet at September 30, 2009 and December 31, 2008, (iv) Condensed Consolidated Statement of Cash Flows for the nine months ended September 30, 2009 and 2008 and (v) Notes to Condensed Consolidated Financial Statements for the nine months ended September 30, 2009.</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spacing w:after="0"/>
        <w:tabs>
          <w:tab w:leader="none" w:pos="5940" w:val="left"/>
          <w:tab w:leader="none" w:pos="7800" w:val="left"/>
          <w:tab w:leader="none" w:pos="8160" w:val="left"/>
        </w:tabs>
        <w:rPr>
          <w:sz w:val="20"/>
          <w:szCs w:val="20"/>
          <w:color w:val="auto"/>
        </w:rPr>
      </w:pPr>
      <w:r>
        <w:rPr>
          <w:rFonts w:ascii="Arial" w:cs="Arial" w:eastAsia="Arial" w:hAnsi="Arial"/>
          <w:sz w:val="18"/>
          <w:szCs w:val="18"/>
          <w:color w:val="auto"/>
        </w:rPr>
        <w:t>Dated: October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95" w:lineRule="exact"/>
        <w:rPr>
          <w:sz w:val="20"/>
          <w:szCs w:val="20"/>
          <w:color w:val="auto"/>
        </w:rPr>
      </w:pPr>
    </w:p>
    <w:p>
      <w:pPr>
        <w:spacing w:after="0"/>
        <w:tabs>
          <w:tab w:leader="none" w:pos="5940" w:val="left"/>
          <w:tab w:leader="none" w:pos="7880" w:val="left"/>
          <w:tab w:leader="none" w:pos="8220" w:val="left"/>
        </w:tabs>
        <w:rPr>
          <w:sz w:val="20"/>
          <w:szCs w:val="20"/>
          <w:color w:val="auto"/>
        </w:rPr>
      </w:pPr>
      <w:r>
        <w:rPr>
          <w:rFonts w:ascii="Arial" w:cs="Arial" w:eastAsia="Arial" w:hAnsi="Arial"/>
          <w:sz w:val="18"/>
          <w:szCs w:val="18"/>
          <w:color w:val="auto"/>
        </w:rPr>
        <w:t>Dated: October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HARLES</w:t>
      </w:r>
      <w:r>
        <w:rPr>
          <w:rFonts w:ascii="Arial" w:cs="Arial" w:eastAsia="Arial" w:hAnsi="Arial"/>
          <w:sz w:val="16"/>
          <w:szCs w:val="16"/>
          <w:color w:val="auto"/>
        </w:rPr>
        <w:t xml:space="preserve"> D. G</w:t>
      </w:r>
      <w:r>
        <w:rPr>
          <w:rFonts w:ascii="Arial" w:cs="Arial" w:eastAsia="Arial" w:hAnsi="Arial"/>
          <w:sz w:val="13"/>
          <w:szCs w:val="13"/>
          <w:color w:val="auto"/>
        </w:rPr>
        <w: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Charles D. Gill</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Senior Vice President and General Counsel</w:t>
      </w:r>
    </w:p>
    <w:p>
      <w:pPr>
        <w:spacing w:after="0" w:line="195" w:lineRule="exact"/>
        <w:rPr>
          <w:sz w:val="20"/>
          <w:szCs w:val="20"/>
          <w:color w:val="auto"/>
        </w:rPr>
      </w:pPr>
    </w:p>
    <w:p>
      <w:pPr>
        <w:spacing w:after="0"/>
        <w:tabs>
          <w:tab w:leader="none" w:pos="5940" w:val="left"/>
          <w:tab w:leader="none" w:pos="7680" w:val="left"/>
          <w:tab w:leader="none" w:pos="8020" w:val="left"/>
        </w:tabs>
        <w:rPr>
          <w:sz w:val="20"/>
          <w:szCs w:val="20"/>
          <w:color w:val="auto"/>
        </w:rPr>
      </w:pPr>
      <w:r>
        <w:rPr>
          <w:rFonts w:ascii="Arial" w:cs="Arial" w:eastAsia="Arial" w:hAnsi="Arial"/>
          <w:sz w:val="18"/>
          <w:szCs w:val="18"/>
          <w:color w:val="auto"/>
        </w:rPr>
        <w:t>Dated: October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Margaret M. Smyth</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24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9380" w:type="dxa"/>
            <w:vAlign w:val="bottom"/>
            <w:gridSpan w:val="5"/>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43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3100" w:type="dxa"/>
            <w:vAlign w:val="bottom"/>
          </w:tcPr>
          <w:p>
            <w:pPr>
              <w:spacing w:after="0"/>
              <w:rPr>
                <w:sz w:val="14"/>
                <w:szCs w:val="14"/>
                <w:color w:val="auto"/>
              </w:rPr>
            </w:pPr>
          </w:p>
        </w:tc>
      </w:tr>
      <w:tr>
        <w:trPr>
          <w:trHeight w:val="316"/>
        </w:trPr>
        <w:tc>
          <w:tcPr>
            <w:tcW w:w="500" w:type="dxa"/>
            <w:vAlign w:val="bottom"/>
          </w:tcPr>
          <w:p>
            <w:pPr>
              <w:ind w:left="60"/>
              <w:spacing w:after="0"/>
              <w:rPr>
                <w:sz w:val="20"/>
                <w:szCs w:val="20"/>
                <w:color w:val="auto"/>
              </w:rPr>
            </w:pPr>
            <w:r>
              <w:rPr>
                <w:rFonts w:ascii="Arial" w:cs="Arial" w:eastAsia="Arial" w:hAnsi="Arial"/>
                <w:sz w:val="18"/>
                <w:szCs w:val="18"/>
                <w:color w:val="auto"/>
              </w:rPr>
              <w:t>10.7</w:t>
            </w:r>
          </w:p>
        </w:tc>
        <w:tc>
          <w:tcPr>
            <w:tcW w:w="9380" w:type="dxa"/>
            <w:vAlign w:val="bottom"/>
            <w:gridSpan w:val="5"/>
          </w:tcPr>
          <w:p>
            <w:pPr>
              <w:ind w:left="660"/>
              <w:spacing w:after="0"/>
              <w:rPr>
                <w:sz w:val="20"/>
                <w:szCs w:val="20"/>
                <w:color w:val="auto"/>
              </w:rPr>
            </w:pPr>
            <w:r>
              <w:rPr>
                <w:rFonts w:ascii="Arial" w:cs="Arial" w:eastAsia="Arial" w:hAnsi="Arial"/>
                <w:sz w:val="18"/>
                <w:szCs w:val="18"/>
                <w:color w:val="auto"/>
                <w:w w:val="87"/>
              </w:rPr>
              <w:t>United Technologies Corporation Executive Leadership Group Program, as amended and restated, effective June 10, 2009.*</w:t>
            </w: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3"/>
              </w:rPr>
              <w:t>10.37</w:t>
            </w:r>
          </w:p>
        </w:tc>
        <w:tc>
          <w:tcPr>
            <w:tcW w:w="9380" w:type="dxa"/>
            <w:vAlign w:val="bottom"/>
            <w:gridSpan w:val="5"/>
          </w:tcPr>
          <w:p>
            <w:pPr>
              <w:ind w:left="660"/>
              <w:spacing w:after="0"/>
              <w:rPr>
                <w:sz w:val="20"/>
                <w:szCs w:val="20"/>
                <w:color w:val="auto"/>
              </w:rPr>
            </w:pPr>
            <w:r>
              <w:rPr>
                <w:rFonts w:ascii="Arial" w:cs="Arial" w:eastAsia="Arial" w:hAnsi="Arial"/>
                <w:sz w:val="18"/>
                <w:szCs w:val="18"/>
                <w:color w:val="auto"/>
                <w:w w:val="99"/>
              </w:rPr>
              <w:t>United Technologies Corporation Savings Restoration Plan Summary Description, effective January 1, 2010.*</w:t>
            </w: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12</w:t>
            </w:r>
          </w:p>
        </w:tc>
        <w:tc>
          <w:tcPr>
            <w:tcW w:w="9380" w:type="dxa"/>
            <w:vAlign w:val="bottom"/>
            <w:gridSpan w:val="5"/>
          </w:tcPr>
          <w:p>
            <w:pPr>
              <w:ind w:left="6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15</w:t>
            </w:r>
          </w:p>
        </w:tc>
        <w:tc>
          <w:tcPr>
            <w:tcW w:w="9380" w:type="dxa"/>
            <w:vAlign w:val="bottom"/>
            <w:gridSpan w:val="5"/>
          </w:tcPr>
          <w:p>
            <w:pPr>
              <w:ind w:left="66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380" w:hanging="1109"/>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380" w:hanging="1109"/>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utx-20090930.xsd)</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6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utx-20090930_pre.xml)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utx-20090930_lab.xml)</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6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4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(File name: utx-20090930_cal.xml)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 of Operations for the quarters ended September 30, 2009 and 2008, (ii) Condensed Consolidated Statement of Operations for the nine months ended September 30, 2009 and 2008, (iii) Condensed Consolidated Balance Sheet at September 30, 2009 and December 31, 2008, (iv) Condensed Consolidated Statement of Cash Flows for the nine months ended September 30, 2009 and 2008, and (v) Notes to Condensed Consolidated Financial Statements for the nine months ended September 30, 2009.</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LEADERSHIP GROUP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undersigned Executive acknowledges receipt of the materials summarizing the Corporation’s Executive Leadership Group (“ELG”) Program and the benefits available to the Executive as a member of ELG as well as the Executive’s obligations and commitments to the Corporation as an ELG member. ELG benefits include a restricted share unit retention award that vests at retirement (age 62 minimum), supplemental life insurance and disability benefits, a flexible perquisites allowance and eligibility for the standard ELG severance benefit as set forth in the pre-retirement ELG Standard Separation Agreement as set forth in Attachment B. The ELG Standard Separation Agreement provides for severance benefits in the event of a Mutually Agreeable Termination before age 62 or an involuntary termination or termination for Good Reason following a Change in Control. Severance benefits are not provided in the case of a Termination for Cause. Capitalized terms in this Membership Agreement and the ELG Standard Separation Agreement are defined in Attachment A.</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employed and for a two-year period following termination of employment, ELG members must agree to protect Company information and to refrain from activities that could lead to the recruitment of Company employees. If eligible for the ELG Standard Separation Agreement in the event of a qualifying termination prior to age 62, or upon vesting in the ELG restricted share unit retention award at retirement on or after age 62, an ELG member must make additional commitments to the Company, including a non-compete agreement and a waiver of claims arising from or relating to the termination of the Executive’s employment. Such post employment covenants are set forth in Attachment B.</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9" w:name="page50"/>
    <w:bookmarkEnd w:id="49"/>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ELG membership requires commitment to share ownership guidelines. The value of an ELG member’s UTC share ownership must equal or exceed an amount equal to 3 times annual base salary within five years of appointment to the ELG.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consideration of the ELG benefits, the Executive hereby commits to membership in the ELG in accordance with the terms and conditions set forth in this Agreement and further described in the ELG program materials and hereby acknowledges and accepts postemployment restrictions and protective covenants as described therein. The Company, in turn, agrees to provide ELG benefits to the Executive upon its receipt of this Agreement in accordance with this Agreement and as described in the ELG program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259080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UNITED TECHNOLOGIES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320040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0" w:name="page51"/>
    <w:bookmarkEnd w:id="50"/>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A</w:t>
      </w:r>
    </w:p>
    <w:p>
      <w:pPr>
        <w:spacing w:after="0" w:line="177" w:lineRule="exact"/>
        <w:rPr>
          <w:sz w:val="20"/>
          <w:szCs w:val="20"/>
          <w:color w:val="auto"/>
        </w:rPr>
      </w:pPr>
    </w:p>
    <w:p>
      <w:pPr>
        <w:ind w:left="6" w:right="340"/>
        <w:spacing w:after="0" w:line="268"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for purposes of the Executive Leadership Group Agreement and the ELG Standard Separation Agreement set forth in Attachment B:</w:t>
      </w:r>
    </w:p>
    <w:p>
      <w:pPr>
        <w:spacing w:after="0" w:line="51" w:lineRule="exact"/>
        <w:rPr>
          <w:sz w:val="20"/>
          <w:szCs w:val="20"/>
          <w:color w:val="auto"/>
        </w:rPr>
      </w:pPr>
    </w:p>
    <w:p>
      <w:pPr>
        <w:ind w:left="446" w:right="60" w:hanging="446"/>
        <w:spacing w:after="0" w:line="288" w:lineRule="auto"/>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Control” means the acquisition of 30% or more of the Company’s outstanding voting shares by a third person or group (as defined in Section 13 (d) (3) of the Securities Exchange Act of 1934) of which such person is a member, or a change in the majority of the Board of Directors such that, within any consecutive two-year period, the members of the new majority are not approved by two-thirds of the members incumbent at the beginning of such two-year period. Members approved after such date by two-thirds of such incumbents as of the beginning of such two-year period shall be deemed to be incumbents as of the beginning of such two-year period for purposes of this computation. A merger or consolidation of the Corporation with another company where the Corporation is not the surviving company, a sale of substantially all of the assets of the Corporation, a dissolution or liquidation of the Corporation or other event or transaction having similar effect also constitutes a “Change in Control” for purposes of this Agreement. Any Change in Control event must constitute either a “change in ownership”, a “change in effective control” or a “change in the ownership of a substantial portion of the Company’s assets” within the meaning of Section 409A.</w:t>
      </w:r>
    </w:p>
    <w:p>
      <w:pPr>
        <w:spacing w:after="0" w:line="38" w:lineRule="exact"/>
        <w:rPr>
          <w:rFonts w:ascii="Arial" w:cs="Arial" w:eastAsia="Arial" w:hAnsi="Arial"/>
          <w:sz w:val="16"/>
          <w:szCs w:val="16"/>
          <w:color w:val="auto"/>
        </w:rPr>
      </w:pPr>
    </w:p>
    <w:p>
      <w:pPr>
        <w:ind w:left="446" w:hanging="446"/>
        <w:spacing w:after="0" w:line="255"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Control Termination” means either the involuntary termination of the Executive’s employment by the Company (other than a Termination for Cause) or the voluntary resignation by the executive for Good Reason within 24 months following a Change in Control. Notwithstanding the foregoing, any executive will not be eligible for the standard ELG severance benefit in the event of Termination for Cause or for executives who become ELG members after December 1, 2005 whose employment terminates after age 62 and who have vested in the ELG retention grant.</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74" w:right="239" w:bottom="1440" w:gutter="0" w:footer="0" w:header="0"/>
        </w:sectPr>
      </w:pPr>
    </w:p>
    <w:bookmarkStart w:id="51" w:name="page52"/>
    <w:bookmarkEnd w:id="51"/>
    <w:p>
      <w:pPr>
        <w:ind w:left="446" w:right="480" w:hanging="446"/>
        <w:spacing w:after="0" w:line="268"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“Good Reason” means voluntarily termination of the Executive’s employment within twenty-four (24) months of a Change in Control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occurrence of any one or more of the following:</w:t>
      </w:r>
    </w:p>
    <w:p>
      <w:pPr>
        <w:spacing w:after="0" w:line="50" w:lineRule="exact"/>
        <w:rPr>
          <w:rFonts w:ascii="Arial" w:cs="Arial" w:eastAsia="Arial" w:hAnsi="Arial"/>
          <w:sz w:val="18"/>
          <w:szCs w:val="18"/>
          <w:color w:val="auto"/>
        </w:rPr>
      </w:pPr>
    </w:p>
    <w:p>
      <w:pPr>
        <w:ind w:left="1026" w:right="600" w:hanging="567"/>
        <w:spacing w:after="0" w:line="306" w:lineRule="auto"/>
        <w:tabs>
          <w:tab w:leader="none" w:pos="1026"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assignment of the Executive to duties materially inconsistent with the Executive’s authorities, duties, responsibilities, and status (including reporting relationships) as an employee of the Company, or a material reduction or change in the nature or status of the Executive’s authorities, duties, or responsibilities from those in effect immediately preceding a Change in Control;</w:t>
      </w:r>
    </w:p>
    <w:p>
      <w:pPr>
        <w:spacing w:after="0" w:line="25" w:lineRule="exact"/>
        <w:rPr>
          <w:rFonts w:ascii="Arial" w:cs="Arial" w:eastAsia="Arial" w:hAnsi="Arial"/>
          <w:sz w:val="16"/>
          <w:szCs w:val="16"/>
          <w:color w:val="auto"/>
        </w:rPr>
      </w:pPr>
    </w:p>
    <w:p>
      <w:pPr>
        <w:ind w:left="1026" w:right="40" w:hanging="567"/>
        <w:spacing w:after="0" w:line="306" w:lineRule="auto"/>
        <w:tabs>
          <w:tab w:leader="none" w:pos="1026"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Company’s requiring the Executive to be based at a location which is at least fifty (50) miles further from the current primary residence than is such residence from the Company’s current headquarters, except for required travel on the Company’s business to an extent substantially consistent with the Executive’s business obligations immediately preceding the Change in Control;</w:t>
      </w:r>
    </w:p>
    <w:p>
      <w:pPr>
        <w:spacing w:after="0" w:line="25" w:lineRule="exact"/>
        <w:rPr>
          <w:rFonts w:ascii="Arial" w:cs="Arial" w:eastAsia="Arial" w:hAnsi="Arial"/>
          <w:sz w:val="16"/>
          <w:szCs w:val="16"/>
          <w:color w:val="auto"/>
        </w:rPr>
      </w:pPr>
    </w:p>
    <w:p>
      <w:pPr>
        <w:ind w:left="1026" w:hanging="567"/>
        <w:spacing w:after="0"/>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in effect on the date preceding the Change in Control;</w:t>
      </w:r>
    </w:p>
    <w:p>
      <w:pPr>
        <w:spacing w:after="0" w:line="90" w:lineRule="exact"/>
        <w:rPr>
          <w:rFonts w:ascii="Arial" w:cs="Arial" w:eastAsia="Arial" w:hAnsi="Arial"/>
          <w:sz w:val="18"/>
          <w:szCs w:val="18"/>
          <w:color w:val="auto"/>
        </w:rPr>
      </w:pPr>
    </w:p>
    <w:p>
      <w:pPr>
        <w:ind w:left="1026" w:hanging="567"/>
        <w:spacing w:after="0" w:line="254" w:lineRule="auto"/>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 material reduction in the Executive’s level of participation in any of the Company’s short- and/or long-term incentive compensation plans, or employee benefit or retirement plans, policies, practices, or arrangements in which the Executive participates from the levels in place during the fiscal year immediately preceding the Change in Control; provided, however, that reductions in the levels of participation in any such plans shall not be deemed to be “Good Reason” if the Executive’s reduced level of participation in each such program remains substantially consistent with the average level of participation of other executives who have positions commensurate with the Executive’s position; or</w:t>
      </w:r>
    </w:p>
    <w:p>
      <w:pPr>
        <w:spacing w:after="0" w:line="63" w:lineRule="exact"/>
        <w:rPr>
          <w:rFonts w:ascii="Arial" w:cs="Arial" w:eastAsia="Arial" w:hAnsi="Arial"/>
          <w:sz w:val="18"/>
          <w:szCs w:val="18"/>
          <w:color w:val="auto"/>
        </w:rPr>
      </w:pPr>
    </w:p>
    <w:p>
      <w:pPr>
        <w:ind w:left="1026" w:right="480" w:hanging="567"/>
        <w:spacing w:after="0" w:line="268" w:lineRule="auto"/>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its obligations under this Agreement.</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80" w:right="299" w:bottom="1440" w:gutter="0" w:footer="0" w:header="0"/>
        </w:sectPr>
      </w:pPr>
    </w:p>
    <w:bookmarkStart w:id="52" w:name="page53"/>
    <w:bookmarkEnd w:id="52"/>
    <w:p>
      <w:pPr>
        <w:ind w:left="446" w:hanging="446"/>
        <w:spacing w:after="0" w:line="290"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“Mutually Agreeable Termination” means a decision by the Company, in its sole discretion, to terminate the Executive’s employment with the Company as a result of circumstances described in this paragraph and the Executive’s acknowledgment and agreement that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will end as a result of such circumstances. Circumstances that may result in a Mutually Agreeable Termination include management realignment, change in business conditions or priorities, the sale or elimination of the Executive’s business unit or any other change in business circumstances that materially and adversely affects the Executive’s role within the Company. Neither a unilateral voluntary resignation nor a termination for Cause will be considered a Mutually Agreeable Termination. Executives who became ELG members after December 1, 2005 and who have vested in the ELG retention grant will not be eligible for ELG standard separation benefits following a Mutually Agreeable Termination.</w:t>
      </w:r>
    </w:p>
    <w:p>
      <w:pPr>
        <w:spacing w:after="0" w:line="37" w:lineRule="exact"/>
        <w:rPr>
          <w:rFonts w:ascii="Arial" w:cs="Arial" w:eastAsia="Arial" w:hAnsi="Arial"/>
          <w:sz w:val="16"/>
          <w:szCs w:val="16"/>
          <w:color w:val="auto"/>
        </w:rPr>
      </w:pPr>
    </w:p>
    <w:p>
      <w:pPr>
        <w:ind w:left="446" w:right="20" w:hanging="446"/>
        <w:spacing w:after="0" w:line="289"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“Qualified Separation from Service” means the Executive’s termination from employment with all UTC Companies, other than by reason of death or Disability that qualifies as a separation from service for purposes of Section 409A. A Qualified Separation from Service will be deemed to occur where the Executive and the Company reasonably anticipate that the bona fide level of services that the Executive will perform (whether as an employee or as an independent contractor) for the Company will be permanently reduced to a level that is less than thirty-seven and a half percent (37.5%) of the average level of bona fide services the Executive performed during the 36 months period immediately preceding termination (or the entire period the Executive has provided services if the Executive has been providing services to the Company for less than 36 months.) The Executive shall not be considered to have had a Qualified Separation from Service as a result of a transfer from one Company business unit to another Company business unit. A Change in Control Termination shall be treated as a Qualified Separation from Service.</w:t>
      </w:r>
    </w:p>
    <w:p>
      <w:pPr>
        <w:spacing w:after="0" w:line="37" w:lineRule="exact"/>
        <w:rPr>
          <w:rFonts w:ascii="Arial" w:cs="Arial" w:eastAsia="Arial" w:hAnsi="Arial"/>
          <w:sz w:val="16"/>
          <w:szCs w:val="16"/>
          <w:color w:val="auto"/>
        </w:rPr>
      </w:pPr>
    </w:p>
    <w:p>
      <w:pPr>
        <w:ind w:left="446" w:right="300" w:hanging="446"/>
        <w:spacing w:after="0" w:line="268"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“Termination for Cause” means a decision by the Company to terminate the Executive’s employment because the Executive: (i) is convicted of a crime related to </w:t>
      </w:r>
      <w:r>
        <w:rPr>
          <w:rFonts w:ascii="Arial" w:cs="Arial" w:eastAsia="Arial" w:hAnsi="Arial"/>
          <w:sz w:val="18"/>
          <w:szCs w:val="18"/>
          <w:b w:val="1"/>
          <w:bCs w:val="1"/>
          <w:color w:val="auto"/>
        </w:rPr>
        <w:t>[his/her]</w:t>
      </w:r>
      <w:r>
        <w:rPr>
          <w:rFonts w:ascii="Arial" w:cs="Arial" w:eastAsia="Arial" w:hAnsi="Arial"/>
          <w:sz w:val="18"/>
          <w:szCs w:val="18"/>
          <w:color w:val="auto"/>
        </w:rPr>
        <w:t xml:space="preserve"> employment, including but not limited to fraud,</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6"/>
          </w:cols>
          <w:pgMar w:left="694" w:top="280" w:right="27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theft, or embezzlement, or any other action which results in or is intended to result in the Executive’s enrichment or benefit at the expense of the Company; (ii) commits an act of fraud upon the Company; (iii) misappropriates funds or property of the Company; (iv) materially violates the Company’s policy concerning conflicts of interest or business ethics; (v) materially violates the Company’s anti-discrimination, sexual harassment or related employment policies; or (vi) engages in one or more acts of gross negligence or dereliction in the performance of </w:t>
      </w:r>
      <w:r>
        <w:rPr>
          <w:rFonts w:ascii="Arial" w:cs="Arial" w:eastAsia="Arial" w:hAnsi="Arial"/>
          <w:sz w:val="18"/>
          <w:szCs w:val="18"/>
          <w:b w:val="1"/>
          <w:bCs w:val="1"/>
          <w:color w:val="auto"/>
        </w:rPr>
        <w:t>[his/her]</w:t>
      </w:r>
      <w:r>
        <w:rPr>
          <w:rFonts w:ascii="Arial" w:cs="Arial" w:eastAsia="Arial" w:hAnsi="Arial"/>
          <w:sz w:val="18"/>
          <w:szCs w:val="18"/>
          <w:color w:val="auto"/>
        </w:rPr>
        <w:t xml:space="preserve"> job responsibilities.</w:t>
      </w:r>
    </w:p>
    <w:p>
      <w:pPr>
        <w:spacing w:after="0" w:line="1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80" w:right="279" w:bottom="1440" w:gutter="0" w:footer="0" w:header="0"/>
        </w:sectPr>
      </w:pPr>
    </w:p>
    <w:bookmarkStart w:id="54" w:name="page55"/>
    <w:bookmarkEnd w:id="5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B</w:t>
      </w:r>
    </w:p>
    <w:p>
      <w:pPr>
        <w:spacing w:after="0" w:line="177" w:lineRule="exact"/>
        <w:rPr>
          <w:sz w:val="20"/>
          <w:szCs w:val="20"/>
          <w:color w:val="auto"/>
        </w:rPr>
      </w:pPr>
    </w:p>
    <w:p>
      <w:pPr>
        <w:jc w:val="center"/>
        <w:ind w:left="540" w:right="120"/>
        <w:spacing w:after="0" w:line="370" w:lineRule="auto"/>
        <w:rPr>
          <w:sz w:val="20"/>
          <w:szCs w:val="20"/>
          <w:color w:val="auto"/>
        </w:rPr>
      </w:pPr>
      <w:r>
        <w:rPr>
          <w:rFonts w:ascii="Arial" w:cs="Arial" w:eastAsia="Arial" w:hAnsi="Arial"/>
          <w:sz w:val="15"/>
          <w:szCs w:val="15"/>
          <w:i w:val="1"/>
          <w:iCs w:val="1"/>
          <w:u w:val="single" w:color="auto"/>
          <w:color w:val="auto"/>
        </w:rPr>
        <w:t>Note: This model agreement contains certain alternative clauses applicable to different facts and circumstances such as age, reason for termination or applicability of Section 409A. The formula for determining the amount of the severance payment payments and benefits remain the same in all cases.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ELG STANDARD SEPARATION AGREEMENT</w:t>
      </w:r>
    </w:p>
    <w:p>
      <w:pPr>
        <w:spacing w:after="0" w:line="177" w:lineRule="exact"/>
        <w:rPr>
          <w:sz w:val="20"/>
          <w:szCs w:val="20"/>
          <w:color w:val="auto"/>
        </w:rPr>
      </w:pPr>
    </w:p>
    <w:p>
      <w:pPr>
        <w:ind w:left="460"/>
        <w:spacing w:after="0"/>
        <w:tabs>
          <w:tab w:leader="none" w:pos="5140" w:val="left"/>
        </w:tabs>
        <w:rPr>
          <w:sz w:val="20"/>
          <w:szCs w:val="20"/>
          <w:color w:val="auto"/>
        </w:rPr>
      </w:pPr>
      <w:r>
        <w:rPr>
          <w:rFonts w:ascii="Arial" w:cs="Arial" w:eastAsia="Arial" w:hAnsi="Arial"/>
          <w:sz w:val="18"/>
          <w:szCs w:val="18"/>
          <w:color w:val="auto"/>
        </w:rPr>
        <w:t>SEPARATION AGREEMENT, entered into between</w:t>
      </w:r>
      <w:r>
        <w:rPr>
          <w:sz w:val="20"/>
          <w:szCs w:val="20"/>
          <w:color w:val="auto"/>
        </w:rPr>
        <w:tab/>
      </w:r>
      <w:r>
        <w:rPr>
          <w:rFonts w:ascii="Arial" w:cs="Arial" w:eastAsia="Arial" w:hAnsi="Arial"/>
          <w:sz w:val="16"/>
          <w:szCs w:val="16"/>
          <w:color w:val="auto"/>
        </w:rPr>
        <w:t>(hereinafter, the “Executive”), and UNITED TECHNOLOGIES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-13970</wp:posOffset>
            </wp:positionV>
            <wp:extent cx="5575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80"/>
        <w:spacing w:after="0" w:line="261" w:lineRule="auto"/>
        <w:rPr>
          <w:sz w:val="20"/>
          <w:szCs w:val="20"/>
          <w:color w:val="auto"/>
        </w:rPr>
      </w:pPr>
      <w:r>
        <w:rPr>
          <w:rFonts w:ascii="Arial" w:cs="Arial" w:eastAsia="Arial" w:hAnsi="Arial"/>
          <w:sz w:val="18"/>
          <w:szCs w:val="18"/>
          <w:color w:val="auto"/>
        </w:rPr>
        <w:t>Delaware corporation, with an office and place of business at Hartford, Connecticut (United Technologies Corporation and all its subsidiaries, affiliates and divisions are hereinafter referred to as the “Company”).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Executive and Company agree that the Executive’s employment with the Company will terminate; and</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WHEREAS, parties wish to set forth their mutual understanding concerning the terms and conditions relative to the termination of the Executive’s employment with the Company; and</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WHEREAS, the Executive has committed to membership in the Company’s Executive Leadership Group (the “ELG”), which commitment signifies, among other things, the Executive’s acceptance of the terms and conditions of the ELG Standard Separation Arrangement;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hereby mutually agreed as follows:</w:t>
      </w:r>
    </w:p>
    <w:p>
      <w:pPr>
        <w:spacing w:after="0" w:line="90" w:lineRule="exact"/>
        <w:rPr>
          <w:sz w:val="20"/>
          <w:szCs w:val="20"/>
          <w:color w:val="auto"/>
        </w:rPr>
      </w:pPr>
    </w:p>
    <w:p>
      <w:pPr>
        <w:spacing w:after="0"/>
        <w:tabs>
          <w:tab w:leader="none" w:pos="380" w:val="left"/>
          <w:tab w:leader="none" w:pos="900" w:val="left"/>
          <w:tab w:leader="none" w:pos="6940" w:val="left"/>
        </w:tabs>
        <w:rPr>
          <w:sz w:val="20"/>
          <w:szCs w:val="20"/>
          <w:color w:val="auto"/>
        </w:rPr>
      </w:pPr>
      <w:r>
        <w:rPr>
          <w:rFonts w:ascii="Arial" w:cs="Arial" w:eastAsia="Arial" w:hAnsi="Arial"/>
          <w:sz w:val="18"/>
          <w:szCs w:val="18"/>
          <w:color w:val="auto"/>
        </w:rPr>
        <w:t>1.</w:t>
        <w:tab/>
        <w:t>a)</w:t>
      </w:r>
      <w:r>
        <w:rPr>
          <w:sz w:val="20"/>
          <w:szCs w:val="20"/>
          <w:color w:val="auto"/>
        </w:rPr>
        <w:tab/>
      </w:r>
      <w:r>
        <w:rPr>
          <w:rFonts w:ascii="Arial" w:cs="Arial" w:eastAsia="Arial" w:hAnsi="Arial"/>
          <w:sz w:val="18"/>
          <w:szCs w:val="18"/>
          <w:color w:val="auto"/>
        </w:rPr>
        <w:t>The Executive’s employment with the Company will terminate effective</w:t>
      </w:r>
      <w:r>
        <w:rPr>
          <w:sz w:val="20"/>
          <w:szCs w:val="20"/>
          <w:color w:val="auto"/>
        </w:rPr>
        <w:tab/>
      </w:r>
      <w:r>
        <w:rPr>
          <w:rFonts w:ascii="Arial" w:cs="Arial" w:eastAsia="Arial" w:hAnsi="Arial"/>
          <w:sz w:val="16"/>
          <w:szCs w:val="16"/>
          <w:color w:val="auto"/>
        </w:rPr>
        <w:t>(the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-13970</wp:posOffset>
            </wp:positionV>
            <wp:extent cx="5575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78" w:lineRule="exact"/>
        <w:rPr>
          <w:sz w:val="20"/>
          <w:szCs w:val="20"/>
          <w:color w:val="auto"/>
        </w:rPr>
      </w:pPr>
    </w:p>
    <w:p>
      <w:pPr>
        <w:ind w:left="90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parties agree that the termination of the Executive’s employment is </w:t>
      </w:r>
      <w:r>
        <w:rPr>
          <w:rFonts w:ascii="Arial" w:cs="Arial" w:eastAsia="Arial" w:hAnsi="Arial"/>
          <w:sz w:val="18"/>
          <w:szCs w:val="18"/>
          <w:b w:val="1"/>
          <w:bCs w:val="1"/>
          <w:color w:val="auto"/>
        </w:rPr>
        <w:t>[Mutually Agreeable] [a Change in Control Termination]</w:t>
      </w:r>
      <w:r>
        <w:rPr>
          <w:rFonts w:ascii="Arial" w:cs="Arial" w:eastAsia="Arial" w:hAnsi="Arial"/>
          <w:sz w:val="18"/>
          <w:szCs w:val="18"/>
          <w:color w:val="auto"/>
        </w:rPr>
        <w:t xml:space="preserve"> entitling the Executive to ELG Standard Separation Arrangement severance benefits.</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274" w:right="539" w:bottom="1440" w:gutter="0" w:footer="0" w:header="0"/>
        </w:sectPr>
      </w:pPr>
    </w:p>
    <w:bookmarkStart w:id="55" w:name="page56"/>
    <w:bookmarkEnd w:id="55"/>
    <w:p>
      <w:pPr>
        <w:ind w:left="390" w:hanging="390"/>
        <w:spacing w:after="0"/>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 xml:space="preserve">The ELG severance benefit equals $ </w:t>
      </w:r>
      <w:r>
        <w:rPr>
          <w:rFonts w:ascii="Arial" w:cs="Arial" w:eastAsia="Arial" w:hAnsi="Arial"/>
          <w:sz w:val="15"/>
          <w:szCs w:val="15"/>
          <w:b w:val="1"/>
          <w:bCs w:val="1"/>
          <w:color w:val="auto"/>
        </w:rPr>
        <w:t>[2.5X base salary]</w:t>
      </w:r>
      <w:r>
        <w:rPr>
          <w:rFonts w:ascii="Arial" w:cs="Arial" w:eastAsia="Arial" w:hAnsi="Arial"/>
          <w:sz w:val="15"/>
          <w:szCs w:val="15"/>
          <w:color w:val="auto"/>
        </w:rPr>
        <w:t xml:space="preserve"> (the “Severance Benefit”).</w:t>
      </w:r>
    </w:p>
    <w:p>
      <w:pPr>
        <w:spacing w:after="0" w:line="87" w:lineRule="exact"/>
        <w:rPr>
          <w:sz w:val="20"/>
          <w:szCs w:val="20"/>
          <w:color w:val="auto"/>
        </w:rPr>
      </w:pPr>
    </w:p>
    <w:tbl>
      <w:tblPr>
        <w:tblLayout w:type="fixed"/>
        <w:tblInd w:w="45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8760" w:type="dxa"/>
            <w:vAlign w:val="bottom"/>
          </w:tcPr>
          <w:p>
            <w:pPr>
              <w:ind w:left="160"/>
              <w:spacing w:after="0"/>
              <w:rPr>
                <w:sz w:val="20"/>
                <w:szCs w:val="20"/>
                <w:color w:val="auto"/>
              </w:rPr>
            </w:pPr>
            <w:r>
              <w:rPr>
                <w:rFonts w:ascii="Arial" w:cs="Arial" w:eastAsia="Arial" w:hAnsi="Arial"/>
                <w:sz w:val="18"/>
                <w:szCs w:val="18"/>
                <w:color w:val="auto"/>
                <w:w w:val="89"/>
              </w:rPr>
              <w:t>The Company will pay the Severance Benefit in a single lump sum equal to (less applicable tax withholdings) on or about</w:t>
            </w:r>
          </w:p>
        </w:tc>
        <w:tc>
          <w:tcPr>
            <w:tcW w:w="440" w:type="dxa"/>
            <w:vAlign w:val="bottom"/>
            <w:gridSpan w:val="2"/>
          </w:tcPr>
          <w:p>
            <w:pPr>
              <w:spacing w:after="0"/>
              <w:rPr>
                <w:sz w:val="17"/>
                <w:szCs w:val="17"/>
                <w:color w:val="auto"/>
              </w:rPr>
            </w:pPr>
          </w:p>
        </w:tc>
        <w:tc>
          <w:tcPr>
            <w:tcW w:w="1440" w:type="dxa"/>
            <w:vAlign w:val="bottom"/>
            <w:gridSpan w:val="4"/>
          </w:tcPr>
          <w:p>
            <w:pPr>
              <w:jc w:val="center"/>
              <w:ind w:left="12"/>
              <w:spacing w:after="0"/>
              <w:rPr>
                <w:sz w:val="20"/>
                <w:szCs w:val="20"/>
                <w:color w:val="auto"/>
              </w:rPr>
            </w:pP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[For the purpose</w:t>
            </w:r>
          </w:p>
        </w:tc>
      </w:tr>
      <w:tr>
        <w:trPr>
          <w:trHeight w:val="20"/>
        </w:trPr>
        <w:tc>
          <w:tcPr>
            <w:tcW w:w="2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920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w w:val="88"/>
              </w:rPr>
              <w:t>of complying with Internal Revenue Code Section 409A (“Section 409A”), this payment will be delayed until on or about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Pr>
          <w:p>
            <w:pPr>
              <w:spacing w:after="0" w:line="196" w:lineRule="exact"/>
              <w:rPr>
                <w:sz w:val="20"/>
                <w:szCs w:val="20"/>
                <w:color w:val="auto"/>
              </w:rPr>
            </w:pPr>
            <w:r>
              <w:rPr>
                <w:rFonts w:ascii="Arial" w:cs="Arial" w:eastAsia="Arial" w:hAnsi="Arial"/>
                <w:sz w:val="18"/>
                <w:szCs w:val="18"/>
                <w:b w:val="1"/>
                <w:bCs w:val="1"/>
                <w:color w:val="auto"/>
              </w:rPr>
              <w:t>. The</w:t>
            </w:r>
          </w:p>
        </w:tc>
      </w:tr>
      <w:tr>
        <w:trPr>
          <w:trHeight w:val="196"/>
        </w:trPr>
        <w:tc>
          <w:tcPr>
            <w:tcW w:w="280" w:type="dxa"/>
            <w:vAlign w:val="bottom"/>
          </w:tcPr>
          <w:p>
            <w:pPr>
              <w:spacing w:after="0"/>
              <w:rPr>
                <w:sz w:val="17"/>
                <w:szCs w:val="17"/>
                <w:color w:val="auto"/>
              </w:rPr>
            </w:pPr>
          </w:p>
        </w:tc>
        <w:tc>
          <w:tcPr>
            <w:tcW w:w="888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w w:val="88"/>
              </w:rPr>
              <w:t>deferred Severance Benefit will be credited with interest in respect of the period from the Termination Date through</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9"/>
              </w:rPr>
              <w:t>at a rate equal</w:t>
            </w:r>
          </w:p>
        </w:tc>
      </w:tr>
    </w:tbl>
    <w:p>
      <w:pPr>
        <w:spacing w:after="0" w:line="13" w:lineRule="exact"/>
        <w:rPr>
          <w:sz w:val="20"/>
          <w:szCs w:val="20"/>
          <w:color w:val="auto"/>
        </w:rPr>
      </w:pPr>
    </w:p>
    <w:p>
      <w:pPr>
        <w:ind w:left="890" w:right="460"/>
        <w:spacing w:after="0" w:line="338" w:lineRule="auto"/>
        <w:rPr>
          <w:sz w:val="20"/>
          <w:szCs w:val="20"/>
          <w:color w:val="auto"/>
        </w:rPr>
      </w:pPr>
      <w:r>
        <w:rPr>
          <w:rFonts w:ascii="Arial" w:cs="Arial" w:eastAsia="Arial" w:hAnsi="Arial"/>
          <w:sz w:val="16"/>
          <w:szCs w:val="16"/>
          <w:b w:val="1"/>
          <w:bCs w:val="1"/>
          <w:color w:val="auto"/>
        </w:rPr>
        <w:t>to the rate credited on the fixed income account in the Company’s Deferred Compensation Plan]</w:t>
      </w:r>
      <w:r>
        <w:rPr>
          <w:rFonts w:ascii="Arial" w:cs="Arial" w:eastAsia="Arial" w:hAnsi="Arial"/>
          <w:sz w:val="16"/>
          <w:szCs w:val="16"/>
          <w:color w:val="auto"/>
        </w:rPr>
        <w:t>. The Executive acknowledges</w:t>
      </w:r>
      <w:r>
        <w:rPr>
          <w:rFonts w:ascii="Arial" w:cs="Arial" w:eastAsia="Arial" w:hAnsi="Arial"/>
          <w:sz w:val="16"/>
          <w:szCs w:val="16"/>
          <w:b w:val="1"/>
          <w:bCs w:val="1"/>
          <w:color w:val="auto"/>
        </w:rPr>
        <w:t xml:space="preserve"> [his/her] </w:t>
      </w:r>
      <w:r>
        <w:rPr>
          <w:rFonts w:ascii="Arial" w:cs="Arial" w:eastAsia="Arial" w:hAnsi="Arial"/>
          <w:sz w:val="16"/>
          <w:szCs w:val="16"/>
          <w:color w:val="auto"/>
        </w:rPr>
        <w:t xml:space="preserve">understanding that these payments are provided in consideration of </w:t>
      </w:r>
      <w:r>
        <w:rPr>
          <w:rFonts w:ascii="Arial" w:cs="Arial" w:eastAsia="Arial" w:hAnsi="Arial"/>
          <w:sz w:val="16"/>
          <w:szCs w:val="16"/>
          <w:b w:val="1"/>
          <w:bCs w:val="1"/>
          <w:color w:val="auto"/>
        </w:rPr>
        <w:t>[his/her]</w:t>
      </w:r>
      <w:r>
        <w:rPr>
          <w:rFonts w:ascii="Arial" w:cs="Arial" w:eastAsia="Arial" w:hAnsi="Arial"/>
          <w:sz w:val="16"/>
          <w:szCs w:val="16"/>
          <w:color w:val="auto"/>
        </w:rPr>
        <w:t xml:space="preserve"> obligations under this Agreement.</w:t>
      </w:r>
    </w:p>
    <w:p>
      <w:pPr>
        <w:spacing w:after="0" w:line="1" w:lineRule="exact"/>
        <w:rPr>
          <w:sz w:val="20"/>
          <w:szCs w:val="20"/>
          <w:color w:val="auto"/>
        </w:rPr>
      </w:pPr>
    </w:p>
    <w:p>
      <w:pPr>
        <w:ind w:left="890" w:right="520" w:hanging="446"/>
        <w:spacing w:after="0" w:line="330" w:lineRule="auto"/>
        <w:tabs>
          <w:tab w:leader="none" w:pos="8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Executive understands and agrees that no part of the payments described in sub-section (b) above will be treated as compensation for any purpose under any of the retirement, savings or other employee benefit plans in which </w:t>
      </w:r>
      <w:r>
        <w:rPr>
          <w:rFonts w:ascii="Arial" w:cs="Arial" w:eastAsia="Arial" w:hAnsi="Arial"/>
          <w:sz w:val="16"/>
          <w:szCs w:val="16"/>
          <w:b w:val="1"/>
          <w:bCs w:val="1"/>
          <w:color w:val="auto"/>
        </w:rPr>
        <w:t>[he/she]</w:t>
      </w:r>
      <w:r>
        <w:rPr>
          <w:rFonts w:ascii="Arial" w:cs="Arial" w:eastAsia="Arial" w:hAnsi="Arial"/>
          <w:sz w:val="16"/>
          <w:szCs w:val="16"/>
          <w:color w:val="auto"/>
        </w:rPr>
        <w:t xml:space="preserve"> participated.</w:t>
      </w:r>
    </w:p>
    <w:p>
      <w:pPr>
        <w:spacing w:after="0" w:line="1" w:lineRule="exact"/>
        <w:rPr>
          <w:rFonts w:ascii="Arial" w:cs="Arial" w:eastAsia="Arial" w:hAnsi="Arial"/>
          <w:sz w:val="16"/>
          <w:szCs w:val="16"/>
          <w:color w:val="auto"/>
        </w:rPr>
      </w:pPr>
    </w:p>
    <w:p>
      <w:pPr>
        <w:ind w:left="890" w:right="60" w:hanging="446"/>
        <w:spacing w:after="0" w:line="301" w:lineRule="auto"/>
        <w:tabs>
          <w:tab w:leader="none" w:pos="8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Executive </w:t>
      </w:r>
      <w:r>
        <w:rPr>
          <w:rFonts w:ascii="Arial" w:cs="Arial" w:eastAsia="Arial" w:hAnsi="Arial"/>
          <w:sz w:val="16"/>
          <w:szCs w:val="16"/>
          <w:b w:val="1"/>
          <w:bCs w:val="1"/>
          <w:color w:val="auto"/>
        </w:rPr>
        <w:t>[has] [has not]</w:t>
      </w:r>
      <w:r>
        <w:rPr>
          <w:rFonts w:ascii="Arial" w:cs="Arial" w:eastAsia="Arial" w:hAnsi="Arial"/>
          <w:sz w:val="16"/>
          <w:szCs w:val="16"/>
          <w:color w:val="auto"/>
        </w:rPr>
        <w:t xml:space="preserve"> vested in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ELG life insurance benefit and </w:t>
      </w:r>
      <w:r>
        <w:rPr>
          <w:rFonts w:ascii="Arial" w:cs="Arial" w:eastAsia="Arial" w:hAnsi="Arial"/>
          <w:sz w:val="16"/>
          <w:szCs w:val="16"/>
          <w:b w:val="1"/>
          <w:bCs w:val="1"/>
          <w:color w:val="auto"/>
        </w:rPr>
        <w:t>[will] [will not]</w:t>
      </w:r>
      <w:r>
        <w:rPr>
          <w:rFonts w:ascii="Arial" w:cs="Arial" w:eastAsia="Arial" w:hAnsi="Arial"/>
          <w:sz w:val="16"/>
          <w:szCs w:val="16"/>
          <w:color w:val="auto"/>
        </w:rPr>
        <w:t xml:space="preserve"> be entitled to elect post retirement coverage benefits in accordance with the terms of the program. The Executive and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eligible dependents will remain eligible to participate in the Company’s healthcare plan for 12 months following the Termination Date (or the date </w:t>
      </w:r>
      <w:r>
        <w:rPr>
          <w:rFonts w:ascii="Arial" w:cs="Arial" w:eastAsia="Arial" w:hAnsi="Arial"/>
          <w:sz w:val="16"/>
          <w:szCs w:val="16"/>
          <w:b w:val="1"/>
          <w:bCs w:val="1"/>
          <w:color w:val="auto"/>
        </w:rPr>
        <w:t>[he/she]</w:t>
      </w:r>
      <w:r>
        <w:rPr>
          <w:rFonts w:ascii="Arial" w:cs="Arial" w:eastAsia="Arial" w:hAnsi="Arial"/>
          <w:sz w:val="16"/>
          <w:szCs w:val="16"/>
          <w:color w:val="auto"/>
        </w:rPr>
        <w:t xml:space="preserve"> commences new employment, if sooner). Thereafter, </w:t>
      </w:r>
      <w:r>
        <w:rPr>
          <w:rFonts w:ascii="Arial" w:cs="Arial" w:eastAsia="Arial" w:hAnsi="Arial"/>
          <w:sz w:val="16"/>
          <w:szCs w:val="16"/>
          <w:b w:val="1"/>
          <w:bCs w:val="1"/>
          <w:color w:val="auto"/>
        </w:rPr>
        <w:t xml:space="preserve">[he/she] </w:t>
      </w:r>
      <w:r>
        <w:rPr>
          <w:rFonts w:ascii="Arial" w:cs="Arial" w:eastAsia="Arial" w:hAnsi="Arial"/>
          <w:sz w:val="16"/>
          <w:szCs w:val="16"/>
          <w:color w:val="auto"/>
        </w:rPr>
        <w:t>may continue such coverage in accordance with the plan’s “COBRA” continuation provisions at</w:t>
      </w:r>
      <w:r>
        <w:rPr>
          <w:rFonts w:ascii="Arial" w:cs="Arial" w:eastAsia="Arial" w:hAnsi="Arial"/>
          <w:sz w:val="16"/>
          <w:szCs w:val="16"/>
          <w:b w:val="1"/>
          <w:bCs w:val="1"/>
          <w:color w:val="auto"/>
        </w:rPr>
        <w:t xml:space="preserve"> [his/her] </w:t>
      </w:r>
      <w:r>
        <w:rPr>
          <w:rFonts w:ascii="Arial" w:cs="Arial" w:eastAsia="Arial" w:hAnsi="Arial"/>
          <w:sz w:val="16"/>
          <w:szCs w:val="16"/>
          <w:color w:val="auto"/>
        </w:rPr>
        <w:t>expense.</w:t>
      </w:r>
    </w:p>
    <w:p>
      <w:pPr>
        <w:spacing w:after="0" w:line="28" w:lineRule="exact"/>
        <w:rPr>
          <w:rFonts w:ascii="Arial" w:cs="Arial" w:eastAsia="Arial" w:hAnsi="Arial"/>
          <w:sz w:val="16"/>
          <w:szCs w:val="16"/>
          <w:color w:val="auto"/>
        </w:rPr>
      </w:pPr>
    </w:p>
    <w:p>
      <w:pPr>
        <w:ind w:left="890" w:right="140" w:hanging="446"/>
        <w:spacing w:after="0" w:line="298" w:lineRule="auto"/>
        <w:tabs>
          <w:tab w:leader="none" w:pos="8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All stock options, stock appreciation rights, dividend equivalent awards, performance share units and other long-term incentive awards that have been held for less than </w:t>
      </w:r>
      <w:r>
        <w:rPr>
          <w:rFonts w:ascii="Arial" w:cs="Arial" w:eastAsia="Arial" w:hAnsi="Arial"/>
          <w:sz w:val="16"/>
          <w:szCs w:val="16"/>
          <w:b w:val="1"/>
          <w:bCs w:val="1"/>
          <w:color w:val="auto"/>
        </w:rPr>
        <w:t>[one year] [three years]</w:t>
      </w:r>
      <w:r>
        <w:rPr>
          <w:rFonts w:ascii="Arial" w:cs="Arial" w:eastAsia="Arial" w:hAnsi="Arial"/>
          <w:sz w:val="16"/>
          <w:szCs w:val="16"/>
          <w:color w:val="auto"/>
        </w:rPr>
        <w:t xml:space="preserve"> as of the Termination Date will be canceled without any payment or other consideration. Vested stock options and stock appreciation rights may be exercised for the period specified in award agreement following the Termination Date, provided however, that no award may be exercised after its expiration date. The treatment of long-term incentive awards is in all cases subject</w:t>
      </w:r>
    </w:p>
    <w:p>
      <w:pPr>
        <w:spacing w:after="0" w:line="9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0"/>
          </w:cols>
          <w:pgMar w:left="250" w:top="274" w:right="279" w:bottom="1440" w:gutter="0" w:footer="0" w:header="0"/>
        </w:sectPr>
      </w:pPr>
    </w:p>
    <w:bookmarkStart w:id="56" w:name="page57"/>
    <w:bookmarkEnd w:id="56"/>
    <w:p>
      <w:pPr>
        <w:jc w:val="both"/>
        <w:ind w:left="91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and governed by the terms and conditions of the applicable long term incentive plan document and the schedule of terms applicable to each award. [Note: Long Term Incentive Plan provisions may provide for accelerated vesting in the event of a termination following a Change in Control or after eligibility for early retirement (i.e. age 55 with at least 10 years of service or qualifying for the “rule of 65”).</w:t>
      </w:r>
    </w:p>
    <w:p>
      <w:pPr>
        <w:spacing w:after="0" w:line="20" w:lineRule="exact"/>
        <w:rPr>
          <w:sz w:val="20"/>
          <w:szCs w:val="20"/>
          <w:color w:val="auto"/>
        </w:rPr>
      </w:pPr>
    </w:p>
    <w:p>
      <w:pPr>
        <w:ind w:left="450"/>
        <w:spacing w:after="0"/>
        <w:tabs>
          <w:tab w:leader="none" w:pos="870" w:val="left"/>
          <w:tab w:leader="none" w:pos="6990" w:val="left"/>
          <w:tab w:leader="none" w:pos="845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 xml:space="preserve">The Executive </w:t>
      </w:r>
      <w:r>
        <w:rPr>
          <w:rFonts w:ascii="Arial" w:cs="Arial" w:eastAsia="Arial" w:hAnsi="Arial"/>
          <w:sz w:val="18"/>
          <w:szCs w:val="18"/>
          <w:b w:val="1"/>
          <w:bCs w:val="1"/>
          <w:color w:val="auto"/>
        </w:rPr>
        <w:t>[will/will not]</w:t>
      </w:r>
      <w:r>
        <w:rPr>
          <w:rFonts w:ascii="Arial" w:cs="Arial" w:eastAsia="Arial" w:hAnsi="Arial"/>
          <w:sz w:val="18"/>
          <w:szCs w:val="18"/>
          <w:color w:val="auto"/>
        </w:rPr>
        <w:t xml:space="preserve"> be eligible for an incentive compensation award in 20</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20</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-10160</wp:posOffset>
            </wp:positionV>
            <wp:extent cx="1117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890" w:right="80" w:hanging="446"/>
        <w:spacing w:after="0" w:line="338" w:lineRule="auto"/>
        <w:tabs>
          <w:tab w:leader="none" w:pos="8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The Executive may purchase </w:t>
      </w:r>
      <w:r>
        <w:rPr>
          <w:rFonts w:ascii="Arial" w:cs="Arial" w:eastAsia="Arial" w:hAnsi="Arial"/>
          <w:sz w:val="16"/>
          <w:szCs w:val="16"/>
          <w:b w:val="1"/>
          <w:bCs w:val="1"/>
          <w:color w:val="auto"/>
        </w:rPr>
        <w:t>[his/her]</w:t>
      </w:r>
      <w:r>
        <w:rPr>
          <w:rFonts w:ascii="Arial" w:cs="Arial" w:eastAsia="Arial" w:hAnsi="Arial"/>
          <w:sz w:val="16"/>
          <w:szCs w:val="16"/>
          <w:color w:val="auto"/>
        </w:rPr>
        <w:t xml:space="preserve"> Company leased vehicle on or before the Termination Date in accordance with standard program procedures. The Executive will be responsible for any tax liability that may result from imputed income in connection with such purchase.</w:t>
      </w:r>
    </w:p>
    <w:p>
      <w:pPr>
        <w:ind w:left="890" w:hanging="446"/>
        <w:spacing w:after="0" w:line="268" w:lineRule="auto"/>
        <w:tabs>
          <w:tab w:leader="none" w:pos="8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amounts previously deferred under the ELG Perquisite Program will be distributed to the Executive in accordance with the Executive’s elections and Section 409A.</w:t>
      </w:r>
    </w:p>
    <w:p>
      <w:pPr>
        <w:spacing w:after="0" w:line="50" w:lineRule="exact"/>
        <w:rPr>
          <w:rFonts w:ascii="Arial" w:cs="Arial" w:eastAsia="Arial" w:hAnsi="Arial"/>
          <w:sz w:val="18"/>
          <w:szCs w:val="18"/>
          <w:color w:val="auto"/>
        </w:rPr>
      </w:pPr>
    </w:p>
    <w:p>
      <w:pPr>
        <w:ind w:left="910" w:right="20" w:hanging="910"/>
        <w:spacing w:after="0" w:line="288"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 xml:space="preserve">The Executive hereby agrees to release the Company, its subsidiaries, divisions, present or former employees, officers and directors from all claims or demands the Executive may have arising from or relating to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with the Company or the termination of that employment. This includes a release of any rights or claims the Executive may have under the Age Discrimination in Employment Act of 1967, as amended, which prohibits age discrimination in employment; Title VII of the Civil Rights Act of 1964, as amended, which prohibits discrimination in employment based on race, color, national origin, religion or sex; the Equal Pay Act, which prohibits paying men and women unequal pay for equal work; the Americans with Disabilities Act which prohibits discrimination on the basis of handicap; the Employee Retirement Income Security Act of 1974, as amended, which prohibits discrimination on the basis of eligibility to receive benefits and any other federal, state or local laws or regulations prohibiting employment discrimination. This release also includes a release by the Executive of any claims or actions for wrongful discharge based on statute, regulation, contract, tort, common or civil law or otherwise.</w:t>
      </w:r>
    </w:p>
    <w:p>
      <w:pPr>
        <w:spacing w:after="0" w:line="10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0"/>
          </w:cols>
          <w:pgMar w:left="250" w:top="280" w:right="259" w:bottom="1440" w:gutter="0" w:footer="0" w:header="0"/>
        </w:sectPr>
      </w:pPr>
    </w:p>
    <w:bookmarkStart w:id="57" w:name="page58"/>
    <w:bookmarkEnd w:id="57"/>
    <w:p>
      <w:pPr>
        <w:ind w:left="446" w:right="60" w:hanging="446"/>
        <w:spacing w:after="0" w:line="256"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covers all claims based on any facts or events, whether known or unknown by the Executive that occurred on or before the effective date of this Agreement. The Executive will notify the Company of any claims that may arise after the effective date of this Agreement but before the Termination Date and ratify the release and waiver, effective as of the Termination Date, following resolution of any claims as a pre-condition to receiving the benefits provided for in Section 2 herein.</w:t>
      </w:r>
    </w:p>
    <w:p>
      <w:pPr>
        <w:spacing w:after="0" w:line="62"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This Release does not include, however, a release of the Executive’s rights to any vested pension, deferred compensation, health or similar benefits to which </w:t>
      </w:r>
      <w:r>
        <w:rPr>
          <w:rFonts w:ascii="Arial" w:cs="Arial" w:eastAsia="Arial" w:hAnsi="Arial"/>
          <w:sz w:val="16"/>
          <w:szCs w:val="16"/>
          <w:b w:val="1"/>
          <w:bCs w:val="1"/>
          <w:color w:val="auto"/>
        </w:rPr>
        <w:t>[he/she]</w:t>
      </w:r>
      <w:r>
        <w:rPr>
          <w:rFonts w:ascii="Arial" w:cs="Arial" w:eastAsia="Arial" w:hAnsi="Arial"/>
          <w:sz w:val="16"/>
          <w:szCs w:val="16"/>
          <w:color w:val="auto"/>
        </w:rPr>
        <w:t xml:space="preserve"> may be entitled in accordance with the terms of the Company employee benefit plans in which </w:t>
      </w:r>
      <w:r>
        <w:rPr>
          <w:rFonts w:ascii="Arial" w:cs="Arial" w:eastAsia="Arial" w:hAnsi="Arial"/>
          <w:sz w:val="16"/>
          <w:szCs w:val="16"/>
          <w:b w:val="1"/>
          <w:bCs w:val="1"/>
          <w:color w:val="auto"/>
        </w:rPr>
        <w:t>[he/she]</w:t>
      </w:r>
      <w:r>
        <w:rPr>
          <w:rFonts w:ascii="Arial" w:cs="Arial" w:eastAsia="Arial" w:hAnsi="Arial"/>
          <w:sz w:val="16"/>
          <w:szCs w:val="16"/>
          <w:color w:val="auto"/>
        </w:rPr>
        <w:t xml:space="preserve"> participated.</w:t>
      </w:r>
    </w:p>
    <w:p>
      <w:pPr>
        <w:spacing w:after="0" w:line="4" w:lineRule="exact"/>
        <w:rPr>
          <w:rFonts w:ascii="Arial" w:cs="Arial" w:eastAsia="Arial" w:hAnsi="Arial"/>
          <w:sz w:val="16"/>
          <w:szCs w:val="16"/>
          <w:color w:val="auto"/>
        </w:rPr>
      </w:pPr>
    </w:p>
    <w:p>
      <w:pPr>
        <w:ind w:left="446" w:right="80" w:hanging="446"/>
        <w:spacing w:after="0" w:line="306" w:lineRule="auto"/>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Nothing in this Agreement shall be construed to prohibit the Executive from filing a charge with, or participating in, any investigation or proceeding by the EEOC or comparable governmental agency. The Executive agrees, however, to waive the right to recover monetary damages in any charge, complaint or lawsuit filed by </w:t>
      </w:r>
      <w:r>
        <w:rPr>
          <w:rFonts w:ascii="Arial" w:cs="Arial" w:eastAsia="Arial" w:hAnsi="Arial"/>
          <w:sz w:val="16"/>
          <w:szCs w:val="16"/>
          <w:b w:val="1"/>
          <w:bCs w:val="1"/>
          <w:color w:val="auto"/>
        </w:rPr>
        <w:t>[him/her]</w:t>
      </w:r>
      <w:r>
        <w:rPr>
          <w:rFonts w:ascii="Arial" w:cs="Arial" w:eastAsia="Arial" w:hAnsi="Arial"/>
          <w:sz w:val="16"/>
          <w:szCs w:val="16"/>
          <w:color w:val="auto"/>
        </w:rPr>
        <w:t xml:space="preserve"> or on </w:t>
      </w:r>
      <w:r>
        <w:rPr>
          <w:rFonts w:ascii="Arial" w:cs="Arial" w:eastAsia="Arial" w:hAnsi="Arial"/>
          <w:sz w:val="16"/>
          <w:szCs w:val="16"/>
          <w:b w:val="1"/>
          <w:bCs w:val="1"/>
          <w:color w:val="auto"/>
        </w:rPr>
        <w:t>[his/her]</w:t>
      </w:r>
      <w:r>
        <w:rPr>
          <w:rFonts w:ascii="Arial" w:cs="Arial" w:eastAsia="Arial" w:hAnsi="Arial"/>
          <w:sz w:val="16"/>
          <w:szCs w:val="16"/>
          <w:color w:val="auto"/>
        </w:rPr>
        <w:t xml:space="preserve"> behalf with respect any claims released in Section 3 of this Agreement.</w:t>
      </w:r>
    </w:p>
    <w:p>
      <w:pPr>
        <w:spacing w:after="0" w:line="25" w:lineRule="exact"/>
        <w:rPr>
          <w:rFonts w:ascii="Arial" w:cs="Arial" w:eastAsia="Arial" w:hAnsi="Arial"/>
          <w:sz w:val="16"/>
          <w:szCs w:val="16"/>
          <w:color w:val="auto"/>
        </w:rPr>
      </w:pPr>
    </w:p>
    <w:p>
      <w:pPr>
        <w:ind w:left="446" w:right="80" w:hanging="446"/>
        <w:spacing w:after="0" w:line="256"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Executive understands and agrees that the amounts paid pursuant to this Agreement are in full and complete satisfaction of all severance related amounts due </w:t>
      </w:r>
      <w:r>
        <w:rPr>
          <w:rFonts w:ascii="Arial" w:cs="Arial" w:eastAsia="Arial" w:hAnsi="Arial"/>
          <w:sz w:val="18"/>
          <w:szCs w:val="18"/>
          <w:b w:val="1"/>
          <w:bCs w:val="1"/>
          <w:color w:val="auto"/>
        </w:rPr>
        <w:t>[him/her]</w:t>
      </w:r>
      <w:r>
        <w:rPr>
          <w:rFonts w:ascii="Arial" w:cs="Arial" w:eastAsia="Arial" w:hAnsi="Arial"/>
          <w:sz w:val="18"/>
          <w:szCs w:val="18"/>
          <w:color w:val="auto"/>
        </w:rPr>
        <w:t xml:space="preserve"> by the Company and that no other payments of compensation are due </w:t>
      </w:r>
      <w:r>
        <w:rPr>
          <w:rFonts w:ascii="Arial" w:cs="Arial" w:eastAsia="Arial" w:hAnsi="Arial"/>
          <w:sz w:val="18"/>
          <w:szCs w:val="18"/>
          <w:b w:val="1"/>
          <w:bCs w:val="1"/>
          <w:color w:val="auto"/>
        </w:rPr>
        <w:t>[him/her]</w:t>
      </w:r>
      <w:r>
        <w:rPr>
          <w:rFonts w:ascii="Arial" w:cs="Arial" w:eastAsia="Arial" w:hAnsi="Arial"/>
          <w:sz w:val="18"/>
          <w:szCs w:val="18"/>
          <w:color w:val="auto"/>
        </w:rPr>
        <w:t xml:space="preserve"> under the ELG or otherwise. The Executive further understands and agrees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shall not be entitled to any additional severance payments or payments in lieu of vacation, holiday or other fringe benefits.</w:t>
      </w:r>
    </w:p>
    <w:p>
      <w:pPr>
        <w:spacing w:after="0" w:line="56" w:lineRule="exact"/>
        <w:rPr>
          <w:rFonts w:ascii="Arial" w:cs="Arial" w:eastAsia="Arial" w:hAnsi="Arial"/>
          <w:sz w:val="18"/>
          <w:szCs w:val="18"/>
          <w:color w:val="auto"/>
        </w:rPr>
      </w:pPr>
    </w:p>
    <w:p>
      <w:pPr>
        <w:ind w:left="446" w:right="400" w:hanging="446"/>
        <w:spacing w:after="0" w:line="275"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After the Termination Date the Executive will cooperate with the Company with respect to matters that involved </w:t>
      </w:r>
      <w:r>
        <w:rPr>
          <w:rFonts w:ascii="Arial" w:cs="Arial" w:eastAsia="Arial" w:hAnsi="Arial"/>
          <w:sz w:val="18"/>
          <w:szCs w:val="18"/>
          <w:b w:val="1"/>
          <w:bCs w:val="1"/>
          <w:color w:val="auto"/>
        </w:rPr>
        <w:t>[him/her]</w:t>
      </w:r>
      <w:r>
        <w:rPr>
          <w:rFonts w:ascii="Arial" w:cs="Arial" w:eastAsia="Arial" w:hAnsi="Arial"/>
          <w:sz w:val="18"/>
          <w:szCs w:val="18"/>
          <w:color w:val="auto"/>
        </w:rPr>
        <w:t xml:space="preserve"> during the course of </w:t>
      </w:r>
      <w:r>
        <w:rPr>
          <w:rFonts w:ascii="Arial" w:cs="Arial" w:eastAsia="Arial" w:hAnsi="Arial"/>
          <w:sz w:val="18"/>
          <w:szCs w:val="18"/>
          <w:b w:val="1"/>
          <w:bCs w:val="1"/>
          <w:color w:val="auto"/>
        </w:rPr>
        <w:t xml:space="preserve">[his/her] </w:t>
      </w:r>
      <w:r>
        <w:rPr>
          <w:rFonts w:ascii="Arial" w:cs="Arial" w:eastAsia="Arial" w:hAnsi="Arial"/>
          <w:sz w:val="18"/>
          <w:szCs w:val="18"/>
          <w:color w:val="auto"/>
        </w:rPr>
        <w:t>employment if such cooperation is necessary or appropriate.</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58" w:name="page59"/>
    <w:bookmarkEnd w:id="58"/>
    <w:p>
      <w:pPr>
        <w:jc w:val="both"/>
        <w:ind w:left="892" w:right="100" w:hanging="446"/>
        <w:spacing w:after="0" w:line="256"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Executive agrees to resign from all committees, boards, associations and other organizations, both internal and external, to which the Executive currently belongs in </w:t>
      </w:r>
      <w:r>
        <w:rPr>
          <w:rFonts w:ascii="Arial" w:cs="Arial" w:eastAsia="Arial" w:hAnsi="Arial"/>
          <w:sz w:val="18"/>
          <w:szCs w:val="18"/>
          <w:b w:val="1"/>
          <w:bCs w:val="1"/>
          <w:color w:val="auto"/>
        </w:rPr>
        <w:t>[his/her]</w:t>
      </w:r>
      <w:r>
        <w:rPr>
          <w:rFonts w:ascii="Arial" w:cs="Arial" w:eastAsia="Arial" w:hAnsi="Arial"/>
          <w:sz w:val="18"/>
          <w:szCs w:val="18"/>
          <w:color w:val="auto"/>
        </w:rPr>
        <w:t xml:space="preserve"> capacity as a Company executive, except as mutually agreed with the Company. Following the Termination Date, the Executive will be free to join boards and affiliate with organizations provided that such affiliation will not violate any of the obligations set forth in Section 4 of this Agreement.</w:t>
      </w:r>
    </w:p>
    <w:p>
      <w:pPr>
        <w:spacing w:after="0" w:line="56" w:lineRule="exact"/>
        <w:rPr>
          <w:rFonts w:ascii="Arial" w:cs="Arial" w:eastAsia="Arial" w:hAnsi="Arial"/>
          <w:sz w:val="18"/>
          <w:szCs w:val="18"/>
          <w:color w:val="auto"/>
        </w:rPr>
      </w:pPr>
    </w:p>
    <w:p>
      <w:pPr>
        <w:ind w:left="892" w:right="220" w:hanging="446"/>
        <w:spacing w:after="0" w:line="275"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Executive is encouraged, at </w:t>
      </w:r>
      <w:r>
        <w:rPr>
          <w:rFonts w:ascii="Arial" w:cs="Arial" w:eastAsia="Arial" w:hAnsi="Arial"/>
          <w:sz w:val="18"/>
          <w:szCs w:val="18"/>
          <w:b w:val="1"/>
          <w:bCs w:val="1"/>
          <w:color w:val="auto"/>
        </w:rPr>
        <w:t>[his/her]</w:t>
      </w:r>
      <w:r>
        <w:rPr>
          <w:rFonts w:ascii="Arial" w:cs="Arial" w:eastAsia="Arial" w:hAnsi="Arial"/>
          <w:sz w:val="18"/>
          <w:szCs w:val="18"/>
          <w:color w:val="auto"/>
        </w:rPr>
        <w:t xml:space="preserve"> own expense, to consult with an attorney before signing this Agreement and acknowledges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was offered sufficient time to consider it.</w:t>
      </w:r>
    </w:p>
    <w:p>
      <w:pPr>
        <w:spacing w:after="0" w:line="44" w:lineRule="exact"/>
        <w:rPr>
          <w:rFonts w:ascii="Arial" w:cs="Arial" w:eastAsia="Arial" w:hAnsi="Arial"/>
          <w:sz w:val="18"/>
          <w:szCs w:val="18"/>
          <w:color w:val="auto"/>
        </w:rPr>
      </w:pPr>
    </w:p>
    <w:p>
      <w:pPr>
        <w:ind w:left="892" w:hanging="446"/>
        <w:spacing w:after="0"/>
        <w:tabs>
          <w:tab w:leader="none" w:pos="89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Executive may revoke this Agreement within seven (7) days of the date of the Executive’s signature. Revocation can be made by delivering a</w:t>
      </w:r>
    </w:p>
    <w:p>
      <w:pPr>
        <w:spacing w:after="0" w:line="38" w:lineRule="exact"/>
        <w:rPr>
          <w:rFonts w:ascii="Arial" w:cs="Arial" w:eastAsia="Arial" w:hAnsi="Arial"/>
          <w:sz w:val="16"/>
          <w:szCs w:val="16"/>
          <w:color w:val="auto"/>
        </w:rPr>
      </w:pPr>
    </w:p>
    <w:p>
      <w:pPr>
        <w:ind w:left="892"/>
        <w:spacing w:after="0"/>
        <w:rPr>
          <w:rFonts w:ascii="Arial" w:cs="Arial" w:eastAsia="Arial" w:hAnsi="Arial"/>
          <w:sz w:val="16"/>
          <w:szCs w:val="16"/>
          <w:color w:val="auto"/>
        </w:rPr>
      </w:pPr>
      <w:r>
        <w:rPr>
          <w:rFonts w:ascii="Arial" w:cs="Arial" w:eastAsia="Arial" w:hAnsi="Arial"/>
          <w:sz w:val="18"/>
          <w:szCs w:val="18"/>
          <w:color w:val="auto"/>
        </w:rPr>
        <w:t xml:space="preserve">written notice of revocation to </w:t>
      </w:r>
      <w:r>
        <w:rPr>
          <w:rFonts w:ascii="Arial" w:cs="Arial" w:eastAsia="Arial" w:hAnsi="Arial"/>
          <w:sz w:val="18"/>
          <w:szCs w:val="18"/>
          <w:b w:val="1"/>
          <w:bCs w:val="1"/>
          <w:color w:val="auto"/>
        </w:rPr>
        <w:t>[</w:t>
      </w:r>
      <w:r>
        <w:rPr>
          <w:rFonts w:ascii="Arial" w:cs="Arial" w:eastAsia="Arial" w:hAnsi="Arial"/>
          <w:sz w:val="15"/>
          <w:szCs w:val="15"/>
          <w:b w:val="1"/>
          <w:bCs w:val="1"/>
          <w:color w:val="auto"/>
        </w:rPr>
        <w:t>]</w:t>
      </w:r>
      <w:r>
        <w:rPr>
          <w:rFonts w:ascii="Arial" w:cs="Arial" w:eastAsia="Arial" w:hAnsi="Arial"/>
          <w:sz w:val="15"/>
          <w:szCs w:val="15"/>
          <w:color w:val="auto"/>
        </w:rPr>
        <w:t>, Senior Vice President, Human Resources and Organization, United Technologies Corp., One Financial</w:t>
      </w:r>
    </w:p>
    <w:p>
      <w:pPr>
        <w:spacing w:after="0" w:line="9" w:lineRule="exact"/>
        <w:rPr>
          <w:rFonts w:ascii="Arial" w:cs="Arial" w:eastAsia="Arial" w:hAnsi="Arial"/>
          <w:sz w:val="16"/>
          <w:szCs w:val="16"/>
          <w:color w:val="auto"/>
        </w:rPr>
      </w:pPr>
    </w:p>
    <w:p>
      <w:pPr>
        <w:ind w:left="892"/>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Plaza, Hartford, CT 06101. For this revocation to be effective, </w:t>
      </w:r>
      <w:r>
        <w:rPr>
          <w:rFonts w:ascii="Arial" w:cs="Arial" w:eastAsia="Arial" w:hAnsi="Arial"/>
          <w:sz w:val="18"/>
          <w:szCs w:val="18"/>
          <w:b w:val="1"/>
          <w:bCs w:val="1"/>
          <w:color w:val="auto"/>
        </w:rPr>
        <w:t>[ ]</w:t>
      </w:r>
      <w:r>
        <w:rPr>
          <w:rFonts w:ascii="Arial" w:cs="Arial" w:eastAsia="Arial" w:hAnsi="Arial"/>
          <w:sz w:val="18"/>
          <w:szCs w:val="18"/>
          <w:color w:val="auto"/>
        </w:rPr>
        <w:t xml:space="preserve"> must receive written notice no later than close of business on the seventh (7th) day after the Executive signs this Agreement. If the Executive revokes this Agreement, it shall not be effective or enforceable and the Executive will not receive the payment and/or benefits described herein and agrees to immediately repay to the Company the value of any benefits provided prior to revocation.</w:t>
      </w:r>
    </w:p>
    <w:p>
      <w:pPr>
        <w:spacing w:after="0" w:line="62" w:lineRule="exact"/>
        <w:rPr>
          <w:rFonts w:ascii="Arial" w:cs="Arial" w:eastAsia="Arial" w:hAnsi="Arial"/>
          <w:sz w:val="16"/>
          <w:szCs w:val="16"/>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Executive makes the following representations to and agreements with the Company;</w:t>
      </w:r>
    </w:p>
    <w:p>
      <w:pPr>
        <w:spacing w:after="0" w:line="90"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During a period beginning on the date hereof and extending for three years after the Termination Date, the Executive will not make any statements or disclose any items of information which are or may reasonably be considered to be adverse to the interests of the Company. The Executive agrees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will not disparage the Company, its executives, directors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-1234440</wp:posOffset>
            </wp:positionV>
            <wp:extent cx="334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-1097280</wp:posOffset>
            </wp:positionV>
            <wp:extent cx="3346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59" w:name="page60"/>
    <w:bookmarkEnd w:id="59"/>
    <w:p>
      <w:pPr>
        <w:ind w:left="446" w:right="80" w:hanging="446"/>
        <w:spacing w:after="0" w:line="290"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or before the Termination Date, or such other date as the parties shall mutually agree to, the Executive will return to the Company all Company Information (as defined herein), Company related reports, files, memoranda, records, credit cards, cardkey passes, garage key cards, door and file keys, computer access codes, software and other property which he received or prepared or helped to prepare in connection with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The Executive has not and will not retain any copies, duplicates, reproductions or excerpts thereof. The term “Company Information,” as used in this Agreement, means (i) confidential or proprietary information including without limitation information received from third parties under confidential or proprietary conditions; (ii) information subject to the Company’s attorney-client or work-product privilege; and (iii) other technical, business or financial information, the use or disclosure of which might reasonably be construed to be contrary to the Company’s interests.</w:t>
      </w:r>
    </w:p>
    <w:p>
      <w:pPr>
        <w:spacing w:after="0" w:line="31" w:lineRule="exact"/>
        <w:rPr>
          <w:rFonts w:ascii="Arial" w:cs="Arial" w:eastAsia="Arial" w:hAnsi="Arial"/>
          <w:sz w:val="16"/>
          <w:szCs w:val="16"/>
          <w:color w:val="auto"/>
        </w:rPr>
      </w:pPr>
    </w:p>
    <w:p>
      <w:pPr>
        <w:ind w:left="446" w:hanging="446"/>
        <w:spacing w:after="0" w:line="287"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Executive acknowledges that in the course of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employment with the Company </w:t>
      </w:r>
      <w:r>
        <w:rPr>
          <w:rFonts w:ascii="Arial" w:cs="Arial" w:eastAsia="Arial" w:hAnsi="Arial"/>
          <w:sz w:val="16"/>
          <w:szCs w:val="16"/>
          <w:b w:val="1"/>
          <w:bCs w:val="1"/>
          <w:color w:val="auto"/>
        </w:rPr>
        <w:t>[he/she]</w:t>
      </w:r>
      <w:r>
        <w:rPr>
          <w:rFonts w:ascii="Arial" w:cs="Arial" w:eastAsia="Arial" w:hAnsi="Arial"/>
          <w:sz w:val="16"/>
          <w:szCs w:val="16"/>
          <w:color w:val="auto"/>
        </w:rPr>
        <w:t xml:space="preserve"> has acquired Company Information and that such Company Information has been disclosed to </w:t>
      </w:r>
      <w:r>
        <w:rPr>
          <w:rFonts w:ascii="Arial" w:cs="Arial" w:eastAsia="Arial" w:hAnsi="Arial"/>
          <w:sz w:val="16"/>
          <w:szCs w:val="16"/>
          <w:b w:val="1"/>
          <w:bCs w:val="1"/>
          <w:color w:val="auto"/>
        </w:rPr>
        <w:t>[him/her]</w:t>
      </w:r>
      <w:r>
        <w:rPr>
          <w:rFonts w:ascii="Arial" w:cs="Arial" w:eastAsia="Arial" w:hAnsi="Arial"/>
          <w:sz w:val="16"/>
          <w:szCs w:val="16"/>
          <w:color w:val="auto"/>
        </w:rPr>
        <w:t xml:space="preserve"> in confidence and for the Company’s use only. The Executive agrees that, except as </w:t>
      </w:r>
      <w:r>
        <w:rPr>
          <w:rFonts w:ascii="Arial" w:cs="Arial" w:eastAsia="Arial" w:hAnsi="Arial"/>
          <w:sz w:val="16"/>
          <w:szCs w:val="16"/>
          <w:b w:val="1"/>
          <w:bCs w:val="1"/>
          <w:color w:val="auto"/>
        </w:rPr>
        <w:t xml:space="preserve">[he/she] </w:t>
      </w:r>
      <w:r>
        <w:rPr>
          <w:rFonts w:ascii="Arial" w:cs="Arial" w:eastAsia="Arial" w:hAnsi="Arial"/>
          <w:sz w:val="16"/>
          <w:szCs w:val="16"/>
          <w:color w:val="auto"/>
        </w:rPr>
        <w:t>may otherwise be directed under this Agreement or as required by law, regulation or legal proceeding,</w:t>
      </w:r>
      <w:r>
        <w:rPr>
          <w:rFonts w:ascii="Arial" w:cs="Arial" w:eastAsia="Arial" w:hAnsi="Arial"/>
          <w:sz w:val="16"/>
          <w:szCs w:val="16"/>
          <w:b w:val="1"/>
          <w:bCs w:val="1"/>
          <w:color w:val="auto"/>
        </w:rPr>
        <w:t xml:space="preserve"> [he/she] </w:t>
      </w:r>
      <w:r>
        <w:rPr>
          <w:rFonts w:ascii="Arial" w:cs="Arial" w:eastAsia="Arial" w:hAnsi="Arial"/>
          <w:sz w:val="16"/>
          <w:szCs w:val="16"/>
          <w:color w:val="auto"/>
        </w:rPr>
        <w:t>(i) will keep such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confidential at all times, (ii) will not disclose or communicate Company Information to any third party and (iii) will not make use of Company Information on his own behalf or on behalf of any third party. In the event that the Executive becomes legally compelled to disclose any Company Information, it is agreed that the Executive will provide the Company with prompt written notice of such request(s) so that the Company may seek a protective order or other appropriate legal remedy to which it may be entitled. The Executive acknowledges that any unauthorized disclosure to third parties of Company Information or other violation, or threatened violation, of this Agreement would cause irreparable damage to the trade secret, confidential or proprietary status of Company Information and to the Company. Therefore, in such event the Company shall be entitled to an injunction prohibiting the Executive from any such disclosure, attempted disclosure, violation or threatened violation. When Company Information becomes generally available to the public other than by the Executive’s acts or omissions, it is no longer subject to the restrictions in this paragraph.</w:t>
      </w:r>
    </w:p>
    <w:p>
      <w:pPr>
        <w:spacing w:after="0" w:line="10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6"/>
          </w:cols>
          <w:pgMar w:left="694" w:top="280" w:right="279" w:bottom="1440" w:gutter="0" w:footer="0" w:header="0"/>
        </w:sectPr>
      </w:pPr>
    </w:p>
    <w:bookmarkStart w:id="60" w:name="page61"/>
    <w:bookmarkEnd w:id="60"/>
    <w:p>
      <w:pPr>
        <w:ind w:left="892" w:hanging="446"/>
        <w:spacing w:after="0"/>
        <w:tabs>
          <w:tab w:leader="none" w:pos="892"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further ensure the protection of Company Information, the Executive agrees that for a period of three years </w:t>
      </w:r>
      <w:r>
        <w:rPr>
          <w:rFonts w:ascii="Arial" w:cs="Arial" w:eastAsia="Arial" w:hAnsi="Arial"/>
          <w:sz w:val="16"/>
          <w:szCs w:val="16"/>
          <w:b w:val="1"/>
          <w:bCs w:val="1"/>
          <w:color w:val="auto"/>
        </w:rPr>
        <w:t>[Alternative clause: one year in the</w:t>
      </w:r>
    </w:p>
    <w:p>
      <w:pPr>
        <w:spacing w:after="0" w:line="44" w:lineRule="exact"/>
        <w:rPr>
          <w:sz w:val="20"/>
          <w:szCs w:val="20"/>
          <w:color w:val="auto"/>
        </w:rPr>
      </w:pPr>
    </w:p>
    <w:p>
      <w:pPr>
        <w:ind w:left="892" w:right="40"/>
        <w:spacing w:after="0" w:line="300" w:lineRule="auto"/>
        <w:rPr>
          <w:sz w:val="20"/>
          <w:szCs w:val="20"/>
          <w:color w:val="auto"/>
        </w:rPr>
      </w:pPr>
      <w:r>
        <w:rPr>
          <w:rFonts w:ascii="Arial" w:cs="Arial" w:eastAsia="Arial" w:hAnsi="Arial"/>
          <w:sz w:val="15"/>
          <w:szCs w:val="15"/>
          <w:b w:val="1"/>
          <w:bCs w:val="1"/>
          <w:color w:val="auto"/>
        </w:rPr>
        <w:t xml:space="preserve">event of a Change in Control Termination] </w:t>
      </w:r>
      <w:r>
        <w:rPr>
          <w:rFonts w:ascii="Arial" w:cs="Arial" w:eastAsia="Arial" w:hAnsi="Arial"/>
          <w:sz w:val="15"/>
          <w:szCs w:val="15"/>
          <w:color w:val="auto"/>
        </w:rPr>
        <w:t>after</w:t>
      </w:r>
      <w:r>
        <w:rPr>
          <w:rFonts w:ascii="Arial" w:cs="Arial" w:eastAsia="Arial" w:hAnsi="Arial"/>
          <w:sz w:val="15"/>
          <w:szCs w:val="15"/>
          <w:b w:val="1"/>
          <w:bCs w:val="1"/>
          <w:color w:val="auto"/>
        </w:rPr>
        <w:t xml:space="preserve"> [his/her] </w:t>
      </w:r>
      <w:r>
        <w:rPr>
          <w:rFonts w:ascii="Arial" w:cs="Arial" w:eastAsia="Arial" w:hAnsi="Arial"/>
          <w:sz w:val="15"/>
          <w:szCs w:val="15"/>
          <w:color w:val="auto"/>
        </w:rPr>
        <w:t>Termination Date,</w:t>
      </w:r>
      <w:r>
        <w:rPr>
          <w:rFonts w:ascii="Arial" w:cs="Arial" w:eastAsia="Arial" w:hAnsi="Arial"/>
          <w:sz w:val="15"/>
          <w:szCs w:val="15"/>
          <w:b w:val="1"/>
          <w:bCs w:val="1"/>
          <w:color w:val="auto"/>
        </w:rPr>
        <w:t xml:space="preserve"> [he/she] </w:t>
      </w:r>
      <w:r>
        <w:rPr>
          <w:rFonts w:ascii="Arial" w:cs="Arial" w:eastAsia="Arial" w:hAnsi="Arial"/>
          <w:sz w:val="15"/>
          <w:szCs w:val="15"/>
          <w:color w:val="auto"/>
        </w:rPr>
        <w:t>will not accept employment in any form (including entering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into consulting relationships or similar arrangements) with a business which: (i) competes directly or indirectly with </w:t>
      </w:r>
      <w:r>
        <w:rPr>
          <w:rFonts w:ascii="Arial" w:cs="Arial" w:eastAsia="Arial" w:hAnsi="Arial"/>
          <w:sz w:val="15"/>
          <w:szCs w:val="15"/>
          <w:b w:val="1"/>
          <w:bCs w:val="1"/>
          <w:color w:val="auto"/>
        </w:rPr>
        <w:t>[any of the Company’s</w:t>
      </w:r>
      <w:r>
        <w:rPr>
          <w:rFonts w:ascii="Arial" w:cs="Arial" w:eastAsia="Arial" w:hAnsi="Arial"/>
          <w:sz w:val="15"/>
          <w:szCs w:val="15"/>
          <w:color w:val="auto"/>
        </w:rPr>
        <w:t xml:space="preserve"> </w:t>
      </w:r>
      <w:r>
        <w:rPr>
          <w:rFonts w:ascii="Arial" w:cs="Arial" w:eastAsia="Arial" w:hAnsi="Arial"/>
          <w:sz w:val="15"/>
          <w:szCs w:val="15"/>
          <w:b w:val="1"/>
          <w:bCs w:val="1"/>
          <w:color w:val="auto"/>
        </w:rPr>
        <w:t>businesses (applies to corporate officers)] [the Executive’s business unit]</w:t>
      </w:r>
      <w:r>
        <w:rPr>
          <w:rFonts w:ascii="Arial" w:cs="Arial" w:eastAsia="Arial" w:hAnsi="Arial"/>
          <w:sz w:val="15"/>
          <w:szCs w:val="15"/>
          <w:color w:val="auto"/>
        </w:rPr>
        <w:t>; or (ii) is a material customer of or a material supplier to</w:t>
      </w:r>
      <w:r>
        <w:rPr>
          <w:rFonts w:ascii="Arial" w:cs="Arial" w:eastAsia="Arial" w:hAnsi="Arial"/>
          <w:sz w:val="15"/>
          <w:szCs w:val="15"/>
          <w:b w:val="1"/>
          <w:bCs w:val="1"/>
          <w:color w:val="auto"/>
        </w:rPr>
        <w:t xml:space="preserve"> [any of the</w:t>
      </w:r>
    </w:p>
    <w:p>
      <w:pPr>
        <w:spacing w:after="0" w:line="1" w:lineRule="exact"/>
        <w:rPr>
          <w:sz w:val="20"/>
          <w:szCs w:val="20"/>
          <w:color w:val="auto"/>
        </w:rPr>
      </w:pPr>
    </w:p>
    <w:p>
      <w:pPr>
        <w:ind w:left="892"/>
        <w:spacing w:after="0" w:line="295" w:lineRule="auto"/>
        <w:rPr>
          <w:sz w:val="20"/>
          <w:szCs w:val="20"/>
          <w:color w:val="auto"/>
        </w:rPr>
      </w:pPr>
      <w:r>
        <w:rPr>
          <w:rFonts w:ascii="Arial" w:cs="Arial" w:eastAsia="Arial" w:hAnsi="Arial"/>
          <w:sz w:val="16"/>
          <w:szCs w:val="16"/>
          <w:b w:val="1"/>
          <w:bCs w:val="1"/>
          <w:color w:val="auto"/>
        </w:rPr>
        <w:t xml:space="preserve">Company’s businesses] [the Executive’s business unit], </w:t>
      </w:r>
      <w:r>
        <w:rPr>
          <w:rFonts w:ascii="Arial" w:cs="Arial" w:eastAsia="Arial" w:hAnsi="Arial"/>
          <w:sz w:val="16"/>
          <w:szCs w:val="16"/>
          <w:color w:val="auto"/>
        </w:rPr>
        <w:t>unless the Executive has obtained the written consent of</w:t>
      </w:r>
      <w:r>
        <w:rPr>
          <w:rFonts w:ascii="Arial" w:cs="Arial" w:eastAsia="Arial" w:hAnsi="Arial"/>
          <w:sz w:val="16"/>
          <w:szCs w:val="16"/>
          <w:b w:val="1"/>
          <w:bCs w:val="1"/>
          <w:color w:val="auto"/>
        </w:rPr>
        <w:t xml:space="preserve"> [ ] </w:t>
      </w:r>
      <w:r>
        <w:rPr>
          <w:rFonts w:ascii="Arial" w:cs="Arial" w:eastAsia="Arial" w:hAnsi="Arial"/>
          <w:sz w:val="16"/>
          <w:szCs w:val="16"/>
          <w:color w:val="auto"/>
        </w:rPr>
        <w:t>or</w:t>
      </w:r>
      <w:r>
        <w:rPr>
          <w:rFonts w:ascii="Arial" w:cs="Arial" w:eastAsia="Arial" w:hAnsi="Arial"/>
          <w:sz w:val="16"/>
          <w:szCs w:val="16"/>
          <w:b w:val="1"/>
          <w:bCs w:val="1"/>
          <w:color w:val="auto"/>
        </w:rPr>
        <w:t xml:space="preserve"> [ his/her ] </w:t>
      </w:r>
      <w:r>
        <w:rPr>
          <w:rFonts w:ascii="Arial" w:cs="Arial" w:eastAsia="Arial" w:hAnsi="Arial"/>
          <w:sz w:val="16"/>
          <w:szCs w:val="16"/>
          <w:color w:val="auto"/>
        </w:rPr>
        <w:t>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consent shall be granted or withheld in his sole discretion. The parties agree that the terms of this paragraph are reasonable. However, if any portion of this paragraph is held by competent authority to be unenforceable, this paragraph shall be deemed amended to limit its scope to the broadest scope that such authority determines is enforceable, and as so amended shall continue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-461010</wp:posOffset>
            </wp:positionV>
            <wp:extent cx="3346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8" w:lineRule="exact"/>
        <w:rPr>
          <w:sz w:val="20"/>
          <w:szCs w:val="20"/>
          <w:color w:val="auto"/>
        </w:rPr>
      </w:pPr>
    </w:p>
    <w:p>
      <w:pPr>
        <w:ind w:left="892" w:right="20" w:hanging="446"/>
        <w:spacing w:after="0" w:line="255"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For a period of three years following the Termination Date, </w:t>
      </w:r>
      <w:r>
        <w:rPr>
          <w:rFonts w:ascii="Arial" w:cs="Arial" w:eastAsia="Arial" w:hAnsi="Arial"/>
          <w:sz w:val="18"/>
          <w:szCs w:val="18"/>
          <w:b w:val="1"/>
          <w:bCs w:val="1"/>
          <w:color w:val="auto"/>
        </w:rPr>
        <w:t>[Alternative clause: one year following a Change in Control Termination]</w:t>
      </w:r>
      <w:r>
        <w:rPr>
          <w:rFonts w:ascii="Arial" w:cs="Arial" w:eastAsia="Arial" w:hAnsi="Arial"/>
          <w:sz w:val="18"/>
          <w:szCs w:val="18"/>
          <w:color w:val="auto"/>
        </w:rPr>
        <w:t xml:space="preserve"> the Executive will not initiate, cause or allow to be initiated (under those conditions which </w:t>
      </w:r>
      <w:r>
        <w:rPr>
          <w:rFonts w:ascii="Arial" w:cs="Arial" w:eastAsia="Arial" w:hAnsi="Arial"/>
          <w:sz w:val="18"/>
          <w:szCs w:val="18"/>
          <w:b w:val="1"/>
          <w:bCs w:val="1"/>
          <w:color w:val="auto"/>
        </w:rPr>
        <w:t>[he/she]</w:t>
      </w:r>
      <w:r>
        <w:rPr>
          <w:rFonts w:ascii="Arial" w:cs="Arial" w:eastAsia="Arial" w:hAnsi="Arial"/>
          <w:sz w:val="18"/>
          <w:szCs w:val="18"/>
          <w:color w:val="auto"/>
        </w:rPr>
        <w:t xml:space="preserve"> controls) any action which would reasonably be expected to encourage or to induce any employee of the Company or any of its affiliated entities to leave the employ of the Company or its affiliated entities. In this regard, the Executive agrees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will not directly or indirectly recruit any Company executive or other employee or provide any information or make referrals to personnel recruitment agencies or other third parties in connection with Company executives and other employees.</w:t>
      </w:r>
    </w:p>
    <w:p>
      <w:pPr>
        <w:spacing w:after="0" w:line="58" w:lineRule="exact"/>
        <w:rPr>
          <w:rFonts w:ascii="Arial" w:cs="Arial" w:eastAsia="Arial" w:hAnsi="Arial"/>
          <w:sz w:val="18"/>
          <w:szCs w:val="18"/>
          <w:color w:val="auto"/>
        </w:rPr>
      </w:pPr>
    </w:p>
    <w:p>
      <w:pPr>
        <w:ind w:left="892" w:right="280" w:hanging="446"/>
        <w:spacing w:after="0" w:line="275"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Executive acknowledges that the Intellectual Property Agreement between </w:t>
      </w:r>
      <w:r>
        <w:rPr>
          <w:rFonts w:ascii="Arial" w:cs="Arial" w:eastAsia="Arial" w:hAnsi="Arial"/>
          <w:sz w:val="18"/>
          <w:szCs w:val="18"/>
          <w:b w:val="1"/>
          <w:bCs w:val="1"/>
          <w:color w:val="auto"/>
        </w:rPr>
        <w:t>[him/her]</w:t>
      </w:r>
      <w:r>
        <w:rPr>
          <w:rFonts w:ascii="Arial" w:cs="Arial" w:eastAsia="Arial" w:hAnsi="Arial"/>
          <w:sz w:val="18"/>
          <w:szCs w:val="18"/>
          <w:color w:val="auto"/>
        </w:rPr>
        <w:t xml:space="preserve"> and the Company will continue in full force and effect following the Termination Date.</w:t>
      </w:r>
    </w:p>
    <w:p>
      <w:pPr>
        <w:spacing w:after="0" w:line="44"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represents to the Executive that it is fully authorized and empowered to enter into this Agreement, and that it will safeguard this Agreement and its terms from public disclosure with the same degree of care with which the Company protects its proprietary information.</w:t>
      </w:r>
    </w:p>
    <w:p>
      <w:pPr>
        <w:spacing w:after="0" w:line="4" w:lineRule="exact"/>
        <w:rPr>
          <w:rFonts w:ascii="Arial" w:cs="Arial" w:eastAsia="Arial" w:hAnsi="Arial"/>
          <w:sz w:val="16"/>
          <w:szCs w:val="16"/>
          <w:color w:val="auto"/>
        </w:rPr>
      </w:pPr>
    </w:p>
    <w:p>
      <w:pPr>
        <w:ind w:left="452" w:right="380" w:hanging="452"/>
        <w:spacing w:after="0" w:line="26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obligations of the parties hereto are severable and divisible. In the event any provision hereunder is determined to be illegal or unenforceable, the remainder of this Agreement shall continue in full force and effect.</w:t>
      </w:r>
    </w:p>
    <w:p>
      <w:pPr>
        <w:spacing w:after="0" w:line="5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any other rights the Company may have, should the Executive breach any of the terms of this Agreement, the Company will have the right to recover all payments and benefits provided hereunder and to cease any and all future payments and benefits. Such action by the Company will not be taken capriciously and will have no effect on the Release and Waiver contained in this Agreement.</w:t>
      </w:r>
    </w:p>
    <w:p>
      <w:pPr>
        <w:spacing w:after="0" w:line="59" w:lineRule="exact"/>
        <w:rPr>
          <w:rFonts w:ascii="Arial" w:cs="Arial" w:eastAsia="Arial" w:hAnsi="Arial"/>
          <w:sz w:val="18"/>
          <w:szCs w:val="18"/>
          <w:color w:val="auto"/>
        </w:rPr>
      </w:pPr>
    </w:p>
    <w:p>
      <w:pPr>
        <w:ind w:left="452" w:right="40" w:hanging="452"/>
        <w:spacing w:after="0" w:line="291"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dispute arising between the Company and the Executive with respect to the validity, performance or interpretation of this Agreement shall be submitted to and determined in binding arbitration in Hartford, Connecticut, for resolution in accordance with the rules of the American Arbitration Association, modified to provide that the decision by the arbitrator shall be binding on the parties; shall be furnished in writing, separately and specifically stating the findings of fact and conclusions of law on which the decision is based; shall be kept confidential by the arbitrator and the parties; and shall be rendered within 60 days following impanelment of the arbitrator. Costs of the arbitration shall be borne by the party that does not prevail. The arbitrator shall be selected in accordance with the rules of the American Arbitration Association.</w:t>
      </w:r>
    </w:p>
    <w:p>
      <w:pPr>
        <w:spacing w:after="0" w:line="39" w:lineRule="exact"/>
        <w:rPr>
          <w:rFonts w:ascii="Arial" w:cs="Arial" w:eastAsia="Arial" w:hAnsi="Arial"/>
          <w:sz w:val="16"/>
          <w:szCs w:val="16"/>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Connecticut.</w:t>
      </w:r>
    </w:p>
    <w:p>
      <w:pPr>
        <w:spacing w:after="0" w:line="90"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all previous communications between the parties with respect to the subject matter of this Agreement. No amendment to this Agreement shall be binding upon either party unless in writing and signed by or on behalf of such party.</w:t>
      </w:r>
    </w:p>
    <w:p>
      <w:pPr>
        <w:spacing w:after="0" w:line="1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52"/>
          </w:cols>
          <w:pgMar w:left="248" w:top="274" w:right="299" w:bottom="1440" w:gutter="0" w:footer="0" w:header="0"/>
        </w:sectPr>
      </w:pPr>
    </w:p>
    <w:bookmarkStart w:id="61" w:name="page62"/>
    <w:bookmarkEnd w:id="61"/>
    <w:p>
      <w:pPr>
        <w:ind w:left="452" w:right="4300" w:hanging="452"/>
        <w:spacing w:after="0" w:line="344" w:lineRule="auto"/>
        <w:tabs>
          <w:tab w:leader="none" w:pos="441"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under this agreement shall be in writing and addressed to the Executive as follows: and addressed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-259080</wp:posOffset>
            </wp:positionV>
            <wp:extent cx="668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1872"/>
        <w:spacing w:after="0"/>
        <w:rPr>
          <w:sz w:val="20"/>
          <w:szCs w:val="20"/>
          <w:color w:val="auto"/>
        </w:rPr>
      </w:pPr>
      <w:r>
        <w:rPr>
          <w:rFonts w:ascii="Arial" w:cs="Arial" w:eastAsia="Arial" w:hAnsi="Arial"/>
          <w:sz w:val="18"/>
          <w:szCs w:val="18"/>
          <w:color w:val="auto"/>
        </w:rPr>
        <w:t>United Technologies Corporation</w:t>
      </w:r>
    </w:p>
    <w:p>
      <w:pPr>
        <w:spacing w:after="0" w:line="15"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One Financial Plaza</w:t>
      </w:r>
    </w:p>
    <w:p>
      <w:pPr>
        <w:spacing w:after="0" w:line="9"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Hartford, CT 06101</w:t>
      </w:r>
    </w:p>
    <w:p>
      <w:pPr>
        <w:spacing w:after="0" w:line="9"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Attention: Senior Vice President,</w:t>
      </w:r>
    </w:p>
    <w:p>
      <w:pPr>
        <w:spacing w:after="0" w:line="9"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Human Resources and Organization.</w:t>
      </w:r>
    </w:p>
    <w:p>
      <w:pPr>
        <w:spacing w:after="0" w:line="8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Either party may change its address for notices by giving the other party notice of the change.</w:t>
      </w:r>
    </w:p>
    <w:p>
      <w:pPr>
        <w:spacing w:after="0" w:line="90" w:lineRule="exact"/>
        <w:rPr>
          <w:sz w:val="20"/>
          <w:szCs w:val="20"/>
          <w:color w:val="auto"/>
        </w:rPr>
      </w:pPr>
    </w:p>
    <w:p>
      <w:pPr>
        <w:ind w:left="452" w:right="660" w:hanging="452"/>
        <w:spacing w:after="0" w:line="332"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reserves the right to withhold applicable taxes from any amounts paid pursuant to this Agreement to the extent required by law. The Executive, or </w:t>
      </w:r>
      <w:r>
        <w:rPr>
          <w:rFonts w:ascii="Arial" w:cs="Arial" w:eastAsia="Arial" w:hAnsi="Arial"/>
          <w:sz w:val="16"/>
          <w:szCs w:val="16"/>
          <w:b w:val="1"/>
          <w:bCs w:val="1"/>
          <w:color w:val="auto"/>
        </w:rPr>
        <w:t>[his/her]</w:t>
      </w:r>
      <w:r>
        <w:rPr>
          <w:rFonts w:ascii="Arial" w:cs="Arial" w:eastAsia="Arial" w:hAnsi="Arial"/>
          <w:sz w:val="16"/>
          <w:szCs w:val="16"/>
          <w:color w:val="auto"/>
        </w:rPr>
        <w:t xml:space="preserve"> estate, shall be responsible for any and all tax liability imposed on amounts paid hereunder.</w:t>
      </w:r>
    </w:p>
    <w:p>
      <w:pPr>
        <w:spacing w:after="0" w:line="4"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to the extent any payment or benefit provided herein is determined to be deferred compensation within the meaning of Section 409A, such payment or benefit will provided in a manner that complies with Section 409A.</w:t>
      </w:r>
    </w:p>
    <w:p>
      <w:pPr>
        <w:spacing w:after="0" w:line="44" w:lineRule="exact"/>
        <w:rPr>
          <w:rFonts w:ascii="Arial" w:cs="Arial" w:eastAsia="Arial" w:hAnsi="Arial"/>
          <w:sz w:val="18"/>
          <w:szCs w:val="18"/>
          <w:color w:val="auto"/>
        </w:rPr>
      </w:pPr>
    </w:p>
    <w:p>
      <w:pPr>
        <w:ind w:left="452" w:hanging="452"/>
        <w:spacing w:after="0" w:line="275"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Executive states that </w:t>
      </w:r>
      <w:r>
        <w:rPr>
          <w:rFonts w:ascii="Arial" w:cs="Arial" w:eastAsia="Arial" w:hAnsi="Arial"/>
          <w:sz w:val="18"/>
          <w:szCs w:val="18"/>
          <w:b w:val="1"/>
          <w:bCs w:val="1"/>
          <w:color w:val="auto"/>
        </w:rPr>
        <w:t>[he/she]</w:t>
      </w:r>
      <w:r>
        <w:rPr>
          <w:rFonts w:ascii="Arial" w:cs="Arial" w:eastAsia="Arial" w:hAnsi="Arial"/>
          <w:sz w:val="18"/>
          <w:szCs w:val="18"/>
          <w:color w:val="auto"/>
        </w:rPr>
        <w:t xml:space="preserve"> has read this Agreement, including the Release and Waiver contained herein, fully understands its content and effect, and without duress or coercion, knowingly and voluntarily assents to its terms.</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IN WITNESS WHEREOF, the parties hereto have executed or caused to be executed this Agreement on the day and year first above written.</w:t>
      </w:r>
    </w:p>
    <w:p>
      <w:pPr>
        <w:spacing w:after="0" w:line="229"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UNITED TECHNOLOGIES CORPORATION</w:t>
      </w:r>
    </w:p>
    <w:p>
      <w:pPr>
        <w:spacing w:after="0" w:line="23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10795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32"/>
        <w:spacing w:after="0"/>
        <w:rPr>
          <w:sz w:val="20"/>
          <w:szCs w:val="20"/>
          <w:color w:val="auto"/>
        </w:rPr>
      </w:pPr>
      <w:r>
        <w:rPr>
          <w:rFonts w:ascii="Arial" w:cs="Arial" w:eastAsia="Arial" w:hAnsi="Arial"/>
          <w:sz w:val="15"/>
          <w:szCs w:val="15"/>
          <w:color w:val="auto"/>
        </w:rPr>
        <w:t>Senior Vice President, Human Resources and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307340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285750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285750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80"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TECHNOLOGIES CORPORATION SAVINGS RESTORATION PLAN</w:t>
      </w:r>
    </w:p>
    <w:p>
      <w:pPr>
        <w:spacing w:after="0" w:line="1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following is a summary of the United Technologies Corporation Savings Restoration Plan (the “SRP”) which will be established to compensate for contribution limitations imposed on the United Technologies Corporation (“UTC” or the “Company”) tax qualified 401(k) plan (i.e. the United Technologies Corporation Employee Savings Plan) by the Internal Revenue Code (“IRC”). The SRP will be effective January 1, 2010 and will be open to all eligible non-bargaining employees of UTC and its subsidiaries who receive pensionable earnings over the IRC tax qualified plan compensation limit (currently $245,000).</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SRP participants may elect to contribute up to 6% of pre-tax pensionable earnings above the IRC compensation limit. The Company will provide a 60% matching contribution on participant contributions; the same formula as in the United Technologies Corporation Employee Savings Plan. The Company match will be made in UTC deferred stock units.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Accounts established under the SRP will be credited with earnings (or losses) on hypothetical investment accounts chosen by each participant. There will be no diversification of Company-matched UTC stock units.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Participants will be 100% vested in their contributions and will vest in the Company match after three years of service. The SRP will be unfunded and each participant’s interest in his or her account will be those of a general unserved creditor of the Company.</w:t>
      </w:r>
    </w:p>
    <w:p>
      <w:pPr>
        <w:sectPr>
          <w:pgSz w:w="11900" w:h="16838" w:orient="portrait"/>
          <w:cols w:equalWidth="0" w:num="1">
            <w:col w:w="11420"/>
          </w:cols>
          <w:pgMar w:left="240" w:top="12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Exhibit 12</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6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9"/>
              </w:rPr>
              <w:t>UNITED TECHNOLOGIES CORPORATION</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6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6"/>
              </w:rPr>
              <w:t>AND SUBSIDIARIES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gridSpan w:val="6"/>
          </w:tcPr>
          <w:p>
            <w:pPr>
              <w:jc w:val="center"/>
              <w:ind w:right="1340"/>
              <w:spacing w:after="0"/>
              <w:rPr>
                <w:sz w:val="20"/>
                <w:szCs w:val="20"/>
                <w:color w:val="auto"/>
              </w:rPr>
            </w:pPr>
            <w:r>
              <w:rPr>
                <w:rFonts w:ascii="Arial" w:cs="Arial" w:eastAsia="Arial" w:hAnsi="Arial"/>
                <w:sz w:val="18"/>
                <w:szCs w:val="18"/>
                <w:b w:val="1"/>
                <w:bCs w:val="1"/>
                <w:color w:val="auto"/>
                <w:w w:val="97"/>
              </w:rPr>
              <w:t>STATEMENT RE: COMPUTATION OF RATIO OF EARNINGS TO FIXED CHARGES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100" w:type="dxa"/>
            <w:vAlign w:val="bottom"/>
            <w:vMerge w:val="restart"/>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40" w:type="dxa"/>
            <w:vAlign w:val="bottom"/>
            <w:gridSpan w:val="2"/>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5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7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3"/>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5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5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3440" w:type="dxa"/>
            <w:vAlign w:val="bottom"/>
            <w:gridSpan w:val="4"/>
            <w:vMerge w:val="restart"/>
          </w:tcPr>
          <w:p>
            <w:pPr>
              <w:spacing w:after="0"/>
              <w:rPr>
                <w:sz w:val="20"/>
                <w:szCs w:val="20"/>
                <w:color w:val="auto"/>
              </w:rPr>
            </w:pPr>
            <w:r>
              <w:rPr>
                <w:rFonts w:ascii="Arial" w:cs="Arial" w:eastAsia="Arial" w:hAnsi="Arial"/>
                <w:sz w:val="18"/>
                <w:szCs w:val="18"/>
                <w:color w:val="auto"/>
              </w:rPr>
              <w:t>Earnings:</w:t>
            </w:r>
          </w:p>
        </w:tc>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gridSpan w:val="4"/>
            <w:vMerge w:val="continue"/>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5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420"/>
              <w:spacing w:after="0"/>
              <w:rPr>
                <w:sz w:val="20"/>
                <w:szCs w:val="20"/>
                <w:color w:val="auto"/>
              </w:rPr>
            </w:pPr>
            <w:r>
              <w:rPr>
                <w:rFonts w:ascii="Arial" w:cs="Arial" w:eastAsia="Arial" w:hAnsi="Arial"/>
                <w:sz w:val="18"/>
                <w:szCs w:val="18"/>
                <w:color w:val="auto"/>
              </w:rPr>
              <w:t>Fixed charges per above</w:t>
            </w: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5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3"/>
          </w:tcPr>
          <w:p>
            <w:pPr>
              <w:ind w:left="420"/>
              <w:spacing w:after="0"/>
              <w:rPr>
                <w:sz w:val="20"/>
                <w:szCs w:val="20"/>
                <w:color w:val="auto"/>
              </w:rPr>
            </w:pPr>
            <w:r>
              <w:rPr>
                <w:rFonts w:ascii="Arial" w:cs="Arial" w:eastAsia="Arial" w:hAnsi="Arial"/>
                <w:sz w:val="18"/>
                <w:szCs w:val="18"/>
                <w:color w:val="auto"/>
              </w:rPr>
              <w:t>Total earnings</w:t>
            </w:r>
          </w:p>
        </w:tc>
        <w:tc>
          <w:tcPr>
            <w:tcW w:w="5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4,781</w:t>
            </w:r>
          </w:p>
        </w:tc>
        <w:tc>
          <w:tcPr>
            <w:tcW w:w="7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$15 million and $30 million for the nine months ended September 30, 2009 and 2008, respectively. The ratio of earnings to fixed charges would have been 7.56 and 9.82 for the nine months ended September 30, 2009 and 2008, respectively, if such interest were excluded from the calculation. Reasonable approximation of the interest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-580390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2">
            <w:col w:w="60" w:space="400"/>
            <w:col w:w="10960"/>
          </w:cols>
          <w:pgMar w:left="240" w:top="125"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23,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are aware that our report dated October 23, 2009 on our review of interim financial information of United Technologies Corporation (the “Corporation”) for the three and nine-month periods ended September 30, 2009 and 2008 and included in the Corporation’s quarterly report on Form 10-Q for the quarter ended September 30, 2009 is incorporated by reference in its Registration Statement on Form S-3 (No. 333-144830), in the Registration Statement on Form S-4 (No. 333-77991) as amended by Post-Effective Amendment No. 1 on Form S-8 (No. 333-77991) and in the Registration Statements on Form S-8 (Nos. 333-156390, 333-156385, 333-150643, 333-150640, 333-150639, 333-125478, 333-125476, 333-125293, 333-110020, 333-100724, 333-100723, 333-100718, 333-82911, 333-77817, 333-21853, 333-21851, 033-57769 and 033-51385).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700"/>
        <w:spacing w:after="0"/>
        <w:tabs>
          <w:tab w:leader="none" w:pos="8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Date: October 23, 2009</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Arial" w:cs="Arial" w:eastAsia="Arial" w:hAnsi="Arial"/>
          <w:sz w:val="14"/>
          <w:szCs w:val="14"/>
          <w:b w:val="1"/>
          <w:bCs w:val="1"/>
          <w:color w:val="auto"/>
        </w:rPr>
        <w:t>Louis R. Chênevert</w:t>
      </w:r>
    </w:p>
    <w:p>
      <w:pPr>
        <w:spacing w:after="0" w:line="55" w:lineRule="exact"/>
        <w:rPr>
          <w:sz w:val="20"/>
          <w:szCs w:val="20"/>
          <w:color w:val="auto"/>
        </w:rPr>
      </w:pPr>
    </w:p>
    <w:p>
      <w:pPr>
        <w:jc w:val="center"/>
        <w:ind w:right="152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2">
            <w:col w:w="6980" w:space="720"/>
            <w:col w:w="3720"/>
          </w:cols>
          <w:pgMar w:left="240" w:top="125" w:right="2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780"/>
        <w:spacing w:after="0"/>
        <w:tabs>
          <w:tab w:leader="none" w:pos="8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Date: October 23, 2009</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Gregory J. Hayes</w:t>
      </w:r>
    </w:p>
    <w:p>
      <w:pPr>
        <w:spacing w:after="0" w:line="55"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Senior Vice President and Chief Financial Officer</w:t>
      </w:r>
    </w:p>
    <w:p>
      <w:pPr>
        <w:sectPr>
          <w:pgSz w:w="11900" w:h="16838" w:orient="portrait"/>
          <w:cols w:equalWidth="0" w:num="2">
            <w:col w:w="6660" w:space="720"/>
            <w:col w:w="4040"/>
          </w:cols>
          <w:pgMar w:left="240" w:top="125"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Date: October 23, 2009</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4"/>
          <w:szCs w:val="14"/>
          <w:b w:val="1"/>
          <w:bCs w:val="1"/>
          <w:color w:val="auto"/>
        </w:rPr>
        <w:t>Margaret M. Smyth</w:t>
      </w:r>
    </w:p>
    <w:p>
      <w:pPr>
        <w:spacing w:after="0" w:line="55" w:lineRule="exact"/>
        <w:rPr>
          <w:sz w:val="20"/>
          <w:szCs w:val="20"/>
          <w:color w:val="auto"/>
        </w:rPr>
      </w:pPr>
    </w:p>
    <w:p>
      <w:pPr>
        <w:jc w:val="center"/>
        <w:ind w:right="1860"/>
        <w:spacing w:after="0"/>
        <w:rPr>
          <w:sz w:val="20"/>
          <w:szCs w:val="20"/>
          <w:color w:val="auto"/>
        </w:rPr>
      </w:pPr>
      <w:r>
        <w:rPr>
          <w:rFonts w:ascii="Arial" w:cs="Arial" w:eastAsia="Arial" w:hAnsi="Arial"/>
          <w:sz w:val="12"/>
          <w:szCs w:val="12"/>
          <w:b w:val="1"/>
          <w:bCs w:val="1"/>
          <w:color w:val="auto"/>
        </w:rPr>
        <w:t>Vice President, Controller</w:t>
      </w:r>
    </w:p>
    <w:p>
      <w:pPr>
        <w:sectPr>
          <w:pgSz w:w="11900" w:h="16838" w:orient="portrait"/>
          <w:cols w:equalWidth="0" w:num="2">
            <w:col w:w="7320" w:space="720"/>
            <w:col w:w="3380"/>
          </w:cols>
          <w:pgMar w:left="240" w:top="125"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Quarterly Report on Form 10-Q for the quarter ended September 30, 2009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7680" w:val="left"/>
          <w:tab w:leader="none" w:pos="8020" w:val="left"/>
        </w:tabs>
        <w:rPr>
          <w:sz w:val="20"/>
          <w:szCs w:val="20"/>
          <w:color w:val="auto"/>
        </w:rPr>
      </w:pPr>
      <w:r>
        <w:rPr>
          <w:rFonts w:ascii="Arial" w:cs="Arial" w:eastAsia="Arial" w:hAnsi="Arial"/>
          <w:sz w:val="18"/>
          <w:szCs w:val="18"/>
          <w:color w:val="auto"/>
        </w:rPr>
        <w:t>Date: October 23,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Louis R. Chênevert</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October 23,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95" w:lineRule="exact"/>
        <w:rPr>
          <w:sz w:val="20"/>
          <w:szCs w:val="20"/>
          <w:color w:val="auto"/>
        </w:rPr>
      </w:pPr>
    </w:p>
    <w:p>
      <w:pPr>
        <w:spacing w:after="0"/>
        <w:tabs>
          <w:tab w:leader="none" w:pos="7640" w:val="left"/>
          <w:tab w:leader="none" w:pos="7980" w:val="left"/>
        </w:tabs>
        <w:rPr>
          <w:sz w:val="20"/>
          <w:szCs w:val="20"/>
          <w:color w:val="auto"/>
        </w:rPr>
      </w:pPr>
      <w:r>
        <w:rPr>
          <w:rFonts w:ascii="Arial" w:cs="Arial" w:eastAsia="Arial" w:hAnsi="Arial"/>
          <w:sz w:val="18"/>
          <w:szCs w:val="18"/>
          <w:color w:val="auto"/>
        </w:rPr>
        <w:t>Date: October 23, 2009</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Margaret M. Smyth</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1"/>
    </w:lvl>
  </w:abstractNum>
  <w:abstractNum w:abstractNumId="5">
    <w:nsid w:val="6B68079A"/>
    <w:multiLevelType w:val="hybridMultilevel"/>
    <w:lvl w:ilvl="0">
      <w:lvlJc w:val="left"/>
      <w:lvlText w:val="%1"/>
      <w:numFmt w:val="decimal"/>
      <w:start w:val="3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3"/>
    </w:lvl>
    <w:lvl w:ilvl="1">
      <w:lvlJc w:val="left"/>
      <w:lvlText w:val="(%2)"/>
      <w:numFmt w:val="lowerRoman"/>
      <w:start w:val="1"/>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2"/>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lowerLetter"/>
      <w:start w:val="3"/>
    </w:lvl>
  </w:abstractNum>
  <w:abstractNum w:abstractNumId="12">
    <w:nsid w:val="257130A3"/>
    <w:multiLevelType w:val="hybridMultilevel"/>
    <w:lvl w:ilvl="0">
      <w:lvlJc w:val="left"/>
      <w:lvlText w:val="%1"/>
      <w:numFmt w:val="decimal"/>
      <w:start w:val="1"/>
    </w:lvl>
    <w:lvl w:ilvl="1">
      <w:lvlJc w:val="left"/>
      <w:lvlText w:val="%2)"/>
      <w:numFmt w:val="lowerLetter"/>
      <w:start w:val="7"/>
    </w:lvl>
  </w:abstractNum>
  <w:abstractNum w:abstractNumId="13">
    <w:nsid w:val="62BBD95A"/>
    <w:multiLevelType w:val="hybridMultilevel"/>
    <w:lvl w:ilvl="0">
      <w:lvlJc w:val="left"/>
      <w:lvlText w:val="%1."/>
      <w:numFmt w:val="decimal"/>
      <w:start w:val="3"/>
    </w:lvl>
    <w:lvl w:ilvl="1">
      <w:lvlJc w:val="left"/>
      <w:lvlText w:val="%2"/>
      <w:numFmt w:val="lowerLetter"/>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decimal"/>
      <w:start w:val="1"/>
    </w:lvl>
    <w:lvl w:ilvl="1">
      <w:lvlJc w:val="left"/>
      <w:lvlText w:val="%2)"/>
      <w:numFmt w:val="lowerLetter"/>
      <w:start w:val="7"/>
    </w:lvl>
  </w:abstractNum>
  <w:abstractNum w:abstractNumId="16">
    <w:nsid w:val="333AB105"/>
    <w:multiLevelType w:val="hybridMultilevel"/>
    <w:lvl w:ilvl="0">
      <w:lvlJc w:val="left"/>
      <w:lvlText w:val="%1."/>
      <w:numFmt w:val="decimal"/>
      <w:start w:val="4"/>
    </w:lvl>
    <w:lvl w:ilvl="1">
      <w:lvlJc w:val="left"/>
      <w:lvlText w:val="%2)"/>
      <w:numFmt w:val="lowerLetter"/>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lowerLetter"/>
      <w:start w:val="4"/>
    </w:lvl>
  </w:abstractNum>
  <w:abstractNum w:abstractNumId="19">
    <w:nsid w:val="2D1D5AE9"/>
    <w:multiLevelType w:val="hybridMultilevel"/>
    <w:lvl w:ilvl="0">
      <w:lvlJc w:val="left"/>
      <w:lvlText w:val="%1"/>
      <w:numFmt w:val="decimal"/>
      <w:start w:val="1"/>
    </w:lvl>
    <w:lvl w:ilvl="1">
      <w:lvlJc w:val="left"/>
      <w:lvlText w:val="%2)"/>
      <w:numFmt w:val="lowerLetter"/>
      <w:start w:val="5"/>
    </w:lvl>
  </w:abstractNum>
  <w:abstractNum w:abstractNumId="20">
    <w:nsid w:val="6763845E"/>
    <w:multiLevelType w:val="hybridMultilevel"/>
    <w:lvl w:ilvl="0">
      <w:lvlJc w:val="left"/>
      <w:lvlText w:val="%1."/>
      <w:numFmt w:val="decimal"/>
      <w:start w:val="5"/>
    </w:lvl>
    <w:lvl w:ilvl="1">
      <w:lvlJc w:val="left"/>
      <w:lvlText w:val="%2"/>
      <w:numFmt w:val="lowerLetter"/>
      <w:start w:val="1"/>
    </w:lvl>
  </w:abstractNum>
  <w:abstractNum w:abstractNumId="21">
    <w:nsid w:val="75A2A8D4"/>
    <w:multiLevelType w:val="hybridMultilevel"/>
    <w:lvl w:ilvl="0">
      <w:lvlJc w:val="left"/>
      <w:lvlText w:val="%1."/>
      <w:numFmt w:val="decimal"/>
      <w:start w:val="11"/>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2019-12-10T03:19:02Z</dcterms:created>
  <dcterms:modified xsi:type="dcterms:W3CDTF">2019-12-10T03:19:02Z</dcterms:modified>
</cp:coreProperties>
</file>