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8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40" w:space="720"/>
            <w:col w:w="312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Financial Plaza, Hartford, Connecticut 06101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34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560"/>
            <w:col w:w="5480" w:space="720"/>
            <w:col w:w="1960" w:space="720"/>
            <w:col w:w="28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5">
            <w:col w:w="1560" w:space="660"/>
            <w:col w:w="160" w:space="60"/>
            <w:col w:w="5260" w:space="720"/>
            <w:col w:w="1980" w:space="700"/>
            <w:col w:w="28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September 30, 2014 there were 911,658,325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2014</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2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72"/>
        </w:trPr>
        <w:tc>
          <w:tcPr>
            <w:tcW w:w="140" w:type="dxa"/>
            <w:vAlign w:val="bottom"/>
            <w:tcBorders>
              <w:top w:val="single" w:sz="8" w:color="0000FF"/>
            </w:tcBorders>
          </w:tcPr>
          <w:p>
            <w:pPr>
              <w:spacing w:after="0"/>
              <w:rPr>
                <w:sz w:val="24"/>
                <w:szCs w:val="24"/>
                <w:color w:val="auto"/>
              </w:rPr>
            </w:pPr>
          </w:p>
        </w:tc>
        <w:tc>
          <w:tcPr>
            <w:tcW w:w="21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760" w:type="dxa"/>
            <w:vAlign w:val="bottom"/>
            <w:tcBorders>
              <w:top w:val="single" w:sz="8" w:color="0000FF"/>
            </w:tcBorders>
            <w:gridSpan w:val="3"/>
          </w:tcPr>
          <w:p>
            <w:pPr>
              <w:spacing w:after="0"/>
              <w:rPr>
                <w:sz w:val="24"/>
                <w:szCs w:val="24"/>
                <w:color w:val="auto"/>
              </w:rPr>
            </w:pPr>
          </w:p>
        </w:tc>
        <w:tc>
          <w:tcPr>
            <w:tcW w:w="7720" w:type="dxa"/>
            <w:vAlign w:val="bottom"/>
            <w:gridSpan w:val="10"/>
          </w:tcPr>
          <w:p>
            <w:pPr>
              <w:spacing w:after="0"/>
              <w:rPr>
                <w:sz w:val="24"/>
                <w:szCs w:val="24"/>
                <w:color w:val="auto"/>
              </w:rPr>
            </w:pPr>
          </w:p>
        </w:tc>
        <w:tc>
          <w:tcPr>
            <w:tcW w:w="54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2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 of Operations for the quarters ended September 30, 2014 and 2013</w:t>
              </w:r>
            </w:hyperlink>
          </w:p>
        </w:tc>
        <w:tc>
          <w:tcPr>
            <w:tcW w:w="2960" w:type="dxa"/>
            <w:vAlign w:val="bottom"/>
            <w:gridSpan w:val="4"/>
          </w:tcPr>
          <w:p>
            <w:pPr>
              <w:spacing w:after="0"/>
              <w:rPr>
                <w:sz w:val="24"/>
                <w:szCs w:val="24"/>
                <w:color w:val="auto"/>
              </w:rPr>
            </w:pPr>
          </w:p>
        </w:tc>
        <w:tc>
          <w:tcPr>
            <w:tcW w:w="5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 of Operations for the nine months ended September 30, 2014 and 2013</w:t>
              </w:r>
            </w:hyperlink>
          </w:p>
        </w:tc>
        <w:tc>
          <w:tcPr>
            <w:tcW w:w="2660" w:type="dxa"/>
            <w:vAlign w:val="bottom"/>
            <w:gridSpan w:val="3"/>
          </w:tcPr>
          <w:p>
            <w:pPr>
              <w:spacing w:after="0"/>
              <w:rPr>
                <w:sz w:val="24"/>
                <w:szCs w:val="24"/>
                <w:color w:val="auto"/>
              </w:rPr>
            </w:pPr>
          </w:p>
        </w:tc>
        <w:tc>
          <w:tcPr>
            <w:tcW w:w="5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Comprehensive Income for the quarters and nine months ended September 30, 2014 and 2013</w:t>
              </w:r>
            </w:hyperlink>
          </w:p>
        </w:tc>
        <w:tc>
          <w:tcPr>
            <w:tcW w:w="80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 at September 30, 2014 and December 31, 2013</w:t>
              </w:r>
            </w:hyperlink>
          </w:p>
        </w:tc>
        <w:tc>
          <w:tcPr>
            <w:tcW w:w="4080" w:type="dxa"/>
            <w:vAlign w:val="bottom"/>
            <w:gridSpan w:val="6"/>
          </w:tcPr>
          <w:p>
            <w:pPr>
              <w:spacing w:after="0"/>
              <w:rPr>
                <w:sz w:val="24"/>
                <w:szCs w:val="24"/>
                <w:color w:val="auto"/>
              </w:rPr>
            </w:pPr>
          </w:p>
        </w:tc>
        <w:tc>
          <w:tcPr>
            <w:tcW w:w="5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 of Cash Flows for the nine months ended September 30, 2014 and 2013</w:t>
              </w:r>
            </w:hyperlink>
          </w:p>
        </w:tc>
        <w:tc>
          <w:tcPr>
            <w:tcW w:w="2600" w:type="dxa"/>
            <w:vAlign w:val="bottom"/>
            <w:gridSpan w:val="2"/>
          </w:tcPr>
          <w:p>
            <w:pPr>
              <w:spacing w:after="0"/>
              <w:rPr>
                <w:sz w:val="24"/>
                <w:szCs w:val="24"/>
                <w:color w:val="auto"/>
              </w:rPr>
            </w:pPr>
          </w:p>
        </w:tc>
        <w:tc>
          <w:tcPr>
            <w:tcW w:w="5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Report of Independent Registered Public Accounting Firm</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80" w:type="dxa"/>
            <w:vAlign w:val="bottom"/>
            <w:gridSpan w:val="19"/>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 Management's Discussion and Analysis of Financial Condition and Results of Operations</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 Quantitative and Qualitative Disclosures About Market Risk</w:t>
              </w:r>
            </w:hyperlink>
          </w:p>
        </w:tc>
        <w:tc>
          <w:tcPr>
            <w:tcW w:w="3600" w:type="dxa"/>
            <w:vAlign w:val="bottom"/>
            <w:gridSpan w:val="5"/>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7"/>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Item 4. Controls and Procedures</w:t>
              </w:r>
            </w:hyperlink>
          </w:p>
        </w:tc>
        <w:tc>
          <w:tcPr>
            <w:tcW w:w="2580" w:type="dxa"/>
            <w:vAlign w:val="bottom"/>
            <w:gridSpan w:val="5"/>
          </w:tcPr>
          <w:p>
            <w:pPr>
              <w:spacing w:after="0"/>
              <w:rPr>
                <w:sz w:val="24"/>
                <w:szCs w:val="24"/>
                <w:color w:val="auto"/>
              </w:rPr>
            </w:pPr>
          </w:p>
        </w:tc>
        <w:tc>
          <w:tcPr>
            <w:tcW w:w="5680" w:type="dxa"/>
            <w:vAlign w:val="bottom"/>
            <w:gridSpan w:val="7"/>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PART II – OTHER INFORMATION</w:t>
              </w:r>
            </w:hyperlink>
          </w:p>
        </w:tc>
        <w:tc>
          <w:tcPr>
            <w:tcW w:w="8060" w:type="dxa"/>
            <w:vAlign w:val="bottom"/>
            <w:gridSpan w:val="11"/>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FF"/>
                <w:w w:val="87"/>
              </w:rPr>
            </w:pPr>
            <w:hyperlink w:anchor="page47">
              <w:r>
                <w:rPr>
                  <w:rFonts w:ascii="Arial" w:cs="Arial" w:eastAsia="Arial" w:hAnsi="Arial"/>
                  <w:sz w:val="18"/>
                  <w:szCs w:val="18"/>
                  <w:color w:val="0000FF"/>
                  <w:w w:val="87"/>
                </w:rPr>
                <w:t>Item 1. Legal Proceedings</w:t>
              </w:r>
            </w:hyperlink>
          </w:p>
        </w:tc>
        <w:tc>
          <w:tcPr>
            <w:tcW w:w="660" w:type="dxa"/>
            <w:vAlign w:val="bottom"/>
            <w:gridSpan w:val="3"/>
          </w:tcPr>
          <w:p>
            <w:pPr>
              <w:spacing w:after="0"/>
              <w:rPr>
                <w:sz w:val="24"/>
                <w:szCs w:val="24"/>
                <w:color w:val="auto"/>
              </w:rPr>
            </w:pPr>
          </w:p>
        </w:tc>
        <w:tc>
          <w:tcPr>
            <w:tcW w:w="8060" w:type="dxa"/>
            <w:vAlign w:val="bottom"/>
            <w:gridSpan w:val="11"/>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1A. Risk Factors</w:t>
              </w:r>
            </w:hyperlink>
          </w:p>
        </w:tc>
        <w:tc>
          <w:tcPr>
            <w:tcW w:w="280" w:type="dxa"/>
            <w:vAlign w:val="bottom"/>
          </w:tcPr>
          <w:p>
            <w:pPr>
              <w:spacing w:after="0"/>
              <w:rPr>
                <w:sz w:val="24"/>
                <w:szCs w:val="24"/>
                <w:color w:val="auto"/>
              </w:rPr>
            </w:pPr>
          </w:p>
        </w:tc>
        <w:tc>
          <w:tcPr>
            <w:tcW w:w="8720" w:type="dxa"/>
            <w:vAlign w:val="bottom"/>
            <w:gridSpan w:val="14"/>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Item 2. Unregistered Sales of Equity Securities and Use of Proceeds</w:t>
              </w:r>
            </w:hyperlink>
          </w:p>
        </w:tc>
        <w:tc>
          <w:tcPr>
            <w:tcW w:w="5680" w:type="dxa"/>
            <w:vAlign w:val="bottom"/>
            <w:gridSpan w:val="7"/>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3. Defaults Upon Senior Securities</w:t>
              </w:r>
            </w:hyperlink>
          </w:p>
        </w:tc>
        <w:tc>
          <w:tcPr>
            <w:tcW w:w="5680" w:type="dxa"/>
            <w:vAlign w:val="bottom"/>
            <w:gridSpan w:val="7"/>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5. Other Information</w:t>
              </w:r>
            </w:hyperlink>
          </w:p>
        </w:tc>
        <w:tc>
          <w:tcPr>
            <w:tcW w:w="1000" w:type="dxa"/>
            <w:vAlign w:val="bottom"/>
            <w:gridSpan w:val="4"/>
          </w:tcPr>
          <w:p>
            <w:pPr>
              <w:spacing w:after="0"/>
              <w:rPr>
                <w:sz w:val="24"/>
                <w:szCs w:val="24"/>
                <w:color w:val="auto"/>
              </w:rPr>
            </w:pPr>
          </w:p>
        </w:tc>
        <w:tc>
          <w:tcPr>
            <w:tcW w:w="7720" w:type="dxa"/>
            <w:vAlign w:val="bottom"/>
            <w:gridSpan w:val="10"/>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72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60" w:type="dxa"/>
            <w:vAlign w:val="bottom"/>
            <w:gridSpan w:val="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6. Exhibits</w:t>
              </w:r>
            </w:hyperlink>
          </w:p>
        </w:tc>
        <w:tc>
          <w:tcPr>
            <w:tcW w:w="8720" w:type="dxa"/>
            <w:vAlign w:val="bottom"/>
            <w:gridSpan w:val="14"/>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4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SIGNATURES</w:t>
              </w:r>
            </w:hyperlink>
          </w:p>
        </w:tc>
        <w:tc>
          <w:tcPr>
            <w:tcW w:w="9620" w:type="dxa"/>
            <w:vAlign w:val="bottom"/>
            <w:gridSpan w:val="17"/>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20"/>
        </w:trPr>
        <w:tc>
          <w:tcPr>
            <w:tcW w:w="11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4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4"/>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EXHIBIT INDEX</w:t>
              </w:r>
            </w:hyperlink>
          </w:p>
        </w:tc>
        <w:tc>
          <w:tcPr>
            <w:tcW w:w="9440" w:type="dxa"/>
            <w:vAlign w:val="bottom"/>
            <w:gridSpan w:val="16"/>
          </w:tcPr>
          <w:p>
            <w:pPr>
              <w:spacing w:after="0"/>
              <w:rPr>
                <w:sz w:val="24"/>
                <w:szCs w:val="24"/>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Quarter Ended September 30,</w:t>
            </w:r>
          </w:p>
        </w:tc>
        <w:tc>
          <w:tcPr>
            <w:tcW w:w="0" w:type="dxa"/>
            <w:vAlign w:val="bottom"/>
          </w:tcPr>
          <w:p>
            <w:pPr>
              <w:spacing w:after="0"/>
              <w:rPr>
                <w:sz w:val="1"/>
                <w:szCs w:val="1"/>
                <w:color w:val="auto"/>
              </w:rPr>
            </w:pP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16,168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13,723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Gain on disposal</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Income from discontinued operations attributable to common shareowners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1,432</w:t>
            </w: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tcPr>
          <w:p>
            <w:pPr>
              <w:spacing w:after="0"/>
              <w:rPr>
                <w:sz w:val="19"/>
                <w:szCs w:val="19"/>
                <w:color w:val="auto"/>
              </w:rPr>
            </w:pPr>
          </w:p>
        </w:tc>
        <w:tc>
          <w:tcPr>
            <w:tcW w:w="1160" w:type="dxa"/>
            <w:vAlign w:val="bottom"/>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35,216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33,159</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12,708</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48,104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45,867</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26,707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24,876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8,161</w:t>
            </w: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1,871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4,997</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39,905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w:t>
            </w:r>
          </w:p>
        </w:tc>
      </w:tr>
      <w:tr>
        <w:trPr>
          <w:trHeight w:val="23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6,879</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3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w:t>
            </w:r>
          </w:p>
        </w:tc>
      </w:tr>
      <w:tr>
        <w:trPr>
          <w:trHeight w:val="23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3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4,237</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attributable to common shareowners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97"/>
        </w:trPr>
        <w:tc>
          <w:tcPr>
            <w:tcW w:w="84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4,747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4,258</w:t>
            </w:r>
          </w:p>
        </w:tc>
      </w:tr>
      <w:tr>
        <w:trPr>
          <w:trHeight w:val="237"/>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4"/>
            <w:vMerge w:val="restart"/>
          </w:tcPr>
          <w:p>
            <w:pPr>
              <w:jc w:val="right"/>
              <w:ind w:right="17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43"/>
        </w:trPr>
        <w:tc>
          <w:tcPr>
            <w:tcW w:w="5960" w:type="dxa"/>
            <w:vAlign w:val="bottom"/>
            <w:gridSpan w:val="3"/>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Reclassification adjustments for loss (gain) on sale of an investment in a</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entity recognized in 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w w:val="98"/>
              </w:rPr>
              <w:t>Pension and post-retirement benefit plans adjustments during the period</w:t>
            </w:r>
          </w:p>
        </w:tc>
        <w:tc>
          <w:tcPr>
            <w:tcW w:w="3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9"/>
              </w:rPr>
              <w:t>Amortization of actuarial loss, prior service cost and transition obligation</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(loss) gain on available-for-sale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Unrealized holding (loss) gain arising during period</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Unrealized cash flow hedging (loss) gain arising during period</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(gain) reclassified into Product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Gain reclassified into Other income, net</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rPr>
              <w:t>Tax benefit (expense)</w:t>
            </w:r>
          </w:p>
        </w:tc>
        <w:tc>
          <w:tcPr>
            <w:tcW w:w="3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rPr>
              <w:t>Comprehensive income attributable to noncontrolling interest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4"/>
                <w:szCs w:val="14"/>
                <w:color w:val="auto"/>
              </w:rPr>
            </w:pPr>
          </w:p>
        </w:tc>
        <w:tc>
          <w:tcPr>
            <w:tcW w:w="146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40" w:type="dxa"/>
            <w:vAlign w:val="bottom"/>
            <w:gridSpan w:val="3"/>
            <w:shd w:val="clear" w:color="auto" w:fill="CCEEFF"/>
          </w:tcPr>
          <w:p>
            <w:pPr>
              <w:jc w:val="center"/>
              <w:ind w:right="3800"/>
              <w:spacing w:after="0"/>
              <w:rPr>
                <w:sz w:val="20"/>
                <w:szCs w:val="20"/>
                <w:color w:val="auto"/>
              </w:rPr>
            </w:pPr>
            <w:r>
              <w:rPr>
                <w:rFonts w:ascii="Arial" w:cs="Arial" w:eastAsia="Arial" w:hAnsi="Arial"/>
                <w:sz w:val="17"/>
                <w:szCs w:val="17"/>
                <w:b w:val="1"/>
                <w:bCs w:val="1"/>
                <w:color w:val="auto"/>
                <w:w w:val="78"/>
              </w:rPr>
              <w:t>Assets</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9"/>
        </w:trPr>
        <w:tc>
          <w:tcPr>
            <w:tcW w:w="380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00" w:type="dxa"/>
            <w:vAlign w:val="bottom"/>
            <w:tcBorders>
              <w:top w:val="single" w:sz="8" w:color="CCEEFF"/>
            </w:tcBorders>
            <w:gridSpan w:val="2"/>
          </w:tcPr>
          <w:p>
            <w:pPr>
              <w:spacing w:after="0"/>
              <w:rPr>
                <w:sz w:val="20"/>
                <w:szCs w:val="20"/>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5,035</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4,619</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11,458</w:t>
            </w:r>
          </w:p>
        </w:tc>
      </w:tr>
      <w:tr>
        <w:trPr>
          <w:trHeight w:val="239"/>
        </w:trPr>
        <w:tc>
          <w:tcPr>
            <w:tcW w:w="8040" w:type="dxa"/>
            <w:vAlign w:val="bottom"/>
            <w:gridSpan w:val="7"/>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10,341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10,330</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 current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1,964</w:t>
            </w:r>
          </w:p>
        </w:tc>
      </w:tr>
      <w:tr>
        <w:trPr>
          <w:trHeight w:val="239"/>
        </w:trPr>
        <w:tc>
          <w:tcPr>
            <w:tcW w:w="8040" w:type="dxa"/>
            <w:vAlign w:val="bottom"/>
            <w:gridSpan w:val="7"/>
          </w:tcPr>
          <w:p>
            <w:pPr>
              <w:ind w:left="40"/>
              <w:spacing w:after="0"/>
              <w:rPr>
                <w:sz w:val="20"/>
                <w:szCs w:val="20"/>
                <w:color w:val="auto"/>
              </w:rPr>
            </w:pPr>
            <w:r>
              <w:rPr>
                <w:rFonts w:ascii="Arial" w:cs="Arial" w:eastAsia="Arial" w:hAnsi="Arial"/>
                <w:sz w:val="17"/>
                <w:szCs w:val="17"/>
                <w:color w:val="auto"/>
              </w:rPr>
              <w:t>Other assets, current</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966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1,071</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29,442</w:t>
            </w:r>
          </w:p>
        </w:tc>
      </w:tr>
      <w:tr>
        <w:trPr>
          <w:trHeight w:val="219"/>
        </w:trPr>
        <w:tc>
          <w:tcPr>
            <w:tcW w:w="8040" w:type="dxa"/>
            <w:vAlign w:val="bottom"/>
            <w:gridSpan w:val="7"/>
          </w:tcPr>
          <w:p>
            <w:pPr>
              <w:ind w:left="40"/>
              <w:spacing w:after="0"/>
              <w:rPr>
                <w:sz w:val="20"/>
                <w:szCs w:val="20"/>
                <w:color w:val="auto"/>
              </w:rPr>
            </w:pPr>
            <w:r>
              <w:rPr>
                <w:rFonts w:ascii="Arial" w:cs="Arial" w:eastAsia="Arial" w:hAnsi="Arial"/>
                <w:sz w:val="17"/>
                <w:szCs w:val="17"/>
                <w:color w:val="auto"/>
              </w:rPr>
              <w:t>Customer financing assets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1,081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1,156</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1,236</w:t>
            </w:r>
          </w:p>
        </w:tc>
      </w:tr>
      <w:tr>
        <w:trPr>
          <w:trHeight w:val="239"/>
        </w:trPr>
        <w:tc>
          <w:tcPr>
            <w:tcW w:w="8040" w:type="dxa"/>
            <w:vAlign w:val="bottom"/>
            <w:gridSpan w:val="7"/>
          </w:tcPr>
          <w:p>
            <w:pPr>
              <w:ind w:left="40"/>
              <w:spacing w:after="0"/>
              <w:rPr>
                <w:sz w:val="20"/>
                <w:szCs w:val="20"/>
                <w:color w:val="auto"/>
              </w:rPr>
            </w:pPr>
            <w:r>
              <w:rPr>
                <w:rFonts w:ascii="Arial" w:cs="Arial" w:eastAsia="Arial" w:hAnsi="Arial"/>
                <w:sz w:val="17"/>
                <w:szCs w:val="17"/>
                <w:color w:val="auto"/>
              </w:rPr>
              <w:t>Fixed assets</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19,744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18,661</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0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(9,795)</w:t>
            </w:r>
          </w:p>
        </w:tc>
      </w:tr>
      <w:tr>
        <w:trPr>
          <w:trHeight w:val="219"/>
        </w:trPr>
        <w:tc>
          <w:tcPr>
            <w:tcW w:w="40" w:type="dxa"/>
            <w:vAlign w:val="bottom"/>
          </w:tcPr>
          <w:p>
            <w:pPr>
              <w:spacing w:after="0"/>
              <w:rPr>
                <w:sz w:val="19"/>
                <w:szCs w:val="19"/>
                <w:color w:val="auto"/>
              </w:rPr>
            </w:pPr>
          </w:p>
        </w:tc>
        <w:tc>
          <w:tcPr>
            <w:tcW w:w="8000" w:type="dxa"/>
            <w:vAlign w:val="bottom"/>
            <w:gridSpan w:val="6"/>
          </w:tcPr>
          <w:p>
            <w:pPr>
              <w:ind w:left="680"/>
              <w:spacing w:after="0"/>
              <w:rPr>
                <w:sz w:val="20"/>
                <w:szCs w:val="20"/>
                <w:color w:val="auto"/>
              </w:rPr>
            </w:pPr>
            <w:r>
              <w:rPr>
                <w:rFonts w:ascii="Arial" w:cs="Arial" w:eastAsia="Arial" w:hAnsi="Arial"/>
                <w:sz w:val="17"/>
                <w:szCs w:val="17"/>
                <w:color w:val="auto"/>
              </w:rPr>
              <w:t>Fixed assets, net</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9,182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8,866</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28,169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28,168</w:t>
            </w:r>
          </w:p>
        </w:tc>
      </w:tr>
      <w:tr>
        <w:trPr>
          <w:trHeight w:val="239"/>
        </w:trPr>
        <w:tc>
          <w:tcPr>
            <w:tcW w:w="8040" w:type="dxa"/>
            <w:vAlign w:val="bottom"/>
            <w:gridSpan w:val="7"/>
          </w:tcPr>
          <w:p>
            <w:pPr>
              <w:ind w:left="40"/>
              <w:spacing w:after="0"/>
              <w:rPr>
                <w:sz w:val="20"/>
                <w:szCs w:val="20"/>
                <w:color w:val="auto"/>
              </w:rPr>
            </w:pPr>
            <w:r>
              <w:rPr>
                <w:rFonts w:ascii="Arial" w:cs="Arial" w:eastAsia="Arial" w:hAnsi="Arial"/>
                <w:sz w:val="17"/>
                <w:szCs w:val="17"/>
                <w:color w:val="auto"/>
              </w:rPr>
              <w:t>Intangible assets, net</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15,684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15,521</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6,205</w:t>
            </w:r>
          </w:p>
        </w:tc>
      </w:tr>
      <w:tr>
        <w:trPr>
          <w:trHeight w:val="284"/>
        </w:trPr>
        <w:tc>
          <w:tcPr>
            <w:tcW w:w="40" w:type="dxa"/>
            <w:vAlign w:val="bottom"/>
            <w:tcBorders>
              <w:bottom w:val="single" w:sz="8" w:color="CCEEFF"/>
            </w:tcBorders>
          </w:tcPr>
          <w:p>
            <w:pPr>
              <w:spacing w:after="0"/>
              <w:rPr>
                <w:sz w:val="24"/>
                <w:szCs w:val="24"/>
                <w:color w:val="auto"/>
              </w:rPr>
            </w:pPr>
          </w:p>
        </w:tc>
        <w:tc>
          <w:tcPr>
            <w:tcW w:w="8000" w:type="dxa"/>
            <w:vAlign w:val="bottom"/>
            <w:tcBorders>
              <w:bottom w:val="single" w:sz="8" w:color="CCEEFF"/>
            </w:tcBorders>
            <w:gridSpan w:val="6"/>
          </w:tcPr>
          <w:p>
            <w:pPr>
              <w:ind w:left="340"/>
              <w:spacing w:after="0"/>
              <w:rPr>
                <w:sz w:val="20"/>
                <w:szCs w:val="20"/>
                <w:color w:val="auto"/>
              </w:rPr>
            </w:pPr>
            <w:r>
              <w:rPr>
                <w:rFonts w:ascii="Arial" w:cs="Arial" w:eastAsia="Arial" w:hAnsi="Arial"/>
                <w:sz w:val="17"/>
                <w:szCs w:val="17"/>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91,774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90,594</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gridSpan w:val="3"/>
            <w:shd w:val="clear" w:color="auto" w:fill="CCEEFF"/>
          </w:tcPr>
          <w:p>
            <w:pPr>
              <w:jc w:val="center"/>
              <w:spacing w:after="0" w:line="189" w:lineRule="exact"/>
              <w:rPr>
                <w:sz w:val="20"/>
                <w:szCs w:val="20"/>
                <w:color w:val="auto"/>
              </w:rPr>
            </w:pPr>
            <w:r>
              <w:rPr>
                <w:rFonts w:ascii="Arial" w:cs="Arial" w:eastAsia="Arial" w:hAnsi="Arial"/>
                <w:sz w:val="17"/>
                <w:szCs w:val="17"/>
                <w:b w:val="1"/>
                <w:bCs w:val="1"/>
                <w:color w:val="auto"/>
                <w:w w:val="94"/>
              </w:rPr>
              <w:t>Liabilities and Equity</w:t>
            </w:r>
          </w:p>
        </w:tc>
        <w:tc>
          <w:tcPr>
            <w:tcW w:w="3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39"/>
        </w:trPr>
        <w:tc>
          <w:tcPr>
            <w:tcW w:w="8040" w:type="dxa"/>
            <w:vAlign w:val="bottom"/>
            <w:gridSpan w:val="7"/>
          </w:tcPr>
          <w:p>
            <w:pPr>
              <w:ind w:left="40"/>
              <w:spacing w:after="0"/>
              <w:rPr>
                <w:sz w:val="20"/>
                <w:szCs w:val="20"/>
                <w:color w:val="auto"/>
              </w:rPr>
            </w:pPr>
            <w:r>
              <w:rPr>
                <w:rFonts w:ascii="Arial" w:cs="Arial" w:eastAsia="Arial" w:hAnsi="Arial"/>
                <w:sz w:val="17"/>
                <w:szCs w:val="17"/>
                <w:color w:val="auto"/>
              </w:rPr>
              <w:t>Short-term borrowings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347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388</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6,965</w:t>
            </w:r>
          </w:p>
        </w:tc>
      </w:tr>
      <w:tr>
        <w:trPr>
          <w:trHeight w:val="239"/>
        </w:trPr>
        <w:tc>
          <w:tcPr>
            <w:tcW w:w="8040" w:type="dxa"/>
            <w:vAlign w:val="bottom"/>
            <w:gridSpan w:val="7"/>
          </w:tcPr>
          <w:p>
            <w:pPr>
              <w:ind w:left="40"/>
              <w:spacing w:after="0"/>
              <w:rPr>
                <w:sz w:val="20"/>
                <w:szCs w:val="20"/>
                <w:color w:val="auto"/>
              </w:rPr>
            </w:pPr>
            <w:r>
              <w:rPr>
                <w:rFonts w:ascii="Arial" w:cs="Arial" w:eastAsia="Arial" w:hAnsi="Arial"/>
                <w:sz w:val="17"/>
                <w:szCs w:val="17"/>
                <w:color w:val="auto"/>
              </w:rPr>
              <w:t>Accrued liabilities</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14,721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15,335</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w:t>
            </w:r>
          </w:p>
        </w:tc>
      </w:tr>
      <w:tr>
        <w:trPr>
          <w:trHeight w:val="219"/>
        </w:trPr>
        <w:tc>
          <w:tcPr>
            <w:tcW w:w="40" w:type="dxa"/>
            <w:vAlign w:val="bottom"/>
          </w:tcPr>
          <w:p>
            <w:pPr>
              <w:spacing w:after="0"/>
              <w:rPr>
                <w:sz w:val="19"/>
                <w:szCs w:val="19"/>
                <w:color w:val="auto"/>
              </w:rPr>
            </w:pPr>
          </w:p>
        </w:tc>
        <w:tc>
          <w:tcPr>
            <w:tcW w:w="8000" w:type="dxa"/>
            <w:vAlign w:val="bottom"/>
            <w:gridSpan w:val="6"/>
          </w:tcPr>
          <w:p>
            <w:pPr>
              <w:ind w:left="68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23,908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22,800</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19,741</w:t>
            </w:r>
          </w:p>
        </w:tc>
      </w:tr>
      <w:tr>
        <w:trPr>
          <w:trHeight w:val="239"/>
        </w:trPr>
        <w:tc>
          <w:tcPr>
            <w:tcW w:w="8040" w:type="dxa"/>
            <w:vAlign w:val="bottom"/>
            <w:gridSpan w:val="7"/>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3,033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3,444</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11,279</w:t>
            </w:r>
          </w:p>
        </w:tc>
      </w:tr>
      <w:tr>
        <w:trPr>
          <w:trHeight w:val="219"/>
        </w:trPr>
        <w:tc>
          <w:tcPr>
            <w:tcW w:w="40" w:type="dxa"/>
            <w:vAlign w:val="bottom"/>
          </w:tcPr>
          <w:p>
            <w:pPr>
              <w:spacing w:after="0"/>
              <w:rPr>
                <w:sz w:val="19"/>
                <w:szCs w:val="19"/>
                <w:color w:val="auto"/>
              </w:rPr>
            </w:pPr>
          </w:p>
        </w:tc>
        <w:tc>
          <w:tcPr>
            <w:tcW w:w="8000" w:type="dxa"/>
            <w:vAlign w:val="bottom"/>
            <w:gridSpan w:val="6"/>
          </w:tcPr>
          <w:p>
            <w:pPr>
              <w:ind w:left="680"/>
              <w:spacing w:after="0"/>
              <w:rPr>
                <w:sz w:val="20"/>
                <w:szCs w:val="20"/>
                <w:color w:val="auto"/>
              </w:rPr>
            </w:pPr>
            <w:r>
              <w:rPr>
                <w:rFonts w:ascii="Arial" w:cs="Arial" w:eastAsia="Arial" w:hAnsi="Arial"/>
                <w:sz w:val="17"/>
                <w:szCs w:val="17"/>
                <w:color w:val="auto"/>
              </w:rPr>
              <w:t>Total Liabilities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56,244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57,264</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Commitments and contingent liabilities (Note 14)</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39"/>
        </w:trPr>
        <w:tc>
          <w:tcPr>
            <w:tcW w:w="8040" w:type="dxa"/>
            <w:vAlign w:val="bottom"/>
            <w:gridSpan w:val="7"/>
          </w:tcPr>
          <w:p>
            <w:pPr>
              <w:ind w:left="40"/>
              <w:spacing w:after="0"/>
              <w:rPr>
                <w:sz w:val="20"/>
                <w:szCs w:val="20"/>
                <w:color w:val="auto"/>
              </w:rPr>
            </w:pPr>
            <w:r>
              <w:rPr>
                <w:rFonts w:ascii="Arial" w:cs="Arial" w:eastAsia="Arial" w:hAnsi="Arial"/>
                <w:sz w:val="17"/>
                <w:szCs w:val="17"/>
                <w:color w:val="auto"/>
              </w:rPr>
              <w:t>Redeemable noncontrolling interest</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111</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Shareowners'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8000" w:type="dxa"/>
            <w:vAlign w:val="bottom"/>
            <w:gridSpan w:val="6"/>
          </w:tcPr>
          <w:p>
            <w:pPr>
              <w:ind w:left="680"/>
              <w:spacing w:after="0"/>
              <w:rPr>
                <w:sz w:val="20"/>
                <w:szCs w:val="20"/>
                <w:color w:val="auto"/>
              </w:rPr>
            </w:pPr>
            <w:r>
              <w:rPr>
                <w:rFonts w:ascii="Arial" w:cs="Arial" w:eastAsia="Arial" w:hAnsi="Arial"/>
                <w:sz w:val="17"/>
                <w:szCs w:val="17"/>
                <w:color w:val="auto"/>
              </w:rPr>
              <w:t>Common Stock</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15,187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14,764</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Treasury Stock</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(20,431)</w:t>
            </w:r>
          </w:p>
        </w:tc>
      </w:tr>
      <w:tr>
        <w:trPr>
          <w:trHeight w:val="239"/>
        </w:trPr>
        <w:tc>
          <w:tcPr>
            <w:tcW w:w="40" w:type="dxa"/>
            <w:vAlign w:val="bottom"/>
          </w:tcPr>
          <w:p>
            <w:pPr>
              <w:spacing w:after="0"/>
              <w:rPr>
                <w:sz w:val="20"/>
                <w:szCs w:val="20"/>
                <w:color w:val="auto"/>
              </w:rPr>
            </w:pPr>
          </w:p>
        </w:tc>
        <w:tc>
          <w:tcPr>
            <w:tcW w:w="8000" w:type="dxa"/>
            <w:vAlign w:val="bottom"/>
            <w:gridSpan w:val="6"/>
          </w:tcPr>
          <w:p>
            <w:pPr>
              <w:ind w:left="680"/>
              <w:spacing w:after="0"/>
              <w:rPr>
                <w:sz w:val="20"/>
                <w:szCs w:val="20"/>
                <w:color w:val="auto"/>
              </w:rPr>
            </w:pPr>
            <w:r>
              <w:rPr>
                <w:rFonts w:ascii="Arial" w:cs="Arial" w:eastAsia="Arial" w:hAnsi="Arial"/>
                <w:sz w:val="17"/>
                <w:szCs w:val="17"/>
                <w:color w:val="auto"/>
              </w:rPr>
              <w:t>Retained earnings</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43,668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40,539</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Unearned ESOP shares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39"/>
        </w:trPr>
        <w:tc>
          <w:tcPr>
            <w:tcW w:w="40" w:type="dxa"/>
            <w:vAlign w:val="bottom"/>
          </w:tcPr>
          <w:p>
            <w:pPr>
              <w:spacing w:after="0"/>
              <w:rPr>
                <w:sz w:val="20"/>
                <w:szCs w:val="20"/>
                <w:color w:val="auto"/>
              </w:rPr>
            </w:pPr>
          </w:p>
        </w:tc>
        <w:tc>
          <w:tcPr>
            <w:tcW w:w="8000" w:type="dxa"/>
            <w:vAlign w:val="bottom"/>
            <w:gridSpan w:val="6"/>
          </w:tcPr>
          <w:p>
            <w:pPr>
              <w:ind w:left="68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(2,880)</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6"/>
            <w:shd w:val="clear" w:color="auto" w:fill="CCEEFF"/>
          </w:tcPr>
          <w:p>
            <w:pPr>
              <w:ind w:left="1100"/>
              <w:spacing w:after="0"/>
              <w:rPr>
                <w:sz w:val="20"/>
                <w:szCs w:val="20"/>
                <w:color w:val="auto"/>
              </w:rPr>
            </w:pPr>
            <w:r>
              <w:rPr>
                <w:rFonts w:ascii="Arial" w:cs="Arial" w:eastAsia="Arial" w:hAnsi="Arial"/>
                <w:sz w:val="17"/>
                <w:szCs w:val="17"/>
                <w:color w:val="auto"/>
              </w:rPr>
              <w:t>Total Shareowners'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34,049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31,866</w:t>
            </w:r>
          </w:p>
        </w:tc>
      </w:tr>
      <w:tr>
        <w:trPr>
          <w:trHeight w:val="239"/>
        </w:trPr>
        <w:tc>
          <w:tcPr>
            <w:tcW w:w="8040" w:type="dxa"/>
            <w:vAlign w:val="bottom"/>
            <w:gridSpan w:val="7"/>
          </w:tcPr>
          <w:p>
            <w:pPr>
              <w:ind w:left="40"/>
              <w:spacing w:after="0"/>
              <w:rPr>
                <w:sz w:val="20"/>
                <w:szCs w:val="20"/>
                <w:color w:val="auto"/>
              </w:rPr>
            </w:pPr>
            <w:r>
              <w:rPr>
                <w:rFonts w:ascii="Arial" w:cs="Arial" w:eastAsia="Arial" w:hAnsi="Arial"/>
                <w:sz w:val="17"/>
                <w:szCs w:val="17"/>
                <w:color w:val="auto"/>
              </w:rPr>
              <w:t>Noncontrolling interest</w:t>
            </w:r>
          </w:p>
        </w:tc>
        <w:tc>
          <w:tcPr>
            <w:tcW w:w="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1,340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1,353</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33,219</w:t>
            </w:r>
          </w:p>
        </w:tc>
      </w:tr>
      <w:tr>
        <w:trPr>
          <w:trHeight w:val="244"/>
        </w:trPr>
        <w:tc>
          <w:tcPr>
            <w:tcW w:w="40" w:type="dxa"/>
            <w:vAlign w:val="bottom"/>
          </w:tcPr>
          <w:p>
            <w:pPr>
              <w:spacing w:after="0"/>
              <w:rPr>
                <w:sz w:val="21"/>
                <w:szCs w:val="21"/>
                <w:color w:val="auto"/>
              </w:rPr>
            </w:pPr>
          </w:p>
        </w:tc>
        <w:tc>
          <w:tcPr>
            <w:tcW w:w="8000" w:type="dxa"/>
            <w:vAlign w:val="bottom"/>
            <w:gridSpan w:val="6"/>
          </w:tcPr>
          <w:p>
            <w:pPr>
              <w:ind w:left="340"/>
              <w:spacing w:after="0"/>
              <w:rPr>
                <w:sz w:val="20"/>
                <w:szCs w:val="20"/>
                <w:color w:val="auto"/>
              </w:rPr>
            </w:pPr>
            <w:r>
              <w:rPr>
                <w:rFonts w:ascii="Arial" w:cs="Arial" w:eastAsia="Arial" w:hAnsi="Arial"/>
                <w:sz w:val="17"/>
                <w:szCs w:val="17"/>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91,774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90,594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1160" w:type="dxa"/>
            <w:vAlign w:val="bottom"/>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4,523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Adjustments to reconcile income from continuing operations to net cash flows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of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1,335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40" w:type="dxa"/>
            <w:vAlign w:val="bottom"/>
          </w:tcPr>
          <w:p>
            <w:pPr>
              <w:spacing w:after="0"/>
              <w:rPr>
                <w:sz w:val="21"/>
                <w:szCs w:val="21"/>
                <w:color w:val="auto"/>
              </w:rPr>
            </w:pPr>
          </w:p>
        </w:tc>
        <w:tc>
          <w:tcPr>
            <w:tcW w:w="838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43"/>
        </w:trPr>
        <w:tc>
          <w:tcPr>
            <w:tcW w:w="40" w:type="dxa"/>
            <w:vAlign w:val="bottom"/>
          </w:tcPr>
          <w:p>
            <w:pPr>
              <w:spacing w:after="0"/>
              <w:rPr>
                <w:sz w:val="21"/>
                <w:szCs w:val="21"/>
                <w:color w:val="auto"/>
              </w:rPr>
            </w:pPr>
          </w:p>
        </w:tc>
        <w:tc>
          <w:tcPr>
            <w:tcW w:w="838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w:t>
            </w: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37"/>
        </w:trPr>
        <w:tc>
          <w:tcPr>
            <w:tcW w:w="40" w:type="dxa"/>
            <w:vAlign w:val="bottom"/>
          </w:tcPr>
          <w:p>
            <w:pPr>
              <w:spacing w:after="0"/>
              <w:rPr>
                <w:sz w:val="20"/>
                <w:szCs w:val="20"/>
                <w:color w:val="auto"/>
              </w:rPr>
            </w:pPr>
          </w:p>
        </w:tc>
        <w:tc>
          <w:tcPr>
            <w:tcW w:w="8380" w:type="dxa"/>
            <w:vAlign w:val="bottom"/>
            <w:gridSpan w:val="2"/>
          </w:tcPr>
          <w:p>
            <w:pPr>
              <w:ind w:left="6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Dispositions of businesses</w:t>
            </w: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1,465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Decrease (increase) in customer financing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investing activities,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7"/>
        </w:trPr>
        <w:tc>
          <w:tcPr>
            <w:tcW w:w="40" w:type="dxa"/>
            <w:vAlign w:val="bottom"/>
          </w:tcPr>
          <w:p>
            <w:pPr>
              <w:spacing w:after="0"/>
              <w:rPr>
                <w:sz w:val="20"/>
                <w:szCs w:val="20"/>
                <w:color w:val="auto"/>
              </w:rPr>
            </w:pPr>
          </w:p>
        </w:tc>
        <w:tc>
          <w:tcPr>
            <w:tcW w:w="838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Repayment of long-term debt,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Decrease in short-term borrowings, net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on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7"/>
        </w:trPr>
        <w:tc>
          <w:tcPr>
            <w:tcW w:w="40" w:type="dxa"/>
            <w:vAlign w:val="bottom"/>
          </w:tcPr>
          <w:p>
            <w:pPr>
              <w:spacing w:after="0"/>
              <w:rPr>
                <w:sz w:val="20"/>
                <w:szCs w:val="20"/>
                <w:color w:val="auto"/>
              </w:rPr>
            </w:pPr>
          </w:p>
        </w:tc>
        <w:tc>
          <w:tcPr>
            <w:tcW w:w="838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37"/>
        </w:trPr>
        <w:tc>
          <w:tcPr>
            <w:tcW w:w="40" w:type="dxa"/>
            <w:vAlign w:val="bottom"/>
          </w:tcPr>
          <w:p>
            <w:pPr>
              <w:spacing w:after="0"/>
              <w:rPr>
                <w:sz w:val="20"/>
                <w:szCs w:val="20"/>
                <w:color w:val="auto"/>
              </w:rPr>
            </w:pPr>
          </w:p>
        </w:tc>
        <w:tc>
          <w:tcPr>
            <w:tcW w:w="838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discontinued operations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40" w:type="dxa"/>
            <w:vAlign w:val="bottom"/>
          </w:tcPr>
          <w:p>
            <w:pPr>
              <w:spacing w:after="0"/>
              <w:rPr>
                <w:sz w:val="20"/>
                <w:szCs w:val="20"/>
                <w:color w:val="auto"/>
              </w:rPr>
            </w:pPr>
          </w:p>
        </w:tc>
        <w:tc>
          <w:tcPr>
            <w:tcW w:w="8380" w:type="dxa"/>
            <w:vAlign w:val="bottom"/>
            <w:gridSpan w:val="2"/>
          </w:tcPr>
          <w:p>
            <w:pPr>
              <w:ind w:left="68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4,836</w:t>
            </w:r>
          </w:p>
        </w:tc>
      </w:tr>
      <w:tr>
        <w:trPr>
          <w:trHeight w:val="257"/>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4,621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Condensed Consolidated Financial Statements at September 30, 2014 and for the quarters and nine months ended September 30, 2014 and 2013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Certain reclassifications have been made to the prior year amounts to conform to the current year presentation. The financial information included herein should be read in conjunction with the financial statements and notes in our Annual Report to Shareowners (2013 Annual Report) incorporated by reference to our Annual Report on Form 10-K for calendar year 2013 (2013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nine months ended September 30, 2014, our investment in business acquisitions was $506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debt assumed of $128 million, and consisted of the acquisition of the majority interest in a Pratt &amp; Whitney joint venture and a number of small acquisitions, primarily in our commercial businesses.</w:t>
      </w:r>
    </w:p>
    <w:p>
      <w:pPr>
        <w:spacing w:after="0" w:line="180"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As a result of the 2012 transactions related to IAE International Aero Engines AG (IAE), Pratt &amp; Whitney holds a 61% net interest in the collaboration and a 49.5% ownership interest in IAE. IAE's business purpose is to coordinate the design, development, manufacturing and product support of the V2500 program through involvement with the collaborators. IAE retains limited equity with the primary economics of the V2500 program passed to the participants in the separate collaboration arrangement. As such, we have determined that IAE is a variable interest entity with Pratt &amp; Whitney its primary beneficiary, and IAE has, therefore, been consolidated. The carrying amounts and classification of assets and liabilities for IAE in our Condensed Consolidated Balance Sheet as of September 30, 2014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
        </w:trPr>
        <w:tc>
          <w:tcPr>
            <w:tcW w:w="8040" w:type="dxa"/>
            <w:vAlign w:val="bottom"/>
            <w:gridSpan w:val="9"/>
            <w:vMerge w:val="restart"/>
          </w:tcPr>
          <w:p>
            <w:pPr>
              <w:spacing w:after="0"/>
              <w:rPr>
                <w:sz w:val="20"/>
                <w:szCs w:val="20"/>
                <w:color w:val="auto"/>
              </w:rPr>
            </w:pPr>
            <w:r>
              <w:rPr>
                <w:rFonts w:ascii="Arial" w:cs="Arial" w:eastAsia="Arial" w:hAnsi="Arial"/>
                <w:sz w:val="18"/>
                <w:szCs w:val="18"/>
                <w:b w:val="1"/>
                <w:bCs w:val="1"/>
                <w:color w:val="auto"/>
                <w:w w:val="92"/>
              </w:rPr>
              <w:t xml:space="preserve">Goodwill. </w:t>
            </w:r>
            <w:r>
              <w:rPr>
                <w:rFonts w:ascii="Arial" w:cs="Arial" w:eastAsia="Arial" w:hAnsi="Arial"/>
                <w:sz w:val="18"/>
                <w:szCs w:val="18"/>
                <w:color w:val="auto"/>
                <w:w w:val="92"/>
              </w:rPr>
              <w:t>Changes in our goodwill balances for the nine months ended September 30, 2014 were as follows:</w:t>
            </w: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40" w:type="dxa"/>
            <w:vAlign w:val="bottom"/>
            <w:gridSpan w:val="9"/>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as of</w:t>
            </w:r>
          </w:p>
        </w:tc>
        <w:tc>
          <w:tcPr>
            <w:tcW w:w="26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Goodwill</w:t>
            </w:r>
          </w:p>
        </w:tc>
        <w:tc>
          <w:tcPr>
            <w:tcW w:w="120" w:type="dxa"/>
            <w:vAlign w:val="bottom"/>
          </w:tcPr>
          <w:p>
            <w:pPr>
              <w:spacing w:after="0"/>
              <w:rPr>
                <w:sz w:val="24"/>
                <w:szCs w:val="2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Foreign Currency</w:t>
            </w:r>
          </w:p>
        </w:tc>
        <w:tc>
          <w:tcPr>
            <w:tcW w:w="180" w:type="dxa"/>
            <w:vAlign w:val="bottom"/>
          </w:tcPr>
          <w:p>
            <w:pPr>
              <w:spacing w:after="0"/>
              <w:rPr>
                <w:sz w:val="24"/>
                <w:szCs w:val="24"/>
                <w:color w:val="auto"/>
              </w:rPr>
            </w:pPr>
          </w:p>
        </w:tc>
        <w:tc>
          <w:tcPr>
            <w:tcW w:w="14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January 1, 2014</w:t>
            </w:r>
          </w:p>
        </w:tc>
        <w:tc>
          <w:tcPr>
            <w:tcW w:w="260" w:type="dxa"/>
            <w:vAlign w:val="bottom"/>
          </w:tcPr>
          <w:p>
            <w:pPr>
              <w:spacing w:after="0"/>
              <w:rPr>
                <w:sz w:val="13"/>
                <w:szCs w:val="13"/>
                <w:color w:val="auto"/>
              </w:rPr>
            </w:pPr>
          </w:p>
        </w:tc>
        <w:tc>
          <w:tcPr>
            <w:tcW w:w="14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20" w:type="dxa"/>
            <w:vAlign w:val="bottom"/>
          </w:tcPr>
          <w:p>
            <w:pPr>
              <w:spacing w:after="0"/>
              <w:rPr>
                <w:sz w:val="13"/>
                <w:szCs w:val="13"/>
                <w:color w:val="auto"/>
              </w:rPr>
            </w:pPr>
          </w:p>
        </w:tc>
        <w:tc>
          <w:tcPr>
            <w:tcW w:w="16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180" w:type="dxa"/>
            <w:vAlign w:val="bottom"/>
          </w:tcPr>
          <w:p>
            <w:pPr>
              <w:spacing w:after="0"/>
              <w:rPr>
                <w:sz w:val="13"/>
                <w:szCs w:val="13"/>
                <w:color w:val="auto"/>
              </w:rPr>
            </w:pPr>
          </w:p>
        </w:tc>
        <w:tc>
          <w:tcPr>
            <w:tcW w:w="1460" w:type="dxa"/>
            <w:vAlign w:val="bottom"/>
          </w:tcPr>
          <w:p>
            <w:pPr>
              <w:jc w:val="right"/>
              <w:ind w:right="132"/>
              <w:spacing w:after="0" w:line="158" w:lineRule="exact"/>
              <w:rPr>
                <w:sz w:val="20"/>
                <w:szCs w:val="20"/>
                <w:color w:val="auto"/>
              </w:rPr>
            </w:pPr>
            <w:r>
              <w:rPr>
                <w:rFonts w:ascii="Arial" w:cs="Arial" w:eastAsia="Arial" w:hAnsi="Arial"/>
                <w:sz w:val="14"/>
                <w:szCs w:val="14"/>
                <w:b w:val="1"/>
                <w:bCs w:val="1"/>
                <w:color w:val="auto"/>
                <w:w w:val="93"/>
              </w:rPr>
              <w:t>September 30,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9,727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15,069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15,014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7"/>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28,163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28,164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28,168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35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4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4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8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2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17,557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19,781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19,196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Customer relationship intangible assets include payments made to our customers to secure certain contractual rights. We amortize these intangible assets based on the underlying pattern of economic benefit, which may result in an amortization method other than straight-line. We classify amortization of such payments as a reduction of sales. The IAE collaboration intangible asset is amortized based upon the economic pattern of benefits as represented by the underlying cash flows. Prior to 2014, these cash flows were negative, and, accordingly, no amortization had previously been recorded. Amortization of intangible assets for the quarter and nine months ended September 30, 2014 was $182 million and $540 million, respectively, compared with $180 million and $531 million for the same periods of 2013. The following is the expected amortization of intangible assets for the years 2014 through 2019, which reflects an increase in expected amortization expense due to the pattern of economic benefit on certain aerospace intangible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Remaining 2014</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4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669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810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In 2012, the UTC Board of Directors approved plans for the divestiture of a number of non-core businesses, which were completed with the sale of substantially all operations of Pratt &amp; Whitney Rocketdyne (Rocketdyne) on June 14, 2013. Cash generated from these divestitures was used to repay debt incurred to finance the acquisition of Goodrich Corporation (Goodrich) in 2012. On February 12, 2013, we completed the disposition of UTC Power to ClearEdge Power. We have no continuing involvement with the UTC Power business post-disposition.</w:t>
      </w:r>
    </w:p>
    <w:p>
      <w:pPr>
        <w:spacing w:after="0" w:line="171"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following summarized financial information for our discontinued operations businesses was segregated from continuing operations and reported as Discontinued Operations in 2013. There was no discontinued operations activity in the nine months ended September 30, 2014.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Quarter Ended</w:t>
            </w:r>
          </w:p>
        </w:tc>
        <w:tc>
          <w:tcPr>
            <w:tcW w:w="160" w:type="dxa"/>
            <w:vAlign w:val="bottom"/>
          </w:tcPr>
          <w:p>
            <w:pPr>
              <w:spacing w:after="0"/>
              <w:rPr>
                <w:sz w:val="14"/>
                <w:szCs w:val="14"/>
                <w:color w:val="auto"/>
              </w:rPr>
            </w:pPr>
          </w:p>
        </w:tc>
        <w:tc>
          <w:tcPr>
            <w:tcW w:w="152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September 30, 2013</w:t>
            </w:r>
          </w:p>
        </w:tc>
        <w:tc>
          <w:tcPr>
            <w:tcW w:w="160" w:type="dxa"/>
            <w:vAlign w:val="bottom"/>
          </w:tcPr>
          <w:p>
            <w:pPr>
              <w:spacing w:after="0"/>
              <w:rPr>
                <w:sz w:val="13"/>
                <w:szCs w:val="13"/>
                <w:color w:val="auto"/>
              </w:rPr>
            </w:pPr>
          </w:p>
        </w:tc>
        <w:tc>
          <w:tcPr>
            <w:tcW w:w="152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w w:val="96"/>
              </w:rPr>
              <w:t>September 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sales</w:t>
            </w:r>
          </w:p>
        </w:tc>
        <w:tc>
          <w:tcPr>
            <w:tcW w:w="3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3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Income tax expense</w:t>
            </w:r>
          </w:p>
        </w:tc>
        <w:tc>
          <w:tcPr>
            <w:tcW w:w="3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Income from operations, net of income taxes</w:t>
            </w:r>
          </w:p>
        </w:tc>
        <w:tc>
          <w:tcPr>
            <w:tcW w:w="3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Gain (loss) on disposal</w:t>
            </w:r>
          </w:p>
        </w:tc>
        <w:tc>
          <w:tcPr>
            <w:tcW w:w="3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w:t>
            </w:r>
          </w:p>
        </w:tc>
        <w:tc>
          <w:tcPr>
            <w:tcW w:w="3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Income from discontinued operations</w:t>
            </w:r>
          </w:p>
        </w:tc>
        <w:tc>
          <w:tcPr>
            <w:tcW w:w="3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40" w:type="dxa"/>
            <w:vAlign w:val="bottom"/>
            <w:vMerge w:val="restart"/>
          </w:tcPr>
          <w:p>
            <w:pPr>
              <w:jc w:val="right"/>
              <w:ind w:right="209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September 30,</w:t>
            </w:r>
          </w:p>
        </w:tc>
        <w:tc>
          <w:tcPr>
            <w:tcW w:w="220" w:type="dxa"/>
            <w:vAlign w:val="bottom"/>
          </w:tcPr>
          <w:p>
            <w:pPr>
              <w:spacing w:after="0"/>
              <w:rPr>
                <w:sz w:val="16"/>
                <w:szCs w:val="16"/>
                <w:color w:val="auto"/>
              </w:rPr>
            </w:pPr>
          </w:p>
        </w:tc>
        <w:tc>
          <w:tcPr>
            <w:tcW w:w="25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29"/>
        </w:trPr>
        <w:tc>
          <w:tcPr>
            <w:tcW w:w="5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2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6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7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4,747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37"/>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900.9</w:t>
            </w: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w:t>
            </w:r>
          </w:p>
        </w:tc>
        <w:tc>
          <w:tcPr>
            <w:tcW w:w="3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915.5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60" w:type="dxa"/>
            <w:vAlign w:val="bottom"/>
            <w:gridSpan w:val="2"/>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60" w:type="dxa"/>
            <w:vAlign w:val="bottom"/>
            <w:gridSpan w:val="2"/>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 ended</w:t>
      </w:r>
    </w:p>
    <w:p>
      <w:pPr>
        <w:jc w:val="both"/>
        <w:ind w:right="200"/>
        <w:spacing w:after="0" w:line="255" w:lineRule="auto"/>
        <w:rPr>
          <w:sz w:val="20"/>
          <w:szCs w:val="20"/>
          <w:color w:val="auto"/>
        </w:rPr>
      </w:pPr>
      <w:r>
        <w:rPr>
          <w:rFonts w:ascii="Arial" w:cs="Arial" w:eastAsia="Arial" w:hAnsi="Arial"/>
          <w:sz w:val="18"/>
          <w:szCs w:val="18"/>
          <w:color w:val="auto"/>
        </w:rPr>
        <w:t>September 30, 2014, the number of stock awards excluded from the computation was approximately 3.6 million. For the nine months ended September 30, 2014, there were no anti-dilutive stock awards excluded from the computation. There were no anti-dilutive stock awards excluded from the computation for the quarter and nine months ended September 30, 2013.</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4"/>
                <w:szCs w:val="14"/>
                <w:color w:val="auto"/>
              </w:rPr>
            </w:pPr>
          </w:p>
        </w:tc>
        <w:tc>
          <w:tcPr>
            <w:tcW w:w="14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1,983</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3,945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4,600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3,360</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8,756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7,929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17,872</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40" w:type="dxa"/>
            <w:vAlign w:val="bottom"/>
          </w:tcPr>
          <w:p>
            <w:pPr>
              <w:spacing w:after="0"/>
              <w:rPr>
                <w:sz w:val="21"/>
                <w:szCs w:val="21"/>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(7,263)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quarter ended June 30, 2014, Sikorsky and the Canadian Government signed amendments to their existing contracts for development, production and support of the CH-148 helicopter. These amendments include significant changes in program scope, governance and delivery methodology. Accordingly, in the quarter ended June 30, 2014, we recognized a change in estimate on this program resulting in the liquidation of approximately $1.3 billion of inventory, including all capitalized contract development costs related to this program. As of December 31, 2013, inventory included approximately $740 million of capitalized contract development costs related to this program.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Inventory also includes capitalized contract development costs related to certain aerospace programs at UTC Aerospace Systems. As of September 30,</w:t>
      </w:r>
    </w:p>
    <w:p>
      <w:pPr>
        <w:spacing w:after="0" w:line="4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2014 and December 31, 2013, these capitalized costs were $149 million and $159 million, respectively, which will be liquidated as production units are delivered to the customer.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4"/>
                <w:szCs w:val="14"/>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188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September 30, 2014, we had revolving credit agreements with various banks permitting aggregate borrowings of up to $4.35 billion pursuant to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$2.20 billion revolving credit agreement and a $2.15 billion multicurrency revolving credit agreement, both of which expire in May 2019.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there were no borrowings under either of these revolving credit agreements. The undrawn portions of these revolving credit agreements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also available to serve as backup facilities for the issuance of commercial paper. As of September 30, 2014, our maximum commercial paper borrowing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 was $4 billion. We use our commercial paper borrowings for general corporate purposes, including the funding of potential acquisitions, debt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refinancing, and repurchases of our common stock.</w:t>
      </w:r>
    </w:p>
    <w:p>
      <w:pPr>
        <w:spacing w:after="0" w:line="211"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On April 1, 2014, we redeemed all remaining outstanding 2016 Goodrich 6.290% notes, representing approximately $188 million in aggregate principal, under our redemption notice issued on February 28,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4"/>
                <w:szCs w:val="14"/>
                <w:color w:val="auto"/>
              </w:rPr>
            </w:pPr>
          </w:p>
        </w:tc>
        <w:tc>
          <w:tcPr>
            <w:tcW w:w="1460" w:type="dxa"/>
            <w:vAlign w:val="bottom"/>
          </w:tcPr>
          <w:p>
            <w:pPr>
              <w:jc w:val="right"/>
              <w:ind w:right="151"/>
              <w:spacing w:after="0"/>
              <w:rPr>
                <w:sz w:val="20"/>
                <w:szCs w:val="20"/>
                <w:color w:val="auto"/>
              </w:rPr>
            </w:pPr>
            <w:r>
              <w:rPr>
                <w:rFonts w:ascii="Arial" w:cs="Arial" w:eastAsia="Arial" w:hAnsi="Arial"/>
                <w:sz w:val="14"/>
                <w:szCs w:val="14"/>
                <w:b w:val="1"/>
                <w:bCs w:val="1"/>
                <w:color w:val="auto"/>
                <w:w w:val="95"/>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804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0.500% floating rate notes due 2015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4.875% notes due 2015*</w:t>
            </w: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6.290% notes due 2016</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5.375% notes due 2017*</w:t>
            </w: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1.800% notes due 2017*</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r>
      <w:tr>
        <w:trPr>
          <w:trHeight w:val="270"/>
        </w:trPr>
        <w:tc>
          <w:tcPr>
            <w:tcW w:w="80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6.800% notes due 2018</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50"/>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6.125% notes due 2019*</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8.875% notes due 2019</w:t>
            </w: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4.500% notes due 2020*</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70"/>
        </w:trPr>
        <w:tc>
          <w:tcPr>
            <w:tcW w:w="80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4.875% notes due 2020</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50"/>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3.100% notes due 2022*</w:t>
            </w: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1.550% junior subordinated notes due 2022</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r>
      <w:tr>
        <w:trPr>
          <w:trHeight w:val="270"/>
        </w:trPr>
        <w:tc>
          <w:tcPr>
            <w:tcW w:w="80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7.100% notes due 2027</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50"/>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6.700% notes due 2028</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7.500% notes due 2029*</w:t>
            </w: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5.400% notes due 2035*</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6.050% notes due 2036*</w:t>
            </w: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6.800% notes due 2036</w:t>
            </w:r>
            <w:r>
              <w:rPr>
                <w:rFonts w:ascii="Arial" w:cs="Arial" w:eastAsia="Arial" w:hAnsi="Arial"/>
                <w:sz w:val="25"/>
                <w:szCs w:val="25"/>
                <w:color w:val="auto"/>
                <w:vertAlign w:val="superscript"/>
              </w:rPr>
              <w:t>‡</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70"/>
        </w:trPr>
        <w:tc>
          <w:tcPr>
            <w:tcW w:w="80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7.000% notes due 2038</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50"/>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6.125% notes due 2038*</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5.700% notes due 2040*</w:t>
            </w: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4.500% notes due 2042*</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 (including capitalized leases)</w:t>
            </w:r>
            <w:r>
              <w:rPr>
                <w:rFonts w:ascii="Arial" w:cs="Arial" w:eastAsia="Arial" w:hAnsi="Arial"/>
                <w:sz w:val="25"/>
                <w:szCs w:val="25"/>
                <w:color w:val="auto"/>
                <w:vertAlign w:val="superscript"/>
              </w:rPr>
              <w:t>‡</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r>
      <w:tr>
        <w:trPr>
          <w:trHeight w:val="237"/>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16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19,479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19,643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 (fair market value adjustments and discounts)</w:t>
            </w:r>
            <w:r>
              <w:rPr>
                <w:rFonts w:ascii="Arial" w:cs="Arial" w:eastAsia="Arial" w:hAnsi="Arial"/>
                <w:sz w:val="25"/>
                <w:szCs w:val="25"/>
                <w:color w:val="auto"/>
                <w:vertAlign w:val="superscript"/>
              </w:rPr>
              <w:t>‡</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37"/>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19,651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19,853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50"/>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17,857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8890</wp:posOffset>
            </wp:positionV>
            <wp:extent cx="2152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38" w:lineRule="exact"/>
        <w:rPr>
          <w:sz w:val="20"/>
          <w:szCs w:val="20"/>
          <w:color w:val="auto"/>
        </w:rPr>
      </w:pPr>
    </w:p>
    <w:p>
      <w:pPr>
        <w:ind w:left="340" w:hanging="332"/>
        <w:spacing w:after="0" w:line="27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-570230</wp:posOffset>
            </wp:positionV>
            <wp:extent cx="2152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ind w:left="340" w:right="440" w:hanging="332"/>
        <w:spacing w:after="0" w:line="303"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5"/>
          <w:szCs w:val="15"/>
          <w:color w:val="auto"/>
        </w:rPr>
        <w:t>The junior subordinated notes are redeemable at our option, in whole or in part, on a date not earlier than August 1, 2017. The redemption price will be the principal amount, plus accrued and unpaid interest, if any, up to but excluding the redemption date. We may extend or eliminate the optional redemption date as part of a remarketing of the junior subordinated notes which could occur between April 29, 2015 and July 15, 2015 or between July 23, 2015 and July 29, 2015.</w:t>
      </w:r>
    </w:p>
    <w:p>
      <w:pPr>
        <w:spacing w:after="0" w:line="1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6"/>
          <w:szCs w:val="16"/>
          <w:color w:val="auto"/>
        </w:rPr>
        <w:t>Includes notes and remaining fair market value adjustments that were assumed as a part of the Goodrich acquisition on July 26, 2012.</w:t>
      </w:r>
    </w:p>
    <w:p>
      <w:pPr>
        <w:ind w:left="340" w:hanging="332"/>
        <w:spacing w:after="0" w:line="225"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three-month LIBOR rate as of September 30, 2014 was approximately 0.2%.</w:t>
      </w:r>
    </w:p>
    <w:p>
      <w:pPr>
        <w:spacing w:after="0" w:line="15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2000.</w:t>
      </w:r>
    </w:p>
    <w:p>
      <w:pPr>
        <w:spacing w:after="0" w:line="188" w:lineRule="exact"/>
        <w:rPr>
          <w:sz w:val="20"/>
          <w:szCs w:val="20"/>
          <w:color w:val="auto"/>
        </w:rPr>
      </w:pPr>
    </w:p>
    <w:p>
      <w:pPr>
        <w:jc w:val="both"/>
        <w:ind w:right="140" w:firstLine="405"/>
        <w:spacing w:after="0" w:line="288"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over the next 12 months the amount of unrecognized tax benefits may change within a range of a net increase of</w:t>
      </w:r>
    </w:p>
    <w:p>
      <w:pPr>
        <w:jc w:val="both"/>
        <w:ind w:right="380"/>
        <w:spacing w:after="0" w:line="277" w:lineRule="auto"/>
        <w:rPr>
          <w:sz w:val="20"/>
          <w:szCs w:val="20"/>
          <w:color w:val="auto"/>
        </w:rPr>
      </w:pPr>
      <w:r>
        <w:rPr>
          <w:rFonts w:ascii="Arial" w:cs="Arial" w:eastAsia="Arial" w:hAnsi="Arial"/>
          <w:sz w:val="17"/>
          <w:szCs w:val="17"/>
          <w:color w:val="auto"/>
        </w:rPr>
        <w:t>$30 million to a net decrease of $150 million as a result of additional worldwide uncertain tax positions, the revaluation of current uncertain tax positions arising from developments in examinations, in appeals, or in the courts, or the closure of tax statutes. See Note 14, Contingent Liabilities, for discussion regarding uncertain tax positions which are not included in this range related to previously disclosed German tax litigation.</w:t>
      </w:r>
    </w:p>
    <w:p>
      <w:pPr>
        <w:spacing w:after="0" w:line="17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Company is engaged in litigation with the Internal Revenue Service (IRS) with respect to an issue involving the proper timing of deductions taken by Goodrich Corporation in its tax years 2005 and 2006, prior to its acquisition by UTC. This is a recurring issue, and the IRS may continue to challenge it in subsequent tax years until the issue is resolved. Goodrich Corporation tax years 2007 through 2010 are currently before the Appeals Division of the IRS (IRS Appeals) for resolution discussions regarding certain proposed adjustments with which UTC does not agree, including the recurring timing issue described above. Both the 2005 - 2006 litigation and the 2007 - 2010 appeals proceedings, together with all final computations for open tax years through 2010, are expected to be resolved during the fourth quarter of 2014. As a result, we currently expect to recognize non-cash gains of approximately $90 million during the fourth quarter of 2014, primarily comprised of pre-tax interest. IRS examination activity for Goodrich Corporation tax years 2011 and 2012, prior to its acquisition by UTC, commenced during the third quarter of 2014.</w:t>
      </w:r>
    </w:p>
    <w:p>
      <w:pPr>
        <w:spacing w:after="0" w:line="17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UTC tax years 2006 through 2008 have been before IRS Appeals for resolution of certain proposed adjustments with which UTC did not agree. These proceedings were completed and resolution was achieved during the quarter ended September 30, 2014. IRS examination activity for UTC tax years 2011 and 2012 commenced during the third quarter of 2014. Additionally, during the quarter ended September 30, 2014, an agreement was reached between the Company and the Canada Revenue Agency (CRA) with respect to the amount of the research credits to which the Company was entitled for tax years 2006 through 2012. As a result of the completed IRS Appeals activity and agreement with the CRA, the Company recognized non-cash gains in the quarter ended September 30, 2014 of approximately $141 million, including a pre-tax interest adjustment of $23 million.</w:t>
      </w:r>
    </w:p>
    <w:p>
      <w:pPr>
        <w:spacing w:after="0" w:line="17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During the quarter ended June 30, 2014, the Examination Division of the IRS completed a review of UTC tax years 2009 and 2010 and the Examination Division of the Connecticut Department of Revenue Services completed a review of UTC's 2010 - 2012 tax years. As a result of the completion of these examinations, the Company recognized non-cash gains of approximately $274 million, including a pre-tax interest adjustment of $21 million, during the second quarter of 2014. Additionally, the Company reached an agreement with a state taxing authority during the second quarter of 2014 for the monetization of tax credits resulting in a gain of approximately $220 million through Other Income in the quarter ended June 30, 2014.</w:t>
      </w:r>
    </w:p>
    <w:p>
      <w:pPr>
        <w:spacing w:after="0" w:line="17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During the quarter ended June 30, 2014, the Company also settled a dispute with the French Tax Authority related to the proposed disallowance of certain recurring deductions claimed in France for tax years 2008 through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4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3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18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1"/>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21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258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6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There were no contributions to our domestic defined benefit pension plans in the quarters and nine months ended September 30, 2014 and 2013. The following table illustrates the components of net periodic benefit cost for our defined pension and other postretirement benefit plans: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89"/>
              </w:rPr>
              <w:t>Pension Benefits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4"/>
          </w:tcPr>
          <w:p>
            <w:pPr>
              <w:ind w:left="280"/>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Quarter Ended September 30,</w:t>
            </w:r>
          </w:p>
        </w:tc>
        <w:tc>
          <w:tcPr>
            <w:tcW w:w="360" w:type="dxa"/>
            <w:vAlign w:val="bottom"/>
          </w:tcPr>
          <w:p>
            <w:pPr>
              <w:spacing w:after="0"/>
              <w:rPr>
                <w:sz w:val="16"/>
                <w:szCs w:val="16"/>
                <w:color w:val="auto"/>
              </w:rPr>
            </w:pPr>
          </w:p>
        </w:tc>
        <w:tc>
          <w:tcPr>
            <w:tcW w:w="2740" w:type="dxa"/>
            <w:vAlign w:val="bottom"/>
            <w:gridSpan w:val="4"/>
          </w:tcPr>
          <w:p>
            <w:pPr>
              <w:ind w:left="280"/>
              <w:spacing w:after="0"/>
              <w:rPr>
                <w:sz w:val="20"/>
                <w:szCs w:val="20"/>
                <w:color w:val="auto"/>
              </w:rPr>
            </w:pPr>
            <w:r>
              <w:rPr>
                <w:rFonts w:ascii="Arial" w:cs="Arial" w:eastAsia="Arial" w:hAnsi="Arial"/>
                <w:sz w:val="14"/>
                <w:szCs w:val="14"/>
                <w:b w:val="1"/>
                <w:bCs w:val="1"/>
                <w:color w:val="auto"/>
              </w:rPr>
              <w:t>Quarter Ended September 30,</w:t>
            </w:r>
          </w:p>
        </w:tc>
      </w:tr>
      <w:tr>
        <w:trPr>
          <w:trHeight w:val="229"/>
        </w:trPr>
        <w:tc>
          <w:tcPr>
            <w:tcW w:w="54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loss</w:t>
            </w:r>
          </w:p>
        </w:tc>
        <w:tc>
          <w:tcPr>
            <w:tcW w:w="2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88"/>
              </w:rPr>
              <w:t>Pension Benefits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 September 30,</w:t>
            </w:r>
          </w:p>
        </w:tc>
        <w:tc>
          <w:tcPr>
            <w:tcW w:w="340" w:type="dxa"/>
            <w:vAlign w:val="bottom"/>
          </w:tcPr>
          <w:p>
            <w:pPr>
              <w:spacing w:after="0"/>
              <w:rPr>
                <w:sz w:val="16"/>
                <w:szCs w:val="16"/>
                <w:color w:val="auto"/>
              </w:rPr>
            </w:pPr>
          </w:p>
        </w:tc>
        <w:tc>
          <w:tcPr>
            <w:tcW w:w="29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5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5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r>
      <w:tr>
        <w:trPr>
          <w:trHeight w:val="243"/>
        </w:trPr>
        <w:tc>
          <w:tcPr>
            <w:tcW w:w="534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r>
      <w:tr>
        <w:trPr>
          <w:trHeight w:val="243"/>
        </w:trPr>
        <w:tc>
          <w:tcPr>
            <w:tcW w:w="534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loss (gain)</w:t>
            </w:r>
          </w:p>
        </w:tc>
        <w:tc>
          <w:tcPr>
            <w:tcW w:w="2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Net settlement and curtailment loss (gain) for pension benefits includes curtailment gains of approximately $24 million related to, and recorded in, discontinued operations for the nine months ended September 30, 2013. There were no curtailment gains related to discontinued operations for the quarter ended September 30,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During the nine months ended September 30, 2014, we recorded net pre-tax restructuring costs totaling $243 million for new and ongoing restructuring actions. We recorded charges in the segments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5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5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57"/>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Restructuring charges incurred during the nine months ended September 30, 2014 primarily relate to actions initiated during 2014 and 2013, and were recorded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nine months ended September 30, 2014, we initiated restructuring actions relating to ongoing cost reduction efforts,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 reductions and the consolidation of field operations. We recorded net pre-tax</w:t>
      </w:r>
    </w:p>
    <w:p>
      <w:pPr>
        <w:sectPr>
          <w:pgSz w:w="11900" w:h="16838" w:orient="portrait"/>
          <w:cols w:equalWidth="0" w:num="1">
            <w:col w:w="11420"/>
          </w:cols>
          <w:pgMar w:left="240" w:top="122"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totaling $215 million, including $109 million in cost of sales and $106 million in selling, general and administrative expenses.</w:t>
      </w:r>
    </w:p>
    <w:p>
      <w:pPr>
        <w:spacing w:after="0" w:line="22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are targeting the majority of the remaining workforce and all facility related cost reduction actions for completion during 2014 and 2015. No specific plans for significant other actions have been finalized at this time. The following table summarizes the accrual balances and utilization by cost type for the 2014 restructuring actions: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4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July 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2014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Costs Incurred</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Costs Incurred</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Costs Incurred</w:t>
            </w:r>
          </w:p>
        </w:tc>
        <w:tc>
          <w:tcPr>
            <w:tcW w:w="14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Remaining Costs at</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Quarter Ended June</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1020" w:type="dxa"/>
            <w:vAlign w:val="bottom"/>
          </w:tcPr>
          <w:p>
            <w:pPr>
              <w:jc w:val="right"/>
              <w:ind w:right="5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13"/>
                <w:szCs w:val="13"/>
                <w:color w:val="auto"/>
              </w:rPr>
            </w:pPr>
          </w:p>
        </w:tc>
        <w:tc>
          <w:tcPr>
            <w:tcW w:w="122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w w:val="95"/>
              </w:rPr>
              <w:t>30, 2014</w:t>
            </w:r>
          </w:p>
        </w:tc>
        <w:tc>
          <w:tcPr>
            <w:tcW w:w="120" w:type="dxa"/>
            <w:vAlign w:val="bottom"/>
          </w:tcPr>
          <w:p>
            <w:pPr>
              <w:spacing w:after="0"/>
              <w:rPr>
                <w:sz w:val="13"/>
                <w:szCs w:val="13"/>
                <w:color w:val="auto"/>
              </w:rPr>
            </w:pPr>
          </w:p>
        </w:tc>
        <w:tc>
          <w:tcPr>
            <w:tcW w:w="15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September 30, 2014</w:t>
            </w:r>
          </w:p>
        </w:tc>
        <w:tc>
          <w:tcPr>
            <w:tcW w:w="1420" w:type="dxa"/>
            <w:vAlign w:val="bottom"/>
            <w:gridSpan w:val="2"/>
          </w:tcPr>
          <w:p>
            <w:pPr>
              <w:jc w:val="right"/>
              <w:ind w:right="10"/>
              <w:spacing w:after="0" w:line="158" w:lineRule="exact"/>
              <w:rPr>
                <w:sz w:val="20"/>
                <w:szCs w:val="20"/>
                <w:color w:val="auto"/>
              </w:rPr>
            </w:pPr>
            <w:r>
              <w:rPr>
                <w:rFonts w:ascii="Arial" w:cs="Arial" w:eastAsia="Arial" w:hAnsi="Arial"/>
                <w:sz w:val="14"/>
                <w:szCs w:val="14"/>
                <w:b w:val="1"/>
                <w:bCs w:val="1"/>
                <w:color w:val="auto"/>
                <w:w w:val="99"/>
              </w:rPr>
              <w:t>September 30,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314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2013 Actions. </w:t>
      </w:r>
      <w:r>
        <w:rPr>
          <w:rFonts w:ascii="Arial" w:cs="Arial" w:eastAsia="Arial" w:hAnsi="Arial"/>
          <w:sz w:val="18"/>
          <w:szCs w:val="18"/>
          <w:color w:val="auto"/>
        </w:rPr>
        <w:t>During the nine months ended September 30, 2014, we recorded net pre-tax restructuring costs totaling $33 million for restructuring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in 2013, including $29 million in cost of sales and $4 million in selling, general and administrative expenses. The 2013 actions relate to ongoing cost reduction efforts, including workforce reductions and the consolidation of field operations. The following table summarizes the accrual balances and utilization by cost type for the 2013 restructuring actions: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Facility Exit,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40" w:type="dxa"/>
            <w:vAlign w:val="bottom"/>
          </w:tcPr>
          <w:p>
            <w:pPr>
              <w:spacing w:after="0"/>
              <w:rPr>
                <w:sz w:val="12"/>
                <w:szCs w:val="1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4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Write-Downs</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July 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2013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 in</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Costs Incurred</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Costs Incurred</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Costs Incurred</w:t>
            </w:r>
          </w:p>
        </w:tc>
        <w:tc>
          <w:tcPr>
            <w:tcW w:w="14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Remaining Costs at</w:t>
            </w:r>
          </w:p>
        </w:tc>
        <w:tc>
          <w:tcPr>
            <w:tcW w:w="0" w:type="dxa"/>
            <w:vAlign w:val="bottom"/>
          </w:tcPr>
          <w:p>
            <w:pPr>
              <w:spacing w:after="0"/>
              <w:rPr>
                <w:sz w:val="1"/>
                <w:szCs w:val="1"/>
                <w:color w:val="auto"/>
              </w:rPr>
            </w:pPr>
          </w:p>
        </w:tc>
      </w:tr>
      <w:tr>
        <w:trPr>
          <w:trHeight w:val="149"/>
        </w:trPr>
        <w:tc>
          <w:tcPr>
            <w:tcW w:w="2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Quarter Ended June</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80" w:type="dxa"/>
            <w:vAlign w:val="bottom"/>
            <w:gridSpan w:val="3"/>
            <w:vMerge w:val="continue"/>
          </w:tcPr>
          <w:p>
            <w:pPr>
              <w:spacing w:after="0"/>
              <w:rPr>
                <w:sz w:val="13"/>
                <w:szCs w:val="13"/>
                <w:color w:val="auto"/>
              </w:rPr>
            </w:pPr>
          </w:p>
        </w:tc>
        <w:tc>
          <w:tcPr>
            <w:tcW w:w="1020" w:type="dxa"/>
            <w:vAlign w:val="bottom"/>
          </w:tcPr>
          <w:p>
            <w:pPr>
              <w:jc w:val="right"/>
              <w:ind w:right="59"/>
              <w:spacing w:after="0" w:line="158" w:lineRule="exact"/>
              <w:rPr>
                <w:sz w:val="20"/>
                <w:szCs w:val="20"/>
                <w:color w:val="auto"/>
              </w:rPr>
            </w:pPr>
            <w:r>
              <w:rPr>
                <w:rFonts w:ascii="Arial" w:cs="Arial" w:eastAsia="Arial" w:hAnsi="Arial"/>
                <w:sz w:val="14"/>
                <w:szCs w:val="14"/>
                <w:b w:val="1"/>
                <w:bCs w:val="1"/>
                <w:color w:val="auto"/>
              </w:rPr>
              <w:t>Costs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474"/>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13"/>
                <w:szCs w:val="13"/>
                <w:color w:val="auto"/>
              </w:rPr>
            </w:pPr>
          </w:p>
        </w:tc>
        <w:tc>
          <w:tcPr>
            <w:tcW w:w="122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w w:val="95"/>
              </w:rPr>
              <w:t>30, 2014</w:t>
            </w:r>
          </w:p>
        </w:tc>
        <w:tc>
          <w:tcPr>
            <w:tcW w:w="120" w:type="dxa"/>
            <w:vAlign w:val="bottom"/>
          </w:tcPr>
          <w:p>
            <w:pPr>
              <w:spacing w:after="0"/>
              <w:rPr>
                <w:sz w:val="13"/>
                <w:szCs w:val="13"/>
                <w:color w:val="auto"/>
              </w:rPr>
            </w:pPr>
          </w:p>
        </w:tc>
        <w:tc>
          <w:tcPr>
            <w:tcW w:w="15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September 30, 2014</w:t>
            </w:r>
          </w:p>
        </w:tc>
        <w:tc>
          <w:tcPr>
            <w:tcW w:w="1420" w:type="dxa"/>
            <w:vAlign w:val="bottom"/>
            <w:gridSpan w:val="2"/>
          </w:tcPr>
          <w:p>
            <w:pPr>
              <w:jc w:val="right"/>
              <w:ind w:right="10"/>
              <w:spacing w:after="0" w:line="158" w:lineRule="exact"/>
              <w:rPr>
                <w:sz w:val="20"/>
                <w:szCs w:val="20"/>
                <w:color w:val="auto"/>
              </w:rPr>
            </w:pPr>
            <w:r>
              <w:rPr>
                <w:rFonts w:ascii="Arial" w:cs="Arial" w:eastAsia="Arial" w:hAnsi="Arial"/>
                <w:sz w:val="14"/>
                <w:szCs w:val="14"/>
                <w:b w:val="1"/>
                <w:bCs w:val="1"/>
                <w:color w:val="auto"/>
                <w:w w:val="99"/>
              </w:rPr>
              <w:t>September 30,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Security</w:t>
            </w:r>
          </w:p>
        </w:tc>
        <w:tc>
          <w:tcPr>
            <w:tcW w:w="10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480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2012 Actions. </w:t>
      </w:r>
      <w:r>
        <w:rPr>
          <w:rFonts w:ascii="Arial" w:cs="Arial" w:eastAsia="Arial" w:hAnsi="Arial"/>
          <w:sz w:val="18"/>
          <w:szCs w:val="18"/>
          <w:color w:val="auto"/>
        </w:rPr>
        <w:t>As of September 30, 2014, we have approximately $55 million of accrual balances remaining related to 2012 actions.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$13.0 billion and $12.3 billion at September 30, 2014 and December 31, 2013, respectively.</w:t>
      </w:r>
    </w:p>
    <w:p>
      <w:pPr>
        <w:spacing w:after="0" w:line="17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September 30, 2014 and December 31, 2013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Asset Derivatives</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Liability Derivatives</w:t>
            </w:r>
          </w:p>
        </w:tc>
        <w:tc>
          <w:tcPr>
            <w:tcW w:w="560" w:type="dxa"/>
            <w:vAlign w:val="bottom"/>
            <w:tcBorders>
              <w:bottom w:val="single" w:sz="8" w:color="auto"/>
            </w:tcBorders>
          </w:tcPr>
          <w:p>
            <w:pPr>
              <w:spacing w:after="0"/>
              <w:rPr>
                <w:sz w:val="16"/>
                <w:szCs w:val="16"/>
                <w:color w:val="auto"/>
              </w:rPr>
            </w:pPr>
          </w:p>
        </w:tc>
      </w:tr>
      <w:tr>
        <w:trPr>
          <w:trHeight w:val="229"/>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2014</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2013</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2014</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50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54</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9"/>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gain recorded in Accumulated other comprehensive loss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ind w:left="40"/>
              <w:spacing w:after="0"/>
              <w:rPr>
                <w:sz w:val="20"/>
                <w:szCs w:val="20"/>
                <w:color w:val="auto"/>
              </w:rPr>
            </w:pPr>
            <w:r>
              <w:rPr>
                <w:rFonts w:ascii="Arial" w:cs="Arial" w:eastAsia="Arial" w:hAnsi="Arial"/>
                <w:sz w:val="18"/>
                <w:szCs w:val="18"/>
                <w:color w:val="auto"/>
                <w:w w:val="97"/>
              </w:rPr>
              <w:t>Loss reclassified from Accumulated other comprehensive loss (gain) into</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00" w:type="dxa"/>
            <w:vAlign w:val="bottom"/>
            <w:gridSpan w:val="3"/>
            <w:vMerge w:val="continue"/>
          </w:tcPr>
          <w:p>
            <w:pPr>
              <w:spacing w:after="0"/>
              <w:rPr>
                <w:sz w:val="16"/>
                <w:szCs w:val="16"/>
                <w:color w:val="auto"/>
              </w:rPr>
            </w:pPr>
          </w:p>
        </w:tc>
        <w:tc>
          <w:tcPr>
            <w:tcW w:w="860" w:type="dxa"/>
            <w:vAlign w:val="bottom"/>
            <w:vMerge w:val="restart"/>
          </w:tcPr>
          <w:p>
            <w:pPr>
              <w:jc w:val="right"/>
              <w:ind w:right="659"/>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6"/>
                <w:szCs w:val="16"/>
                <w:color w:val="auto"/>
              </w:rPr>
            </w:pPr>
          </w:p>
        </w:tc>
        <w:tc>
          <w:tcPr>
            <w:tcW w:w="960" w:type="dxa"/>
            <w:vAlign w:val="bottom"/>
            <w:vMerge w:val="restart"/>
          </w:tcPr>
          <w:p>
            <w:pPr>
              <w:jc w:val="right"/>
              <w:ind w:right="776"/>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9"/>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2"/>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Product sales (effective portion)</w:t>
            </w:r>
          </w:p>
        </w:tc>
        <w:tc>
          <w:tcPr>
            <w:tcW w:w="86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Assuming current market conditions continue, a $72 million pre-tax loss is expected to be reclassified from Accumulated other comprehensive loss into Product sales to reflect the fixed prices obtained from foreign exchange hedging within the next 12 months. At September 30, 2014, all derivative contracts accounted for as cash flow hedges will mature by September 2016.</w:t>
      </w:r>
    </w:p>
    <w:p>
      <w:pPr>
        <w:spacing w:after="0" w:line="18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effect on the Condensed Consolidated Statement of Operations of foreign exchange contracts not designated as hedging instruments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recognized in Other income, net</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Fair Value Measurements and Disclosure Topic of the FASB ASC establishes a valuation hierarchy for disclosure of the inputs to the valuations used to measure fair value. A financial asset or liability's classification within the hierarchy is determined based on the lowest level input that is significant to the fair value measurement. This hierarchy prioritizes the inputs into three broad levels as follows:</w:t>
      </w:r>
    </w:p>
    <w:p>
      <w:pPr>
        <w:spacing w:after="0" w:line="7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based on our own assumptions used to measure assets and liabilities at fair value.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carried at fair value and measured on a recurring and nonrecurring basis in our Condensed Consolidated Balance Sheet as of September 30, 2014 and December 31, 2013: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2014 (Dollars in millions)</w:t>
            </w:r>
          </w:p>
        </w:tc>
        <w:tc>
          <w:tcPr>
            <w:tcW w:w="32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Business dispositions</w:t>
            </w: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392"/>
        </w:trPr>
        <w:tc>
          <w:tcPr>
            <w:tcW w:w="580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2013 (Dollars in millions)</w:t>
            </w:r>
          </w:p>
        </w:tc>
        <w:tc>
          <w:tcPr>
            <w:tcW w:w="3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Business dispositions</w:t>
            </w: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recorded gains of approximately $23 million, including a $48 million net gain during the nine months ended September 30, 2014, as a result of fair value adjustments related to the acquisition of the majority interest in a Pratt &amp; Whitney joint venture. During the nine months ended September 30, 2014, we also recorded an approximately $30 million net gain from UTC Climate, Controls &amp; Security's ongoing portfolio transformation, primarily due to a gain on the sale of an interest in a joint venture in North America, and a charge of approximately $28 million to adjust the fair value of a Sikorsky joint venture investment.</w:t>
      </w:r>
    </w:p>
    <w:p>
      <w:pPr>
        <w:spacing w:after="0" w:line="188"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During the nine months ended September 30, 2013, we recorded an approximately $38 million net gain from UTC Climate, Controls &amp; Security's ongoing portfolio transformation, primarily due to a gain on the sale of a business in Hong Kong. In addition, during that nine-month period we recorded a gain of approximately $193 million from the sale of the Pratt &amp; Whitney Power Systems business, as well as an approximately $25 million charge to adjust the fair value of a Pratt &amp; Whitney joint venture investment.</w:t>
      </w:r>
    </w:p>
    <w:p>
      <w:pPr>
        <w:spacing w:after="0" w:line="183"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September 30, 2014, there were no significant transfers in and out of Level 1 and Level 2.</w:t>
      </w:r>
    </w:p>
    <w:p>
      <w:pPr>
        <w:spacing w:after="0" w:line="15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September 30, 2014,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September 30, 2014 and December 31,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4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1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02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448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1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1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20" w:type="dxa"/>
            <w:vAlign w:val="bottom"/>
          </w:tcPr>
          <w:p>
            <w:pPr>
              <w:jc w:val="right"/>
              <w:ind w:right="39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September 30,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(21,644)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had commercial aerospace financing and other contractual commitments totaling approximately $10.9 billion and $11.3 billion as of September 30,</w:t>
      </w:r>
    </w:p>
    <w:p>
      <w:pPr>
        <w:spacing w:after="0" w:line="4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2014 and December 31, 2013,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these commitments is not readily determinable.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leases receivable, and notes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Long-term trade accounts receivable represent amounts arising from the sale of goods and services with a contractual maturity date of greater than one year and are recognized as Other assets in our Condensed Consolidated Balance Sheet. The increase in long-term trade accounts receivable at September 30, 2014, relative to December 31, 2013, is primarily attributable to billings by Sikorsky on its CH-148 contract with the Canadian Government.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business-related long-term receivables as of September 30, 2014 and December 31,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2014</w:t>
            </w:r>
          </w:p>
        </w:tc>
        <w:tc>
          <w:tcPr>
            <w:tcW w:w="120" w:type="dxa"/>
            <w:vAlign w:val="bottom"/>
          </w:tcPr>
          <w:p>
            <w:pPr>
              <w:spacing w:after="0"/>
              <w:rPr>
                <w:sz w:val="14"/>
                <w:szCs w:val="14"/>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583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1,297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540"/>
        <w:spacing w:after="0" w:line="257" w:lineRule="auto"/>
        <w:rPr>
          <w:sz w:val="20"/>
          <w:szCs w:val="20"/>
          <w:color w:val="auto"/>
        </w:rPr>
      </w:pPr>
      <w:r>
        <w:rPr>
          <w:rFonts w:ascii="Arial" w:cs="Arial" w:eastAsia="Arial" w:hAnsi="Arial"/>
          <w:sz w:val="18"/>
          <w:szCs w:val="18"/>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6% and 9% of the total long-term receivables reflected in the table above were considered to bear high credit risk as of September 30, 2014 and December 31, 2013, respectively.</w:t>
      </w:r>
    </w:p>
    <w:p>
      <w:pPr>
        <w:spacing w:after="0" w:line="188" w:lineRule="exact"/>
        <w:rPr>
          <w:sz w:val="20"/>
          <w:szCs w:val="20"/>
          <w:color w:val="auto"/>
        </w:rPr>
      </w:pPr>
    </w:p>
    <w:p>
      <w:pPr>
        <w:ind w:right="260" w:firstLine="540"/>
        <w:spacing w:after="0" w:line="279" w:lineRule="auto"/>
        <w:rPr>
          <w:sz w:val="20"/>
          <w:szCs w:val="20"/>
          <w:color w:val="auto"/>
        </w:rPr>
      </w:pPr>
      <w:r>
        <w:rPr>
          <w:rFonts w:ascii="Arial" w:cs="Arial" w:eastAsia="Arial" w:hAnsi="Arial"/>
          <w:sz w:val="17"/>
          <w:szCs w:val="17"/>
          <w:color w:val="auto"/>
        </w:rPr>
        <w:t>For long-term trade accounts receivable, we evaluate credit risk and collectability individually to determine if an allowance is necessary. Our long-term receivables reflected in the table above, which include reserves of $18 million and $49 million as of September 30, 2014 and December 31, 2013, respectively, are individually evaluated for impairment. At both September 30, 2014 and December 31, 2013, we did not have any significant balances that are considered to be delinquent, on non-accrual status, past due 90 days or more, or considered to be impaired.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changes in shareowners' equity and noncontrolling interest comprising total equity for the quarters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 is provided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4"/>
              </w:rPr>
              <w:t>Quarter Ended September 30,</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Share-owners'</w:t>
            </w:r>
          </w:p>
        </w:tc>
        <w:tc>
          <w:tcPr>
            <w:tcW w:w="140" w:type="dxa"/>
            <w:vAlign w:val="bottom"/>
          </w:tcPr>
          <w:p>
            <w:pPr>
              <w:spacing w:after="0"/>
              <w:rPr>
                <w:sz w:val="13"/>
                <w:szCs w:val="13"/>
                <w:color w:val="auto"/>
              </w:rPr>
            </w:pPr>
          </w:p>
        </w:tc>
        <w:tc>
          <w:tcPr>
            <w:tcW w:w="8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Share-owners'</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7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3"/>
                <w:szCs w:val="13"/>
                <w:color w:val="auto"/>
              </w:rPr>
            </w:pPr>
          </w:p>
        </w:tc>
        <w:tc>
          <w:tcPr>
            <w:tcW w:w="84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3"/>
                <w:szCs w:val="13"/>
                <w:color w:val="auto"/>
              </w:rPr>
            </w:pPr>
          </w:p>
        </w:tc>
        <w:tc>
          <w:tcPr>
            <w:tcW w:w="8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780" w:type="dxa"/>
            <w:vAlign w:val="bottom"/>
          </w:tcPr>
          <w:p>
            <w:pPr>
              <w:jc w:val="center"/>
              <w:ind w:right="112"/>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Comprehensive income for the period: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680"/>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comprehensive income for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Common Stock issued under employee plans</w:t>
            </w: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Stock repurchased</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Dividends on Common Stock</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on ESOP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Dividends attributable to noncontrolling interest</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 sale of subsidiary shares from noncontrolling</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Disposition of noncontrolling interest</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34,049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35,389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28,577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29,919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Share-owners'</w:t>
            </w:r>
          </w:p>
        </w:tc>
        <w:tc>
          <w:tcPr>
            <w:tcW w:w="140" w:type="dxa"/>
            <w:vAlign w:val="bottom"/>
          </w:tcPr>
          <w:p>
            <w:pPr>
              <w:spacing w:after="0"/>
              <w:rPr>
                <w:sz w:val="13"/>
                <w:szCs w:val="13"/>
                <w:color w:val="auto"/>
              </w:rPr>
            </w:pPr>
          </w:p>
        </w:tc>
        <w:tc>
          <w:tcPr>
            <w:tcW w:w="8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Share-owners'</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7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3"/>
                <w:szCs w:val="13"/>
                <w:color w:val="auto"/>
              </w:rPr>
            </w:pPr>
          </w:p>
        </w:tc>
        <w:tc>
          <w:tcPr>
            <w:tcW w:w="84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3"/>
                <w:szCs w:val="13"/>
                <w:color w:val="auto"/>
              </w:rPr>
            </w:pPr>
          </w:p>
        </w:tc>
        <w:tc>
          <w:tcPr>
            <w:tcW w:w="8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780" w:type="dxa"/>
            <w:vAlign w:val="bottom"/>
          </w:tcPr>
          <w:p>
            <w:pPr>
              <w:jc w:val="center"/>
              <w:ind w:right="112"/>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Comprehensive income for the period: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680"/>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comprehensive income for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Common Stock issued under employee plans</w:t>
            </w: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Stock repurchased</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Dividends on Common Stock</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on ESOP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Dividends attributable to noncontrolling interest</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 sale of subsidiary shares from noncontrolling</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Disposition of noncontrolling interest</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34,049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35,389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28,577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29,919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the changes in each component of accumulated other comprehensive income (loss), net of tax for the quarters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 is provided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1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Post-</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(Losses) on</w:t>
            </w: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40" w:type="dxa"/>
            <w:vAlign w:val="bottom"/>
          </w:tcPr>
          <w:p>
            <w:pPr>
              <w:spacing w:after="0"/>
              <w:rPr>
                <w:sz w:val="12"/>
                <w:szCs w:val="12"/>
                <w:color w:val="auto"/>
              </w:rPr>
            </w:pPr>
          </w:p>
        </w:tc>
        <w:tc>
          <w:tcPr>
            <w:tcW w:w="11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(Losses)</w:t>
            </w:r>
          </w:p>
        </w:tc>
        <w:tc>
          <w:tcPr>
            <w:tcW w:w="140" w:type="dxa"/>
            <w:vAlign w:val="bottom"/>
          </w:tcPr>
          <w:p>
            <w:pPr>
              <w:spacing w:after="0"/>
              <w:rPr>
                <w:sz w:val="12"/>
                <w:szCs w:val="12"/>
                <w:color w:val="auto"/>
              </w:rPr>
            </w:pPr>
          </w:p>
        </w:tc>
        <w:tc>
          <w:tcPr>
            <w:tcW w:w="11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8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Plans</w:t>
            </w:r>
          </w:p>
        </w:tc>
        <w:tc>
          <w:tcPr>
            <w:tcW w:w="18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3"/>
                <w:szCs w:val="13"/>
                <w:color w:val="auto"/>
              </w:rPr>
            </w:pPr>
          </w:p>
        </w:tc>
        <w:tc>
          <w:tcPr>
            <w:tcW w:w="118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2014</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Balance at June 30, 2014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5"/>
              </w:rPr>
              <w:t>Other comprehensive (loss) income before reclassifications, net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2014</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(loss) before reclassifications, net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7"/>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1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Post-</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(Losses) on</w:t>
            </w: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40" w:type="dxa"/>
            <w:vAlign w:val="bottom"/>
          </w:tcPr>
          <w:p>
            <w:pPr>
              <w:spacing w:after="0"/>
              <w:rPr>
                <w:sz w:val="12"/>
                <w:szCs w:val="12"/>
                <w:color w:val="auto"/>
              </w:rPr>
            </w:pPr>
          </w:p>
        </w:tc>
        <w:tc>
          <w:tcPr>
            <w:tcW w:w="11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(Losses)</w:t>
            </w:r>
          </w:p>
        </w:tc>
        <w:tc>
          <w:tcPr>
            <w:tcW w:w="140" w:type="dxa"/>
            <w:vAlign w:val="bottom"/>
          </w:tcPr>
          <w:p>
            <w:pPr>
              <w:spacing w:after="0"/>
              <w:rPr>
                <w:sz w:val="12"/>
                <w:szCs w:val="12"/>
                <w:color w:val="auto"/>
              </w:rPr>
            </w:pPr>
          </w:p>
        </w:tc>
        <w:tc>
          <w:tcPr>
            <w:tcW w:w="11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8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Plans</w:t>
            </w:r>
          </w:p>
        </w:tc>
        <w:tc>
          <w:tcPr>
            <w:tcW w:w="18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3"/>
                <w:szCs w:val="13"/>
                <w:color w:val="auto"/>
              </w:rPr>
            </w:pPr>
          </w:p>
        </w:tc>
        <w:tc>
          <w:tcPr>
            <w:tcW w:w="118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 2013</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Balance at June 30, 2013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(loss) before reclassifications, net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2013</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5"/>
              </w:rPr>
              <w:t>Other comprehensive (loss) income before reclassifications, net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488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Amounts reclassified related to our defined benefit pension and postretirement plans include amortization of prior service costs and transition obligations, and actuarial net losses recognized during each period presented. These costs are recorded as components of net periodic pension cost for each period presented (see Note 7 for additional details).</w:t>
      </w:r>
    </w:p>
    <w:p>
      <w:pPr>
        <w:spacing w:after="0" w:line="181"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A summary of the changes in redeemable noncontrolling interest recorded in the mezzanine section of the Condensed Consolidated Balance Sheet for the quarters and nine months ended September 30, 2014 and 2013 is provided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74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49"/>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 Ended September 30,</w:t>
            </w:r>
          </w:p>
        </w:tc>
        <w:tc>
          <w:tcPr>
            <w:tcW w:w="220" w:type="dxa"/>
            <w:vAlign w:val="bottom"/>
          </w:tcPr>
          <w:p>
            <w:pPr>
              <w:spacing w:after="0"/>
              <w:rPr>
                <w:sz w:val="24"/>
                <w:szCs w:val="24"/>
                <w:color w:val="auto"/>
              </w:rPr>
            </w:pPr>
          </w:p>
        </w:tc>
        <w:tc>
          <w:tcPr>
            <w:tcW w:w="258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74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r>
      <w:tr>
        <w:trPr>
          <w:trHeight w:val="243"/>
        </w:trPr>
        <w:tc>
          <w:tcPr>
            <w:tcW w:w="40" w:type="dxa"/>
            <w:vAlign w:val="bottom"/>
          </w:tcPr>
          <w:p>
            <w:pPr>
              <w:spacing w:after="0"/>
              <w:rPr>
                <w:sz w:val="21"/>
                <w:szCs w:val="21"/>
                <w:color w:val="auto"/>
              </w:rPr>
            </w:pPr>
          </w:p>
        </w:tc>
        <w:tc>
          <w:tcPr>
            <w:tcW w:w="570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0" w:type="dxa"/>
            <w:vAlign w:val="bottom"/>
          </w:tcPr>
          <w:p>
            <w:pPr>
              <w:spacing w:after="0"/>
              <w:rPr>
                <w:sz w:val="21"/>
                <w:szCs w:val="21"/>
                <w:color w:val="auto"/>
              </w:rPr>
            </w:pPr>
          </w:p>
        </w:tc>
        <w:tc>
          <w:tcPr>
            <w:tcW w:w="5700" w:type="dxa"/>
            <w:vAlign w:val="bottom"/>
            <w:gridSpan w:val="3"/>
          </w:tcPr>
          <w:p>
            <w:pPr>
              <w:ind w:left="240"/>
              <w:spacing w:after="0"/>
              <w:rPr>
                <w:sz w:val="20"/>
                <w:szCs w:val="20"/>
                <w:color w:val="auto"/>
              </w:rPr>
            </w:pPr>
            <w:r>
              <w:rPr>
                <w:rFonts w:ascii="Arial" w:cs="Arial" w:eastAsia="Arial" w:hAnsi="Arial"/>
                <w:sz w:val="18"/>
                <w:szCs w:val="18"/>
                <w:color w:val="auto"/>
              </w:rPr>
              <w:t>Dividends attributable to noncontrolling interest</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Disposition of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40" w:type="dxa"/>
            <w:vAlign w:val="bottom"/>
          </w:tcPr>
          <w:p>
            <w:pPr>
              <w:spacing w:after="0"/>
              <w:rPr>
                <w:sz w:val="19"/>
                <w:szCs w:val="19"/>
                <w:color w:val="auto"/>
              </w:rPr>
            </w:pPr>
          </w:p>
        </w:tc>
        <w:tc>
          <w:tcPr>
            <w:tcW w:w="5700" w:type="dxa"/>
            <w:vAlign w:val="bottom"/>
            <w:gridSpan w:val="3"/>
          </w:tcPr>
          <w:p>
            <w:pPr>
              <w:ind w:left="240"/>
              <w:spacing w:after="0"/>
              <w:rPr>
                <w:sz w:val="20"/>
                <w:szCs w:val="20"/>
                <w:color w:val="auto"/>
              </w:rPr>
            </w:pPr>
            <w:r>
              <w:rPr>
                <w:rFonts w:ascii="Arial" w:cs="Arial" w:eastAsia="Arial" w:hAnsi="Arial"/>
                <w:sz w:val="18"/>
                <w:szCs w:val="18"/>
                <w:color w:val="auto"/>
              </w:rPr>
              <w:t>Redeemable noncontrolling interest reclassification to noncontrolling</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700" w:type="dxa"/>
            <w:vAlign w:val="bottom"/>
            <w:gridSpan w:val="3"/>
          </w:tcPr>
          <w:p>
            <w:pPr>
              <w:ind w:left="24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pro-forma effect on Net income attributable to common shareowners had they been recorded through net income for the quarters and nine months ended September 30, 2014 and 2013 is provided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29"/>
        </w:trPr>
        <w:tc>
          <w:tcPr>
            <w:tcW w:w="57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Transfers to noncontrolling interests: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in common stock for sale of subsidiary shares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Decrease in common stock for purchase of subsidiary shares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 after transfers to</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4,714</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Guarantees</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extend a variety of financial, market value and product performance guarantees to third parties. Following the sale of substantially all of Rocketdyne on June 14, 2013, certain guarantees of Rocketdyne's performance under then existing contracts remained in place, which resulted in an increase in our performance guarantees of approximately $83 million, with no associated significant carrying amount of a liability, as of September 30, 2014. There have been no other material changes to guarantees outstanding since December 31, 2013.</w:t>
      </w:r>
    </w:p>
    <w:p>
      <w:pPr>
        <w:spacing w:after="0" w:line="187"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nine months ended September 30, 2014 and 2013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w:t>
            </w:r>
          </w:p>
        </w:tc>
      </w:tr>
      <w:tr>
        <w:trPr>
          <w:trHeight w:val="243"/>
        </w:trPr>
        <w:tc>
          <w:tcPr>
            <w:tcW w:w="882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88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September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2013 Annual Report, incorporated by reference in our 2013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As described in Note 1 to the Consolidated Financial Statements in our 2013 Annual Report, we have accrued for the costs of environmental remediation activities and</w:t>
      </w:r>
    </w:p>
    <w:p>
      <w:pPr>
        <w:sectPr>
          <w:pgSz w:w="11900" w:h="16838" w:orient="portrait"/>
          <w:cols w:equalWidth="0" w:num="1">
            <w:col w:w="11420"/>
          </w:cols>
          <w:pgMar w:left="240" w:top="114"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4" w:right="239" w:bottom="1440" w:gutter="0" w:footer="0" w:header="0"/>
          <w:type w:val="continuous"/>
        </w:sectPr>
      </w:pPr>
    </w:p>
    <w:bookmarkStart w:id="21" w:name="page22"/>
    <w:bookmarkEnd w:id="21"/>
    <w:p>
      <w:pPr>
        <w:ind w:right="720"/>
        <w:spacing w:after="0" w:line="342" w:lineRule="auto"/>
        <w:rPr>
          <w:sz w:val="20"/>
          <w:szCs w:val="20"/>
          <w:color w:val="auto"/>
        </w:rPr>
      </w:pPr>
      <w:r>
        <w:rPr>
          <w:rFonts w:ascii="Arial" w:cs="Arial" w:eastAsia="Arial" w:hAnsi="Arial"/>
          <w:sz w:val="16"/>
          <w:szCs w:val="16"/>
          <w:color w:val="auto"/>
        </w:rPr>
        <w:t>periodically reassess these amounts. We believe that the likelihood of incurring losses materially in excess of amounts accrued is remote. Additional information pertaining to environmental matters is included in Note 1 to the Consolidated Financial Statements in our 2013 Annual Report.</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Government. </w:t>
      </w:r>
      <w:r>
        <w:rPr>
          <w:rFonts w:ascii="Arial" w:cs="Arial" w:eastAsia="Arial" w:hAnsi="Arial"/>
          <w:sz w:val="18"/>
          <w:szCs w:val="18"/>
          <w:color w:val="auto"/>
        </w:rPr>
        <w:t>We are now, and believe that, in light of the current U.S. Government contracting environment, we will continue to be the subject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92" w:lineRule="exact"/>
        <w:rPr>
          <w:sz w:val="20"/>
          <w:szCs w:val="20"/>
          <w:color w:val="auto"/>
        </w:rPr>
      </w:pPr>
    </w:p>
    <w:p>
      <w:pPr>
        <w:ind w:right="40" w:firstLine="540"/>
        <w:spacing w:after="0" w:line="297"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involved substantial amounts. We have made voluntary refunds in those cases we believe appropriate, have settled some allegations and continue to litigate certain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F100 Engine Litigation</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approximately $7 million, or $10,000 for each of the 709 invoices Pratt &amp; Whitney submitted in 1989 and later under the contracts. In September 2008, both the government and UTC appealed the decision to the United States Court of Appeals for the Sixth Circuit. On November 18, 2010, the Sixth Circuit affirmed Pratt &amp; Whitney's liability for the civil penalty under the False Claims Act, but remanded the case to the trial court for further proceedings on the issues of False Claims Act damages and common law liability and damages.</w:t>
      </w:r>
    </w:p>
    <w:p>
      <w:pPr>
        <w:spacing w:after="0" w:line="18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is entitled to seek damages for events occurring before March 3, 1989, which are not recoverable under the False Claims Act.</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of damages: (1) common law damages of approximately $109 million; (2) prejudgment interest on common law damages of approximately $191 million; (3) False Claims Act treble damages of approximately $357 million; and (4) penalties of approximately $7 million. The penalty component of the judgment previously was affirmed by the United States Court of Appeals in 2010.</w:t>
      </w:r>
    </w:p>
    <w:p>
      <w:pPr>
        <w:spacing w:after="0" w:line="18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strongly disagree with the trial court's analysis and conclusions. We filed an appeal from the judgment to the United States Court of Appeals for the Sixth Circuit on August 26, 2013. Based on our analysis, we continue to believe that there is no basis for any common law liability for the inaccurate statements. We also believe that the government suffered no actual damages as a result of the inaccurate statements made in 1983 and, therefore, there is no basis in fact or law for the award of common law damages, prejudgment interest or False Claims Act treble damages. If, contrary to our expectations, all or any portion of the judgment should ultimately be affirmed, we estimate a range of reasonably possible loss from approximately $24 million to $657 million in excess of amounts previously accrued, plus postjudgment interest. The outcome of this matter could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33" w:right="259" w:bottom="1440" w:gutter="0" w:footer="0" w:header="0"/>
        </w:sectPr>
      </w:pPr>
    </w:p>
    <w:bookmarkStart w:id="22" w:name="page23"/>
    <w:bookmarkEnd w:id="22"/>
    <w:p>
      <w:pPr>
        <w:ind w:right="300"/>
        <w:spacing w:after="0" w:line="277" w:lineRule="auto"/>
        <w:rPr>
          <w:sz w:val="20"/>
          <w:szCs w:val="20"/>
          <w:color w:val="auto"/>
        </w:rPr>
      </w:pPr>
      <w:r>
        <w:rPr>
          <w:rFonts w:ascii="Arial" w:cs="Arial" w:eastAsia="Arial" w:hAnsi="Arial"/>
          <w:sz w:val="18"/>
          <w:szCs w:val="18"/>
          <w:color w:val="auto"/>
        </w:rPr>
        <w:t>result in a material adverse effect on our results of operations in the period in which a liability would be recognized and cash flows for the period in which damages would be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As previously disclosed, in December 2008, the Department of Defense (DOD) issued a contract claim against Sikorsky to recover overpayments the DOD alleges that it made to Sikorsky since January 2003 in connection with cost accounting changes approved by the DOD and implemented by Sikorsky in 1999 and 2006. These changes relate to the calculation of material overhead rates in government contracts. The DOD claimed that Sikorsky's liability was approximately $99 million (including interest through September 30, 2014). We believed this claim was without merit and Sikorsky filed an appeal in December 2009 with the U.S. Court of Federal Claims. Trial in the matter concluded in January 2013 and on March 22, 2013, the U.S. Court of Federal Claims issued a written decision in favor of Sikorsky determining that the DOD had failed to prove its claims because Sikorsky's calculation of material overhead complied with the cost accounting standards. The DOD has appealed this decision.</w:t>
      </w:r>
    </w:p>
    <w:p>
      <w:pPr>
        <w:spacing w:after="0" w:line="17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By letter dated December 24, 2013, a Divisional Administrative Contracting Officer of the United States Defense Contract Management Agency asserted a claim and demand for payment of $210,968,414 against Pratt &amp; Whitney. The claim is based on Pratt &amp; Whitney's alleged noncompliance with cost accounting standards from January 1, 2005 to December 31, 2012, due to its method of determining the cost of collaborator parts used in the calculation of material overhead costs for government contracts. We believe this claim is without merit. On March 18, 2014, Pratt &amp; Whitney filed an appeal to the Armed Services Board of Contract Appeals.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As previously disclosed, UTC has been involved in administrative review proceedings and tax litigation with the German Tax Office, which concern approximately €214 million ($272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approximately €108 million ($137 million). On August 3, 2012, we filed suit in the local German Tax Court (Berlin-Brandenburg). In 2008 the German Federal Tax Court (FTC) denied benefits to another taxpayer in a case involving a German tax law relevant to our reorganization. The determination of the FTC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FTC for further consideration of certain related issues. In May 2010, the FTC released its decision, in which it resolved certain tax issues that may be relevant to our suit and remanded the case to a lower court for further development. In 2012, the lower court decided in favor of the other taxpayer and the government appealed the findings to the FTC. On July 2, 2014, the FTC conducted a hearing in the aforementioned case involving the other taxpayer, and we expect that a written decision will be issued in the fourth quarter of 2014. The impact, if any, of the upcoming decision on the merits of our case will be evaluated after the written decision is issued and studied. After consideration of the ECJ decision, the 2010 FTC decision and the 2012 lower court decision, we believe that it is more likely than not that the relevant German tax law is violative of EU principles and we have not accrued for this matter. We intend to litigate vigorously the matter to conclusion.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described in Note 16 to the Consolidated Financial Statements in our 2013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8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8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are also subject to a number of routine lawsuits, investigations and claims (some of which involve substantial amounts) arising out of the ordinary course of our business. We do not believe that these matters will have a material adverse effect upon our competitive position, results of operations, cash flows or financial condition.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Financial Data</w:t>
      </w:r>
    </w:p>
    <w:p>
      <w:pPr>
        <w:spacing w:after="0" w:line="229"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Our operations are classified into five principal segments: Otis, UTC Climate, Controls &amp; Security, Pratt &amp; Whitney, UTC Aerospace Systems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September 30, 2014 and 2013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Net Sales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360"/>
              <w:spacing w:after="0"/>
              <w:rPr>
                <w:sz w:val="20"/>
                <w:szCs w:val="20"/>
                <w:color w:val="auto"/>
              </w:rPr>
            </w:pPr>
            <w:r>
              <w:rPr>
                <w:rFonts w:ascii="Arial" w:cs="Arial" w:eastAsia="Arial" w:hAnsi="Arial"/>
                <w:sz w:val="14"/>
                <w:szCs w:val="14"/>
                <w:b w:val="1"/>
                <w:bCs w:val="1"/>
                <w:color w:val="auto"/>
              </w:rPr>
              <w:t>Operating Profits</w:t>
            </w:r>
          </w:p>
        </w:tc>
        <w:tc>
          <w:tcPr>
            <w:tcW w:w="260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40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r>
      <w:tr>
        <w:trPr>
          <w:trHeight w:val="237"/>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15,664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Results for the nine months ended September 30, 2014 and 2013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5"/>
          </w:tcPr>
          <w:p>
            <w:pPr>
              <w:ind w:left="360"/>
              <w:spacing w:after="0"/>
              <w:rPr>
                <w:sz w:val="20"/>
                <w:szCs w:val="20"/>
                <w:color w:val="auto"/>
              </w:rPr>
            </w:pPr>
            <w:r>
              <w:rPr>
                <w:rFonts w:ascii="Arial" w:cs="Arial" w:eastAsia="Arial" w:hAnsi="Arial"/>
                <w:sz w:val="14"/>
                <w:szCs w:val="14"/>
                <w:b w:val="1"/>
                <w:bCs w:val="1"/>
                <w:color w:val="auto"/>
              </w:rPr>
              <w:t>Operating Profits</w:t>
            </w:r>
          </w:p>
        </w:tc>
        <w:tc>
          <w:tcPr>
            <w:tcW w:w="262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40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20.4 %</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12,631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12,617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17.1 %</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13.9 %</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10,621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16.6 %</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r>
      <w:tr>
        <w:trPr>
          <w:trHeight w:val="237"/>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48,748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46,421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14.9 %</w:t>
            </w:r>
          </w:p>
        </w:tc>
        <w:tc>
          <w:tcPr>
            <w:tcW w:w="14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48,104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45,867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15.0 %</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Note 8 to the Condensed Consolidated Financial Statements for a discussion of restructuring costs included in segment operating results.</w:t>
      </w:r>
    </w:p>
    <w:p>
      <w:pPr>
        <w:spacing w:after="0" w:line="23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During the quarter ended June 30, 2014, Sikorsky and the Canadian Government signed amendments to their existing contracts for development, production and support of the CH-148 helicopter. These amendments include significant changes in program scope, governance and delivery methodology. Accordingly, in the quarter ended June 30, 2014, we recognized a change in estimate on this program resulting in the recognition of approximately $830 million of sales and $1,268 million of cost of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Accounting Pronouncements</w:t>
      </w:r>
    </w:p>
    <w:p>
      <w:pPr>
        <w:spacing w:after="0" w:line="22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April 2014, the FASB issued Accounting Standards Update (ASU) No. 2014-08, "Reporting Discontinued Operations and Disclosures of Disposals of Components of an Entity." This ASU relates to discontinued operations reporting for disposals of components of an entity that represent strategic shifts that have, or will have, a major effect on an entity's operations and financial results. The standard expands the disclosures for discontinued operations and requires new disclosures related to individually material disposals that do not meet the definition of a discontinued operation. The provisions of this ASU are effective for interim and annual periods beginning after December 15, 2014. This ASU is not expected to have an impact on our financial statements or disclosures.</w:t>
      </w:r>
    </w:p>
    <w:p>
      <w:pPr>
        <w:spacing w:after="0" w:line="15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May 2014, the FASB issued ASU No. 2014-09, "Revenue from Contracts with Customers" (Topic 606).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improved revenue disclosure requirements. The provisions of this ASU are effective for interim and annual periods beginning after December 15, 2016. We are currently evaluating the impact of this ASU.</w:t>
      </w:r>
    </w:p>
    <w:p>
      <w:pPr>
        <w:spacing w:after="0" w:line="170"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In June 2014, the FASB issued ASU No. 2014-11, "Repurchase-to-Maturity Transactions, Repurchase Financings and Disclosures." This ASU aligns the accounting for repurchase-to-maturity transactions and repurchase financing arrangements with the accounting for other typical repurchase agreements. Under this ASU, these transactions will be accounted for as secured borrowings. The provisions of this ASU are effective for interim and annual periods beginning after December 15, 2014. This ASU is not expected to have a significant impact on our financial statements or disclosures.</w:t>
      </w:r>
    </w:p>
    <w:p>
      <w:pPr>
        <w:spacing w:after="0" w:line="15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June 2014, the FASB issued ASU No. 2014-12, "Accounting for Share-Based Payments When the Terms of an Award Provide That a Performance Target Could Be Achieved after the Requisite Service Period." This ASU requires a reporting entity to treat a performance target that affects vesting and that could be achieved after the requisite service period as a performance condition, and apply existing guidance under the Stock Compensation Topic of the ASC as it relates to awards with performance conditions that affect vesting to account for such awards. The provisions of this ASU are effective for interim and annual periods beginning after December 15, 2015. This ASU is not expected to have a significant impact on our financial statements or disclosures.</w:t>
      </w:r>
    </w:p>
    <w:p>
      <w:pPr>
        <w:spacing w:after="0" w:line="158"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In August 2014, the FASB issued ASU No. 2014-13, "Measuring the Financial Assets and the Financial Liabilities of a Consolidated Collateralized Financing Entity." This ASU is intended to provide guidance for situations in which the fair value of the financial assets of a collateralized financing entity differ from the fair value of its financial liabilities. The provisions of this ASU are effective for interim and annual periods beginning after December 15, 2015. This ASU is not expected to have a significant impact on our financial statements or disclosures.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August 2014, the FASB issued ASU No. 2014-15, "Disclosure of Uncertainties about an Entity's Ability to Continue as a Going Concern." This ASU establishes specific guidance to an organization's management on their responsibility to evaluate whether there is substantial doubt about the organization's ability to continue as a going concern. The provisions of this ASU are effective for interim and annual periods beginning after December 15, 2016. This ASU is not expected to have an impact on our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nine months ended September 30, 2014 and 2013, PricewaterhouseCoopers LLP (PricewaterhouseCoopers) reported that it has applied limited procedures in accordance with professional standards for a review of such information. However, its report dated October 24, 2014,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60" w:firstLine="3453"/>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reviewed the accompanying condensed consolidated balance sheet of United Technologies Corporation and its subsidiaries as of September 30, 2014 and the related condensed consolidated statements of operations and condensed consolidated statements of comprehensive income for the three-month and nine-month periods ended September 30, 2014 and 2013 and the condensed consolidated statement of cash flows for the nine-month periods ended September 30, 2014 and 2013. This interim financial information is the responsibility of the Corporation's management.</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previously audited, in accordance with the standards of the Public Company Accounting Oversight Board (United States), the consolidated balance sheet as of December 31, 2013, and the related consolidated statements of operations, of comprehensive income, of cash flows, and of changes in equity for the year then ended (not presented herein), and in our report dated February 6, 2014, we expressed an unqualified opinion on those consolidated financial statements. In our opinion, the information set forth in the accompanying condensed consolidated balance sheet as of December 31, 2013,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are a global provider of high technology products and services to the building systems and aerospace industries. Our operations are classified into five principal business segments: Otis, UTC Climate, Controls &amp; Security, Pratt &amp; Whitney, UTC Aerospace Systems and Sikorsky. Otis and UTC Climate, Controls &amp; Security are referred to as the "commercial businesses," while Pratt &amp; Whitney, UTC Aerospace Systems and Sikorsky are collectively referred to as the "aerospace businesses." On September 23, 2013, we announced the formation of UTC Building and Industrial Systems, a new organizational structure consisting of Otis and UTC Climate, Controls &amp; Security. This new organizational structure is expected to enhance our ability to deliver more integrated solutions to our customers and accelerate innovation in smart building technologies and sustainable designs. Otis and UTC Climate, Controls &amp; Security each continue to report their financial and operational results as separate segments, which is consistent with how we allocate resources and measure the financial performance of these businesses.</w:t>
      </w:r>
    </w:p>
    <w:p>
      <w:pPr>
        <w:spacing w:after="0" w:line="1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Certain reclassifications have been made to the prior year amounts to conform to the current year presentation. The current status of significant factors affecting our business environment in 2014 is discussed below. For additional discussion, refer to the "Business Overview" section in Management's Discussion and Analysis of Financial Condition and Results of Operations in our 2013 Annual Report, which is incorporated by reference in our 2013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U.S. economy continued to strengthen in the third quarter of 2014 with higher consumer sentiment and slight increases to 2014 U.S. gross domestic product (GDP) growth forecasts. Employment gains, easing concerns over wage growth, and lower fuel costs boosted consumer sentiment in the U.S. in September to its highest level in 14 months. In China, despite lower manufacturing growth and a decline in the real estate sector, GDP growth forecasts remain unchanged at 7.5% as China continues to use fiscal policy to support growth. European GDP growth forecasts were reduced during the third quarter as economic sentiment fell to a 10-month low. During the first nine months of 2014, our organic sales in Europe grew 3%, and we continue to monitor the political and economic situations in Europe.</w:t>
      </w:r>
    </w:p>
    <w:p>
      <w:pPr>
        <w:spacing w:after="0" w:line="193"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U.S. Government deficit reduction measures continue to pressure U.S. Department of Defense spending and adversely affect our military businesses. Total sales to the U.S. Government were $2.4 billion in each of the quarters ended September 30, 2014 and 2013, or 15% and 16% of total UTC sales,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Disposition Activity</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previously disclosed, we disposed of a number of businesses in 2013. On February 12, 2013, we completed the disposition of UTC Power to ClearEdge Power, and on June 14, 2013, we completed the sale of substantially all operations of Pratt &amp; Whitney Rocketdyne (Rocketdyne) to GenCorp Inc. The results from these businesses were reclassified to Discontinued Operations in our Condensed Consolidated Statements of Operations and Cash Flows. On May 17, 2013, we completed the sale of the Pratt &amp; Whitney Power Systems business to Mitsubishi Heavy Industries (MHI) and entered into a long-term engineering and manufacturing agreement with MHI. Pratt &amp; Whitney Power Systems was not reclassified to Discontinued Operations due to our level of continuing involvement in the business post-sale.</w:t>
      </w:r>
    </w:p>
    <w:p>
      <w:pPr>
        <w:spacing w:after="0" w:line="19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connection with regulatory approval of the Goodrich Corporation (Goodrich) acquisition, regulatory authorities required UTC to dispose of the Goodrich electric power systems and the pumps and engine controls businesses. Pursuant to these regulatory obligations, these businesses had been held separately from UTC's and Goodrich's ongoing businesses since the acquisition of Goodrich by UTC. On March 18, 2013, we completed the sale of the Goodrich pumps and engine controls business to Triumph Group, Inc., and on March 26, 2013, we completed the sale of the Goodrich electric power systems business to Safran S.A. Combined proceeds from the sales of the two businesses were approximately $600 million.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nine months ended September 30, 2014, our investment in business acquisitions was approximately $506 million, including debt assumed of $128 million, which includes the acquisition of a majority interest in a Pratt &amp; Whitney joint venture and a number of small acquisitions primarily in our commercial businesses. We expect cash investment in businesses to be less than $1 billion in 2014. However, actual acquisition spending may vary depending upon the timing, availability and value of acquisition opportunities.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jc w:val="both"/>
        <w:ind w:right="440" w:firstLine="432"/>
        <w:spacing w:after="0" w:line="312" w:lineRule="auto"/>
        <w:rPr>
          <w:sz w:val="20"/>
          <w:szCs w:val="20"/>
          <w:color w:val="auto"/>
        </w:rPr>
      </w:pPr>
      <w:r>
        <w:rPr>
          <w:rFonts w:ascii="Arial" w:cs="Arial" w:eastAsia="Arial" w:hAnsi="Arial"/>
          <w:sz w:val="16"/>
          <w:szCs w:val="16"/>
          <w:color w:val="auto"/>
        </w:rPr>
        <w:t>Commercial airline financial distress and consolidation, global economic and political conditions, changes in raw material and commodity prices, interest rates, foreign currency exchange rates, energy costs, and the impact from natural disasters and weather conditions create uncertainties that could impact our earnings outlook for the remainder of 2014. See Part I, Item 1A, "Risk Factors" in our 2013 Form 10-K for further discussion.</w:t>
      </w:r>
    </w:p>
    <w:p>
      <w:pPr>
        <w:spacing w:after="0" w:line="14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previously reported, Sikorsky is developing the CH-148 derivative of the H-92 helicopter (the Cyclone), a military variant of the S-92 helicopter, for the Canadian Government. The Cyclone is being developed under a fixed-price acquisition contract (the Acquisition Contract) that provides for a program to develop and produce 28 helicopters, and a related contract to provide in-service support (collectively, the Arrangements). Delivery of the final configuration aircraft, which was scheduled to begin in 2012, has not occurred due to a number of disputes between the Canadian Government and Sikorsky related to contractual requirements and contract performance.</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June 18, 2014, Sikorsky and the Canadian Government signed amendments to the Arrangements (the Amended Arrangements). The Amended Arrangements finalize the scope of the aircraft, change the governance of the program, and establish a phased approach to the delivery of interim and final configuration helicopters starting in 2015. The Amended Arrangements also extend the in-service support contract through approximately 2038. The contract value of the Amended Arrangements is estimated to be approximately $6.4 billion.</w:t>
      </w:r>
    </w:p>
    <w:p>
      <w:pPr>
        <w:spacing w:after="0" w:line="187"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Prior to the amendments, sales and losses under the Acquisition Contract were recognized using an output-based method, consistent with the practices and policies the Company applies to other comparable production contracts. In light of the significant changes in program scope, governance and delivery, we re-assessed the method we utilize in estimating the extent of progress under the Acquisition Contract. The Acquisition Contract, as amended, now reflects the significant developmental nature of the contract that has evolved over time. Under the Company's practices and policies, contracts that are comparable to the Amended Arrangements are accounted for utilizing a cost-to-cost percentage of completion method, as this best reflects the efforts expended and more appropriately aligns the sales and loss recognition with these efforts. Employing the cost-to-cost percentage of completion method, we recorded a cumulative adjustment to reflect the percentage of completion under the Amended Arrangements in the second quarter of 2014 as a change in estimate. This adjustment along with changes in the in-service support contract resulted in the recognition in the second quarter of 2014 of $830 million in sales and $438 million in losses. Remaining losses under the Amended Arrangements of approximately $300 million will be recognized as the costs are incurred. These losses will be partially offset by the in-service support aftermarket contract with the expectation of generating positive annual margin beginning in 2018.</w:t>
      </w:r>
    </w:p>
    <w:p>
      <w:pPr>
        <w:spacing w:after="0" w:line="169"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The following activities are disclosed as required by Section 13(r)(1)(D) of the Securities Exchange Act of 1934, as amended (Exchange Act) as transactions or dealings with the government of Iran that have not been specifically authorized by a U.S. federal department or agency:</w:t>
      </w:r>
    </w:p>
    <w:p>
      <w:pPr>
        <w:spacing w:after="0" w:line="14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2012, 2013 and 2014, Chubb Fire &amp; Security Limited (Chubb), a non-U.S. subsidiary of UTC Climate, Controls &amp; Security, organized in the United Kingdom, sold building security and fire safety products and provided related maintenance services to the London offices of Bank Sepah International P.l.c. (Bank Sepah) and Bank Saderat P.l.c. (Bank Saderat) (together, the “Iranian Banks”). Both of the Iranian Banks have been designated by the U.S. Treasury Department's Office of Foreign Assets Control (OFAC) as entities owned or controlled by the government of Iran. Chubb’s products and services were sold to the Iranian Banks pursuant to service contracts, which were not prohibited by applicable law when executed. As detailed below, a portion of the 2012 sales and all of the 2013 and 2014 sales took place after the President issued Executive Order 13628 on October 9, 2012, which implemented Section 218 of the Iran Threat Reduction and Syria Human Rights Act by prohibiting any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entity owned or controlled by a U.S. person and established or maintained outside the U.S. from knowingly engaging in any transaction, directly or indirectly, with the government of Iran. Accordingly, UTC Climate, Controls &amp; Security has filed an appropriate disclosure with OFAC.</w:t>
      </w:r>
    </w:p>
    <w:p>
      <w:pPr>
        <w:spacing w:after="0" w:line="14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2012, Chubb sold approximately $18,619 in the aggregate in security and fire alarm equipment and services to the Iranian Banks. The net profit on the 2012 sales was $8,181. Approximately $15,401 of the 2012 payments were received before October 9, 2012 and were not prohibited by applicable law when received. In 2013, pursuant to the same legacy contracts, Chubb sold approximately $12,347 in the aggregate in security and fire alarm equipment and services to the Iranian Banks, with a net profit of $7,835. In 2014, again pursuant to the legacy contracts, Chubb sold approximately $4,762 in the aggregate in security and fire alarm equipment and services to the Iranian Banks, with a net profit of $2,382. Chubb terminated its contracts with Bank Sepah and Bank Saderat on August 8, 2014 and August 11, 2014, respectively, and does not intend to do any further business with either of the Iranian Banks.</w:t>
      </w:r>
    </w:p>
    <w:p>
      <w:pPr>
        <w:spacing w:after="0" w:line="16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December 2013, Pratt &amp; Whitney’s Global Operations Center was contacted by Iran Air requesting technical assistance following an in-service incident on a Boeing 747-200 commercial aircraft, powered by Pratt &amp;Whitney JT9D engines. Iran Air has been designated by OFAC as an entity owned or controlled by the government of Iran. At that time, Pratt &amp; Whitney informed Iran Air that it was prohibited by applicable law from providing assistance without further approvals. On July 27, 2014, Pratt &amp; Whitney received a license from OFAC to engage in all transactions necessary to conduct a flight safety investigation of the incident, including the exportation to Iran of a final report on the incident. To date, Pratt &amp; Whitney has not conducted any activity authorized under the license and has received no payments from Iran Air. Pratt &amp; Whitney does not intend to conduct the activity authorized under the license unless requested to do so by Iran Air, and would not continue any such activity after the license expires on November 24, 2014 unless the license is renewed or extended by OFAC.</w:t>
      </w:r>
    </w:p>
    <w:p>
      <w:pPr>
        <w:spacing w:after="0" w:line="19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July 2014, the UTC Aerospace Systems Aerostructures Aftermarket Support group, with locations worldwide, received an unsolicited e-mail request for repair assistance from Iran Aseman Airlines (IAA), which the Company understands may be owned by the Government of Iran. A UTC Aerospace Systems repair engineer located in India provided an initial response requesting more detailed information concerning the damage at issue before recognizing IAA as a restricted party under OFAC regulations. The communication from the UTC Aerospace Systems repair engineer did not convey technical information and UTC Aerospace Systems did not recognize any sales or net profit from the exchange. Moreover, UTC Aerospace Systems did not send any hardware to IAA and did not perform any repairs for IAA. In light of applicable sanctions constraints and our policy prohibiting business with Iran, UTC Aerospace Systems subsequently informed IAA that it could not provide any repair assistance. UTC Aerospace Systems does not intend to engage in any further activity with IAA. On August 21, 2014, UTC Aerospace Systems disclosed this matter to OFAC out of an abundance of caution and in the event that the e-mail exchange might be viewed as constituting the provision of services to IAA in violation of applicable sanctions constraints. UTC Aerospace Systems intends to submit a final voluntary disclosure to OFAC in December 2014.</w:t>
      </w:r>
    </w:p>
    <w:p>
      <w:pPr>
        <w:spacing w:after="0" w:line="178"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As previously disclosed in our Quarterly Reports on Form 10-Q for the quarters ended June 30, 2013 and September 30, 2013, certain of our indirect wholly-owned non-U.S. subsidiaries had terminated contracts with European branches of Iranian Banks that had been identified by OFAC as blocked pursuant to Executive Order 13382. Pursuant to licenses issued by OFAC, the subsidiaries have settled outstanding disputes with these entities that followed the terminations. Our subsidiaries did not receive any payments or profits as part of the settlements.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2013 Annual Report, incorporated by reference in our 2013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nine months ended September 30, 2014.</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2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16,168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15,462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48,104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45,867</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nine months ended September 30, 2014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10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6"/>
              </w:rPr>
              <w:t>Quarter Ended</w:t>
            </w:r>
          </w:p>
        </w:tc>
        <w:tc>
          <w:tcPr>
            <w:tcW w:w="1800" w:type="dxa"/>
            <w:vAlign w:val="bottom"/>
          </w:tcPr>
          <w:p>
            <w:pPr>
              <w:jc w:val="right"/>
              <w:ind w:right="19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310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1"/>
              </w:rPr>
              <w:t>September 30, 2014</w:t>
            </w:r>
          </w:p>
        </w:tc>
        <w:tc>
          <w:tcPr>
            <w:tcW w:w="1800" w:type="dxa"/>
            <w:vAlign w:val="bottom"/>
          </w:tcPr>
          <w:p>
            <w:pPr>
              <w:jc w:val="right"/>
              <w:ind w:right="215"/>
              <w:spacing w:after="0"/>
              <w:rPr>
                <w:sz w:val="20"/>
                <w:szCs w:val="20"/>
                <w:color w:val="auto"/>
              </w:rPr>
            </w:pPr>
            <w:r>
              <w:rPr>
                <w:rFonts w:ascii="Arial" w:cs="Arial" w:eastAsia="Arial" w:hAnsi="Arial"/>
                <w:sz w:val="14"/>
                <w:szCs w:val="14"/>
                <w:b w:val="1"/>
                <w:bCs w:val="1"/>
                <w:color w:val="auto"/>
              </w:rPr>
              <w:t>September 30, 2014</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100" w:type="dxa"/>
            <w:vAlign w:val="bottom"/>
            <w:gridSpan w:val="2"/>
          </w:tcPr>
          <w:p>
            <w:pPr>
              <w:jc w:val="right"/>
              <w:ind w:right="15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5"/>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3100" w:type="dxa"/>
            <w:vAlign w:val="bottom"/>
            <w:tcBorders>
              <w:bottom w:val="single" w:sz="8" w:color="CCEEFF"/>
            </w:tcBorders>
            <w:gridSpan w:val="2"/>
            <w:shd w:val="clear" w:color="auto" w:fill="CCEEFF"/>
          </w:tcPr>
          <w:p>
            <w:pPr>
              <w:jc w:val="right"/>
              <w:ind w:right="15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3100" w:type="dxa"/>
            <w:vAlign w:val="bottom"/>
            <w:gridSpan w:val="2"/>
          </w:tcPr>
          <w:p>
            <w:pPr>
              <w:jc w:val="right"/>
              <w:ind w:right="15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65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65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During the quarter ended September 30, 2014, all five business segments experienced organic sales growth: UTC Aerospace Systems (6%), Otis (5%), Pratt &amp; Whitney (5%), Sikorsky (5%), and UTC Climate, Controls &amp; Security (4%). Organic sales growth at UTC Aerospace Systems was primarily due to higher commercial OEM and aftermarket volumes. Organic growth at Otis was primarily due to higher new equipment sales volume in China and the Middle East. Organic growth at Pratt &amp; Whitney was primarily due to higher commercial aftermarket and Pratt &amp; Whitney Canada sales volumes, while organic growth at Sikorsky was led by higher international military volumes and customer funded development programs.</w:t>
      </w:r>
    </w:p>
    <w:p>
      <w:pPr>
        <w:spacing w:after="0" w:line="17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During the nine months ended September 30, 2014, all five business segments experienced organic sales growth, led by UTC Aerospace Systems (7%), Otis (6%), and Sikorsky (4%). Organic sales growth at UTC Aerospace Systems was driven by higher commercial aerospace OEM and aftermarket sales volumes. Organic growth at Otis was primarily due to higher new equipment sales volume in the U.S. and China, while organic growth at Sikorsky was led by higher international military and commercial aircraft sales volumes. Organic sales growth was also driven by Pratt &amp; Whitney (3%) and UTC Climate, Controls &amp; Security (2%). See the Segment Review section of Management's Discussion and Analysis for further discussion of segment performance.</w:t>
      </w:r>
    </w:p>
    <w:p>
      <w:pPr>
        <w:spacing w:after="0" w:line="158"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sales decrease from net acquisitions and divestitures for the nine months ended September 30, 2014 was primarily a result of the disposition in the prior year of the Pratt &amp; Whitney Power Systems business and portfolio transformation initiatives at UTC Climate, Controls &amp; Security. The increase in "Other" in the nine months ended September 30, 2014 is attributable to the cumulative adjustment to record sales of $830 million based upon the change in estimate arising out of the Amended Arrangements signed with the Canadian Government for the Cyclone helicopter program.</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5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26,707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24,876</w:t>
            </w: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8,380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8,161</w:t>
            </w: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11,466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35,087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33,037</w:t>
            </w:r>
          </w:p>
        </w:tc>
      </w:tr>
      <w:tr>
        <w:trPr>
          <w:trHeight w:val="45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and nine months ended September 30, 2014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08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6"/>
              </w:rPr>
              <w:t>Quarter Ended</w:t>
            </w:r>
          </w:p>
        </w:tc>
        <w:tc>
          <w:tcPr>
            <w:tcW w:w="1800" w:type="dxa"/>
            <w:vAlign w:val="bottom"/>
          </w:tcPr>
          <w:p>
            <w:pPr>
              <w:jc w:val="right"/>
              <w:ind w:right="1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40" w:type="dxa"/>
            <w:vAlign w:val="bottom"/>
          </w:tcPr>
          <w:p>
            <w:pPr>
              <w:spacing w:after="0"/>
              <w:rPr>
                <w:sz w:val="16"/>
                <w:szCs w:val="16"/>
                <w:color w:val="auto"/>
              </w:rPr>
            </w:pPr>
          </w:p>
        </w:tc>
        <w:tc>
          <w:tcPr>
            <w:tcW w:w="308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1"/>
              </w:rPr>
              <w:t>September 30, 2014</w:t>
            </w:r>
          </w:p>
        </w:tc>
        <w:tc>
          <w:tcPr>
            <w:tcW w:w="1800" w:type="dxa"/>
            <w:vAlign w:val="bottom"/>
          </w:tcPr>
          <w:p>
            <w:pPr>
              <w:jc w:val="right"/>
              <w:ind w:right="214"/>
              <w:spacing w:after="0"/>
              <w:rPr>
                <w:sz w:val="20"/>
                <w:szCs w:val="20"/>
                <w:color w:val="auto"/>
              </w:rPr>
            </w:pPr>
            <w:r>
              <w:rPr>
                <w:rFonts w:ascii="Arial" w:cs="Arial" w:eastAsia="Arial" w:hAnsi="Arial"/>
                <w:sz w:val="14"/>
                <w:szCs w:val="14"/>
                <w:b w:val="1"/>
                <w:bCs w:val="1"/>
                <w:color w:val="auto"/>
              </w:rPr>
              <w:t>September 30, 2014</w:t>
            </w: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080" w:type="dxa"/>
            <w:vAlign w:val="bottom"/>
            <w:gridSpan w:val="2"/>
          </w:tcPr>
          <w:p>
            <w:pPr>
              <w:jc w:val="right"/>
              <w:ind w:right="15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3080" w:type="dxa"/>
            <w:vAlign w:val="bottom"/>
            <w:tcBorders>
              <w:bottom w:val="single" w:sz="8" w:color="CCEEFF"/>
            </w:tcBorders>
            <w:gridSpan w:val="2"/>
            <w:shd w:val="clear" w:color="auto" w:fill="CCEEFF"/>
          </w:tcPr>
          <w:p>
            <w:pPr>
              <w:jc w:val="right"/>
              <w:ind w:right="15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3080" w:type="dxa"/>
            <w:vAlign w:val="bottom"/>
            <w:gridSpan w:val="2"/>
          </w:tcPr>
          <w:p>
            <w:pPr>
              <w:jc w:val="right"/>
              <w:ind w:right="15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CCEEFF"/>
            </w:tcBorders>
            <w:gridSpan w:val="2"/>
            <w:shd w:val="clear" w:color="auto" w:fill="CCEEFF"/>
          </w:tcPr>
          <w:p>
            <w:pPr>
              <w:jc w:val="right"/>
              <w:ind w:right="15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34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65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The organic increase in total cost of products and services sold in the quarter and nine months ended September 30, 2014 was driven by the organic sales increase noted above, partially offset by the benefits of previous restructuring actions and lower commodity costs, particularly within UTC Climate, Controls &amp; Security.</w:t>
      </w:r>
    </w:p>
    <w:p>
      <w:pPr>
        <w:spacing w:after="0" w:line="18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decrease in "Acquisitions and divestitures, net" in the nine months ended September 30, 2014 is attributable to the disposition of the Pratt &amp; Whitney Power Systems business and portfolio transformation initiatives at UTC Climate, Controls &amp; Security. The increase in "Other" in the nine months ended September 30, 2014 is attributable to the cumulative adjustment to record costs of $1,268 million based upon the change in estimate arising out of the Amended Arrangements signed with the Canadian Government for the Cyclone helicopter program.</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4,702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13,017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12,830</w:t>
            </w: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w:t>
            </w:r>
          </w:p>
        </w:tc>
      </w:tr>
    </w:tbl>
    <w:p>
      <w:pPr>
        <w:spacing w:after="0" w:line="12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40 basis point increase in gross margin as a percentage of sales for the quarter ended September 30, 2014 is primarily due to the benefits of previous restructuring actions, lower commodity costs and productivity gains at UTC Climate, Controls &amp; Security.</w:t>
      </w:r>
    </w:p>
    <w:p>
      <w:pPr>
        <w:spacing w:after="0" w:line="170"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The 90 basis point decline in gross margin as a percentage of sales for the nine months ended September 30, 2014 is primarily due to the cumulative adjustment to record $830 million in sales and $1,268 million in cost of sales based upon the change in estimate arising out of the Amended Arrangements signed with the Canadian Government for the Cyclone helicopter program (140 basis points). This was partially offset by the benefits of previous restructuring actions and lower commodity costs and productivity gains at UTC Climate, Controls &amp; Security (50 basis points).</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9"/>
                <w:szCs w:val="19"/>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1,967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1,871</w:t>
            </w: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1,758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1,607</w:t>
            </w: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21"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(7%) for the quarter ended September 30, 2014 is primarily related to higher research and development within Pratt &amp; Whitney related to the development of multiple geared turbo-fan platforms. Customer-funded research and development increased (16%) primarily due to higher customer-funded spending at Pratt &amp; Whitney (8%), primarily on military programs, and at Sikorsky (5%) on U.S. Government programs.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year-over-year increase in company-funded research and development (5%) for the nine months ended September 30, 2014 is primarily related to higher research and development within Pratt &amp; Whitney related to the development of multiple geared turbo-fan platforms and within UTC Aerospace Systems related to several commercial aerospace programs. Customer-funded research and development increased (9%) primarily due to higher customer-funded spending at Pratt &amp; Whitney on military (7%) and commercial (4%) programs, partially offset by lower customer-funded spending at UTC Aerospace Systems, primarily on military programs (1%) and within U.S. Government programs at Sikorsky (1%).</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company-funded research and development for the full year 2014 to increase approximately $100 million over 2013 levels.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4,997</w:t>
            </w: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12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Selling, general and administrative expenses declined 3% in the quarter ended September 30, 2014 due to lower restructuring costs (1%) and a decline in selling, general and administrative expense at UTC Aerospace Systems (3%) primarily driven by lower pension expense. The benefit from savings from previous restructuring actions was partially offset by an increase in overhead expenses at Otis due primarily to continued investment in emerging markets. The 80 basis point year-over-year decrease as a percentage of sales reflects higher sales volume, lower pension expense and benefits from previous restructuring actions.</w:t>
      </w:r>
    </w:p>
    <w:p>
      <w:pPr>
        <w:spacing w:after="0" w:line="188" w:lineRule="exact"/>
        <w:rPr>
          <w:sz w:val="20"/>
          <w:szCs w:val="20"/>
          <w:color w:val="auto"/>
        </w:rPr>
      </w:pPr>
    </w:p>
    <w:p>
      <w:pPr>
        <w:ind w:right="460" w:firstLine="432"/>
        <w:spacing w:after="0" w:line="279" w:lineRule="auto"/>
        <w:rPr>
          <w:sz w:val="20"/>
          <w:szCs w:val="20"/>
          <w:color w:val="auto"/>
        </w:rPr>
      </w:pPr>
      <w:r>
        <w:rPr>
          <w:rFonts w:ascii="Arial" w:cs="Arial" w:eastAsia="Arial" w:hAnsi="Arial"/>
          <w:sz w:val="17"/>
          <w:szCs w:val="17"/>
          <w:color w:val="auto"/>
        </w:rPr>
        <w:t>Selling, general and administrative expenses declined 4% in the nine months ended September 30, 2014 due to lower restructuring costs (2%), the impact of divestitures completed over the preceding twelve months (1%) and a decline in selling, general and administrative expense at UTC Aerospace Systems primarily driven by lower pension expense (1%). The benefit from savings from previous restructuring actions was partially offset by higher overhead expenses at Otis due primarily to continued investment in emerging markets.</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917</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140" w:firstLine="432"/>
        <w:spacing w:after="0" w:line="288" w:lineRule="auto"/>
        <w:rPr>
          <w:sz w:val="20"/>
          <w:szCs w:val="20"/>
          <w:color w:val="auto"/>
        </w:rPr>
      </w:pPr>
      <w:r>
        <w:rPr>
          <w:rFonts w:ascii="Arial" w:cs="Arial" w:eastAsia="Arial" w:hAnsi="Arial"/>
          <w:sz w:val="16"/>
          <w:szCs w:val="16"/>
          <w:color w:val="auto"/>
        </w:rPr>
        <w:t>Other income, net includes equity earnings in unconsolidated entities, royalty income, foreign exchange gains and losses as well as other ongoing and non-recurring items. The year-over-year increase in other income, net (61%) in the quarter ended September 30, 2014 is driven by a net gain primarily from fair value adjustments related to the acquisition of the majority interest in a Pratt &amp; Whitney joint venture (44%) and a net gain from UTC Climate, Controls</w:t>
      </w:r>
    </w:p>
    <w:p>
      <w:pPr>
        <w:jc w:val="both"/>
        <w:ind w:right="80" w:firstLine="8"/>
        <w:spacing w:after="0" w:line="302" w:lineRule="auto"/>
        <w:tabs>
          <w:tab w:leader="none" w:pos="185" w:val="left"/>
        </w:tabs>
        <w:numPr>
          <w:ilvl w:val="0"/>
          <w:numId w:val="8"/>
        </w:numPr>
        <w:rPr>
          <w:rFonts w:ascii="Arial" w:cs="Arial" w:eastAsia="Arial" w:hAnsi="Arial"/>
          <w:sz w:val="16"/>
          <w:szCs w:val="16"/>
          <w:color w:val="auto"/>
        </w:rPr>
      </w:pPr>
      <w:r>
        <w:rPr>
          <w:rFonts w:ascii="Arial" w:cs="Arial" w:eastAsia="Arial" w:hAnsi="Arial"/>
          <w:sz w:val="16"/>
          <w:szCs w:val="16"/>
          <w:color w:val="auto"/>
        </w:rPr>
        <w:t>Security's ongoing portfolio transformation (16%), primarily due to a gain on the sale of an interest in a joint venture in North America, and the absence of a charge to adjust the fair value of a Pratt &amp; Whitney joint venture investment (13%) in the third quarter of 2013. These increases were partially offset by the absence of gains related to miscellaneous asset sales (13%) in the third quarter of 2013 and other normal recurring operational activity.</w:t>
      </w:r>
    </w:p>
    <w:p>
      <w:pPr>
        <w:spacing w:after="0" w:line="15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year-over-year increase in other income, net in the nine months ended September 30, 2014 (3%), is driven by a gain on an agreement with a state taxing authority for the monetization of tax credits (24%), a net gain primarily from fair value adjustments related to the acquisition of the majority interest in a Pratt &amp; Whitney joint venture (9%), higher licensing income (3%), and the absence of a charge to adjust the fair value of a Pratt &amp; Whitney joint venture investment (3%) in the third quarter of 2013. These increases were partially offset by an impairment loss on a Sikorsky joint venture investment (3%), a decline in net gains from UTC Climate, Controls &amp; Security's ongoing portfolio transformation (1%), and the absence of: a gain on the sale of Pratt &amp; Whitney Power Systems (21%) recognized in the second quarter of 2013, a gain on a settlement with an engine program partner (4%) recognized in the first quarter of 2013, gains related to miscellaneous asset sales (3%) recognized in the third quarter of 2013; and other normal recurring operating activity.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54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775</w:t>
            </w: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679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2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decrease in interest expense in the quarter and nine months ended September 30, 2014 is a result of lower average debt balances as a result of debt repayments made since September 30, 2013. The increase in interest income in the quarter ended September 30, 2014 reflects $23 million of favorable pre-tax interest adjustments related to the settlement of disputes with the Appeals division of the IRS for the Company's 2006 - 2008 tax years as well as the conclusion of Canada Revenue Agency’s examination of the Company's 2006 - 2012 tax years.</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increase in interest income in the nine months ended September 30, 2014 includes the interest income item noted above as well as $21 million of favorable pre-tax interest adjustments, primarily related to the conclusion of the IRS's examination of the Company's 2009 and 2010 tax years recorded during the quarter ended June 30, 2014; partially offset by the absence of $36 million of favorable pre-tax interest adjustments related to settlements of our tax years prior to 2006 as well as the conclusion of certain IRS examinations of the 2009 and 2010 tax years that were recorded during the second quarter of 2013.</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3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2"/>
              </w:rPr>
              <w:t>Quarter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r>
      <w:tr>
        <w:trPr>
          <w:trHeight w:val="243"/>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23.8%</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5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320" w:firstLine="405"/>
        <w:spacing w:after="0" w:line="312" w:lineRule="auto"/>
        <w:rPr>
          <w:sz w:val="20"/>
          <w:szCs w:val="20"/>
          <w:color w:val="auto"/>
        </w:rPr>
      </w:pPr>
      <w:r>
        <w:rPr>
          <w:rFonts w:ascii="Arial" w:cs="Arial" w:eastAsia="Arial" w:hAnsi="Arial"/>
          <w:sz w:val="16"/>
          <w:szCs w:val="16"/>
          <w:color w:val="auto"/>
        </w:rPr>
        <w:t>The decrease in the effective tax rate for the quarter ended September 30, 2014, primarily reflects the favorable non-cash income tax impact of $118 million related to the resolution of disputes with the Appeals division of the IRS for the Company's 2006 - 2008 tax years, as well as the conclusion of the Canada Revenue Agency’s examination of the Company's 2006 - 2012 tax years, both of which were recorded in the third quarter of 2014.</w:t>
      </w:r>
    </w:p>
    <w:p>
      <w:pPr>
        <w:spacing w:after="0" w:line="14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decrease in the effective tax rate for the nine months ended September 30, 2014 includes the items noted above, as well as the favorable non-cash income tax impact of $253 million related to the conclusion of the IRS's examination of the Company's 2009 - 2010 tax years, and the conclusion of the State of Connecticut's examination of the Company's 2010 - 2012 tax years, both of which were recorded in the second quarter of 2014. Those items are partially offset by the absence of the favorable tax impact of $95 million recorded in the first quarter of 2013, associated with the legislative corporate tax extenders enacted in January 2013, as part of the American Taxpayer Relief Act of 2012.</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estimate our full year annual effective income tax rate in 2014 to be approximately 30%, absent nonrecurring adjustments.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920" w:type="dxa"/>
            <w:vAlign w:val="bottom"/>
            <w:gridSpan w:val="6"/>
          </w:tcPr>
          <w:p>
            <w:pPr>
              <w:ind w:left="480"/>
              <w:spacing w:after="0"/>
              <w:rPr>
                <w:sz w:val="20"/>
                <w:szCs w:val="20"/>
                <w:color w:val="auto"/>
              </w:rPr>
            </w:pPr>
            <w:r>
              <w:rPr>
                <w:rFonts w:ascii="Arial" w:cs="Arial" w:eastAsia="Arial" w:hAnsi="Arial"/>
                <w:sz w:val="14"/>
                <w:szCs w:val="14"/>
                <w:b w:val="1"/>
                <w:bCs w:val="1"/>
                <w:color w:val="auto"/>
              </w:rPr>
              <w:t>Quarter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9"/>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8"/>
              </w:rPr>
              <w:t>Income from continuing operations attributable to common shareowners</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4,237</w:t>
            </w:r>
          </w:p>
        </w:tc>
      </w:tr>
      <w:tr>
        <w:trPr>
          <w:trHeight w:val="229"/>
        </w:trPr>
        <w:tc>
          <w:tcPr>
            <w:tcW w:w="5700" w:type="dxa"/>
            <w:vAlign w:val="bottom"/>
            <w:gridSpan w:val="3"/>
          </w:tcPr>
          <w:p>
            <w:pPr>
              <w:ind w:left="40"/>
              <w:spacing w:after="0"/>
              <w:rPr>
                <w:sz w:val="20"/>
                <w:szCs w:val="20"/>
                <w:color w:val="auto"/>
              </w:rPr>
            </w:pPr>
            <w:r>
              <w:rPr>
                <w:rFonts w:ascii="Arial" w:cs="Arial" w:eastAsia="Arial" w:hAnsi="Arial"/>
                <w:sz w:val="18"/>
                <w:szCs w:val="18"/>
                <w:color w:val="auto"/>
                <w:w w:val="91"/>
              </w:rPr>
              <w:t>Diluted earnings per share from continuing operations attributable to common</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shareowners</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4.64</w:t>
            </w:r>
          </w:p>
        </w:tc>
      </w:tr>
    </w:tbl>
    <w:p>
      <w:pPr>
        <w:spacing w:after="0" w:line="121" w:lineRule="exact"/>
        <w:rPr>
          <w:sz w:val="20"/>
          <w:szCs w:val="20"/>
          <w:color w:val="auto"/>
        </w:rPr>
      </w:pPr>
    </w:p>
    <w:p>
      <w:pPr>
        <w:jc w:val="both"/>
        <w:ind w:right="80" w:firstLine="432"/>
        <w:spacing w:after="0" w:line="257" w:lineRule="auto"/>
        <w:rPr>
          <w:sz w:val="20"/>
          <w:szCs w:val="20"/>
          <w:color w:val="auto"/>
        </w:rPr>
      </w:pPr>
      <w:r>
        <w:rPr>
          <w:rFonts w:ascii="Arial" w:cs="Arial" w:eastAsia="Arial" w:hAnsi="Arial"/>
          <w:sz w:val="18"/>
          <w:szCs w:val="18"/>
          <w:color w:val="auto"/>
        </w:rPr>
        <w:t>Net income attributable to common shareowners from continuing operations for the quarter ended September 30, 2014 includes restructuring charges, net of tax benefit, of $42 million as well as a net benefit from non-recurring items, net of tax expense, of $239 million. The effect of non-recurring items on diluted earnings per share for the quarter ended September 30, 2014 was a net benefit of $0.27 per share, which was partially offset by $0.05 of restructuring charges. The impact of foreign currency translation and hedging generated a favorable effect of $0.01 per diluted share on our operational performance in the quarter ended September 30, 2014.</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Net income attributable to common shareowners from continuing operations for the nine months ended September 30, 2014 includes restructuring charges, net of tax benefit, of $163 million as well as a net benefit from non-recurring items, net of tax expense of $276 million. The effect of non-recurring items on diluted earnings per share for the nine months ended September 30, 2014 was a net benefit of $0.30 per share, which was partially offset by $0.18 of restructuring charges. The impact of foreign currency translation and hedging generated a favorable effect of $0.04 per diluted share on our operational performance in the nine months ended September 30,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8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343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both existing operations and those recently acquired. We expect to incur restructuring costs in 2014 of at least $375 million, including trailing costs related to prior actions associated with our continuing cost reduction efforts and the integration of acquisitions. The expected adverse impact on earnings in 2014 from anticipated additional restructuring costs is expected to be offset by the beneficial impact from gains and other items that are outside the normal operating activities of the Company. Although no specific plans for significant other actions have been finalized at this time, we continue to closely monitor the economic environment and may undertake further restructuring actions to keep our cost structure aligned with the demands of the prevailing market conditions.</w:t>
      </w:r>
    </w:p>
    <w:p>
      <w:pPr>
        <w:spacing w:after="0" w:line="17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described below, the charges incurred in the nine months ended September 30, 2014 primarily relate to actions initiated during 2014 and 2013, while the charges incurred in the nine months ended September 30, 2013 primarily relate to actions initiated during 2013 and 2012.</w:t>
      </w:r>
    </w:p>
    <w:p>
      <w:pPr>
        <w:spacing w:after="0" w:line="166"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nine months ended September 30, 2014, we recorded net pre-tax restructuring charges of $215 million relating to ongoing cost</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actions initiated in 2014. The charges include severance related to workforce reductions and asset write-downs and facility exit and lease termination costs related to the consolidation of field and manufacturing operations.</w:t>
      </w:r>
    </w:p>
    <w:p>
      <w:pPr>
        <w:spacing w:after="0" w:line="180"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are targeting the majority of the remaining workforce and facility related cost reduction actions for completion during 2014 and 2015. Approximately 60% of the total pre-tax charge will require cash payments, which we have funded and expect to continue to fund with cash generated from operations. During the nine months ended September 30, 2014, we had cash outflows of approximately $75 million related to the 2014 actions. We expect to incur additional restructuring and other charges of $99 million to complete these actions. We expect recurring pre-tax savings to increase over the two-year period subsequent to initiating the actions to approximately $225 million annually, of which, approximately $29 million was realized during the nine months ended September 30, 2014.</w:t>
      </w:r>
    </w:p>
    <w:p>
      <w:pPr>
        <w:spacing w:after="0" w:line="189"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2013 Actions. </w:t>
      </w:r>
      <w:r>
        <w:rPr>
          <w:rFonts w:ascii="Arial" w:cs="Arial" w:eastAsia="Arial" w:hAnsi="Arial"/>
          <w:sz w:val="17"/>
          <w:szCs w:val="17"/>
          <w:color w:val="auto"/>
        </w:rPr>
        <w:t>During the nine months ended September 30, 2014 and 2013, we recorded net pre-tax restructuring charges of $33 million and $298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for actions initiated in 2013. The 2013 actions relate to ongoing cost reduction efforts, including severance related to workforce reductions and asset write-downs and facility exit and lease termination costs related to the consolidation of field and manufacturing operations.</w:t>
      </w:r>
    </w:p>
    <w:p>
      <w:pPr>
        <w:spacing w:after="0" w:line="16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are targeting to complete in 2014 the majority of the remaining workforce and all facility related cost reduction actions initiated in 2013. Approximately 75% of the total pre-tax charge will require cash payments, which we have and expect to continue to fund with cash generated from operations. During the nine months ended September 30, 2014, we had cash outflows of approximately $119 million related to the 2013 actions. We expect to incur additional restructuring charges of $26 million to complete these actions. We expect recurring pre-tax savings to increase over the two-year period subsequent to initiating the actions to approximately $425 million annually, of which, approximately $286 million was realized during the nine months ended September 30, 2014.</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of restructuring, see Note 8 to the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nine months ended September 30, 2014 and 2013 are included in "Eliminations and other" below, which also includes certain smaller subsidiaries. We attempt 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179"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Within the UTC Climate, Controls &amp; Security segment, North American residential heating, ventilation, and air conditioning (HVAC) benefited from early orders ahead of the energy efficiency standards change that takes effect in January 2015 for the southern and western United States, while sales increased 9% in the quarter ended September 30, 2014. Orders within the Transicold and the fire and security product businesses increased 2% and 7%, respectively, while Global commercial HVAC orders decreased 1%. Within the Otis segment, new equipment orders increased 4% in the quarter ended September 30, 2014 with growth in North America (58%) and Europe (2%). New equipment orders in China were consistent with the prior year, after increasing 15% in the quarter ended September 30, 2013. Order growth rates in China are moderating to levels consistent with our expectations for the year.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September 30,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Otis</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7"/>
          </w:tcPr>
          <w:p>
            <w:pPr>
              <w:jc w:val="right"/>
              <w:ind w:right="67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4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24"/>
                <w:szCs w:val="24"/>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21.4%</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16.4%</w:t>
            </w:r>
          </w:p>
        </w:tc>
        <w:tc>
          <w:tcPr>
            <w:tcW w:w="102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nine months ended September 30,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Otis</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right"/>
              <w:ind w:right="65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41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9,140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r>
      <w:tr>
        <w:trPr>
          <w:trHeight w:val="24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8,758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24"/>
                <w:szCs w:val="24"/>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15.6%</w:t>
            </w:r>
          </w:p>
        </w:tc>
        <w:tc>
          <w:tcPr>
            <w:tcW w:w="1020" w:type="dxa"/>
            <w:vAlign w:val="bottom"/>
          </w:tcPr>
          <w:p>
            <w:pPr>
              <w:spacing w:after="0"/>
              <w:rPr>
                <w:sz w:val="24"/>
                <w:szCs w:val="24"/>
                <w:color w:val="auto"/>
              </w:rPr>
            </w:pPr>
          </w:p>
        </w:tc>
      </w:tr>
      <w:tr>
        <w:trPr>
          <w:trHeight w:val="70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2014 Compared with Quarter Ended September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6"/>
          </w:tcPr>
          <w:p>
            <w:pPr>
              <w:ind w:left="1080"/>
              <w:spacing w:after="0"/>
              <w:rPr>
                <w:sz w:val="20"/>
                <w:szCs w:val="20"/>
                <w:color w:val="auto"/>
              </w:rPr>
            </w:pPr>
            <w:r>
              <w:rPr>
                <w:rFonts w:ascii="Arial" w:cs="Arial" w:eastAsia="Arial" w:hAnsi="Arial"/>
                <w:sz w:val="14"/>
                <w:szCs w:val="14"/>
                <w:b w:val="1"/>
                <w:bCs w:val="1"/>
                <w:color w:val="auto"/>
              </w:rPr>
              <w:t>Factors contributing to total % Change</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18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0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Organic sales increased in the quarter (5%) due primarily to higher new equipment sales led by China (2%) and the Middle East (1%). Service sales increased (1%) with growth in all service lines of business, despite lower service sales in Europe.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Operational profit increased in the quarter (3%) due to higher new equipment contribution (7%) partially offset by a decrease in service contribution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 due primarily to continued pricing pressures in Europe and higher overhead expenses (1%) due primarily to continued investment in emerging markets.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Compared with Nine Months Ended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16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Organic sales increased (6%) due to higher new equipment sales primarily in China (2%), the Americas (2%) and the Middle East (1%). Service sales increased (1%).</w:t>
      </w:r>
    </w:p>
    <w:p>
      <w:pPr>
        <w:spacing w:after="0" w:line="170"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Operational profit increased (3%) due primarily to higher new equipment contribution (7%) partially offset by a decrease in service contribution (1%) due primarily to continued pricing pressures in Europe and higher overhead expenses (2%) in connection with continued investment in emerging markets.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2014 Compared with Quarter Ended September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gridSpan w:val="6"/>
          </w:tcPr>
          <w:p>
            <w:pPr>
              <w:ind w:left="1120"/>
              <w:spacing w:after="0"/>
              <w:rPr>
                <w:sz w:val="20"/>
                <w:szCs w:val="20"/>
                <w:color w:val="auto"/>
              </w:rPr>
            </w:pPr>
            <w:r>
              <w:rPr>
                <w:rFonts w:ascii="Arial" w:cs="Arial" w:eastAsia="Arial" w:hAnsi="Arial"/>
                <w:sz w:val="14"/>
                <w:szCs w:val="14"/>
                <w:b w:val="1"/>
                <w:bCs w:val="1"/>
                <w:color w:val="auto"/>
              </w:rPr>
              <w:t>Factors contributing to total % Change</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58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Organic /</w:t>
            </w:r>
          </w:p>
        </w:tc>
        <w:tc>
          <w:tcPr>
            <w:tcW w:w="15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FX</w:t>
            </w:r>
          </w:p>
        </w:tc>
        <w:tc>
          <w:tcPr>
            <w:tcW w:w="16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60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Restructuring</w:t>
            </w:r>
          </w:p>
        </w:tc>
        <w:tc>
          <w:tcPr>
            <w:tcW w:w="14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Organic sales increased by 4% reflecting growth in Americas (3%) primarily driven by the U.S. residential HVAC business, and growth in Europe, the Middle East, and Asia (combined 1%). The decrease in "Acquisitions and divestitures, net" (1%) reflects the year over year impact of divestitures completed in the preceding twelve months associated with UTC Climate, Controls &amp; Security's portfolio transformation.</w:t>
      </w:r>
    </w:p>
    <w:p>
      <w:pPr>
        <w:spacing w:after="0" w:line="181"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12% operational profit increase was driven by favorable volume and price (combined 5%), net restructuring savings and cost productivity (combined 4%), favorable commodity costs (2%) and higher equity income (1%). The 3% increase in "Other" primarily reflects net year-over-year benefit from UTC Climate, Controls &amp; Security's portfolio transformation.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Compared with Nine Months Ended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Factors contributing to total % Change</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10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rPr>
              <w:t>FX</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gridSpan w:val="3"/>
          </w:tcPr>
          <w:p>
            <w:pPr>
              <w:jc w:val="right"/>
              <w:ind w:right="1308"/>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Organic sales increased by 2% primarily reflecting growth in Americas (1%) driven by the U.S. residential HVAC business, and sales growth in Europe and the Middle East and in transport refrigeration (combined 1%). The decrease in "Acquisitions and divestitures, net" (2%) reflects the year-over-year impact of divestitures completed in the preceding twelve months associated with UTC Climate, Controls &amp; Security's portfolio transformation.</w:t>
      </w:r>
    </w:p>
    <w:p>
      <w:pPr>
        <w:spacing w:after="0" w:line="166"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 12% operational profit increase was driven by the benefits of restructuring actions and cost productivity (combined 4%), favorable volumes and pricing (combined 4%), favorable commodity costs (2%), and higher equity income (2%). The 1% decrease in "Other" primarily reflects net year-over-year impact from UTC Climate, Controls &amp; Security's portfolio transformation.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We continue to see strength in our commercial OEM and aftermarket businesses based on a strong airline industry which is benefiting from traffic growth and lower fuel costs. Airline traffic, as measured by RPMs, grew approximately 6% in the first eight months of 2014, while jet fuel costs have declined more than 10% relative to prices one year ago in all geographic regions.</w:t>
      </w:r>
    </w:p>
    <w:p>
      <w:pPr>
        <w:spacing w:after="0" w:line="18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commercial aftermarket businesses continue to evolve as an increasing proportion of our aerospace businesses' customers are covered under Fleet Management Programs (FMP). FMP are comprehensive long-term spare part and service agreements with our customers. We expect a continued shift to FMP in lieu of transactional spare part sales as new engines enter customers' fleets on FMP, and legacy fleets are retired. Pratt &amp; Whitney commercial spares orders increased 1%, while commercial aftermarket sales increased 7% in the third quarter of 2014. Within UTC Aerospace Systems, commercial aerospace spares orders increased 11% in the third quarter of 2014 as compared to the same period of 2013 on higher parts and provisioning orders, while total commercial aerospace aftermarket sales at UTC Aerospace Systems increased 10% over the same period. Lower U.S. Government defense spending levels have constrained military sales growth, and we expect U.S. Government deficit reduction measures to continue to adversely affect our military aerospace businesses in 2014.</w:t>
      </w:r>
    </w:p>
    <w:p>
      <w:pPr>
        <w:spacing w:after="0" w:line="19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record changes in contract estimates using the cumulative catch-up method in accordance with the Revenue Recognition Topic of the FASB ASC. Partially offsetting the unfavorable impact of the revision in estimate on the Cyclone helicopter program discussed above in the Business Overview, operating profit included significant net favorable changes in aerospace contract estimates of $103 million and $167 million in the quarter and nine months ended September 30, 2014, respectively. Favorable contract adjustments recorded at Pratt &amp; Whitney were offset by net unfavorable adjustments at Sikorsky.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September 30,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Pratt &amp; Whitney</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right"/>
              <w:ind w:right="593"/>
              <w:spacing w:after="0"/>
              <w:rPr>
                <w:sz w:val="20"/>
                <w:szCs w:val="20"/>
                <w:color w:val="auto"/>
              </w:rPr>
            </w:pPr>
            <w:r>
              <w:rPr>
                <w:rFonts w:ascii="Arial" w:cs="Arial" w:eastAsia="Arial" w:hAnsi="Arial"/>
                <w:sz w:val="14"/>
                <w:szCs w:val="14"/>
                <w:b w:val="1"/>
                <w:bCs w:val="1"/>
                <w:color w:val="auto"/>
              </w:rPr>
              <w:t>UTC Aerospace Systems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5"/>
              </w:rPr>
              <w:t>Sikorsky</w:t>
            </w:r>
          </w:p>
        </w:tc>
        <w:tc>
          <w:tcPr>
            <w:tcW w:w="800" w:type="dxa"/>
            <w:vAlign w:val="bottom"/>
            <w:tcBorders>
              <w:bottom w:val="single" w:sz="8" w:color="auto"/>
            </w:tcBorders>
          </w:tcPr>
          <w:p>
            <w:pPr>
              <w:spacing w:after="0"/>
              <w:rPr>
                <w:sz w:val="16"/>
                <w:szCs w:val="16"/>
                <w:color w:val="auto"/>
              </w:rPr>
            </w:pPr>
          </w:p>
        </w:tc>
      </w:tr>
      <w:tr>
        <w:trPr>
          <w:trHeight w:val="229"/>
        </w:trPr>
        <w:tc>
          <w:tcPr>
            <w:tcW w:w="2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9"/>
                <w:szCs w:val="19"/>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2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25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500" w:type="dxa"/>
            <w:vAlign w:val="bottom"/>
            <w:gridSpan w:val="3"/>
          </w:tcPr>
          <w:p>
            <w:pPr>
              <w:ind w:left="40"/>
              <w:spacing w:after="0"/>
              <w:rPr>
                <w:sz w:val="20"/>
                <w:szCs w:val="20"/>
                <w:color w:val="auto"/>
              </w:rPr>
            </w:pPr>
            <w:r>
              <w:rPr>
                <w:rFonts w:ascii="Arial" w:cs="Arial" w:eastAsia="Arial" w:hAnsi="Arial"/>
                <w:sz w:val="18"/>
                <w:szCs w:val="18"/>
                <w:color w:val="auto"/>
              </w:rPr>
              <w:t>Operating Expenses &amp; Other</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2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65"/>
        </w:trPr>
        <w:tc>
          <w:tcPr>
            <w:tcW w:w="2500" w:type="dxa"/>
            <w:vAlign w:val="bottom"/>
            <w:gridSpan w:val="3"/>
          </w:tcPr>
          <w:p>
            <w:pPr>
              <w:ind w:left="40"/>
              <w:spacing w:after="0"/>
              <w:rPr>
                <w:sz w:val="20"/>
                <w:szCs w:val="20"/>
                <w:color w:val="auto"/>
              </w:rPr>
            </w:pPr>
            <w:r>
              <w:rPr>
                <w:rFonts w:ascii="Arial" w:cs="Arial" w:eastAsia="Arial" w:hAnsi="Arial"/>
                <w:sz w:val="18"/>
                <w:szCs w:val="18"/>
                <w:color w:val="auto"/>
              </w:rPr>
              <w:t>Operating Profit Margins</w:t>
            </w:r>
          </w:p>
        </w:tc>
        <w:tc>
          <w:tcPr>
            <w:tcW w:w="200" w:type="dxa"/>
            <w:vAlign w:val="bottom"/>
          </w:tcPr>
          <w:p>
            <w:pPr>
              <w:spacing w:after="0"/>
              <w:rPr>
                <w:sz w:val="24"/>
                <w:szCs w:val="24"/>
                <w:color w:val="auto"/>
              </w:rPr>
            </w:pPr>
          </w:p>
        </w:tc>
        <w:tc>
          <w:tcPr>
            <w:tcW w:w="980" w:type="dxa"/>
            <w:vAlign w:val="bottom"/>
            <w:gridSpan w:val="3"/>
          </w:tcPr>
          <w:p>
            <w:pPr>
              <w:jc w:val="right"/>
              <w:ind w:right="110"/>
              <w:spacing w:after="0"/>
              <w:rPr>
                <w:sz w:val="20"/>
                <w:szCs w:val="20"/>
                <w:color w:val="auto"/>
              </w:rPr>
            </w:pPr>
            <w:r>
              <w:rPr>
                <w:rFonts w:ascii="Arial" w:cs="Arial" w:eastAsia="Arial" w:hAnsi="Arial"/>
                <w:sz w:val="18"/>
                <w:szCs w:val="18"/>
                <w:color w:val="auto"/>
              </w:rPr>
              <w:t>17.8%</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13.0%</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15.1%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4"/>
                <w:szCs w:val="2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10.3%</w:t>
            </w:r>
          </w:p>
        </w:tc>
        <w:tc>
          <w:tcPr>
            <w:tcW w:w="80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nine months ended September 30,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Pratt &amp; Whitney</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b w:val="1"/>
                <w:bCs w:val="1"/>
                <w:color w:val="auto"/>
              </w:rPr>
              <w:t>UTC Aerospace Systems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Sikorsky</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29"/>
        </w:trPr>
        <w:tc>
          <w:tcPr>
            <w:tcW w:w="2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9"/>
                <w:szCs w:val="19"/>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2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9,896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25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7,835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7,947</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7,606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7,042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5,071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3,571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2500" w:type="dxa"/>
            <w:vAlign w:val="bottom"/>
            <w:gridSpan w:val="3"/>
          </w:tcPr>
          <w:p>
            <w:pPr>
              <w:ind w:left="40"/>
              <w:spacing w:after="0"/>
              <w:rPr>
                <w:sz w:val="20"/>
                <w:szCs w:val="20"/>
                <w:color w:val="auto"/>
              </w:rPr>
            </w:pPr>
            <w:r>
              <w:rPr>
                <w:rFonts w:ascii="Arial" w:cs="Arial" w:eastAsia="Arial" w:hAnsi="Arial"/>
                <w:sz w:val="18"/>
                <w:szCs w:val="18"/>
                <w:color w:val="auto"/>
              </w:rPr>
              <w:t>Operating Expenses &amp; Other</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1,353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380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2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1,767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13.6%</w:t>
            </w:r>
          </w:p>
        </w:tc>
        <w:tc>
          <w:tcPr>
            <w:tcW w:w="120" w:type="dxa"/>
            <w:vAlign w:val="bottom"/>
          </w:tcPr>
          <w:p>
            <w:pPr>
              <w:spacing w:after="0"/>
              <w:rPr>
                <w:sz w:val="20"/>
                <w:szCs w:val="20"/>
                <w:color w:val="auto"/>
              </w:rPr>
            </w:pPr>
          </w:p>
        </w:tc>
        <w:tc>
          <w:tcPr>
            <w:tcW w:w="1520" w:type="dxa"/>
            <w:vAlign w:val="bottom"/>
          </w:tcPr>
          <w:p>
            <w:pPr>
              <w:jc w:val="right"/>
              <w:ind w:right="158"/>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500" w:type="dxa"/>
            <w:vAlign w:val="bottom"/>
          </w:tcPr>
          <w:p>
            <w:pPr>
              <w:jc w:val="right"/>
              <w:ind w:right="696"/>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480" w:type="dxa"/>
            <w:vAlign w:val="bottom"/>
          </w:tcPr>
          <w:p>
            <w:pPr>
              <w:jc w:val="right"/>
              <w:ind w:right="31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40" w:type="dxa"/>
            <w:vAlign w:val="bottom"/>
          </w:tcPr>
          <w:p>
            <w:pPr>
              <w:jc w:val="right"/>
              <w:ind w:right="81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59"/>
        </w:trPr>
        <w:tc>
          <w:tcPr>
            <w:tcW w:w="2420" w:type="dxa"/>
            <w:vAlign w:val="bottom"/>
          </w:tcPr>
          <w:p>
            <w:pPr>
              <w:spacing w:after="0"/>
              <w:rPr>
                <w:sz w:val="20"/>
                <w:szCs w:val="20"/>
                <w:color w:val="auto"/>
              </w:rPr>
            </w:pPr>
            <w:r>
              <w:rPr>
                <w:rFonts w:ascii="Arial" w:cs="Arial" w:eastAsia="Arial" w:hAnsi="Arial"/>
                <w:sz w:val="18"/>
                <w:szCs w:val="18"/>
                <w:b w:val="1"/>
                <w:bCs w:val="1"/>
                <w:color w:val="auto"/>
              </w:rPr>
              <w:t>Pratt &amp; Whitney –</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1"/>
              </w:rPr>
              <w:t>Quarter Ended September 30, 2014 Compared with Quarter Ended September 30, 2013</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Organic /</w:t>
            </w:r>
          </w:p>
        </w:tc>
        <w:tc>
          <w:tcPr>
            <w:tcW w:w="1620" w:type="dxa"/>
            <w:vAlign w:val="bottom"/>
            <w:gridSpan w:val="2"/>
          </w:tcPr>
          <w:p>
            <w:pPr>
              <w:ind w:left="660"/>
              <w:spacing w:after="0" w:line="153" w:lineRule="exact"/>
              <w:rPr>
                <w:sz w:val="20"/>
                <w:szCs w:val="20"/>
                <w:color w:val="auto"/>
              </w:rPr>
            </w:pPr>
            <w:r>
              <w:rPr>
                <w:rFonts w:ascii="Arial" w:cs="Arial" w:eastAsia="Arial" w:hAnsi="Arial"/>
                <w:sz w:val="14"/>
                <w:szCs w:val="14"/>
                <w:b w:val="1"/>
                <w:bCs w:val="1"/>
                <w:color w:val="auto"/>
              </w:rPr>
              <w:t>FX</w:t>
            </w: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60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Operational</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organic sales increase (5%) primarily reflects higher commercial aftermarket volume (3%) and higher engine and spares volume at Pratt &amp; Whitney Canada (2%). Higher military aftermarket sales (3%) were offset by declines in military engines and spares sales.</w:t>
      </w:r>
    </w:p>
    <w:p>
      <w:pPr>
        <w:spacing w:after="0" w:line="170"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Pratt &amp; Whitney's operating profit benefited from lower pension costs and restructuring savings across its businesses. The operating profit increase (12%) was due to the net volume increase (17%) mentioned above, and an increase in favorable contract performance (10%), partially offset by higher research and development spending (11%) and lower commercial engine profitability (3%). "Other" reflects a gain primarily as a result of fair value adjustments related to the acquisition of a majority interest in a joint venture (19%), higher intellectual property sales (2%), and the absence of a fair value adjustment to a joint venture investment (6%).</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Compared with Nine Months Ended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16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FX</w:t>
            </w:r>
          </w:p>
        </w:tc>
        <w:tc>
          <w:tcPr>
            <w:tcW w:w="16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73" w:lineRule="auto"/>
        <w:tabs>
          <w:tab w:leader="none" w:pos="1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69"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organic sales increase (3%) primarily reflects higher commercial aftermarket volume (4%) and higher engine and spares volume at Pratt &amp; Whitney Canada (1%), offset by lower military sales volume (2%). Sales decreased (2%) as a result of the divestiture of Pratt &amp; Whitney Power Systems in 2013.</w:t>
      </w:r>
    </w:p>
    <w:p>
      <w:pPr>
        <w:spacing w:after="0" w:line="12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Pratt &amp; Whitney's operating profit benefited from lower pension costs and restructuring savings across its businesses. The operating profit increase (6%) was due to the net volume increase (9%) mentioned above, and favorable contract performance (4%), partially offset by higher research and development costs (4%), and lower contract termination benefits (2%). Operating profit decreased (1%) as a result of the divestiture of Pratt &amp; Whitney Power Systems in 2013. "Other" reflects the impairment of assets related to a joint venture (2%), and the absence of the gain on the sale on Pratt &amp; Whitney Power Systems (13%), offset by fair value adjustments related to the acquisition of a majority interest in a joint venture (3%), and higher intellectual property sales (2%).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2014 Compared with Quarter Ended September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12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FX</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5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6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organic sales growth (6%) primarily reflects an increase in commercial aerospace OEM and commercial aftermarket sales volumes (6%).</w:t>
      </w:r>
    </w:p>
    <w:p>
      <w:pPr>
        <w:spacing w:after="0" w:line="237"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 increase in operational profit (14%) primarily reflects the profit contribution from higher commercial OEM and aftermarket sales volumes (11%), partially offset by lower profitability on military OEM and aftermarket sales (3%) primarily resulting from adverse mix. The remainder of the increase in operational profit is primarily due to lower selling, general and administrative expenses including lower pension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Compared with Nine Months Ended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12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FX</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2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Restructuring</w:t>
            </w: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organic sales growth (7%) primarily reflects an increase in commercial aerospace OEM and commercial aftermarket sales volumes (6%) and the favorable sales impact of a customer contract settlement (1%).</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increase in operational profit (15%) primarily reflects the profit contribution from higher commercial OEM and aftermarket sales volumes (12%) and the favorable impact of a customer contract settlement (3%), partially offset by higher research and development costs (3%) and lower profits on military OEM and aftermarket revenues (3%) primarily resulting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adverse mix. The remainder of the increase in operational profit is primarily due to lower selling, general and administrative expenses including lower pension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2014 Compared with Quarter Ended September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64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Organic /</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FX</w:t>
            </w: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66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organic sales increase (5%) reflects higher international military aircraft (6%) and commercial aircraft (2%) sales volume and increased sales from development programs (5%), partially offset by lower U.S. Government aircraft sales (5%) and lower aftermarket sales (3%).</w:t>
      </w:r>
    </w:p>
    <w:p>
      <w:pPr>
        <w:spacing w:after="0" w:line="147" w:lineRule="exact"/>
        <w:rPr>
          <w:sz w:val="20"/>
          <w:szCs w:val="20"/>
          <w:color w:val="auto"/>
        </w:rPr>
      </w:pPr>
    </w:p>
    <w:p>
      <w:pPr>
        <w:ind w:right="540" w:firstLine="432"/>
        <w:spacing w:after="0" w:line="279" w:lineRule="auto"/>
        <w:rPr>
          <w:sz w:val="20"/>
          <w:szCs w:val="20"/>
          <w:color w:val="auto"/>
        </w:rPr>
      </w:pPr>
      <w:r>
        <w:rPr>
          <w:rFonts w:ascii="Arial" w:cs="Arial" w:eastAsia="Arial" w:hAnsi="Arial"/>
          <w:sz w:val="17"/>
          <w:szCs w:val="17"/>
          <w:color w:val="auto"/>
        </w:rPr>
        <w:t>The operational profit decrease (11%) is driven by lower profitability from U.S. Government contracts (14%) on lower sales volume and net unfavorable contract adjustments, and lower volume and unfavorable mix of aftermarket sales (16%). Additionally, development program profitability declined (4%). These decreases were partially offset by higher international military (12%) and commercial (12%) aircraft volumes and favorable mix. Sikorsky's operating profit benefited from lower pension and research and development cost across its businesses.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Compared with Nine Months Ended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rPr>
              <w:t>FX</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Translation</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9"/>
              </w:rPr>
              <w:t>Divestitures, net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The organic sales increase (4%) reflects higher international military sales volume (9%) partially offset by lower sales to the U.S. Government (5%). "Other" reflects a cumulative adjustment through the second quarter of 2014 to record $830 million in sales and $1,268 million in cost of sales based upon the change in estimate for the Amended Arrangements signed with the Canadian Government for the Cyclone Helicopter program.</w:t>
      </w:r>
    </w:p>
    <w:p>
      <w:pPr>
        <w:spacing w:after="0" w:line="16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operational profit decrease (6%) is driven by lower profitability from U.S. Government contracts (19%) due to lower sales and unfavorable contract adjustments. These decreases were partially offset by higher international military volumes (11%) and higher aftermarket profitability (1%). Sikorsky's operating profit benefited from lower pension costs and restructuring savings across its businesses. "Other" reflects a cumulative adjustment to record $438 million in losses based upon the change in estimate for the Amended Arrangements signed with the Canadian Government for the Cyclone Helicopter program and an approximately $28 million charge for the impairment of a Sikorsky joint venture investment.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Net Sales</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4"/>
                <w:szCs w:val="14"/>
                <w:b w:val="1"/>
                <w:bCs w:val="1"/>
                <w:color w:val="auto"/>
                <w:w w:val="94"/>
              </w:rPr>
              <w:t>Operating Profits</w:t>
            </w:r>
          </w:p>
        </w:tc>
        <w:tc>
          <w:tcPr>
            <w:tcW w:w="90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Quarter Ended September 30,</w:t>
            </w:r>
          </w:p>
        </w:tc>
        <w:tc>
          <w:tcPr>
            <w:tcW w:w="280" w:type="dxa"/>
            <w:vAlign w:val="bottom"/>
          </w:tcPr>
          <w:p>
            <w:pPr>
              <w:spacing w:after="0"/>
              <w:rPr>
                <w:sz w:val="22"/>
                <w:szCs w:val="22"/>
                <w:color w:val="auto"/>
              </w:rPr>
            </w:pPr>
          </w:p>
        </w:tc>
        <w:tc>
          <w:tcPr>
            <w:tcW w:w="2720" w:type="dxa"/>
            <w:vAlign w:val="bottom"/>
            <w:gridSpan w:val="4"/>
          </w:tcPr>
          <w:p>
            <w:pPr>
              <w:jc w:val="center"/>
              <w:ind w:right="176"/>
              <w:spacing w:after="0"/>
              <w:rPr>
                <w:sz w:val="20"/>
                <w:szCs w:val="20"/>
                <w:color w:val="auto"/>
              </w:rPr>
            </w:pPr>
            <w:r>
              <w:rPr>
                <w:rFonts w:ascii="Arial" w:cs="Arial" w:eastAsia="Arial" w:hAnsi="Arial"/>
                <w:sz w:val="14"/>
                <w:szCs w:val="14"/>
                <w:b w:val="1"/>
                <w:bCs w:val="1"/>
                <w:color w:val="auto"/>
                <w:w w:val="94"/>
              </w:rPr>
              <w:t>Quarter Ended September 30,</w:t>
            </w:r>
          </w:p>
        </w:tc>
      </w:tr>
      <w:tr>
        <w:trPr>
          <w:trHeight w:val="229"/>
        </w:trPr>
        <w:tc>
          <w:tcPr>
            <w:tcW w:w="5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2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4"/>
                <w:szCs w:val="14"/>
                <w:b w:val="1"/>
                <w:bCs w:val="1"/>
                <w:color w:val="auto"/>
                <w:w w:val="91"/>
              </w:rPr>
              <w:t>Net Sales</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4"/>
                <w:szCs w:val="14"/>
                <w:b w:val="1"/>
                <w:bCs w:val="1"/>
                <w:color w:val="auto"/>
                <w:w w:val="94"/>
              </w:rPr>
              <w:t>Operating Profits</w:t>
            </w:r>
          </w:p>
        </w:tc>
        <w:tc>
          <w:tcPr>
            <w:tcW w:w="90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Nine Months Ended September 30,</w:t>
            </w:r>
          </w:p>
        </w:tc>
        <w:tc>
          <w:tcPr>
            <w:tcW w:w="280" w:type="dxa"/>
            <w:vAlign w:val="bottom"/>
          </w:tcPr>
          <w:p>
            <w:pPr>
              <w:spacing w:after="0"/>
              <w:rPr>
                <w:sz w:val="21"/>
                <w:szCs w:val="21"/>
                <w:color w:val="auto"/>
              </w:rPr>
            </w:pPr>
          </w:p>
        </w:tc>
        <w:tc>
          <w:tcPr>
            <w:tcW w:w="2720" w:type="dxa"/>
            <w:vAlign w:val="bottom"/>
            <w:gridSpan w:val="4"/>
          </w:tcPr>
          <w:p>
            <w:pPr>
              <w:jc w:val="center"/>
              <w:ind w:right="176"/>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29"/>
        </w:trPr>
        <w:tc>
          <w:tcPr>
            <w:tcW w:w="5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r>
    </w:tbl>
    <w:p>
      <w:pPr>
        <w:spacing w:after="0" w:line="121"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Eliminations and other reflects the elimination of sales, other income and operating profit transacted between segments, as well as the operating results of certain smaller businesses. The year-over-year changes in sales for the quarter and nine months ended September 30, 2014, as compared with the same periods of 2013, reflect an increase in the amount of inter-segment sales eliminations. The year-over-year increase in operating profit for the nine months ended September 30, 2014, as compared with the same period of 2013, reflects lower divestiture costs in 2014 and an approximately $220 million gain on an agreement with a state taxing authority for the monetization of tax credits.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20" w:type="dxa"/>
            <w:vAlign w:val="bottom"/>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66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12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19,998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20,241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21,188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15,622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35,389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33,219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29,919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53,460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51,107</w:t>
            </w: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12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50,352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48,841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46,486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of continuing operations, which, after netting out capital expenditures, we expect to approximate 90% of net income attributable to common shareowners from continuing operations.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58"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The overall global economic outlook is mixed, with U.S. and China growth remaining strong although slowing slightly, and Europe, Russia and other emerging economies experiencing low growth to slight declines. Commercial construction has shown continued strength in the U.S., has continued its sluggish recovery in Europe, and has shown solid but slowing growth in China. Strengthening air traffic and airline profitability have offset continued weakness in defense spending. In light of these circumstances, we continue to assess our current business and closely monitor the impact on our customers and suppliers, and have determined that overall there was not a significant adverse impact on our financial position, results of operations or liquidity during the first nine months of 2014.</w:t>
      </w:r>
    </w:p>
    <w:p>
      <w:pPr>
        <w:spacing w:after="0" w:line="193"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Our domestic pension funds experienced a positive return on assets of 7.49% during the first nine months of 2014. Approximately 88% of these domestic pension plans' funds are invested in readily-liquid investments, including equity, fixed income, asset-backed receivables and structured products. The balance of these domestic pension plans' funds (12%) is invested in less-liquid but market-valued investments, including real estate and private equity. Across our global pension plans, the absence of prior pension investment losses, impact of a higher discount rate, and the positive returns experienced during 2013 are expected to result in decreased pension expense in 2014 of approximately $500 million as compared to 2013.</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Our strong debt ratings and financial position have historically enabled us to issue long-term debt at favorable market rates. Our ability to obtain debt financing at comparable risk-based interest rates is partly a function of our existing debt-to-total-capitalization level as well as our credit standing.</w:t>
      </w:r>
    </w:p>
    <w:p>
      <w:pPr>
        <w:spacing w:after="0" w:line="124" w:lineRule="exact"/>
        <w:rPr>
          <w:sz w:val="20"/>
          <w:szCs w:val="20"/>
          <w:color w:val="auto"/>
        </w:rPr>
      </w:pPr>
    </w:p>
    <w:p>
      <w:pPr>
        <w:ind w:right="700" w:firstLine="405"/>
        <w:spacing w:after="0" w:line="342" w:lineRule="auto"/>
        <w:rPr>
          <w:sz w:val="20"/>
          <w:szCs w:val="20"/>
          <w:color w:val="auto"/>
        </w:rPr>
      </w:pPr>
      <w:r>
        <w:rPr>
          <w:rFonts w:ascii="Arial" w:cs="Arial" w:eastAsia="Arial" w:hAnsi="Arial"/>
          <w:sz w:val="16"/>
          <w:szCs w:val="16"/>
          <w:color w:val="auto"/>
        </w:rPr>
        <w:t>On April 1, 2014, we redeemed all remaining outstanding 2016 Goodrich 6.290% notes, representing approximately $188 million in aggregate principal, under our redemption notice issued on February 28, 2014. We expect full year 2014 debt repayments to be approximately $1 billion.</w:t>
      </w:r>
    </w:p>
    <w:p>
      <w:pPr>
        <w:spacing w:after="0" w:line="12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During the nine months ended September 30, 2013, we repaid approximately $1,698 million of Goodrich and UTC notes bearing interest of 1.200% to 6.290%, with original maturity dates between 2015 and 2021, under previously disclosed redemptions and tender offers.</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Tax payments related to discontinued operations, primarily the December 2012 sale of the legacy Hamilton Sundstrand Industrial businesses, were approximately $603 million for the nine months ended September 30, 2013, inclusive of approximately $91 million of tax benefits realized during the quarter ended September 30, 2013 reflecting the cash tax impact of transactions previously reported in discontinued operations. We do not expect tax payments in 2014 related to these discontinued operations to be significant.</w:t>
      </w:r>
    </w:p>
    <w:p>
      <w:pPr>
        <w:spacing w:after="0" w:line="187"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At September 30, 2014, we had revolving credit agreements with various banks permitting aggregate borrowings of up to $4.35 billion pursuant to a $2.20 billion revolving credit agreement and a $2.15 billion multicurrency revolving credit agreement, both of which expire in May 2019. As of September 30, 2014, there were no borrowings under either of these revolving credit agreements. The undrawn portions of our revolving credit agreements are also available to serve as backup facilities for the issuance of commercial paper. As of September 30, 2014, our maximum commercial paper borrowing authority was $4 billion. We use our commercial paper borrowings for general corporate purposes, including the funding of acquisitions and repurchases of our common stock.</w:t>
      </w:r>
    </w:p>
    <w:p>
      <w:pPr>
        <w:spacing w:after="0" w:line="19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have access to the commercial paper markets and our existing credit facilities, and continue to expect strong generation of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8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Given our extensive international operations, most of our cash is denominated in foreign currencies and held outside of the U.S.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our international subsidiaries. Our intention is to reinvest these earnings permanently or to repatriate the earnings only when it is tax effective to do so.</w:t>
      </w:r>
    </w:p>
    <w:p>
      <w:pPr>
        <w:spacing w:after="0" w:line="17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September 30, 2014 and December 31, 2013, the amount of such restricted cash was approximately $45 million and $47 million, respectively.</w:t>
      </w:r>
    </w:p>
    <w:p>
      <w:pPr>
        <w:spacing w:after="0" w:line="181"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5,025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4,891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Cash generated from operating activities of continuing operations in the nine months ended September 30, 2014 was $134 million higher than the same period in 2013, driven by higher income from continuing operations of $525 million and noncash deferred income tax provision and depreciation and amortization charges of $188 million. During the nine months ended September 30, 2014, the net increase in working capital resulted in a cash outflow of approximately $1.4 billion, an increase in cash outflow of $932 million over the nine months ended September 30, 2013. The 2014 cash outflows for working capital were primarily driven by increases in inventory to support deliveries and other contractual commitments across all businesses. Reductions in accounts receivable in our aerospace businesses, driven primarily by accelerated customer collections and selected factoring primarily at Pratt &amp; Whitney, were partially offset by increases in accounts receivable in our</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commercial businesses. Increases in accounts payable and accrued liabilities were more than offset by liquidations of customer advances, primarily in Pratt &amp; Whitney's military business. For the nine months ended September 30, 2013, cash outflows for working capital were similarly driven by increases in inventory to support deliveries and other contractual commitments, partially offset by increases in accounts payable and accrued liabilities, and increases in customer advances primarily related to contracts in progress at Otis and commercial aircraft orders at Sikorsky.</w:t>
      </w:r>
    </w:p>
    <w:p>
      <w:pPr>
        <w:spacing w:after="0" w:line="17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funded status of our defined benefit pension plans is dependent upon many factors, including actuarial assumptions, returns on invested assets and the level of market interest rates. We can contribute cash or company stock to our plans at our discretion, subject to applicable regulations. Total cash contributions to our global defined benefit pension plans during the nine months ended September 30, 2014 and 2013 were $204 million and $72 million, respectively. We expect to make total cash contributions of approximately $275 million to our global defined benefit pension plans in 2014. Our domestic pension plans are approximately 94% funded on a projected benefit obligation basis as of September 30, 2014, and we are not required to make additional contributions through the end of 2019. Contributions to our global defined benefit pension plans in 2014 are expected to meet or exceed the current funding requirements.</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9"/>
        </w:trPr>
        <w:tc>
          <w:tcPr>
            <w:tcW w:w="8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1160" w:type="dxa"/>
            <w:vAlign w:val="bottom"/>
          </w:tcPr>
          <w:p>
            <w:pPr>
              <w:jc w:val="right"/>
              <w:ind w:right="50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Cash flows used in investing activities of continuing operations for the nine months ended September 30, 2014 primarily reflect capital expenditures of approximately $1.2 billion, cash investment in business acquisitions of $378 million, and payments related to our collaboration intangible assets and contractual rights to provide product on new aircraft platforms of approximately $600 million. Cash flows used in investing activities of continuing operations for the nine months ended September 30, 2013 primarily reflect the net proceeds of approximately $1.5 billion from business dispositions, offset by capital expenditures of approximately $1.0 billion and payments related to our collaboration intangible assets and contractual rights to provide product on new aircraft platforms of approximately $740 million. Business dispositions in 2013 include the sale of the legacy Goodrich pumps and engine controls business to Triumph Group, Inc. on March 18, 2013, the sale of the legacy Goodrich electric power systems business to Safran S.A. on March 26, 2013, and the sale of Pratt &amp; Whitney Power Systems to MHI on May 17, 2013.</w:t>
      </w:r>
    </w:p>
    <w:p>
      <w:pPr>
        <w:spacing w:after="0" w:line="179" w:lineRule="exact"/>
        <w:rPr>
          <w:sz w:val="20"/>
          <w:szCs w:val="20"/>
          <w:color w:val="auto"/>
        </w:rPr>
      </w:pPr>
    </w:p>
    <w:p>
      <w:pPr>
        <w:ind w:right="100" w:firstLine="540"/>
        <w:spacing w:after="0" w:line="291" w:lineRule="auto"/>
        <w:rPr>
          <w:sz w:val="20"/>
          <w:szCs w:val="20"/>
          <w:color w:val="auto"/>
        </w:rPr>
      </w:pPr>
      <w:r>
        <w:rPr>
          <w:rFonts w:ascii="Arial" w:cs="Arial" w:eastAsia="Arial" w:hAnsi="Arial"/>
          <w:sz w:val="16"/>
          <w:szCs w:val="16"/>
          <w:color w:val="auto"/>
        </w:rPr>
        <w:t>During the nine months ended September 30, 2014, we increased our collaboration intangible assets by approximately $459 million, of which $236 million represented payments made under our 2012 agreement to acquire Rolls-Royce's collaboration interest in IAE. Capital expenditures for the nine months ended September 30, 2014 primarily relate to investments in new programs at Pratt &amp; Whitney and UTC Aerospace Systems, as well as continuing Goodrich integration activities at UTC Aerospace Systems. Cash investments in businesses in the nine months ended September 30, 2014 included a number of small acquisitions, primarily in our commercial businesses and the acquisition of the majority interest in a Pratt &amp; Whitney joint venture. We expect total cash investments for acquisitions in 2014 to be less than $1 billion, including acquisitions completed during the nine months ended September 30, 2014. However, actual acquisition spending may vary depending upon the timing, availability and appropriate value of acquisition opportunities.</w:t>
      </w:r>
    </w:p>
    <w:p>
      <w:pPr>
        <w:spacing w:after="0" w:line="16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Customer financing activities were a net source of cash of $72 million for the nine months ended September 30, 2014 and a net use of cash of $121 million for the nine months ended September 30, 2013. While we expect that 2014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$10.9 billion at September 30, 2014 related to commercial aircraft and certain contractual rights to provide product on new aircraft platforms, of which up to $0.4 billion may be required to be disbursed during the remainder of 2014. We had commercial aerospace financing and other contractual commitments of approximately $11.3 billion at December 31, 2013.</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86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Commercial paper borrowings and revolving credit facilities provide short-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term liquidity to supplement operating cash flows and are used for general corporate purposes, including the funding of potential acquisitions and repurchases of our stock. We had approximately $135 million of outstanding commercial paper at September 30, 2014.</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At September 30, 2014, management had authority to repurchase approximately 41.6 million shares under the share repurchase program announced on February 4, 2013. Under this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 of shares to cover taxes on vesting of restricted stock. During the nine months ended September 30, 2014, we repurchased approximately 9.6 million shares of our common stock for approximately $1.1 billion. We expect 2014 full year share repurchases to be approximately $1.5 billion. Our share repurchase levels are influenced by various factors, including the level of other investing activities.</w:t>
      </w:r>
    </w:p>
    <w:p>
      <w:pPr>
        <w:spacing w:after="0" w:line="16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paid dividends on Common Stock of $0.59 per share in the first quarter of 2014 totaling $514 million in the aggregate, $0.59 per share in the second quarter of 2014 totaling $513 million in the aggregate and $0.59 per share in the third quarter of 2014 totaling $511 million in the aggregate. On October 8, 2014, the Board of Directors declared a dividend of $0.59 per share payable December 10, 2014 to shareowners of record at the close of business on November 14, 2014.</w:t>
      </w:r>
    </w:p>
    <w:p>
      <w:pPr>
        <w:spacing w:after="0" w:line="187"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Discontinued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8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Cash flows used in discontinued operations for the nine months ended September 30, 2013 primarily relate to the completed divestiture of the legacy Hamilton Sundstrand Industrial businesses in December 2012 and of Rocketdyne on June 14, 2013. In connection with the sale of the legacy Hamilton Sundstrand Industrial businesses, tax payments of approximately $603 million were made during the nine months ended September 30, 2013, inclusive of approximately $91 million of cash tax benefits realized during the quarter ended September 30, 2013 reflecting the tax impact of transactions reported in discontinued operations. Net cash flows used in discontinued operations for the nine months ended September 30, 2013 includes positive cash flows of approximately $400 million related to the sale of Rocketdyne, and cash flows from the operating activities of Rocketdyne and of UTC Power, through its date of disposition of February 12, 2013, as well as payments made in settlement of liabilities, transaction costs, and interim funding of UTC Power and of Clipper Windpower, which was divested in 2012. There were no discontinued operations in the nine months ended September 30,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our 2013 Annual Report, incorporated by reference in our 2013 Form 10-K, we disclosed our off-balance sheet arrangements and contractual obligations. As of September 30, 2014, there have been no material changes to these off-balance sheet arrangements and contractual obligations outside the ordinary course of business except as noted below.</w:t>
      </w:r>
    </w:p>
    <w:p>
      <w:pPr>
        <w:spacing w:after="0" w:line="181"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During the first quarter of 2014, Sikorsky signed agreements with the Turkish government and certain Turkish aerospace contractors to provide manufacturing kits and licenses that will allow Turkey's aerospace industry to assemble 109 T-70 helicopters (Turkish variants of Sikorsky's S-70i International Black Hawk helicopter) for sale to and operation by various Turkish government entities. Under the program, the aircraft will be assembled in Turkey by Turkish Aerospace Industries, Inc. (TAI) and will include kit components supplied by Sikorsky and other companies. Sikorsky has a purchase commitment of $1.4 billion, which is expected to be fulfilled by the purchase of various Black Hawk parts, components, and services by Sikorsky over a thirty-year period from TAI and other Turkish companies.</w:t>
      </w:r>
    </w:p>
    <w:p>
      <w:pPr>
        <w:spacing w:after="0" w:line="2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nine months ended September 30, 2014. For discussion of our exposure to market risk, refer to Part II, Item 7A, "Quantitative and Qualitative Disclosures About Market Risk," contained in our 2013 Form 10-K.</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Chairman &amp; Chief Executive Officer (CEO), the Senior Vice President and Chief Financial Officer (CFO) and the Acting Controller and Assistant Controller, Financial Reporting (Controller), of the effectiveness of the design and operation of our disclosure controls and procedures as of September 30, 2014.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 30, 2014,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78"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nine months ended September 30, 2014, that has materially affected, or is reasonably likely to materially affect, our internal control over financial reporting.</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21" w:right="31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and other measures of financial performance.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15" w:lineRule="exact"/>
        <w:rPr>
          <w:sz w:val="20"/>
          <w:szCs w:val="20"/>
          <w:color w:val="auto"/>
        </w:rPr>
      </w:pPr>
    </w:p>
    <w:p>
      <w:pPr>
        <w:ind w:left="740" w:right="120" w:hanging="327"/>
        <w:spacing w:after="0" w:line="30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100" w:lineRule="exact"/>
        <w:rPr>
          <w:rFonts w:ascii="Arial" w:cs="Arial" w:eastAsia="Arial" w:hAnsi="Arial"/>
          <w:sz w:val="16"/>
          <w:szCs w:val="16"/>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the intended benefits of recently announced organizational changes;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and Company directed cost reduction efforts and restructuring costs and savings and other consequences thereof;</w:t>
      </w:r>
    </w:p>
    <w:p>
      <w:pPr>
        <w:spacing w:after="0" w:line="171" w:lineRule="exact"/>
        <w:rPr>
          <w:rFonts w:ascii="Arial" w:cs="Arial" w:eastAsia="Arial" w:hAnsi="Arial"/>
          <w:sz w:val="18"/>
          <w:szCs w:val="18"/>
          <w:color w:val="auto"/>
        </w:rPr>
      </w:pPr>
    </w:p>
    <w:p>
      <w:pPr>
        <w:ind w:left="740" w:right="4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realizing the anticipated benefits of advanced technologies and new products and services;</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legal proceedings, investigations and other contingencies;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171" w:lineRule="exact"/>
        <w:rPr>
          <w:rFonts w:ascii="Arial" w:cs="Arial" w:eastAsia="Arial" w:hAnsi="Arial"/>
          <w:sz w:val="18"/>
          <w:szCs w:val="18"/>
          <w:color w:val="auto"/>
        </w:rPr>
      </w:pPr>
    </w:p>
    <w:p>
      <w:pPr>
        <w:ind w:left="740" w:right="28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or political conditions in the U.S. and other countries in which we operate or with which we conduct business.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240" w:top="122" w:right="3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Consolidated Financial Statements" under the heading "Contingent Liabilities," the section titled "Management's Discussion and Analysis of Financial Condition and Results of Operations" under the headings "Business Overview," "Results of Operations," "Liquidity and Financial Condition," and "Critical Accounting Estimates," and the section titled "Risk Factors" in this Form 10-Q and in our 2013 Annual Report. This Form 10-Q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our 2013 Annual Report in the section titled "Management's Discussion and Analysis of Financial Condition and Results of Operations" under the headings "Restructuring Costs," "Environmental Matters"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Sikorsky Government Contract Claim</w:t>
      </w:r>
    </w:p>
    <w:p>
      <w:pPr>
        <w:spacing w:after="0" w:line="2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disclosed a potential government contract claim in our Quarterly Report on Form 10-Q for the quarter ended June 30, 2014 related to Sikorsky and two of its subsidiaries. On October 14, 2014, the United States Government filed a complaint in the United States District Court for the Eastern District of Wisconsin alleging that Sikorsky and two of its wholly-owned subsidiaries, Derco Aerospace (Derco) and Sikorsky Support Services, Inc. (SSSI), violated the False Claims Act in connection with a contract that the U.S. Navy awarded to SSSI in June 2006 to support the Navy’s T-34 and T-44 fixed-wing turboprop training aircraft. SSSI subcontracted with Derco primarily to procure and manage the spare parts for the training aircraft. The government alleges that SSSI overbilled the Navy on the contract because Derco added profit and overhead costs to the price of the spare parts that Derco procured and then sold to SSSI. The government also claims that SSSI submitted false Certificates of Final Indirect Costs in the years 2006 through 2012. We believe that Derco was lawfully permitted to add profit and overhead to the cost of the parts, and maintain that SSSI did not submit any false certificates. We also believe that we have other substantial legal and factual defenses to the government’s claims.</w:t>
      </w:r>
    </w:p>
    <w:p>
      <w:pPr>
        <w:spacing w:after="0" w:line="18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government’s complaint asserts numerous claims for violations of the False Claims Act, for breach of contract and for unjust enrichment, but it does not specify the amount of damages sought. Sikorsky believes that the government will seek damages in excess of $50 million, plus treble damages and statutory penalties, all totaling in excess of $170 million. Although we continue to evaluate liability and exposure, we do not currently believe that it is probable that we will incur a material loss. If, contrary to our expectations, the government prevails in this matter and proves damages in a material amount, the outcome could have a material adverse effect on our results of operations in the period in which a liability would be recognized and on our cash flows for the period in which any damages would be paid.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Sales Representative Investigations</w:t>
      </w:r>
    </w:p>
    <w:p>
      <w:pPr>
        <w:spacing w:after="0" w:line="22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As previously disclosed, in December 2013 and January 2014, UTC made voluntary disclosures to the United States Department of Justice (DOJ), the Securities and Exchange Commission (SEC) Division of Enforcement and the United Kingdom’s Serious Fraud Office to report the status of its internal investigation regarding a non-employee sales representative retained by United Technologies International Operations, Inc. (UTIO) and IAE for the sale of Pratt &amp; Whitney and IAE engines and aftermarket services, respectively, in China. On April 7, 2014, the SEC notified UTC that it was conducting a formal investigation and issued a subpoena to UTC seeking production of documents related to the disclosures. UTC recently signed tolling agreements with the SEC and DOJ, and is cooperating fully with the investigations being conducted by these agencies. Because the investigations are at an early stage, we cannot predict the outcome or the consequences thereof at this time.</w:t>
      </w:r>
    </w:p>
    <w:p>
      <w:pPr>
        <w:spacing w:after="0" w:line="17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At the outset of the internal investigation, UTIO and IAE suspended all commission payments to the sales representative, and UTIO and IAE have not resumed making any payments. This led to two claims by the sales representative for unpaid commissions: a civil lawsuit filed against UTIO and UTC and an arbitration claim against IAE. We are contesting the lawsuit and the arbitration claim. We do not believe that the resolution of the lawsuit or the arbitration will have a material adverse effect on our competitive position, results of operations, cash flows or financial condition.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14, Contingent Liabilities, for discussion regarding other legal proceedings.</w:t>
      </w:r>
    </w:p>
    <w:p>
      <w:pPr>
        <w:spacing w:after="0" w:line="22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2013 Form 10-K and Part II, Item 1, "Legal Proceedings," of our 2014 Form 10-Q (Q1) and Form 10-Q (Q2).</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2013 Form 10-K.</w:t>
      </w:r>
    </w:p>
    <w:p>
      <w:pPr>
        <w:spacing w:after="0" w:line="3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September 30, 2014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Total Number of Shares</w:t>
            </w: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a Publicly Announced</w:t>
            </w:r>
          </w:p>
        </w:tc>
        <w:tc>
          <w:tcPr>
            <w:tcW w:w="2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Program</w:t>
            </w:r>
          </w:p>
        </w:tc>
        <w:tc>
          <w:tcPr>
            <w:tcW w:w="2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Share</w:t>
            </w:r>
          </w:p>
        </w:tc>
        <w:tc>
          <w:tcPr>
            <w:tcW w:w="2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 (000's)</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w:t>
            </w:r>
          </w:p>
        </w:tc>
        <w:tc>
          <w:tcPr>
            <w:tcW w:w="1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112.25</w:t>
            </w:r>
          </w:p>
        </w:tc>
        <w:tc>
          <w:tcPr>
            <w:tcW w:w="2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2,940</w:t>
            </w:r>
          </w:p>
        </w:tc>
        <w:tc>
          <w:tcPr>
            <w:tcW w:w="1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42,515</w:t>
            </w:r>
          </w:p>
        </w:tc>
        <w:tc>
          <w:tcPr>
            <w:tcW w:w="0" w:type="dxa"/>
            <w:vAlign w:val="bottom"/>
          </w:tcPr>
          <w:p>
            <w:pPr>
              <w:spacing w:after="0"/>
              <w:rPr>
                <w:sz w:val="1"/>
                <w:szCs w:val="1"/>
                <w:color w:val="auto"/>
              </w:rPr>
            </w:pP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August 1 - August 31</w:t>
            </w:r>
          </w:p>
        </w:tc>
        <w:tc>
          <w:tcPr>
            <w:tcW w:w="1800" w:type="dxa"/>
            <w:vAlign w:val="bottom"/>
          </w:tcPr>
          <w:p>
            <w:pPr>
              <w:jc w:val="right"/>
              <w:ind w:right="38"/>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105.88</w:t>
            </w:r>
          </w:p>
        </w:tc>
        <w:tc>
          <w:tcPr>
            <w:tcW w:w="200" w:type="dxa"/>
            <w:vAlign w:val="bottom"/>
          </w:tcPr>
          <w:p>
            <w:pPr>
              <w:spacing w:after="0"/>
              <w:rPr>
                <w:sz w:val="21"/>
                <w:szCs w:val="21"/>
                <w:color w:val="auto"/>
              </w:rPr>
            </w:pPr>
          </w:p>
        </w:tc>
        <w:tc>
          <w:tcPr>
            <w:tcW w:w="2220" w:type="dxa"/>
            <w:vAlign w:val="bottom"/>
          </w:tcPr>
          <w:p>
            <w:pPr>
              <w:jc w:val="right"/>
              <w:ind w:right="19"/>
              <w:spacing w:after="0"/>
              <w:rPr>
                <w:sz w:val="20"/>
                <w:szCs w:val="20"/>
                <w:color w:val="auto"/>
              </w:rPr>
            </w:pPr>
            <w:r>
              <w:rPr>
                <w:rFonts w:ascii="Arial" w:cs="Arial" w:eastAsia="Arial" w:hAnsi="Arial"/>
                <w:sz w:val="18"/>
                <w:szCs w:val="18"/>
                <w:color w:val="auto"/>
              </w:rPr>
              <w:t>725</w:t>
            </w:r>
          </w:p>
        </w:tc>
        <w:tc>
          <w:tcPr>
            <w:tcW w:w="1860" w:type="dxa"/>
            <w:vAlign w:val="bottom"/>
            <w:gridSpan w:val="2"/>
          </w:tcPr>
          <w:p>
            <w:pPr>
              <w:jc w:val="right"/>
              <w:ind w:right="48"/>
              <w:spacing w:after="0"/>
              <w:rPr>
                <w:sz w:val="20"/>
                <w:szCs w:val="20"/>
                <w:color w:val="auto"/>
              </w:rPr>
            </w:pPr>
            <w:r>
              <w:rPr>
                <w:rFonts w:ascii="Arial" w:cs="Arial" w:eastAsia="Arial" w:hAnsi="Arial"/>
                <w:sz w:val="18"/>
                <w:szCs w:val="18"/>
                <w:color w:val="auto"/>
              </w:rPr>
              <w:t>41,790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w:t>
            </w:r>
          </w:p>
        </w:tc>
        <w:tc>
          <w:tcPr>
            <w:tcW w:w="1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108.50</w:t>
            </w:r>
          </w:p>
        </w:tc>
        <w:tc>
          <w:tcPr>
            <w:tcW w:w="2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164</w:t>
            </w:r>
          </w:p>
        </w:tc>
        <w:tc>
          <w:tcPr>
            <w:tcW w:w="1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41,626</w:t>
            </w:r>
          </w:p>
        </w:tc>
        <w:tc>
          <w:tcPr>
            <w:tcW w:w="0" w:type="dxa"/>
            <w:vAlign w:val="bottom"/>
          </w:tcPr>
          <w:p>
            <w:pPr>
              <w:spacing w:after="0"/>
              <w:rPr>
                <w:sz w:val="1"/>
                <w:szCs w:val="1"/>
                <w:color w:val="auto"/>
              </w:rPr>
            </w:pPr>
          </w:p>
        </w:tc>
      </w:tr>
      <w:tr>
        <w:trPr>
          <w:trHeight w:val="257"/>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3,829</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110.89</w:t>
            </w:r>
          </w:p>
        </w:tc>
        <w:tc>
          <w:tcPr>
            <w:tcW w:w="200" w:type="dxa"/>
            <w:vAlign w:val="bottom"/>
          </w:tcPr>
          <w:p>
            <w:pPr>
              <w:spacing w:after="0"/>
              <w:rPr>
                <w:sz w:val="22"/>
                <w:szCs w:val="22"/>
                <w:color w:val="auto"/>
              </w:rPr>
            </w:pPr>
          </w:p>
        </w:tc>
        <w:tc>
          <w:tcPr>
            <w:tcW w:w="2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3,829</w:t>
            </w: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repurchase shares under a program announced on February 4, 2013, which authorized the repurchase of up to 60 million shares of our common stock. Under this current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 of shares to cover taxes on vesting of restricted stock. No shares were reacquired in transactions outside the program during the quarter ended September 30, 2014.</w:t>
      </w: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right="80" w:firstLine="405"/>
        <w:spacing w:after="0" w:line="304" w:lineRule="auto"/>
        <w:rPr>
          <w:sz w:val="20"/>
          <w:szCs w:val="20"/>
          <w:color w:val="auto"/>
        </w:rPr>
      </w:pPr>
      <w:r>
        <w:rPr>
          <w:rFonts w:ascii="Arial" w:cs="Arial" w:eastAsia="Arial" w:hAnsi="Arial"/>
          <w:sz w:val="18"/>
          <w:szCs w:val="18"/>
          <w:color w:val="auto"/>
        </w:rPr>
        <w:t>On October 21, 2014, Jamie S. Gorelick notified the Company that she intends to retire from UTC’s Board of Directors (“Board”) effective as of December 31, 2014. Ms. Gorelick was first elected to the Board on February 7, 2000, and has served as a member of the Audit Committee, Finance Committee, Public Issues Review Committee, and the Committee on Compensation and Executive Development during her tenure. UTC has benefited from Ms. Gorelick’s expertise in law, finance, government relations and public policy. The Board truly appreciates Ms. Gorelick’s service to the Company and its shareowners.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Item 6.</w:t>
            </w:r>
          </w:p>
        </w:tc>
        <w:tc>
          <w:tcPr>
            <w:tcW w:w="1030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0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00" w:type="dxa"/>
            <w:vAlign w:val="bottom"/>
            <w:tcBorders>
              <w:top w:val="single" w:sz="8" w:color="auto"/>
            </w:tcBorders>
          </w:tcPr>
          <w:p>
            <w:pPr>
              <w:jc w:val="center"/>
              <w:ind w:right="377"/>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4"/>
                <w:szCs w:val="24"/>
                <w:color w:val="auto"/>
              </w:rPr>
            </w:pPr>
          </w:p>
        </w:tc>
        <w:tc>
          <w:tcPr>
            <w:tcW w:w="10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00" w:type="dxa"/>
            <w:vAlign w:val="bottom"/>
          </w:tcPr>
          <w:p>
            <w:pPr>
              <w:jc w:val="center"/>
              <w:ind w:right="377"/>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4"/>
                <w:szCs w:val="24"/>
                <w:color w:val="auto"/>
              </w:rPr>
            </w:pPr>
          </w:p>
        </w:tc>
        <w:tc>
          <w:tcPr>
            <w:tcW w:w="1030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20" w:hanging="95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20" w:hanging="95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484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utx-20140930.xml)</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484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utx-20140930.xsd)</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4840" w:type="dxa"/>
            <w:vAlign w:val="bottom"/>
          </w:tcPr>
          <w:p>
            <w:pPr>
              <w:ind w:left="200"/>
              <w:spacing w:after="0"/>
              <w:rPr>
                <w:sz w:val="20"/>
                <w:szCs w:val="20"/>
                <w:color w:val="auto"/>
              </w:rPr>
            </w:pPr>
            <w:r>
              <w:rPr>
                <w:rFonts w:ascii="Arial" w:cs="Arial" w:eastAsia="Arial" w:hAnsi="Arial"/>
                <w:sz w:val="18"/>
                <w:szCs w:val="18"/>
                <w:color w:val="auto"/>
                <w:w w:val="94"/>
              </w:rPr>
              <w:t>XBRL Taxonomy Extension Calculation Linkbase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utx-20140930_cal.xml)</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tcPr>
          <w:p>
            <w:pPr>
              <w:ind w:left="200"/>
              <w:spacing w:after="0"/>
              <w:rPr>
                <w:sz w:val="20"/>
                <w:szCs w:val="20"/>
                <w:color w:val="auto"/>
              </w:rPr>
            </w:pPr>
            <w:r>
              <w:rPr>
                <w:rFonts w:ascii="Arial" w:cs="Arial" w:eastAsia="Arial" w:hAnsi="Arial"/>
                <w:sz w:val="18"/>
                <w:szCs w:val="18"/>
                <w:color w:val="auto"/>
                <w:w w:val="97"/>
              </w:rPr>
              <w:t>XBRL Taxonomy Extension Definition Linkbase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utx-20140930_def.xml)</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84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utx-20140930_lab.xml)</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840" w:type="dxa"/>
            <w:vAlign w:val="bottom"/>
          </w:tcPr>
          <w:p>
            <w:pPr>
              <w:ind w:left="20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Operations for the quarters and nine months ended September 30, 2014 and 2013, (ii) Condensed Consolidated Statements of Comprehensive Income for the quarters and nine months ended September 30, 2014 and 2013, (iii) Condensed Consolidated Balance Sheets as of September 30, 2014 and December 31, 2013, (iv) Condensed Consolidated Statements of Cash Flows for the nine months ended September 30, 2014 and 2013, and (v) Notes to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780" w:val="left"/>
          <w:tab w:leader="none" w:pos="4860" w:val="left"/>
          <w:tab w:leader="none" w:pos="7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31750</wp:posOffset>
            </wp:positionV>
            <wp:extent cx="3850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48"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Gregory J. Hayes</w:t>
      </w:r>
    </w:p>
    <w:p>
      <w:pPr>
        <w:spacing w:after="0" w:line="96"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239" w:lineRule="exact"/>
        <w:rPr>
          <w:sz w:val="20"/>
          <w:szCs w:val="20"/>
          <w:color w:val="auto"/>
        </w:rPr>
      </w:pPr>
    </w:p>
    <w:p>
      <w:pPr>
        <w:jc w:val="center"/>
        <w:ind w:left="5300"/>
        <w:spacing w:after="0"/>
        <w:rPr>
          <w:sz w:val="20"/>
          <w:szCs w:val="20"/>
          <w:color w:val="auto"/>
        </w:rPr>
      </w:pPr>
      <w:r>
        <w:rPr>
          <w:rFonts w:ascii="Arial" w:cs="Arial" w:eastAsia="Arial" w:hAnsi="Arial"/>
          <w:sz w:val="16"/>
          <w:szCs w:val="16"/>
          <w:color w:val="auto"/>
        </w:rPr>
        <w:t>(on behalf of the Registrant and as the Registrant's Principal Financial Officer and</w:t>
      </w:r>
    </w:p>
    <w:p>
      <w:pPr>
        <w:spacing w:after="0" w:line="46" w:lineRule="exact"/>
        <w:rPr>
          <w:sz w:val="20"/>
          <w:szCs w:val="20"/>
          <w:color w:val="auto"/>
        </w:rPr>
      </w:pPr>
    </w:p>
    <w:p>
      <w:pPr>
        <w:jc w:val="center"/>
        <w:ind w:left="5300"/>
        <w:spacing w:after="0"/>
        <w:rPr>
          <w:sz w:val="20"/>
          <w:szCs w:val="20"/>
          <w:color w:val="auto"/>
        </w:rPr>
      </w:pPr>
      <w:r>
        <w:rPr>
          <w:rFonts w:ascii="Arial" w:cs="Arial" w:eastAsia="Arial" w:hAnsi="Arial"/>
          <w:sz w:val="18"/>
          <w:szCs w:val="18"/>
          <w:color w:val="auto"/>
        </w:rPr>
        <w:t>Principal Accounting Officer)</w:t>
      </w:r>
    </w:p>
    <w:p>
      <w:pPr>
        <w:spacing w:after="0" w:line="346" w:lineRule="exact"/>
        <w:rPr>
          <w:sz w:val="20"/>
          <w:szCs w:val="20"/>
          <w:color w:val="auto"/>
        </w:rPr>
      </w:pPr>
    </w:p>
    <w:p>
      <w:pPr>
        <w:ind w:left="40"/>
        <w:spacing w:after="0"/>
        <w:tabs>
          <w:tab w:leader="none" w:pos="780" w:val="left"/>
          <w:tab w:leader="none" w:pos="4860" w:val="left"/>
          <w:tab w:leader="none" w:pos="7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E. S</w:t>
      </w:r>
      <w:r>
        <w:rPr>
          <w:rFonts w:ascii="Arial" w:cs="Arial" w:eastAsia="Arial" w:hAnsi="Arial"/>
          <w:sz w:val="13"/>
          <w:szCs w:val="13"/>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31750</wp:posOffset>
            </wp:positionV>
            <wp:extent cx="3850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48"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John E. Stantial</w:t>
      </w:r>
    </w:p>
    <w:p>
      <w:pPr>
        <w:spacing w:after="0" w:line="96"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Acting Controller and Assistant Controller, Financial Reporting</w:t>
      </w:r>
    </w:p>
    <w:p>
      <w:pPr>
        <w:spacing w:after="0" w:line="23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(on behalf of the Registrant)</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122" w:right="3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0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00" w:type="dxa"/>
            <w:vAlign w:val="bottom"/>
            <w:tcBorders>
              <w:top w:val="single" w:sz="8" w:color="auto"/>
            </w:tcBorders>
          </w:tcPr>
          <w:p>
            <w:pPr>
              <w:jc w:val="right"/>
              <w:ind w:right="55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03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00" w:type="dxa"/>
            <w:vAlign w:val="bottom"/>
          </w:tcPr>
          <w:p>
            <w:pPr>
              <w:jc w:val="right"/>
              <w:ind w:right="55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030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20" w:hanging="95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20" w:hanging="95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484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utx-20140930.xml)</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484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utx-20140930.xsd)</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4840" w:type="dxa"/>
            <w:vAlign w:val="bottom"/>
          </w:tcPr>
          <w:p>
            <w:pPr>
              <w:ind w:left="200"/>
              <w:spacing w:after="0"/>
              <w:rPr>
                <w:sz w:val="20"/>
                <w:szCs w:val="20"/>
                <w:color w:val="auto"/>
              </w:rPr>
            </w:pPr>
            <w:r>
              <w:rPr>
                <w:rFonts w:ascii="Arial" w:cs="Arial" w:eastAsia="Arial" w:hAnsi="Arial"/>
                <w:sz w:val="18"/>
                <w:szCs w:val="18"/>
                <w:color w:val="auto"/>
                <w:w w:val="94"/>
              </w:rPr>
              <w:t>XBRL Taxonomy Extension Calculation Linkbase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utx-20140930_cal.xml)</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tcPr>
          <w:p>
            <w:pPr>
              <w:ind w:left="200"/>
              <w:spacing w:after="0"/>
              <w:rPr>
                <w:sz w:val="20"/>
                <w:szCs w:val="20"/>
                <w:color w:val="auto"/>
              </w:rPr>
            </w:pPr>
            <w:r>
              <w:rPr>
                <w:rFonts w:ascii="Arial" w:cs="Arial" w:eastAsia="Arial" w:hAnsi="Arial"/>
                <w:sz w:val="18"/>
                <w:szCs w:val="18"/>
                <w:color w:val="auto"/>
                <w:w w:val="97"/>
              </w:rPr>
              <w:t>XBRL Taxonomy Extension Definition Linkbase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utx-20140930_def.xml)</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84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utx-20140930_lab.xml)</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840" w:type="dxa"/>
            <w:vAlign w:val="bottom"/>
          </w:tcPr>
          <w:p>
            <w:pPr>
              <w:ind w:left="20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88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(File name: utx-20140930_pre.xml)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Operations for the quarters and nine months ended September 30, 2014 and 2013, (ii) Condensed Consolidated Statements of Comprehensive Income for the quarters and nine months ended September 30, 2014 and 2013, (iii) Condensed Consolidated Balance Sheets as of September 30, 2014 and December 31, 2013, (iv) Condensed Consolidated Statements of Cash Flows for the nine months ended September 30, 2014 and 2013,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1160" w:type="dxa"/>
            <w:vAlign w:val="bottom"/>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8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8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7,433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51"/>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40" w:hanging="332"/>
        <w:spacing w:after="0" w:line="232"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$27 million for each of the nine months ended September 30, 2014 and 2013. The ratio of earnings to fixed charges would have been 8.93 and 8.12 for the nine months ended September 30, 2014 and 2013, respectively, if such interest were excluded from the calculation.</w:t>
      </w:r>
    </w:p>
    <w:p>
      <w:pPr>
        <w:ind w:left="340" w:hanging="332"/>
        <w:spacing w:after="0" w:line="225"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We are aware that our report dated October 24, 2014 on our review of interim financial information of United Technologies Corporation (the "Corporation") for the three-month and nine-month periods ending September 30, 2014 and 2013 and included in the Corporation's quarterly report on Form 10-Q for the quarter ended September 30, 2014 is incorporated by reference in its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(No. 333-188957) and in the Registration Statements on Form S-8 (Nos. 333-197704, 333-183123, 333-177520, 333-177517, 333-175781, 333-150643, 333-125293, 333-110020, 333-100724, 333-100723, 333-100718, 333-77817 and 033-51385).</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17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00" w:val="left"/>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24, 2014</w:t>
      </w:r>
      <w:r>
        <w:rPr>
          <w:sz w:val="20"/>
          <w:szCs w:val="20"/>
          <w:color w:val="auto"/>
        </w:rPr>
        <w:tab/>
      </w:r>
      <w:r>
        <w:rPr>
          <w:rFonts w:ascii="Arial" w:cs="Arial" w:eastAsia="Arial" w:hAnsi="Arial"/>
          <w:sz w:val="17"/>
          <w:szCs w:val="17"/>
          <w:color w:val="auto"/>
        </w:rPr>
        <w:t>/s/ L</w:t>
      </w:r>
      <w:r>
        <w:rPr>
          <w:rFonts w:ascii="Arial" w:cs="Arial" w:eastAsia="Arial" w:hAnsi="Arial"/>
          <w:sz w:val="13"/>
          <w:szCs w:val="13"/>
          <w:color w:val="auto"/>
        </w:rPr>
        <w:t>OUIS</w:t>
      </w:r>
      <w:r>
        <w:rPr>
          <w:rFonts w:ascii="Arial" w:cs="Arial" w:eastAsia="Arial" w:hAnsi="Arial"/>
          <w:sz w:val="17"/>
          <w:szCs w:val="17"/>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31750</wp:posOffset>
            </wp:positionV>
            <wp:extent cx="2941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Chairman &amp; 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40" w:val="left"/>
          <w:tab w:leader="none" w:pos="6800" w:val="left"/>
        </w:tabs>
        <w:rPr>
          <w:sz w:val="20"/>
          <w:szCs w:val="20"/>
          <w:color w:val="auto"/>
        </w:rPr>
      </w:pPr>
      <w:r>
        <w:rPr>
          <w:rFonts w:ascii="Arial" w:cs="Arial" w:eastAsia="Arial" w:hAnsi="Arial"/>
          <w:sz w:val="18"/>
          <w:szCs w:val="18"/>
          <w:color w:val="auto"/>
        </w:rPr>
        <w:t>Date:</w:t>
        <w:tab/>
        <w:t>October 24, 2014</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31750</wp:posOffset>
            </wp:positionV>
            <wp:extent cx="2941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E. Stantial,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40" w:val="left"/>
          <w:tab w:leader="none" w:pos="6820" w:val="left"/>
        </w:tabs>
        <w:rPr>
          <w:sz w:val="20"/>
          <w:szCs w:val="20"/>
          <w:color w:val="auto"/>
        </w:rPr>
      </w:pPr>
      <w:r>
        <w:rPr>
          <w:rFonts w:ascii="Arial" w:cs="Arial" w:eastAsia="Arial" w:hAnsi="Arial"/>
          <w:sz w:val="18"/>
          <w:szCs w:val="18"/>
          <w:color w:val="auto"/>
        </w:rPr>
        <w:t>Date:</w:t>
        <w:tab/>
        <w:t>October 24, 2014</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E. S</w:t>
      </w:r>
      <w:r>
        <w:rPr>
          <w:rFonts w:ascii="Arial" w:cs="Arial" w:eastAsia="Arial" w:hAnsi="Arial"/>
          <w:sz w:val="13"/>
          <w:szCs w:val="13"/>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31750</wp:posOffset>
            </wp:positionV>
            <wp:extent cx="2924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John E. Stantial</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Acting Controller and Assistant Controller, Financial</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Reporting</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Quarterly Report on Form 10-Q for the quarter ended September 30, 2014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640" w:val="left"/>
          <w:tab w:leader="none" w:pos="5220" w:val="left"/>
        </w:tabs>
        <w:rPr>
          <w:sz w:val="20"/>
          <w:szCs w:val="20"/>
          <w:color w:val="auto"/>
        </w:rPr>
      </w:pPr>
      <w:r>
        <w:rPr>
          <w:rFonts w:ascii="Arial" w:cs="Arial" w:eastAsia="Arial" w:hAnsi="Arial"/>
          <w:sz w:val="18"/>
          <w:szCs w:val="18"/>
          <w:color w:val="auto"/>
        </w:rPr>
        <w:t>Date:</w:t>
        <w:tab/>
        <w:t>October 24, 2014</w:t>
      </w:r>
      <w:r>
        <w:rPr>
          <w:sz w:val="20"/>
          <w:szCs w:val="20"/>
          <w:color w:val="auto"/>
        </w:rPr>
        <w:tab/>
      </w:r>
      <w:r>
        <w:rPr>
          <w:rFonts w:ascii="Arial" w:cs="Arial" w:eastAsia="Arial" w:hAnsi="Arial"/>
          <w:sz w:val="17"/>
          <w:szCs w:val="17"/>
          <w:color w:val="auto"/>
        </w:rPr>
        <w:t>/s/ L</w:t>
      </w:r>
      <w:r>
        <w:rPr>
          <w:rFonts w:ascii="Arial" w:cs="Arial" w:eastAsia="Arial" w:hAnsi="Arial"/>
          <w:sz w:val="13"/>
          <w:szCs w:val="13"/>
          <w:color w:val="auto"/>
        </w:rPr>
        <w:t>OUIS</w:t>
      </w:r>
      <w:r>
        <w:rPr>
          <w:rFonts w:ascii="Arial" w:cs="Arial" w:eastAsia="Arial" w:hAnsi="Arial"/>
          <w:sz w:val="17"/>
          <w:szCs w:val="17"/>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31750</wp:posOffset>
            </wp:positionV>
            <wp:extent cx="3944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Chairman &amp; Chief Executive Officer</w:t>
      </w:r>
    </w:p>
    <w:p>
      <w:pPr>
        <w:spacing w:after="0" w:line="387" w:lineRule="exact"/>
        <w:rPr>
          <w:sz w:val="20"/>
          <w:szCs w:val="20"/>
          <w:color w:val="auto"/>
        </w:rPr>
      </w:pPr>
    </w:p>
    <w:p>
      <w:pPr>
        <w:ind w:left="40"/>
        <w:spacing w:after="0"/>
        <w:tabs>
          <w:tab w:leader="none" w:pos="640" w:val="left"/>
          <w:tab w:leader="none" w:pos="5220" w:val="left"/>
        </w:tabs>
        <w:rPr>
          <w:sz w:val="20"/>
          <w:szCs w:val="20"/>
          <w:color w:val="auto"/>
        </w:rPr>
      </w:pPr>
      <w:r>
        <w:rPr>
          <w:rFonts w:ascii="Arial" w:cs="Arial" w:eastAsia="Arial" w:hAnsi="Arial"/>
          <w:sz w:val="18"/>
          <w:szCs w:val="18"/>
          <w:color w:val="auto"/>
        </w:rPr>
        <w:t>Date:</w:t>
        <w:tab/>
        <w:t>October 24, 2014</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31750</wp:posOffset>
            </wp:positionV>
            <wp:extent cx="3944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Senior Vice President and Chief Financial Officer</w:t>
      </w:r>
    </w:p>
    <w:p>
      <w:pPr>
        <w:spacing w:after="0" w:line="387" w:lineRule="exact"/>
        <w:rPr>
          <w:sz w:val="20"/>
          <w:szCs w:val="20"/>
          <w:color w:val="auto"/>
        </w:rPr>
      </w:pPr>
    </w:p>
    <w:p>
      <w:pPr>
        <w:ind w:left="40"/>
        <w:spacing w:after="0"/>
        <w:tabs>
          <w:tab w:leader="none" w:pos="640" w:val="left"/>
          <w:tab w:leader="none" w:pos="5220" w:val="left"/>
        </w:tabs>
        <w:rPr>
          <w:sz w:val="20"/>
          <w:szCs w:val="20"/>
          <w:color w:val="auto"/>
        </w:rPr>
      </w:pPr>
      <w:r>
        <w:rPr>
          <w:rFonts w:ascii="Arial" w:cs="Arial" w:eastAsia="Arial" w:hAnsi="Arial"/>
          <w:sz w:val="18"/>
          <w:szCs w:val="18"/>
          <w:color w:val="auto"/>
        </w:rPr>
        <w:t>Date:</w:t>
        <w:tab/>
        <w:t>October 24, 2014</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E</w:t>
      </w:r>
      <w:r>
        <w:rPr>
          <w:rFonts w:ascii="Arial" w:cs="Arial" w:eastAsia="Arial" w:hAnsi="Arial"/>
          <w:sz w:val="13"/>
          <w:szCs w:val="13"/>
          <w:color w:val="auto"/>
        </w:rPr>
        <w:t>.</w:t>
      </w:r>
      <w:r>
        <w:rPr>
          <w:rFonts w:ascii="Arial" w:cs="Arial" w:eastAsia="Arial" w:hAnsi="Arial"/>
          <w:sz w:val="17"/>
          <w:szCs w:val="17"/>
          <w:color w:val="auto"/>
        </w:rPr>
        <w:t xml:space="preserve"> S</w:t>
      </w:r>
      <w:r>
        <w:rPr>
          <w:rFonts w:ascii="Arial" w:cs="Arial" w:eastAsia="Arial" w:hAnsi="Arial"/>
          <w:sz w:val="13"/>
          <w:szCs w:val="13"/>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31750</wp:posOffset>
            </wp:positionV>
            <wp:extent cx="3944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John E. Stantial</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Acting Controller and Assistant Controller, Financial Reporting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amp;"/>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3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3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bullet"/>
      <w:start w:val="1"/>
    </w:lvl>
  </w:abstractNum>
  <w:abstractNum w:abstractNumId="15">
    <w:nsid w:val="519B500D"/>
    <w:multiLevelType w:val="hybridMultilevel"/>
    <w:lvl w:ilvl="0">
      <w:lvlJc w:val="left"/>
      <w:lvlText w:val="2"/>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2019-12-05T15:32:01Z</dcterms:created>
  <dcterms:modified xsi:type="dcterms:W3CDTF">2019-12-05T15:32:01Z</dcterms:modified>
</cp:coreProperties>
</file>