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347"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0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 Farm Springs Road, Farmington, Connecticut 06032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440" w:space="720"/>
            <w:col w:w="2000" w:space="720"/>
            <w:col w:w="300"/>
          </w:cols>
          <w:pgMar w:left="240" w:top="2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60" w:space="640"/>
            <w:col w:w="180" w:space="40"/>
            <w:col w:w="5220" w:space="720"/>
            <w:col w:w="2000" w:space="720"/>
            <w:col w:w="300"/>
          </w:cols>
          <w:pgMar w:left="240" w:top="229" w:right="279" w:bottom="1440" w:gutter="0" w:footer="0" w:header="0"/>
          <w:type w:val="continuous"/>
        </w:sectPr>
      </w:pPr>
    </w:p>
    <w:p>
      <w:pPr>
        <w:spacing w:after="0" w:line="43"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March 31, 2016 there were 836,865,684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2016</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Unaudited Financial Statements:</w:t>
              </w:r>
            </w:hyperlink>
          </w:p>
        </w:tc>
        <w:tc>
          <w:tcPr>
            <w:tcW w:w="7660" w:type="dxa"/>
            <w:vAlign w:val="bottom"/>
            <w:gridSpan w:val="9"/>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Condensed Consolidated Statement of Operations for the quarters ended March 31, 2016 and 2015</w:t>
            </w:r>
          </w:p>
        </w:tc>
        <w:tc>
          <w:tcPr>
            <w:tcW w:w="324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 of Comprehensive Income for the quarters ended March 31, 2016 and 2015</w:t>
              </w:r>
            </w:hyperlink>
          </w:p>
        </w:tc>
        <w:tc>
          <w:tcPr>
            <w:tcW w:w="232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 at March 31, 2016 and December 31, 2015</w:t>
              </w:r>
            </w:hyperlink>
          </w:p>
        </w:tc>
        <w:tc>
          <w:tcPr>
            <w:tcW w:w="4360" w:type="dxa"/>
            <w:vAlign w:val="bottom"/>
            <w:gridSpan w:val="5"/>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 of Cash Flows for the quarters ended March 31, 2016 and 2015</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60" w:type="dxa"/>
            <w:vAlign w:val="bottom"/>
            <w:tcBorders>
              <w:top w:val="single" w:sz="8" w:color="0000FF"/>
            </w:tcBorders>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320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19"/>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5"/>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3. Quantitative and Qualitative Disclosures About Market Risk</w:t>
              </w:r>
            </w:hyperlink>
          </w:p>
        </w:tc>
        <w:tc>
          <w:tcPr>
            <w:tcW w:w="3580" w:type="dxa"/>
            <w:vAlign w:val="bottom"/>
            <w:gridSpan w:val="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Controls and Procedures</w:t>
              </w:r>
            </w:hyperlink>
          </w:p>
        </w:tc>
        <w:tc>
          <w:tcPr>
            <w:tcW w:w="2580" w:type="dxa"/>
            <w:vAlign w:val="bottom"/>
            <w:gridSpan w:val="6"/>
          </w:tcPr>
          <w:p>
            <w:pPr>
              <w:spacing w:after="0"/>
              <w:rPr>
                <w:sz w:val="24"/>
                <w:szCs w:val="24"/>
                <w:color w:val="auto"/>
              </w:rPr>
            </w:pPr>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9"/>
          </w:tcPr>
          <w:p>
            <w:pPr>
              <w:spacing w:after="0"/>
              <w:rPr>
                <w:rFonts w:ascii="Arial" w:cs="Arial" w:eastAsia="Arial" w:hAnsi="Arial"/>
                <w:sz w:val="18"/>
                <w:szCs w:val="18"/>
                <w:color w:val="0000FF"/>
                <w:w w:val="95"/>
              </w:rPr>
            </w:pPr>
            <w:hyperlink w:anchor="page40">
              <w:r>
                <w:rPr>
                  <w:rFonts w:ascii="Arial" w:cs="Arial" w:eastAsia="Arial" w:hAnsi="Arial"/>
                  <w:sz w:val="18"/>
                  <w:szCs w:val="18"/>
                  <w:color w:val="0000FF"/>
                  <w:w w:val="95"/>
                </w:rPr>
                <w:t>PART II – OTHER INFORMATION</w:t>
              </w:r>
            </w:hyperlink>
          </w:p>
        </w:tc>
        <w:tc>
          <w:tcPr>
            <w:tcW w:w="804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1.</w:t>
              </w:r>
            </w:hyperlink>
          </w:p>
        </w:tc>
        <w:tc>
          <w:tcPr>
            <w:tcW w:w="1360" w:type="dxa"/>
            <w:vAlign w:val="bottom"/>
            <w:gridSpan w:val="4"/>
          </w:tcPr>
          <w:p>
            <w:pPr>
              <w:ind w:left="20"/>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Legal Proceedings</w:t>
              </w:r>
            </w:hyperlink>
          </w:p>
        </w:tc>
        <w:tc>
          <w:tcPr>
            <w:tcW w:w="640" w:type="dxa"/>
            <w:vAlign w:val="bottom"/>
            <w:gridSpan w:val="2"/>
          </w:tcPr>
          <w:p>
            <w:pPr>
              <w:spacing w:after="0"/>
              <w:rPr>
                <w:sz w:val="24"/>
                <w:szCs w:val="24"/>
                <w:color w:val="auto"/>
              </w:rPr>
            </w:pPr>
          </w:p>
        </w:tc>
        <w:tc>
          <w:tcPr>
            <w:tcW w:w="804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5"/>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2.</w:t>
              </w:r>
            </w:hyperlink>
          </w:p>
        </w:tc>
        <w:tc>
          <w:tcPr>
            <w:tcW w:w="4380" w:type="dxa"/>
            <w:vAlign w:val="bottom"/>
            <w:gridSpan w:val="11"/>
          </w:tcPr>
          <w:p>
            <w:pPr>
              <w:ind w:left="2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Unregistered Sales of Equity Securities and Use of Proceeds</w:t>
              </w:r>
            </w:hyperlink>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Item 6.</w:t>
              </w:r>
            </w:hyperlink>
          </w:p>
        </w:tc>
        <w:tc>
          <w:tcPr>
            <w:tcW w:w="4380" w:type="dxa"/>
            <w:vAlign w:val="bottom"/>
            <w:gridSpan w:val="11"/>
          </w:tcPr>
          <w:p>
            <w:pPr>
              <w:ind w:left="20"/>
              <w:spacing w:after="0"/>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4"/>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SIGNATURES</w:t>
              </w:r>
            </w:hyperlink>
          </w:p>
        </w:tc>
        <w:tc>
          <w:tcPr>
            <w:tcW w:w="960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110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2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5"/>
          </w:tcPr>
          <w:p>
            <w:pPr>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EXHIBIT INDEX</w:t>
              </w:r>
            </w:hyperlink>
          </w:p>
        </w:tc>
        <w:tc>
          <w:tcPr>
            <w:tcW w:w="942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9,423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3,897</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13,320</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6,999</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564</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11,546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1,965</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1,435</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1,364</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Gain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Noncontrolling interest in subsidiaries' earnings from discontinued operations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1,191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1,426</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net of tax (expense) benefit: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Less: Reclassification adjustments for loss (gain) on sale of an investment in a foreign entity recognized in Other</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loss, prior service cost and transition obligation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gain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Unrealized holding gain arising during period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gain included in 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Unrealized cash flow hedging gain (loss) arising during period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reclassified into 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57"/>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4"/>
                <w:szCs w:val="1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center"/>
              <w:ind w:right="3840"/>
              <w:spacing w:after="0"/>
              <w:rPr>
                <w:sz w:val="20"/>
                <w:szCs w:val="20"/>
                <w:color w:val="auto"/>
              </w:rPr>
            </w:pPr>
            <w:r>
              <w:rPr>
                <w:rFonts w:ascii="Arial" w:cs="Arial" w:eastAsia="Arial" w:hAnsi="Arial"/>
                <w:sz w:val="17"/>
                <w:szCs w:val="17"/>
                <w:b w:val="1"/>
                <w:bCs w:val="1"/>
                <w:color w:val="auto"/>
                <w:w w:val="78"/>
              </w:rPr>
              <w:t>Assets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Borders>
              <w:top w:val="single" w:sz="8" w:color="CCEEFF"/>
            </w:tcBorders>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40" w:type="dxa"/>
            <w:vAlign w:val="bottom"/>
            <w:tcBorders>
              <w:top w:val="single" w:sz="8" w:color="CCEEFF"/>
            </w:tcBorders>
            <w:gridSpan w:val="2"/>
          </w:tcPr>
          <w:p>
            <w:pPr>
              <w:spacing w:after="0"/>
              <w:rPr>
                <w:sz w:val="20"/>
                <w:szCs w:val="20"/>
                <w:color w:val="auto"/>
              </w:rPr>
            </w:pPr>
          </w:p>
        </w:tc>
        <w:tc>
          <w:tcPr>
            <w:tcW w:w="220" w:type="dxa"/>
            <w:vAlign w:val="bottom"/>
            <w:tcBorders>
              <w:top w:val="single" w:sz="8" w:color="CCEEFF"/>
            </w:tcBorders>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7,215</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7,075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10,653</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8,507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8,135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assets, current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Current Assets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27,527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26,706</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Customer financing assets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1,018</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Future income tax benefits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1,905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1,961</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18,494</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Less: Accumulated depreciation</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(10,050)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(9,762)</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Fixed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8,732</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Goodwill</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27,408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27,301</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15,603</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6,282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6,163</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88,571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87,484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60" w:type="dxa"/>
            <w:vAlign w:val="bottom"/>
            <w:gridSpan w:val="4"/>
            <w:vMerge w:val="restart"/>
          </w:tcPr>
          <w:p>
            <w:pPr>
              <w:jc w:val="center"/>
              <w:ind w:right="3260"/>
              <w:spacing w:after="0"/>
              <w:rPr>
                <w:sz w:val="20"/>
                <w:szCs w:val="20"/>
                <w:color w:val="auto"/>
              </w:rPr>
            </w:pPr>
            <w:r>
              <w:rPr>
                <w:rFonts w:ascii="Arial" w:cs="Arial" w:eastAsia="Arial" w:hAnsi="Arial"/>
                <w:sz w:val="17"/>
                <w:szCs w:val="17"/>
                <w:b w:val="1"/>
                <w:bCs w:val="1"/>
                <w:color w:val="auto"/>
                <w:w w:val="94"/>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Short-term borrowings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926</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6,579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6,875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14,638</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 currently due</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22,618</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21,688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19,320</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6,022</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long-term liabilities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10,461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10,558</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58,518</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Commitments and contingent liabilities (Note 14)</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Shareowners' Equity:</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16,033</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Treasury Stock</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(31,082)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(30,907)</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49,956</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Unearned ESOP shares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(7,619)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1100"/>
              <w:spacing w:after="0"/>
              <w:rPr>
                <w:sz w:val="20"/>
                <w:szCs w:val="20"/>
                <w:color w:val="auto"/>
              </w:rPr>
            </w:pPr>
            <w:r>
              <w:rPr>
                <w:rFonts w:ascii="Arial" w:cs="Arial" w:eastAsia="Arial" w:hAnsi="Arial"/>
                <w:sz w:val="17"/>
                <w:szCs w:val="17"/>
                <w:color w:val="auto"/>
              </w:rPr>
              <w:t>Total Shareowners'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28,353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27,358</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29,903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28,844</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Liabilities and Equity</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88,571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87,484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Adjustments to reconcile net income from continuing operations to net cash flows provided by operating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activities of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Inventories and 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Global pension contributions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Canadian government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Investments in businesses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Dispositions of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Decrease (increase) in customer financing assets,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Receipts from settlements of derivative contracts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provided by investing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Issuance of long-term debt,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in short-term borrowings,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provided by (used in) financing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discontinued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Cash and cash equivalents of businesses held for sale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5,274</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7080" w:type="dxa"/>
            <w:vAlign w:val="bottom"/>
            <w:vMerge w:val="restart"/>
          </w:tcPr>
          <w:p>
            <w:pPr>
              <w:ind w:left="1760"/>
              <w:spacing w:after="0"/>
              <w:rPr>
                <w:sz w:val="20"/>
                <w:szCs w:val="20"/>
                <w:color w:val="auto"/>
              </w:rPr>
            </w:pPr>
            <w:r>
              <w:rPr>
                <w:rFonts w:ascii="Arial" w:cs="Arial" w:eastAsia="Arial" w:hAnsi="Arial"/>
                <w:sz w:val="18"/>
                <w:szCs w:val="18"/>
                <w:color w:val="auto"/>
                <w:w w:val="87"/>
              </w:rPr>
              <w:t>See accompanying Notes to Condensed Consolidated Financial Statements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70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160" w:firstLine="567"/>
        <w:spacing w:after="0" w:line="297" w:lineRule="auto"/>
        <w:rPr>
          <w:sz w:val="20"/>
          <w:szCs w:val="20"/>
          <w:color w:val="auto"/>
        </w:rPr>
      </w:pPr>
      <w:r>
        <w:rPr>
          <w:rFonts w:ascii="Arial" w:cs="Arial" w:eastAsia="Arial" w:hAnsi="Arial"/>
          <w:sz w:val="16"/>
          <w:szCs w:val="16"/>
          <w:color w:val="auto"/>
        </w:rPr>
        <w:t>The Condensed Consolidated Financial Statements at March 31, 2016 and for the quarters ended March 31, 2016 and 2015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(2015 Annual Report) incorporated by reference to our Annual Report on Form 10-K for calendar year 2015 (2015 Form 10-K).</w:t>
      </w:r>
    </w:p>
    <w:p>
      <w:pPr>
        <w:spacing w:after="0" w:line="50" w:lineRule="exact"/>
        <w:rPr>
          <w:sz w:val="20"/>
          <w:szCs w:val="20"/>
          <w:color w:val="auto"/>
        </w:rPr>
      </w:pPr>
    </w:p>
    <w:p>
      <w:pPr>
        <w:jc w:val="both"/>
        <w:ind w:right="140" w:firstLine="567"/>
        <w:spacing w:after="0" w:line="259" w:lineRule="auto"/>
        <w:rPr>
          <w:sz w:val="20"/>
          <w:szCs w:val="20"/>
          <w:color w:val="auto"/>
        </w:rPr>
      </w:pPr>
      <w:r>
        <w:rPr>
          <w:rFonts w:ascii="Arial" w:cs="Arial" w:eastAsia="Arial" w:hAnsi="Arial"/>
          <w:sz w:val="18"/>
          <w:szCs w:val="18"/>
          <w:color w:val="auto"/>
        </w:rPr>
        <w:t>Certain reclassifications have been made to the prior year amounts to conform to the current year presentation. On November 6, 2015, we completed the sale of the Sikorsky Aircraft business (Sikorsky) to Lockheed Martin Corp. Accordingly, the results of operations and the related cash flows of Sikorsky have been reclassified to Discontinued Operations in our Consolidated Statements of Operations and Cash Flows for the quarter ended March 31, 2015. See Note 2 for further discussion.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quarter ended March 31, 2016, our investment in business acquisitions was $79 million and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a number of small acquisitions, primarily in our commercial businesses.</w:t>
      </w:r>
    </w:p>
    <w:p>
      <w:pPr>
        <w:spacing w:after="0" w:line="166"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As a result of the 2012 transactions related to IAE International Aero Engines AG (IAE), Pratt &amp; Whitney holds a 61% net interest in the collaboration and a 49.5% ownership interest in IAE. IAE's business purpose is to coordinate the design, development, manufacturing and product support of the V2500 jet engine program through involvement with the collaborators. IAE retains limited equity with the primary economics of the V2500 program passed to the participants in the separate collaboration arrangement. As such, we have determined that IAE is a variable interest entity with Pratt &amp; Whitney its primary beneficiary, and IAE has, therefore, been consolidated. The carrying amounts and classification of assets and liabilities for IAE in our Condensed Consolidated Balance Sheet as of March 31, 2016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r>
      <w:tr>
        <w:trPr>
          <w:trHeight w:val="243"/>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73"/>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1,792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w:t>
            </w:r>
          </w:p>
        </w:tc>
      </w:tr>
      <w:tr>
        <w:trPr>
          <w:trHeight w:val="257"/>
        </w:trPr>
        <w:tc>
          <w:tcPr>
            <w:tcW w:w="40" w:type="dxa"/>
            <w:vAlign w:val="bottom"/>
          </w:tcPr>
          <w:p>
            <w:pPr>
              <w:spacing w:after="0"/>
              <w:rPr>
                <w:sz w:val="22"/>
                <w:szCs w:val="22"/>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quarter ended March 31, 2016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220" w:type="dxa"/>
            <w:vAlign w:val="bottom"/>
          </w:tcPr>
          <w:p>
            <w:pPr>
              <w:spacing w:after="0"/>
              <w:rPr>
                <w:sz w:val="14"/>
                <w:szCs w:val="14"/>
                <w:color w:val="auto"/>
              </w:rPr>
            </w:pPr>
          </w:p>
        </w:tc>
        <w:tc>
          <w:tcPr>
            <w:tcW w:w="13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January 1, 2016</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Combinations</w:t>
            </w:r>
          </w:p>
        </w:tc>
        <w:tc>
          <w:tcPr>
            <w:tcW w:w="17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Translation and Other</w:t>
            </w:r>
          </w:p>
        </w:tc>
        <w:tc>
          <w:tcPr>
            <w:tcW w:w="220" w:type="dxa"/>
            <w:vAlign w:val="bottom"/>
          </w:tcPr>
          <w:p>
            <w:pPr>
              <w:spacing w:after="0"/>
              <w:rPr>
                <w:sz w:val="13"/>
                <w:szCs w:val="13"/>
                <w:color w:val="auto"/>
              </w:rPr>
            </w:pPr>
          </w:p>
        </w:tc>
        <w:tc>
          <w:tcPr>
            <w:tcW w:w="1380" w:type="dxa"/>
            <w:vAlign w:val="bottom"/>
          </w:tcPr>
          <w:p>
            <w:pPr>
              <w:jc w:val="right"/>
              <w:ind w:right="234"/>
              <w:spacing w:after="0" w:line="158" w:lineRule="exact"/>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9,458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9,552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14,751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27,405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27,301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27,408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7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IAE collaboration</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18,451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18,104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20,538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20,173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Customer relationship intangible assets include payments made to our customers to secure certain contractual rights. We amortize these intangible assets based on the underlying pattern of economic benefit, which may result in an amortization method other than straight-line. We classify amortization of such payments as a reduction of sales. The IAE collaboration intangible asset is amortized based upon the pattern of economic benefits as represented by the underlying cash flows.</w:t>
      </w:r>
    </w:p>
    <w:p>
      <w:pPr>
        <w:spacing w:after="0" w:line="7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Amortization of intangible assets was $187 million and $179 million for the quarters ended March 31, 2016 and 2015, respectively. The following is the expected amortization of intangible assets for the years 2016 through 2021, which reflects an increase in expected amortization expense due to the pattern of economic benefit on certain aerospace intangible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2016</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757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797</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On November 6, 2015, we completed the sale of Sikorsky to Lockheed Martin Corp. Accordingly, the results of operations and the related cash flows related to Sikorsky have been reclassified to Discontinued Operations in our Condensed Consolidated Statements of Operations, Comprehensive Income and Cash Flows for the quarter ended March 31, 2015. In the quarter ended March 31, 2016, we recognized approximately $18 million of additional Gain on disposal of discontinued operations including settlement of working capital adjustments, and net cash outflows from discontinued operations of approximately $2.2 billion, primarily related to the payment of Federal taxes related to the 2015 gain realized on sale of Sikorsky.</w:t>
      </w:r>
    </w:p>
    <w:p>
      <w:pPr>
        <w:spacing w:after="0" w:line="5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summarized financial information related to Sikorsky has been segregated from continuing operations and reported as Discontinued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4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4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2"/>
          </w:tcPr>
          <w:p>
            <w:pPr>
              <w:ind w:left="240"/>
              <w:spacing w:after="0"/>
              <w:rPr>
                <w:sz w:val="20"/>
                <w:szCs w:val="20"/>
                <w:color w:val="auto"/>
              </w:rPr>
            </w:pPr>
            <w:r>
              <w:rPr>
                <w:rFonts w:ascii="Arial" w:cs="Arial" w:eastAsia="Arial" w:hAnsi="Arial"/>
                <w:sz w:val="18"/>
                <w:szCs w:val="18"/>
                <w:color w:val="auto"/>
              </w:rPr>
              <w:t>Net sales</w:t>
            </w:r>
          </w:p>
        </w:tc>
        <w:tc>
          <w:tcPr>
            <w:tcW w:w="4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Cost of sales</w:t>
            </w:r>
          </w:p>
        </w:tc>
        <w:tc>
          <w:tcPr>
            <w:tcW w:w="4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4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4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2"/>
          </w:tcPr>
          <w:p>
            <w:pPr>
              <w:ind w:left="240"/>
              <w:spacing w:after="0"/>
              <w:rPr>
                <w:sz w:val="20"/>
                <w:szCs w:val="20"/>
                <w:color w:val="auto"/>
              </w:rPr>
            </w:pPr>
            <w:r>
              <w:rPr>
                <w:rFonts w:ascii="Arial" w:cs="Arial" w:eastAsia="Arial" w:hAnsi="Arial"/>
                <w:sz w:val="18"/>
                <w:szCs w:val="18"/>
                <w:color w:val="auto"/>
              </w:rPr>
              <w:t>Other income, net</w:t>
            </w:r>
          </w:p>
        </w:tc>
        <w:tc>
          <w:tcPr>
            <w:tcW w:w="4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Income from operations</w:t>
            </w:r>
          </w:p>
        </w:tc>
        <w:tc>
          <w:tcPr>
            <w:tcW w:w="4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2"/>
          </w:tcPr>
          <w:p>
            <w:pPr>
              <w:ind w:left="240"/>
              <w:spacing w:after="0"/>
              <w:rPr>
                <w:sz w:val="20"/>
                <w:szCs w:val="20"/>
                <w:color w:val="auto"/>
              </w:rPr>
            </w:pPr>
            <w:r>
              <w:rPr>
                <w:rFonts w:ascii="Arial" w:cs="Arial" w:eastAsia="Arial" w:hAnsi="Arial"/>
                <w:sz w:val="18"/>
                <w:szCs w:val="18"/>
                <w:color w:val="auto"/>
              </w:rPr>
              <w:t>Gain on disposal</w:t>
            </w:r>
          </w:p>
        </w:tc>
        <w:tc>
          <w:tcPr>
            <w:tcW w:w="4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4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380" w:type="dxa"/>
            <w:vAlign w:val="bottom"/>
            <w:gridSpan w:val="2"/>
          </w:tcPr>
          <w:p>
            <w:pPr>
              <w:ind w:left="460"/>
              <w:spacing w:after="0"/>
              <w:rPr>
                <w:sz w:val="20"/>
                <w:szCs w:val="20"/>
                <w:color w:val="auto"/>
              </w:rPr>
            </w:pPr>
            <w:r>
              <w:rPr>
                <w:rFonts w:ascii="Arial" w:cs="Arial" w:eastAsia="Arial" w:hAnsi="Arial"/>
                <w:sz w:val="18"/>
                <w:szCs w:val="18"/>
                <w:color w:val="auto"/>
              </w:rPr>
              <w:t>Income from discontinued operations</w:t>
            </w:r>
          </w:p>
        </w:tc>
        <w:tc>
          <w:tcPr>
            <w:tcW w:w="4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160" w:type="dxa"/>
            <w:vAlign w:val="bottom"/>
            <w:vMerge w:val="restart"/>
          </w:tcPr>
          <w:p>
            <w:pPr>
              <w:jc w:val="right"/>
              <w:ind w:right="273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2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5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890.3</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Stock awards and equity units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the quarters ended March 31, 2016 and 2015, the number of stock awards excluded from the computation was approximately 16.4 million and 0.4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2,422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3,183</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8,668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(7,936)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Inventory also includes capitalized contract development costs related to certain aerospace programs at UTC Aerospace Systems. As of March 31, 2016 and December 31, 2015, these capitalized costs were $151 million and $152 million, respectively, which will be liquidated as production units are delivered to the customer.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199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At March 31, 2016, we had revolving credit agreements with various banks permitting aggregate borrowings of up to $4.35 billion pursuant to a $2.20 billion revolving credit agreement and a $2.15 billion multicurrency revolving credit agreement, both of which expire in May 2019. As of March 31, 2016, there were no borrowings under these revolving credit agreements. The undrawn portions of these revolving credit agreements are also available to serve as backup facilities for the issuance of commercial paper. As of March 31, 2016, our maximum commercial paper borrowing limit was $4.35 billion. We use our commercial paper borrowings for general corporate purposes, including the funding of potential acquisitions, debt refinancing, and repurchases of our common stock. The need for commercial paper borrowings arises when the use of domestic cash for acquisitions, dividends, and share repurchases exceeds the sum of domestic cash generation and foreign cash repatriated to the U.S.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February 22, 2016 we issued €950 million aggregate principal amount of 1.125% notes due 2021, €500 million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1.875% notes due 2026 and €750 million aggregate principal amount of floating rate notes due 2018. The net proceeds from these debt issuances were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general corporate purposes.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4"/>
                <w:szCs w:val="1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812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5.375% notes due 2017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1.800% notes due 2017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EURIBOR plus 0.800% floating rate notes due 2018 (€750 million principal value)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1.778% junior subordinated notes due 2018</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6.800% notes due 2018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6.125% notes due 2019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4.875% notes due 2020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7.100% notes due 2027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6.700% notes due 2028</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6.800% notes due 2036</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7.000% notes due 2038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Project financing obligations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(including capitalized leases)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principal long-term debt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19,439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(fair market value adjustments and discounts)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19,499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50"/>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21,688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24" w:lineRule="exact"/>
        <w:rPr>
          <w:sz w:val="20"/>
          <w:szCs w:val="20"/>
          <w:color w:val="auto"/>
        </w:rPr>
      </w:pPr>
    </w:p>
    <w:p>
      <w:pPr>
        <w:ind w:left="340" w:hanging="332"/>
        <w:spacing w:after="0" w:line="256"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6"/>
          <w:szCs w:val="16"/>
          <w:color w:val="auto"/>
        </w:rPr>
        <w:t>We may redeem the above notes, in whole or in part, at our option at any time at a redemption price in U.S. Dollars equal to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10-50 basis points. The redemption price will also include interest accrued to the date of redemption on the principal balance of the notes being redeemed.</w:t>
      </w:r>
    </w:p>
    <w:p>
      <w:pPr>
        <w:spacing w:after="0" w:line="25" w:lineRule="exact"/>
        <w:rPr>
          <w:sz w:val="20"/>
          <w:szCs w:val="20"/>
          <w:color w:val="auto"/>
        </w:rPr>
      </w:pPr>
    </w:p>
    <w:p>
      <w:pPr>
        <w:ind w:left="340" w:right="140" w:hanging="332"/>
        <w:spacing w:after="0" w:line="275"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6"/>
          <w:szCs w:val="16"/>
          <w:color w:val="auto"/>
        </w:rPr>
        <w:t>These notes bear interest at the three-month EURIBOR rate plus 0.800%, established quarterly. The interest rate in effect at March 31, 2016 was 0.605%. The notes may be redeemed at our option in whole, but not in part, at any time in the event of certain developments affecting U.S. taxation.</w:t>
      </w:r>
    </w:p>
    <w:p>
      <w:pPr>
        <w:spacing w:after="0" w:line="11" w:lineRule="exact"/>
        <w:rPr>
          <w:sz w:val="20"/>
          <w:szCs w:val="20"/>
          <w:color w:val="auto"/>
        </w:rPr>
      </w:pPr>
    </w:p>
    <w:p>
      <w:pPr>
        <w:ind w:left="340" w:right="160" w:hanging="332"/>
        <w:spacing w:after="0" w:line="25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6"/>
          <w:szCs w:val="16"/>
          <w:color w:val="auto"/>
        </w:rPr>
        <w:t>We may redeem these notes, in whole or in part, at our option at any time. If redeemed earlier than three months prior to the stated maturity date, the redemption price in Euro shall equal the greater of 100% of the principal amount of the notes to be redeemed or the sum of the present values of the remaining scheduled payments of principal and interest on the notes to be redeemed, discounted to the redemption date on an annual basis at a rate based upon a comparable German federal government bond whose maturity is closest to the maturity of the notes plus 15-30 basis points. In addition, the notes may be redeemed at our option in whole, but not in part, at any time in the event of certain developments affecting U.S. taxation.</w:t>
      </w:r>
    </w:p>
    <w:p>
      <w:pPr>
        <w:spacing w:after="0" w:line="30" w:lineRule="exact"/>
        <w:rPr>
          <w:sz w:val="20"/>
          <w:szCs w:val="20"/>
          <w:color w:val="auto"/>
        </w:rPr>
      </w:pPr>
    </w:p>
    <w:p>
      <w:pPr>
        <w:ind w:left="340" w:right="60" w:hanging="332"/>
        <w:spacing w:after="0" w:line="286"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5"/>
          <w:szCs w:val="15"/>
          <w:color w:val="auto"/>
        </w:rPr>
        <w:t>We may redeem these notes, in whole or in part, at our option at any time. If redeemed prior to November 16, 2044, the redemption price in U.S. Dollars shall equal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25 basis points.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 We plan to renew the shelf registration prior to its expiration on May 29,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Singapore, South Korea, Spain, the United Kingdom and the United States. With few exceptions, we are no longer subject to U.S. federal, state and local, or non-U.S. income tax examinations for years before 2003.</w:t>
      </w:r>
    </w:p>
    <w:p>
      <w:pPr>
        <w:spacing w:after="0" w:line="188" w:lineRule="exact"/>
        <w:rPr>
          <w:sz w:val="20"/>
          <w:szCs w:val="20"/>
          <w:color w:val="auto"/>
        </w:rPr>
      </w:pPr>
    </w:p>
    <w:p>
      <w:pPr>
        <w:jc w:val="both"/>
        <w:ind w:right="140" w:firstLine="405"/>
        <w:spacing w:after="0" w:line="288"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over the next 12 months the amount of unrecognized tax benefits may change within a range of a net increase of</w:t>
      </w:r>
    </w:p>
    <w:p>
      <w:pPr>
        <w:jc w:val="both"/>
        <w:ind w:right="380"/>
        <w:spacing w:after="0" w:line="302" w:lineRule="auto"/>
        <w:rPr>
          <w:sz w:val="20"/>
          <w:szCs w:val="20"/>
          <w:color w:val="auto"/>
        </w:rPr>
      </w:pPr>
      <w:r>
        <w:rPr>
          <w:rFonts w:ascii="Arial" w:cs="Arial" w:eastAsia="Arial" w:hAnsi="Arial"/>
          <w:sz w:val="16"/>
          <w:szCs w:val="16"/>
          <w:color w:val="auto"/>
        </w:rPr>
        <w:t>$60 million to a net decrease of $460 million as a result of additional worldwide uncertain tax positions, the revaluation of current uncertain tax positions arising from developments in examinations, in appeals, or in the courts, or the closure of tax statutes. See Note 14, Contingent Liabilities, for discussion regarding uncertain tax positions, included in the above range, related to pending litigation with respect to certain deductions claimed in Germany.</w:t>
      </w:r>
    </w:p>
    <w:p>
      <w:pPr>
        <w:spacing w:after="0" w:line="15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UTC tax years 2011 and 2012 are currently under review by the Examination Division of the Internal Revenue Service (IRS), which is expected to continue beyond the next 12 months. Goodrich Corporation tax years 2011 and 2012 through the date of acquisition by UTC are currently under review by the Examination Division of the IRS, which may be completed within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our plans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96</w:t>
            </w:r>
          </w:p>
        </w:tc>
      </w:tr>
    </w:tbl>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There were no contributions to our domestic defined benefit pension plans in the quarters ended March 31, 2016 and 2015. The following table illustrates the components of net periodic benefit cost for our defined pension and other postretirement benefit plans: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6"/>
              </w:rPr>
              <w:t>Quarter Ended March 31,</w:t>
            </w:r>
          </w:p>
        </w:tc>
        <w:tc>
          <w:tcPr>
            <w:tcW w:w="320" w:type="dxa"/>
            <w:vAlign w:val="bottom"/>
          </w:tcPr>
          <w:p>
            <w:pPr>
              <w:spacing w:after="0"/>
              <w:rPr>
                <w:sz w:val="16"/>
                <w:szCs w:val="16"/>
                <w:color w:val="auto"/>
              </w:rPr>
            </w:pPr>
          </w:p>
        </w:tc>
        <w:tc>
          <w:tcPr>
            <w:tcW w:w="25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loss</w:t>
            </w:r>
          </w:p>
        </w:tc>
        <w:tc>
          <w:tcPr>
            <w:tcW w:w="3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There were no curtailment losses related to discontinued operations for the quarters ended March 31, 2016 and 2015. Total net periodic benefit cost in the table above, for the quarter ended March 31, 2015, includes approximately $25 million related to, and recorded in, discontinued operations.</w:t>
      </w:r>
    </w:p>
    <w:p>
      <w:pPr>
        <w:spacing w:after="0" w:line="16"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2015, we changed the approach we use to estimate the service and interest components of net periodic pension cost for our significant pension plans. Historically, we estimated the service and interest cost components utilizing a single weighted-average discount rate derived from the yield curve used to measure the benefit obligation at the beginning of the period. We elected to utilize a full yield curve approach in the estimation of these components by applying the specific spot rates along the yield curve used in determination of the benefit obligation to the relevant projected cash flows. We made this change to provide a more precise measurement of service and interest costs by improving the correlation between projected benefit cash flows to the corresponding spot yield curve rates. This change does not affect the measurement of our total benefit obligations. The discount rates used to measure service cost and interest cost during 2016 are 3.9% and 3.5%, respectively. The previous method would have used a discount rate for both service and interest costs of 4.1%. This change decreases the service and interest cost components of our annual net periodic pension cost by approximately $215 million for 2016. We have accounted for this change as a change in accounting estimate and, accordingly, have accounted for it prospectively, effective January 1, 2016.</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quarter ended March 31, 2016, we recorded net pre-tax restructuring costs totaling $62 million for new and ongoing restructuring 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6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Restructuring charges incurred during the quarter ended March 31, 2016 primarily relate to actions initiated during 2016 and 2015, and were recorded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8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2016 Actions. </w:t>
      </w:r>
      <w:r>
        <w:rPr>
          <w:rFonts w:ascii="Arial" w:cs="Arial" w:eastAsia="Arial" w:hAnsi="Arial"/>
          <w:sz w:val="18"/>
          <w:szCs w:val="18"/>
          <w:color w:val="auto"/>
        </w:rPr>
        <w:t>During the quarter ended March 31, 2016, we recorded net pre-tax restructuring costs totaling $28 million, including $13 million in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$15 million in selling, general and administrative expenses. The 2016 actions relate to ongoing cost reduction efforts, including workforce reductions and the consolidation of field operations.</w:t>
      </w:r>
    </w:p>
    <w:p>
      <w:pPr>
        <w:spacing w:after="0" w:line="180"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are targeting the majority of the remaining workforce and all facility related cost reduction actions for completion during 2016 and 2017. No specific plans for significant other actions have been finalized at this time. All costs incurred during the quarter ended March 31, 2016 relate to severance. The following table summarizes the accrual balance and utilization for the 2016 restructuring actions: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5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5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5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bottom w:val="single" w:sz="8" w:color="CCEEFF"/>
            </w:tcBorders>
            <w:vMerge w:val="restart"/>
          </w:tcPr>
          <w:p>
            <w:pPr>
              <w:jc w:val="right"/>
              <w:ind w:right="3590"/>
              <w:spacing w:after="0"/>
              <w:rPr>
                <w:sz w:val="20"/>
                <w:szCs w:val="20"/>
                <w:color w:val="auto"/>
              </w:rPr>
            </w:pPr>
            <w:r>
              <w:rPr>
                <w:rFonts w:ascii="Arial" w:cs="Arial" w:eastAsia="Arial" w:hAnsi="Arial"/>
                <w:sz w:val="18"/>
                <w:szCs w:val="18"/>
                <w:color w:val="auto"/>
              </w:rPr>
              <w:t>13</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2016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Remaining Costs at</w:t>
            </w: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240" w:type="dxa"/>
            <w:vAlign w:val="bottom"/>
          </w:tcPr>
          <w:p>
            <w:pPr>
              <w:spacing w:after="0"/>
              <w:rPr>
                <w:sz w:val="12"/>
                <w:szCs w:val="12"/>
                <w:color w:val="auto"/>
              </w:rPr>
            </w:pPr>
          </w:p>
        </w:tc>
        <w:tc>
          <w:tcPr>
            <w:tcW w:w="112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1000" w:type="dxa"/>
            <w:vAlign w:val="bottom"/>
          </w:tcPr>
          <w:p>
            <w:pPr>
              <w:jc w:val="right"/>
              <w:ind w:right="59"/>
              <w:spacing w:after="0" w:line="158" w:lineRule="exact"/>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13"/>
                <w:szCs w:val="13"/>
                <w:color w:val="auto"/>
              </w:rPr>
            </w:pPr>
          </w:p>
        </w:tc>
        <w:tc>
          <w:tcPr>
            <w:tcW w:w="1120" w:type="dxa"/>
            <w:vAlign w:val="bottom"/>
          </w:tcPr>
          <w:p>
            <w:pPr>
              <w:jc w:val="center"/>
              <w:ind w:right="156"/>
              <w:spacing w:after="0" w:line="158" w:lineRule="exact"/>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UTC Aerospace Systems</w:t>
            </w:r>
          </w:p>
        </w:tc>
        <w:tc>
          <w:tcPr>
            <w:tcW w:w="1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color w:val="auto"/>
        </w:rPr>
        <w:t xml:space="preserve">2015 Actions. </w:t>
      </w:r>
      <w:r>
        <w:rPr>
          <w:rFonts w:ascii="Arial" w:cs="Arial" w:eastAsia="Arial" w:hAnsi="Arial"/>
          <w:sz w:val="18"/>
          <w:szCs w:val="18"/>
          <w:color w:val="auto"/>
        </w:rPr>
        <w:t>During the quarter ended March 31, 2016, we recorded net pre-tax restructuring costs totaling $29 million for restructuring actions initiated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including $15 million in cost of sales and $14 million in selling, general and administrative expenses. The 2015 actions relate to ongoing cost reduction efforts, including workforce reductions and the consolidation of field operations. The following table summarizes the accrual balances and utilization by cost type for the 2015 restructuring actions: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January 1,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Balance at March 31, 2016</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2015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 in</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Remaining Costs at</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2"/>
                <w:szCs w:val="12"/>
                <w:color w:val="auto"/>
              </w:rPr>
            </w:pPr>
          </w:p>
        </w:tc>
        <w:tc>
          <w:tcPr>
            <w:tcW w:w="114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98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2016</w:t>
            </w:r>
          </w:p>
        </w:tc>
        <w:tc>
          <w:tcPr>
            <w:tcW w:w="220" w:type="dxa"/>
            <w:vAlign w:val="bottom"/>
          </w:tcPr>
          <w:p>
            <w:pPr>
              <w:spacing w:after="0"/>
              <w:rPr>
                <w:sz w:val="13"/>
                <w:szCs w:val="13"/>
                <w:color w:val="auto"/>
              </w:rPr>
            </w:pPr>
          </w:p>
        </w:tc>
        <w:tc>
          <w:tcPr>
            <w:tcW w:w="1140" w:type="dxa"/>
            <w:vAlign w:val="bottom"/>
          </w:tcPr>
          <w:p>
            <w:pPr>
              <w:jc w:val="center"/>
              <w:ind w:right="134"/>
              <w:spacing w:after="0" w:line="158" w:lineRule="exact"/>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527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2014 and Prior Actions. </w:t>
      </w:r>
      <w:r>
        <w:rPr>
          <w:rFonts w:ascii="Arial" w:cs="Arial" w:eastAsia="Arial" w:hAnsi="Arial"/>
          <w:sz w:val="18"/>
          <w:szCs w:val="18"/>
          <w:color w:val="auto"/>
        </w:rPr>
        <w:t>As of March 31, 2016, we have approximately $83 million of accrual balances remaining related to 2014 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$16.2 billion and $15.6 billion at March 31, 2016 and December 31, 2015,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March 31, 2016 and December 31, 2015 which consist solely of foreign exchange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Asset Derivatives</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Liability Derivatives</w:t>
            </w:r>
          </w:p>
        </w:tc>
        <w:tc>
          <w:tcPr>
            <w:tcW w:w="58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2016</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2016</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105</w:t>
            </w:r>
          </w:p>
        </w:tc>
      </w:tr>
    </w:tbl>
    <w:p>
      <w:pPr>
        <w:spacing w:after="0" w:line="12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 xml:space="preserve">As discussed in Note 5, we have issued approximately €2.95 billion of Euro-denominated debt, which qualifies as a net investment hedge against our investments in European businesses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 of March 31, 2016, the net investment hedge is deemed to be effective as defined under ASC 815.</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 of gains and losses related to the Company's derivative financial instruments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(loss) recorded in Accumulated other comprehensive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Loss reclassified from Accumulated other comprehensive loss into Product sales (effective portion)</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57</w:t>
            </w:r>
          </w:p>
        </w:tc>
      </w:tr>
    </w:tbl>
    <w:p>
      <w:pPr>
        <w:spacing w:after="0" w:line="121"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Assuming current market conditions continue, a $137 million pre-tax loss is expected to be reclassified from Accumulated other comprehensive loss into Product sales to reflect the fixed prices obtained from foreign exchange hedging within the next 12 months. At March 31, 2016, all derivative contracts accounted for as cash flow hedges will mature by November 2022.</w:t>
      </w:r>
    </w:p>
    <w:p>
      <w:pPr>
        <w:spacing w:after="0" w:line="18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effect on the Condensed Consolidated Statement of Operations of foreign exchange contracts not designated as hedging instruments was as follows: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6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Gain recognized in Other income,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r>
      <w:tr>
        <w:trPr>
          <w:trHeight w:val="27"/>
        </w:trPr>
        <w:tc>
          <w:tcPr>
            <w:tcW w:w="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received $42 million and $569 million from settlements of derivative contracts during the quarters ended March 31, 2016 and 2015,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March 31, 2016 and December 31, 2015: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2016 (Dollars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2015 (Dollars in millions)</w:t>
            </w: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bl>
    <w:p>
      <w:pPr>
        <w:spacing w:after="0" w:line="117"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measured at fair value using closing stock prices from active markets.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As of March 31, 2016, there were no significant transfers in and out of Level 1 and Level 2.</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As of March 31, 2016,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March 31, 2016 and December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2016</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3"/>
                <w:szCs w:val="13"/>
                <w:color w:val="auto"/>
              </w:rPr>
            </w:pPr>
          </w:p>
        </w:tc>
        <w:tc>
          <w:tcPr>
            <w:tcW w:w="100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3"/>
                <w:szCs w:val="13"/>
                <w:color w:val="auto"/>
              </w:rPr>
            </w:pPr>
          </w:p>
        </w:tc>
        <w:tc>
          <w:tcPr>
            <w:tcW w:w="10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March 31,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had commercial aerospace financing and other contractual commitments totaling approximately $14.0 billion and $14.6 billion as of March 31, 2016 and December 31, 2015, respectively, related to commercial aircraft and certain contractual rights to provide product on new aircraft platforms.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leases receivable, and notes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140" w:firstLine="567"/>
        <w:spacing w:after="0" w:line="276" w:lineRule="auto"/>
        <w:rPr>
          <w:sz w:val="20"/>
          <w:szCs w:val="20"/>
          <w:color w:val="auto"/>
        </w:rPr>
      </w:pPr>
      <w:r>
        <w:rPr>
          <w:rFonts w:ascii="Arial" w:cs="Arial" w:eastAsia="Arial" w:hAnsi="Arial"/>
          <w:sz w:val="17"/>
          <w:szCs w:val="17"/>
          <w:color w:val="auto"/>
        </w:rPr>
        <w:t>Long-term trade accounts receivable, including unbilled receivables related to long-term aftermarket contracts, are principally amounts arising from the sale of goods and delivery of services with a contractual maturity date or realization period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 related long-term receivables as of March 31, 2016 and December 31,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451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540"/>
        <w:spacing w:after="0" w:line="302" w:lineRule="auto"/>
        <w:rPr>
          <w:sz w:val="20"/>
          <w:szCs w:val="20"/>
          <w:color w:val="auto"/>
        </w:rPr>
      </w:pPr>
      <w:r>
        <w:rPr>
          <w:rFonts w:ascii="Arial" w:cs="Arial" w:eastAsia="Arial" w:hAnsi="Arial"/>
          <w:sz w:val="16"/>
          <w:szCs w:val="16"/>
          <w:color w:val="auto"/>
        </w:rPr>
        <w:t>Customer credit ratings range from customers with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14% and 13% of our total long-term receivables were considered to bear high credit risk as of March 31, 2016 and December 31, 2015, respectively.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firstLine="540"/>
        <w:spacing w:after="0" w:line="259" w:lineRule="auto"/>
        <w:rPr>
          <w:sz w:val="20"/>
          <w:szCs w:val="20"/>
          <w:color w:val="auto"/>
        </w:rPr>
      </w:pPr>
      <w:r>
        <w:rPr>
          <w:rFonts w:ascii="Arial" w:cs="Arial" w:eastAsia="Arial" w:hAnsi="Arial"/>
          <w:sz w:val="18"/>
          <w:szCs w:val="18"/>
          <w:color w:val="auto"/>
        </w:rPr>
        <w:t>For long-term trade accounts receivable, we evaluate credit risk and collectability individually to determine if an allowance is necessary. Our long-term receivables reflected in the table above, which includes a reserve of $18 million as of March 31, 2016 and December 31, 2015, are individually evaluated for impairment. At March 31, 2016 and December 31, 2015, we did not have any significant balances that are considered to be delinquent, on non-accrual status, past due 90 days or more, or considered to be not recoverable.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Shareowners' Equity and Noncontrolling Interest</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ended March 31, 2016 and 2015 is provided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Quarter Ended March 31,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 sale of subsidiary shares from noncontrolling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28,353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28,650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30,167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0" w:firstLine="392"/>
        <w:spacing w:after="0" w:line="279" w:lineRule="auto"/>
        <w:rPr>
          <w:sz w:val="20"/>
          <w:szCs w:val="20"/>
          <w:color w:val="auto"/>
        </w:rPr>
      </w:pPr>
      <w:r>
        <w:rPr>
          <w:rFonts w:ascii="Arial" w:cs="Arial" w:eastAsia="Arial" w:hAnsi="Arial"/>
          <w:sz w:val="17"/>
          <w:szCs w:val="17"/>
          <w:color w:val="auto"/>
        </w:rPr>
        <w:t>On March 13, 2015, we entered into accelerated share repurchase (ASR) agreements to repurchase an aggregate of $2.65 billion of our common stock. Under the terms of the ASR agreements, we made the aggregate payments and received an initial delivery of 18.6 million shares of common stock, representing approximately 85% of the shares expected to be repurchased. On July 31, 2015, the shares associated with the remaining portion of the aggregate purchase were settled upon final delivery of approximately 4.2 million additional shares of common stock.</w:t>
      </w:r>
    </w:p>
    <w:p>
      <w:pPr>
        <w:spacing w:after="0" w:line="171"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On November 11, 2015, we entered into ASR agreements to repurchase an aggregate of $6 billion of our common stock utilizing the net after-tax proceeds from the sale of Sikorsky. The ASR agreements provide for the repurchase of our common stock based on the average of the daily volume-weighted average prices of our common stock during the term of such ASR agreement, less a discount and subject to adjustments pursuant to the terms and conditions of the ASR agreement. Under the terms of the ASR agreements, we made the aggregate payments and received an initial delivery of approximately 51.9 million shares of our common stock, representing approximately 85% of the shares expected to be repurchased. The shares associated with the remaining portion of the aggregate purchase price are to be settled over six tranches. Upon settlement of each tranche, we may be entitled to receive additional shares of our common stock or, under certain limited circumstances, be required to deliver shares or make additional payments to the counterparties, at our election.</w:t>
      </w:r>
    </w:p>
    <w:p>
      <w:pPr>
        <w:spacing w:after="0" w:line="59"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On January 19, 2016, the shares associated with the remaining portion of the first tranche of the aggregate purchase were settled upon final delivery of approximately 2.1 million shares of common stock. The final settlement of the transactions under the remaining five tranches is expected to occur no later than the third quarter of 2016.</w:t>
      </w:r>
    </w:p>
    <w:p>
      <w:pPr>
        <w:spacing w:after="0" w:line="7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income (loss), net of tax for the quarters ended March 31, 2016 and 2015 is provided below:</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March 31, 2016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March 31,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March 31, 2015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(loss) income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March 31,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Amounts reclassified related to our defined benefit pension and postretirement plans include amortization of prior service costs and transition obligations, and actuarial net losses recognized during each period presented. These costs are recorded as components of net periodic pension cost for each period presented (see Note 7 for additional details).</w:t>
      </w:r>
    </w:p>
    <w:p>
      <w:pPr>
        <w:spacing w:after="0" w:line="18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73"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Changes in noncontrolling interests that do not result in a change of control, and where there is a difference between fair value and carrying value, are accounted for as equity transactions. There would be no pro-forma effect on Net income attributable to common shareowners for the quarter ended March 31, 2016 had the changes been recorded through net income. The pro-forma increase in Net income attributable to common shareowners would have been $11 million for the quarter ended March 31, 2015 had the changes been recorded through net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Guarantees</w:t>
      </w:r>
    </w:p>
    <w:p>
      <w:pPr>
        <w:spacing w:after="0" w:line="22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2015. The changes in the carrying amount of service and product warranties and product performance guarantees for the three months ended March 31, 2016 and 2015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1,264</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March 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1,264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8"/>
          <w:szCs w:val="18"/>
          <w:color w:val="auto"/>
        </w:rPr>
        <w:t>The amounts above exclude service and product warranties and product performance guarantees related to Sikorsky of approximately $50 million as of March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Contingent Liabilities</w:t>
      </w:r>
    </w:p>
    <w:p>
      <w:pPr>
        <w:sectPr>
          <w:pgSz w:w="11900" w:h="16838" w:orient="portrait"/>
          <w:cols w:equalWidth="0" w:num="1">
            <w:col w:w="11420"/>
          </w:cols>
          <w:pgMar w:left="240" w:top="114"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4" w:right="239" w:bottom="1440" w:gutter="0" w:footer="0" w:header="0"/>
          <w:type w:val="continuous"/>
        </w:sectPr>
      </w:pPr>
    </w:p>
    <w:bookmarkStart w:id="18" w:name="page19"/>
    <w:bookmarkEnd w:id="18"/>
    <w:p>
      <w:pPr>
        <w:ind w:right="20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2015 Annual Report, incorporated by reference in our 2015 Form 10-K, updated as applicable.</w:t>
      </w:r>
    </w:p>
    <w:p>
      <w:pPr>
        <w:spacing w:after="0" w:line="170"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jurisdiction over our foreign operations. As described in Note 1 to the Consolidated Financial Statements in our 2015 Annual Report, we have accrued for the costs of environmental remediation activities and periodically reassess these amounts. We believe that the likelihood of incurring losses materially in excess of amounts accrued is remote. Additional information pertaining to environmental matters is included in Note 1 to the Consolidated Financial Statements in our 2015 Annual Report.</w:t>
      </w:r>
    </w:p>
    <w:p>
      <w:pPr>
        <w:spacing w:after="0" w:line="1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Government. </w:t>
      </w:r>
      <w:r>
        <w:rPr>
          <w:rFonts w:ascii="Arial" w:cs="Arial" w:eastAsia="Arial" w:hAnsi="Arial"/>
          <w:sz w:val="17"/>
          <w:szCs w:val="17"/>
          <w:color w:val="auto"/>
        </w:rPr>
        <w:t>In the ordinary course of business, the Company and its subsidiaries and our properties are subject to regulatory and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void any contracts found to be tainted by fraud.</w:t>
      </w:r>
    </w:p>
    <w:p>
      <w:pPr>
        <w:spacing w:after="0" w:line="178"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Our contracts with the U.S. Government are also subject to audits. Like many defense contractors, we have received audit reports, which recommend that certain contract prices should be reduced to comply with various government regulations, including because cost or pricing data we submitted in negotiation of the contract prices or cost accounting practices may not have conformed to government regulations, or that certain payments be delayed or withheld. Some of these audit reports involved substantial amounts. We have made voluntary refunds in those cases we believe appropriate, have settled some allegations and continue to litigate certain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F100 Engine Litigation</w:t>
      </w:r>
    </w:p>
    <w:p>
      <w:pPr>
        <w:spacing w:after="0" w:line="11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As previously disclosed, the United States Government sued us in 1999 in the United States District Court for the Southern District of Ohio (District Court),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$7,090,000, or $10,000 for each of the 709 invoices Pratt &amp; Whitney submitted in 1989 and later under the contracts. In September 2008, both the government and UTC appealed the decision to the United States Court of Appeals for the Sixth Circuit. In November 2010, the Sixth Circuit affirmed Pratt &amp; Whitney's liability for the civil penalty under the False Claims Act, but remanded the case to the trial court for further proceedings on the issues of False Claims Act damages and common law liability and damages.</w:t>
      </w:r>
    </w:p>
    <w:p>
      <w:pPr>
        <w:spacing w:after="0" w:line="18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seeks damages for events occurring before March 3, 1989, which are not recoverable under the False Claims Act.</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76" w:right="259" w:bottom="1440" w:gutter="0" w:footer="0" w:header="0"/>
        </w:sectPr>
      </w:pPr>
    </w:p>
    <w:bookmarkStart w:id="19" w:name="page20"/>
    <w:bookmarkEnd w:id="19"/>
    <w:p>
      <w:pPr>
        <w:ind w:right="20" w:firstLine="432"/>
        <w:spacing w:after="0" w:line="255" w:lineRule="auto"/>
        <w:rPr>
          <w:sz w:val="20"/>
          <w:szCs w:val="20"/>
          <w:color w:val="auto"/>
        </w:rPr>
      </w:pPr>
      <w:r>
        <w:rPr>
          <w:rFonts w:ascii="Arial" w:cs="Arial" w:eastAsia="Arial" w:hAnsi="Arial"/>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(1) common law damages of approximately $109 million; (2) prejudgment interest on common law damages of approximately $191 million; (3) False Claims Act treble damages of approximately $357 million; and (4) the civil penalty of approximately $7 million. The penalty component of the judgment previously was affirmed by the United States Court of Appeals in 2010.</w:t>
      </w:r>
    </w:p>
    <w:p>
      <w:pPr>
        <w:spacing w:after="0" w:line="18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filed an appeal from the judgment to the United States Court of Appeals for the Sixth Circuit on August 26, 2013. On April 6, 2015, the Sixth Circuit reversed the trial court’s decision and vacated the prior damages award, noting that the government did not prove any damages. The court rejected as a matter of law the evidence submitted by the government on damages and remanded the case to the District Court to decide in the first instance whether the government should have another opportunity to prove that it suffered any actual damages.</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 xml:space="preserve">On July 17, 2015, the case returned to the District Court, at which time we filed a motion for entry of judgment, seeking a judgment of zero actual damages. The government responded by filing a motion on August 28, 2015, in which it abandoned its claim for actual damages, but now seeks a </w:t>
      </w:r>
      <w:r>
        <w:rPr>
          <w:rFonts w:ascii="Arial" w:cs="Arial" w:eastAsia="Arial" w:hAnsi="Arial"/>
          <w:sz w:val="18"/>
          <w:szCs w:val="18"/>
          <w:color w:val="231F20"/>
        </w:rPr>
        <w:t>judgment of</w:t>
      </w:r>
      <w:r>
        <w:rPr>
          <w:rFonts w:ascii="Arial" w:cs="Arial" w:eastAsia="Arial" w:hAnsi="Arial"/>
          <w:sz w:val="18"/>
          <w:szCs w:val="18"/>
          <w:color w:val="auto"/>
        </w:rPr>
        <w:t xml:space="preserve"> </w:t>
      </w:r>
      <w:r>
        <w:rPr>
          <w:rFonts w:ascii="Arial" w:cs="Arial" w:eastAsia="Arial" w:hAnsi="Arial"/>
          <w:sz w:val="18"/>
          <w:szCs w:val="18"/>
          <w:color w:val="231F20"/>
        </w:rPr>
        <w:t>approximately $85 million, representing (1) disgorgement of UTC’s alleged profits in fiscal year 1985, the first year of the multi-year engine competition, (2) prejudgment interest and (3) the approximately $7 million civil penalty.</w:t>
      </w:r>
    </w:p>
    <w:p>
      <w:pPr>
        <w:spacing w:after="0" w:line="200" w:lineRule="exact"/>
        <w:rPr>
          <w:sz w:val="20"/>
          <w:szCs w:val="20"/>
          <w:color w:val="auto"/>
        </w:rPr>
      </w:pPr>
    </w:p>
    <w:p>
      <w:pPr>
        <w:ind w:right="60" w:firstLine="432"/>
        <w:spacing w:after="0" w:line="293" w:lineRule="auto"/>
        <w:rPr>
          <w:sz w:val="20"/>
          <w:szCs w:val="20"/>
          <w:color w:val="auto"/>
        </w:rPr>
      </w:pPr>
      <w:r>
        <w:rPr>
          <w:rFonts w:ascii="Arial" w:cs="Arial" w:eastAsia="Arial" w:hAnsi="Arial"/>
          <w:sz w:val="18"/>
          <w:szCs w:val="18"/>
          <w:color w:val="auto"/>
        </w:rPr>
        <w:t>We believe that there is no basis for the government’s new profit disgorgement claim. Accordingly, we continue not to accrue a reserve beyond the civil penalty referenced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w:t>
      </w:r>
    </w:p>
    <w:p>
      <w:pPr>
        <w:spacing w:after="0" w:line="225"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color w:val="auto"/>
        </w:rPr>
        <w:t>By letter dated December 24, 2013, a Divisional Administrative Contracting Officer of the United States Defense Contract Management Agency asserted a claim and demand for payment of approximately $211 million against Pratt &amp; Whitney. The claim is based on Pratt &amp; Whitney's alleged noncompliance with cost accounting standards from January 1, 2005 to December 31, 2012, due to its method of determining the cost of collaborator parts used in the calculation of material overhead costs for government contracts. On March 18, 2014, Pratt &amp; Whitney filed an appeal to the Armed Services Board of Contract Appeals. Pratt &amp; Whitney’s appeal is still pending and we continue to believe the government’s claim is without merit.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As previously disclosed, UTC has been involved in administrative review proceedings with the German Tax Office, which concern approximately €215 million (approximately $241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$132 million). On August 3, 2012, we filed suit in the local German Tax Court (Berlin-Brandenburg). In March 2016, the local German Tax Court dismissed our suit, and we have appealed this decision to the German Federal Tax Court (FTC).</w:t>
      </w:r>
    </w:p>
    <w:p>
      <w:pPr>
        <w:spacing w:after="0" w:line="15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From 2008 to 2014, there was ongoing litigation between the German Government and another taxpayer in a case involving a German tax law relevant to our reorganization. In November 2014, the FTC ruled in favor of the German Government, and against the other taxpayer. In light of the FTC decision in the case involving the other taxpayer, we fully accrued for tax and interest in 2014. In 2015, UTC made tax and interest payments to German tax authorities of €275 million (approximately $300 million) in order to avoid additional interest accruals pending final resolution of this matter. In the meantime, we continue vigorously to litigate our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Matters</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As previously reported,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 or other forms of indemnity. Additional cases were litigated and settled without any insurance reimbursement. The amounts involved in asbestos related claims were not material individually or in the aggregate in any year.</w:t>
      </w:r>
    </w:p>
    <w:p>
      <w:pPr>
        <w:spacing w:after="0" w:line="17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estimated total liability to resolve all pending and unasserted potential future asbestos claims through 2059 is $376 million and is recorded in Other long-term liabilities on our Condensed Consolidated Balance Sheet. This amount is on a pre-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76"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tax basis, not discounted, and excludes the Company’s defense fees (which will continue to be expensed by the Company as they are incurred).</w:t>
      </w:r>
    </w:p>
    <w:p>
      <w:pPr>
        <w:spacing w:after="0" w:line="23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addition, the Company has recorded a $106 million insurance recovery receivable for probable asbestos related recoveries. In calculating this amount, the Company used the estimated asbestos liability for pending and projected future claims and considered the amount of insurance available, allocation methodologies, solvency ratings, creditworthiness, and the contractual terms with each insurer.</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amounts recorded by UTC for asbestos-related claims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average cost of resolution of each new claim,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reforms that may be made by state and federal courts, and the passage of state or federal tort reform legislation.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described in Note 16 to the Consolidated Financial Statements in our 2015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81"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14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of these proceedings,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Financial Data</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operations are classified into four principal segments: Otis, UTC Climate, Controls &amp; Security, Pratt &amp; Whitney, and UTC Aerospace Systems. The segments are generally based on the management structure of the businesses and the grouping of similar operating companies, where each management organization has general operating autonomy over diversified products and services.</w:t>
      </w:r>
    </w:p>
    <w:p>
      <w:pPr>
        <w:spacing w:after="0" w:line="181" w:lineRule="exact"/>
        <w:rPr>
          <w:sz w:val="20"/>
          <w:szCs w:val="20"/>
          <w:color w:val="auto"/>
        </w:rPr>
      </w:pPr>
    </w:p>
    <w:p>
      <w:pPr>
        <w:ind w:right="200" w:firstLine="567"/>
        <w:spacing w:after="0" w:line="264" w:lineRule="auto"/>
        <w:rPr>
          <w:sz w:val="20"/>
          <w:szCs w:val="20"/>
          <w:color w:val="auto"/>
        </w:rPr>
      </w:pPr>
      <w:r>
        <w:rPr>
          <w:rFonts w:ascii="Arial" w:cs="Arial" w:eastAsia="Arial" w:hAnsi="Arial"/>
          <w:sz w:val="18"/>
          <w:szCs w:val="18"/>
          <w:color w:val="auto"/>
        </w:rPr>
        <w:t>As discussed in Note 2, on November 6, 2015, we completed the sale of Sikorsky to Lockheed Martin Corp. Amounts reported for 2015 in the table below exclude amounts attributable to Sikorsky, which have been reclassified to Discontinued Operations in the accompanying Condensed Consolidated Statement of Operations.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6"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March 31, 2016 and 2015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3,728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3,505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13,357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13,320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Note 8 to the Condensed Consolidated Financial Statements for a discussion of restructuring costs included in segment operating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Accounting Pronouncements</w:t>
      </w:r>
    </w:p>
    <w:p>
      <w:pPr>
        <w:spacing w:after="0" w:line="229"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In May 2014, the FASB issued Accounting Standards Update (ASU) 2014-09, "Revenue from Contracts with Customers." In March 2016, the FASB issued ASU 2016-08, "Revenue from Contracts with Customers (Topic 606), Principal versus Agent Considerations (Reporting Revenue versus Net)." The ASU clarifies how an entity should identify the unit of accounting (i.e. the specified good or service) for the principal versus agent evaluation and how it should apply the control principle to certain types of arrangements. In April 2016, the FASB issued ASU 2016-10, "Revenue from Contracts with Customers (Topic 606), Identifying Performance Obligations and Licensing," which clarifies the guidance surrounding licensing arrangements and the identification of performance obligations. On August 12, 2015, the FASB issued ASU 2015-14, "Revenue from Contracts with Customers (Topic 606): Deferral of the Effective Date," which delays the effective date of ASU 2014-09 by one year. The new standard is effective for reporting periods beginning after December 15, 2017, and interim periods therein, using either of the following transition methods; (i) a full retrospective adoption reflecting the application of the standard in each prior reporting period, or (ii) a modified retrospective approach with the cumulative effect of initially adopting ASU 2014-09 recognized through retained earnings at the date of adoption. Early adoption is permitted for reporting periods beginning after December 15, 2016. We are in the process of evaluating the potential revenue implications of the standard change, which may result in changes to our revenue recognition practices; the elimination of the units-of-delivery method for certain U.S. Government programs; and the elimination of the completed contract method of accounting.</w:t>
      </w:r>
    </w:p>
    <w:p>
      <w:pPr>
        <w:spacing w:after="0" w:line="16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January 2016, the FASB issued ASU 2016-01, "Financial Instruments - Overall: Recognition and Measurement of Financial Assets and Financial Liabilities." This ASU modifies how entities measure equity investments and present changes in the fair value of financial liabilities. Upon adoption, investments that do not result in consolidation and are not accounted for under the equity method generally must be carried at fair value, with changes in fair value recognized in net income. The provisions of this ASU are effective for years beginning after December 15, 2017. We are currently evaluating the impact of this ASU.</w:t>
      </w:r>
    </w:p>
    <w:p>
      <w:pPr>
        <w:spacing w:after="0" w:line="188"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February 2016, the FASB issued ASU 2016-02, "Leases (Topic 842)." Under the amendments of this ASU, lessees will be required to recognize the following for all leases (with the exception of short-term leases) at the commencement date; (i) a lease liability, which is a lessee’s obligation to make lease payments arising from a lease, measured on a discounted basis; and (ii) a right-of-use asset, which is an asset that represents the lessee’s right to use, or control the use of, a specified asset for the lease term. Lessor accounting is largely unchanged under the amendments of this ASU. The provisions of this ASU are effective for years beginning after December 15, 2018. We are currently evaluating the impact of this ASU.</w:t>
      </w:r>
    </w:p>
    <w:p>
      <w:pPr>
        <w:spacing w:after="0" w:line="17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March 2016, the FASB issued ASU 2016-07, "Investments - Equity Method and Joint Ventures (Topic 323): Simplifying the Transition to the Equity Method of Accounting." This ASU eliminates the requirement to apply the equity method of accounting retrospectively when a reporting entity obtains significant influence over a previously held investment. Instead, the equity method of accounting should be applied prospectively from the date significant influence is obtained. In addition, the ASU requires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provisions of this ASU are effective for years beginning after December 15, 2016. We are currently evaluating the impact of this ASU.</w:t>
      </w:r>
    </w:p>
    <w:p>
      <w:pPr>
        <w:spacing w:after="0" w:line="18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This ASU is intended to simplify several aspects of the accounting for share-based payment transactions, including the income tax consequences, classification of awards as either equity or liabilities,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classification on the statement of cash flows. The provisions of this ASU are effective for years beginning after December 15, 2016. Early application is permitted. We are currently evaluating the impact of this ASU.</w:t>
      </w:r>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240" w:top="121" w:right="69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March 31, 2016 and 2015, PricewaterhouseCoopers LLP (PricewaterhouseCoopers) reported that it has applied limited procedures in accordance with professional standards for a review of such information. However, its report dated April 29, 2016,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40" w:firstLine="3453"/>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59"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March 31, 2016 and the related condensed consolidated statements of operations and condensed consolidated statements of comprehensive income for the three-month period ended March 31, 2016 and 2015 and the condensed consolidated statement of cash flows for the three-month period ended March 31, 2016 and 2015. This interim financial information is the responsibility of the Corporation’s management.</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2015, and the related consolidated statements of operations, of comprehensive income, of cash flows, and of changes in equity for the year then ended (not presented herein), and in our report dated February 11, 2016, which included a paragraph that described the change in classification and presentation of debt issuance costs and deferred income taxes, and the leveling classification of pension assets in 2015, we expressed an unqualified opinion on those consolidated financial statements. In our opinion, the information set forth in the accompanying condensed consolidated balance sheet as of December 31, 2015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are a global provider of high technology products and services to the building systems and aerospace industries. Our operations for the periods presented herein are classified into four principal business segments: Otis, UTC Climate, Controls &amp; Security, Pratt &amp; Whitney, and UTC Aerospace Systems. Otis and UTC Climate, Controls &amp; Security are referred to as the "commercial businesses," while Pratt &amp; Whitney, and UTC Aerospace Systems are referred to as the "aerospace businesses." On November 6, 2015, we completed the sale of Sikorsky to Lockheed Martin Corp. for $9,083 million in cash, subject to customary post-closing working capital and net debt adjustments. The results of operations and the related cash flows of Sikorsky have been reclassified to Discontinued Operations in our Consolidated Statements of Operations and Cash Flows for all periods presented.</w:t>
      </w:r>
    </w:p>
    <w:p>
      <w:pPr>
        <w:spacing w:after="0" w:line="5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current status of significant factors affecting our business environment in 2016 is discussed below. For additional discussion, refer to the "Business Overview" section in Management's Discussion and Analysis of Financial Condition and Results of Operations in our 2015 Annual Report, which is incorporated by reference in our 2015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aftermarket businesses, and longer cycles at Otis and in our aerospace OEM businesses. Our customers include companies in the private sector and governments, and our businesses reflect an extensive geographic diversification that has evolved with the continued globalization of world economies.</w:t>
      </w:r>
    </w:p>
    <w:p>
      <w:pPr>
        <w:spacing w:after="0" w:line="18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global economy continues to expand in 2016 with world gross domestic product (GDP) growth projected to reach approximately 2.6% reflecting modest growth in the U.S. and Western Europe and a slowing but still growing China economy. U.S. GDP growth is forecasted to be 2.1%, reflecting a mixed outlook with an improving housing market and growth in new jobs, tempered by slower wage growth and slightly declining retail sales. Although emerging markets have historically led global growth relative to advanced and developing countries, slowing growth rates in China and contraction in Russia and Brazil have tempered growth expectations for emerging markets in 2016 to approximately 3.9%.</w:t>
      </w:r>
    </w:p>
    <w:p>
      <w:pPr>
        <w:spacing w:after="0" w:line="17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military businesses sales are affected by U.S. Department of Defense budget and spending levels. Total sales to the U.S. Government were $1.4 billion and $1.3 billion, or 10% of total UTC sales, in the quarters ended March 31, 2016 and 2015, respectively. The defense portion of our aerospace business is affected by changes in market demand and the global political environment. Our participation in long-term production and development programs for the U.S. Government has and is expected to contribute positively to our results in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w:t>
      </w:r>
    </w:p>
    <w:p>
      <w:pPr>
        <w:spacing w:after="0" w:line="225"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On November 6, 2015, we completed the sale of Sikorsky to Lockheed Martin Corp. for $9,083 million in cash, subject to customary post-closing working capital and net debt adjustments. As noted above, the results of operations and the related cash flows of Sikorsky have been reclassified to Discontinued Operations in our Condensed Consolidated Statements of Operations, Comprehensive Income and Cash Flows for all periods presented. Proceeds from the sale were used to fund $6.0 billion of share repurchases through accelerated share repurchase (ASR) agreements entered into on November 11, 2015. We expect to make $2.5 billion of tax payments in 2016 related to the gain on the sale of Sikorsky, including $2.2 billion of tax payments which were made during the quarter ended March 31, 2016, subject to resolution of outstanding matters with taxing authorities.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quarter ended March 31, 2016, our investment in business acquisitions was approximately $79 million, which includes a number of small acquisitions primarily in our commercial businesses. We expect cash investment in acquisitions to be between $1 billion and $2 billion in 2016. However, actual acquisition spending may vary depending upon the timing, availability and value of acquisition opportunities.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2016. See Part I, Item 1A, "Risk Factors" in our 2015 Form 10-K for further discussion.</w:t>
      </w:r>
    </w:p>
    <w:p>
      <w:pPr>
        <w:spacing w:after="0" w:line="79"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UTC Aerospace Systems has determined that Goodrich Actuation Systems SAS, a UTC Aerospace Systems company in France, engaged in activities enumerated in Sections 13(r)(1)(D)(i) and (iii) of the Securities and Exchange Act (15 U.S.C. Section 78(m)(r)) during the period required for reporting. Specifically, Goodrich Actuation Systems SAS sent documents containing general service information about components on older commercial aircraft by electronic mail to a distribution list provided by aircraft manufacturers. The list included operators Iran Aseman Airlines, Mahan Air, and Meraj Airlines based in Iran. UTC Aerospace Systems understands that Iran Aseman Airlines is owned or controlled by the Government of Iran and that the U.S. Department of the Treasury's Office of Foreign Assets Control (OFAC) has blocked the property and interests in property of Mahan Air and Meraj Air pursuant to Executive Order No. 13224. UTC Aerospace Systems did not identify any revenues or profits attributable to the distribution of these documents. UTC Aerospace Systems has instructed Goodrich Actuation Systems not to send any additional information or participate in any further communications with entities in embargoed countries and OFAC specially designated parties. UTC Aerospace Systems has filed the relevant disclosure with OFAC.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2015 Annual Report, incorporated by reference in our 2015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quarter ended March 31, 2016.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13,357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13,320</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factors contributing to the total percentage change year-over-year in total net sales for the quarter ended March 31, 2016 are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Organic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Quarter Ended March 31,</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2016</w:t>
      </w:r>
    </w:p>
    <w:p>
      <w:pPr>
        <w:spacing w:after="0" w:line="4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2 %</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w:t>
      </w:r>
    </w:p>
    <w:p>
      <w:pPr>
        <w:spacing w:after="0" w:line="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1166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980" w:space="720"/>
            <w:col w:w="1720"/>
          </w:cols>
          <w:pgMar w:left="240" w:top="121" w:right="239" w:bottom="1440" w:gutter="0" w:footer="0" w:header="0"/>
          <w:type w:val="continuous"/>
        </w:sectPr>
      </w:pPr>
    </w:p>
    <w:p>
      <w:pPr>
        <w:spacing w:after="0" w:line="7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quarter ended March 31, 2016, organic sales growth at Pratt &amp; Whitney (8%) and Otis (3%) was partially offset by declines at UTC Climate, Controls &amp; Security (1%) and UTC Aerospace Systems (1%). The organic sales growth at Pratt &amp; Whitney was driven by higher commercial aftermarket sales and higher military engine sales. The organic sales growth at Otis was driven by higher new equipment sales in North America and Asia outside of China, and service sales growth in the Americas and Asia. The decline in sales at UTC Climate, Controls &amp; Security was primarily driven by lower sales in the global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fire products and commercial refrigeration businesses, while the decline in sales at UTC Aerospace Systems was primarily due to lower military OEM sales volume.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7,087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6,999</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2,567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2,507</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9,654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9,506</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ended March 31, 2016 in total cost of products and services sold are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Organic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Quarter Ended March 31,</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2016</w:t>
      </w:r>
    </w:p>
    <w:p>
      <w:pPr>
        <w:spacing w:after="0" w:line="4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3 %</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1166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8980" w:space="720"/>
            <w:col w:w="1720"/>
          </w:cols>
          <w:pgMar w:left="240" w:top="121" w:right="239" w:bottom="1440" w:gutter="0" w:footer="0" w:header="0"/>
          <w:type w:val="continuous"/>
        </w:sectPr>
      </w:pPr>
    </w:p>
    <w:p>
      <w:pPr>
        <w:jc w:val="both"/>
        <w:ind w:right="380" w:firstLine="432"/>
        <w:spacing w:after="0" w:line="312" w:lineRule="auto"/>
        <w:rPr>
          <w:sz w:val="20"/>
          <w:szCs w:val="20"/>
          <w:color w:val="auto"/>
        </w:rPr>
      </w:pPr>
      <w:r>
        <w:rPr>
          <w:rFonts w:ascii="Arial" w:cs="Arial" w:eastAsia="Arial" w:hAnsi="Arial"/>
          <w:sz w:val="16"/>
          <w:szCs w:val="16"/>
          <w:color w:val="auto"/>
        </w:rPr>
        <w:t>The organic increase in total cost of products and services sold in the quarter ended March 31, 2016 was driven by the organic sales increase noted above, as well as a higher proportion of OEM sales mix and the related negative engine margin in 2016 relative to 2015, within Pratt &amp; Whitney. Foreign exchange fluctuations provided a benefit through lower cost of sales of approximately 2% driven by Otis and UTC Climate, Controls &amp; Security.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3,703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3,814</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w:t>
            </w:r>
          </w:p>
        </w:tc>
      </w:tr>
    </w:tbl>
    <w:p>
      <w:pPr>
        <w:spacing w:after="0" w:line="12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90 basis point decline in gross margin as a percentage of sales for the quarter ended March 31, 2016 was driven by lower gross margin at UTC Aerospace Systems (40 basis points) driven by unfavorable mix in commercial OEM sales, lower gross margin at Pratt &amp; Whitney (40 basis points) driven by an increase in negative engine margin, and lower gross margin at Otis (30 basis points) driven by pricing pressure. These declines were offset by higher gross margin at UTC Climate, Controls &amp; Security (20 basis points) primarily driven by lower commodities cost.</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564</w:t>
            </w: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405</w:t>
            </w: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21"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decrease in company-funded research and development (4%) for the quarter ended March 31, 2016 is primarily driven by lower research and development within UTC Aerospace Systems related to several commercial aerospace programs (5%), partially offset by higher spending at Pratt &amp; Whitney (1%), related to several commercial engine programs. Customer-funded research and development declined 12%, primarily at Pratt &amp; Whitney (12%), due principally to lower spending on U.S. Government programs.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company-funded research and development for the full year 2016 to decline up to $25 million from 2015 levels.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1,476</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12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Selling, general and administrative expenses declined 8% in the quarter ended March 31, 2016 due to lower pension costs (6%), lower restructuring costs (3%), and the benefit of foreign exchange (2%), partially offset by higher selling, general and administrative expenses at Otis (2%), primarily driven by higher labor costs.</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37"/>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Other income, net includes equity earnings in unconsolidated entities, royalty income, foreign exchange gains and losses as well as other ongoing and nonrecurring items. The year-over-year decrease in other income, net (64%) in the quarter ended March 31, 2016 reflects the absence of: a gain on the remeasurement to fair value of previously held equity interests in UTC Climate, Controls &amp; Security joint venture investments (38%); a gain on a UTC Climate, Controls &amp; Security property sale (2%); and a benefit from a favorable contract termination at Pratt &amp; Whitney (9%). The remaining change is primarily due to normal recurring operational activity.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239</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217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2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increase in interest expense during in the quarter ended March 31, 2016 relative to the prior year is due to additional interest expense on non-U.S. long term debt ($10 million), which we issued in May, 2015 and in February, 2016, partially offset by lower average outstanding U.S. long-term debt balances and related interest expense ($7 million).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71"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23495</wp:posOffset>
            </wp:positionV>
            <wp:extent cx="1886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r>
      <w:tr>
        <w:trPr>
          <w:trHeight w:val="243"/>
        </w:trPr>
        <w:tc>
          <w:tcPr>
            <w:tcW w:w="9340" w:type="dxa"/>
            <w:vAlign w:val="bottom"/>
            <w:gridSpan w:val="2"/>
            <w:shd w:val="clear" w:color="auto" w:fill="CCEEFF"/>
          </w:tcPr>
          <w:p>
            <w:pPr>
              <w:jc w:val="right"/>
              <w:ind w:right="7988"/>
              <w:spacing w:after="0"/>
              <w:rPr>
                <w:sz w:val="20"/>
                <w:szCs w:val="20"/>
                <w:color w:val="auto"/>
              </w:rPr>
            </w:pPr>
            <w:r>
              <w:rPr>
                <w:rFonts w:ascii="Arial" w:cs="Arial" w:eastAsia="Arial" w:hAnsi="Arial"/>
                <w:sz w:val="18"/>
                <w:szCs w:val="18"/>
                <w:color w:val="auto"/>
                <w:w w:val="93"/>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8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decrease in the effective tax rate for the quarter ended March 31, 2016 is primarily due to the impact of a lower annualized effective tax rate for 2016 and reflects the absence of the 2015 non-taxable gain recognized on the re-measurement to fair value of a previously held equity interest in a UTC Climate, Controls &amp; Security joint venture.</w:t>
      </w:r>
    </w:p>
    <w:p>
      <w:pPr>
        <w:spacing w:after="0" w:line="18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estimate our full year continuing operations annual effective income tax rate to be approximately 28%, excluding restructuring and nonrecurring items.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from Continuing Operations Attributable to Common Shareowners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common shareowners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1,364</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121"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Net income from continuing operations attributable to common shareowners for the quarter ended March 31, 2016 includes restructuring charges, net of tax benefit, of $42 million. The effect of restructuring charges on diluted earnings per share for the quarter ended March 31, 2016 was $0.05 per share while the effect of foreign currency translation and hedging generated an unfavorable effect of $0.01 per diluted share.</w:t>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u w:val="single" w:color="auto"/>
          <w:color w:val="auto"/>
        </w:rPr>
        <w:t>Net Income from Discontinued Operations Attributable to Common Shareowners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Quarter Ended March 31,</w:t>
            </w:r>
          </w:p>
        </w:tc>
        <w:tc>
          <w:tcPr>
            <w:tcW w:w="48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attributable to common shareowners</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discontinued operations</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0.07</w:t>
            </w:r>
          </w:p>
        </w:tc>
      </w:tr>
    </w:tbl>
    <w:p>
      <w:pPr>
        <w:spacing w:after="0" w:line="121"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Net income from discontinued operations attributable to common shareowners for the quarter ended March 31, 2016 reflects the final purchase price adjustment for the sale of Sikorsky, which was completed in 2015. Net income from discontinued operations attributable to common shareowners for the quarter ended March 31, 2015 reflects income from Sikorsky's operations of $91 million, and tax expense of $28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Quarter Ended March 31,</w:t>
            </w:r>
          </w:p>
        </w:tc>
        <w:tc>
          <w:tcPr>
            <w:tcW w:w="42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Restructuring actions are an essential component of our operating margin improvement efforts and relate to both existing operations and those recently acquired. Charges generally arise from severance related to workforce reductions and facility exit and lease termination costs associated with the consolidation of field and manufacturing operations. We expect to incur restructuring costs within continuing operations in 2016 of approximately</w:t>
      </w:r>
    </w:p>
    <w:p>
      <w:pPr>
        <w:ind w:right="60"/>
        <w:spacing w:after="0" w:line="255" w:lineRule="auto"/>
        <w:rPr>
          <w:sz w:val="20"/>
          <w:szCs w:val="20"/>
          <w:color w:val="auto"/>
        </w:rPr>
      </w:pPr>
      <w:r>
        <w:rPr>
          <w:rFonts w:ascii="Arial" w:cs="Arial" w:eastAsia="Arial" w:hAnsi="Arial"/>
          <w:sz w:val="18"/>
          <w:szCs w:val="18"/>
          <w:color w:val="auto"/>
        </w:rPr>
        <w:t>$500 million, including trailing costs related to prior actions associated with our continuing cost reduction efforts and the integration of acquisitions. We continue to closely monitor the economic environment and may undertake further restructuring actions to keep our cost structure aligned with the demands of the prevailing market conditions.</w:t>
      </w:r>
    </w:p>
    <w:p>
      <w:pPr>
        <w:spacing w:after="0" w:line="19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As described below, the charges incurred in the quarter ended March 31, 2016 primarily relate to actions initiated during 2016 and 2015, while the charges incurred in the quarter ended March 31, 2015 primarily relate to actions initiated during 2015 and 2014.</w:t>
      </w:r>
    </w:p>
    <w:p>
      <w:pPr>
        <w:spacing w:after="0" w:line="166"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2016 Actions. </w:t>
      </w:r>
      <w:r>
        <w:rPr>
          <w:rFonts w:ascii="Arial" w:cs="Arial" w:eastAsia="Arial" w:hAnsi="Arial"/>
          <w:sz w:val="17"/>
          <w:szCs w:val="17"/>
          <w:color w:val="auto"/>
        </w:rPr>
        <w:t>During the quarter ended March 31, 2016, we recorded net pre-tax restructuring charges of $28 million relating to ongoing cost reduction</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initiated in 2016. We are targeting to complete in 2016 and 2017 the majority of the remaining workforce and facility related cost reduction actions initiated in 2016. Approximately 95% of the total pre-tax charge will require cash payments, which we have funded and expect to continue to fund with cash generated from operations. During the quarter ended March 31, 2016, we had cash outflows of approximately $2 million related to the 2016 actions. We expect to incur additional restructuring charges of $80 million to complete these actions. We expect recurring pre-tax savings in continuing operations to increase over the two-year period subsequent to initiating the actions to approximately $60 million annually.</w:t>
      </w:r>
    </w:p>
    <w:p>
      <w:pPr>
        <w:spacing w:after="0" w:line="17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2015 Actions. </w:t>
      </w:r>
      <w:r>
        <w:rPr>
          <w:rFonts w:ascii="Arial" w:cs="Arial" w:eastAsia="Arial" w:hAnsi="Arial"/>
          <w:sz w:val="18"/>
          <w:szCs w:val="18"/>
          <w:color w:val="auto"/>
        </w:rPr>
        <w:t>During the three months ended March 31, 2016 and 2015, we recorded net pre-tax restructuring charges of $29 million and $64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for actions initiated in 2015. We are targeting to complete in 2016 the majority of the remaining workforce and facility related cost reduction actions initiated in 2015. Approximately 75% of the total pre-tax charge will require cash payments, which we have and expect to continue to fund with cash generated from operations. During the quarter ended March 31, 2016, we had cash outflows of approximately $69 million related to the 2015 actions. We expect to incur additional restructuring charges of $172 million to complete these actions. We expect recurring pre-tax savings in continuing operations to increase over the two-year period subsequent to initiating the actions to approximately $440 million annually, of which, approximately $57 million was realized during the quarter ended March 31, 2016.</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discussion of restructuring, see Note 8 to the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Segments are generally based on the management structure of the businesses and the grouping of similar operating companies, where each management organization has general operating autonomy over diversified products and services. We have previously reported the results of Sikorsky within our Aerospace Businesses as a separate reporting segment, but have reclassified Sikorsky's results to discontinued operations for all periods presented, as noted in the “Discontinued Operations” section of our Business Overview in Management’s Discussion and Analysis of Financial Condition and Results of Operations. Adjustments to reconcile segment reporting to the consolidated results for the quarters ended March 31, 2016 and 2015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71"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At constant currency and excluding the effect of acquisitions and divestitures, UTC Climate, Controls &amp; Security equipment orders declined (8%) driven by the Transport Refrigeration business (4%), fire and security (2%) and commercial HVAC (2%). Within the Otis segment, new equipment orders increased (1%) in the quarter ended March 31, 2016 with continued strong order growth in North America (5%) and Asia outside of China (2%), offset by declines in orders in Europe and the Middle East (4%) and China (3%).</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March 31, 2016 and 2015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Otis</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71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19.2%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18.9%</w:t>
            </w:r>
          </w:p>
        </w:tc>
        <w:tc>
          <w:tcPr>
            <w:tcW w:w="1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2016 Compared with Quarter Ended March 31,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Factors Contributing to Total % Change</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1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6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Organic sales increased 3% primarily due to higher new equipment sales (2%), with growth in North America (2%) and Asia outside of China (1%), partially offset by a decline in China (1%). Service sales growth in the Americas (1%) and Asia (1%) was partially offset by a decline in Europe.</w:t>
      </w:r>
    </w:p>
    <w:p>
      <w:pPr>
        <w:spacing w:after="0" w:line="16" w:lineRule="exact"/>
        <w:rPr>
          <w:sz w:val="20"/>
          <w:szCs w:val="20"/>
          <w:color w:val="auto"/>
        </w:rPr>
      </w:pPr>
    </w:p>
    <w:p>
      <w:pPr>
        <w:ind w:right="920" w:firstLine="405"/>
        <w:spacing w:after="0" w:line="277" w:lineRule="auto"/>
        <w:rPr>
          <w:sz w:val="20"/>
          <w:szCs w:val="20"/>
          <w:color w:val="auto"/>
        </w:rPr>
      </w:pPr>
      <w:r>
        <w:rPr>
          <w:rFonts w:ascii="Arial" w:cs="Arial" w:eastAsia="Arial" w:hAnsi="Arial"/>
          <w:sz w:val="18"/>
          <w:szCs w:val="18"/>
          <w:color w:val="auto"/>
        </w:rPr>
        <w:t>The decrease in operational profit (5%) reflects unfavorable price and mix (6%) primarily in Europe and China, and increased investment in infrastructure (2%), partially offset by volume increases (3%) primarily driven by the Americas.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2016 Compared with Quarter Ended March 31,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6"/>
          </w:tcPr>
          <w:p>
            <w:pPr>
              <w:jc w:val="center"/>
              <w:ind w:right="124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16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rPr>
              <w:t>FX</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6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9"/>
              </w:rPr>
              <w:t>(3)%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Organic sales decreased by 1% primarily driven by a decline in global fire product sales (1%) as the prior year benefited from fire extinguisher legislative changes in France and Canada. Current year weaknesses in petroleum, oil and gas markets, and a decline in the refrigeration business (1%) due to lower Container volume, which was up sharply in 2015, further impacted organic sales. These organic sales decreases were partly offset by North America HVAC sales growth (1%).</w:t>
      </w:r>
    </w:p>
    <w:p>
      <w:pPr>
        <w:spacing w:after="0" w:line="187" w:lineRule="exact"/>
        <w:rPr>
          <w:sz w:val="20"/>
          <w:szCs w:val="20"/>
          <w:color w:val="auto"/>
        </w:rPr>
      </w:pPr>
    </w:p>
    <w:p>
      <w:pPr>
        <w:ind w:right="240" w:firstLine="405"/>
        <w:spacing w:after="0" w:line="293" w:lineRule="auto"/>
        <w:rPr>
          <w:sz w:val="20"/>
          <w:szCs w:val="20"/>
          <w:color w:val="auto"/>
        </w:rPr>
      </w:pPr>
      <w:r>
        <w:rPr>
          <w:rFonts w:ascii="Arial" w:cs="Arial" w:eastAsia="Arial" w:hAnsi="Arial"/>
          <w:sz w:val="16"/>
          <w:szCs w:val="16"/>
          <w:color w:val="auto"/>
        </w:rPr>
        <w:t>The operational profit increase (4%) was driven by lower commodities cost (5%), and the benefits of cost productivity and previous restructuring actions (4%). These operational profit increases were partly offset by unfavorable volume and pricing (combined 3%). The remaining offset was primarily driven by lower joint venture income. The decrease in "Other" (17%) is driven by a prior year gain resulting from a fair value adjustment related to the acquisition of a controlling interest in a joint venture investment (17%). "Other" also includes current year gains related to the acquisition of a controlling interest in a joint venture investment in the Middle East and from the sale of an investment in Australia (combined 5%), which were offset by a prior year gain from an acquisition of a controlling interest in another joint venture investment and a prior year gain on a property sale.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66"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continue to see growth in a strong commercial airline industry which is benefiting from traffic growth and lower fuel costs. Airline traffic, as measured by RPMs, grew 8% in the first two months of 2016, while jet fuel costs have declined approximately 39% relative to prices one year ago in all geographic regions.</w:t>
      </w:r>
    </w:p>
    <w:p>
      <w:pPr>
        <w:spacing w:after="0" w:line="18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commercial aftermarket businesses continue to evolve as an increasing proportion of our aerospace businesses' customers are covered under Fleet Management Programs (FMPs). FMPs are comprehensive long-term spare part and service agreements with our customers. We expect a continued shift to FMPs in lieu of transactional spare part sales as new engines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enter our customers' fleets on FMPs and legacy fleets are retired. In 2016, as compared with 2015, commercial aerospace aftermarket sales increased 19% at Pratt &amp; Whitney and 1% at UTC Aerospace Systems.</w:t>
      </w:r>
    </w:p>
    <w:p>
      <w:pPr>
        <w:spacing w:after="0" w:line="170"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We record changes in contract estimates using the cumulative catch-up method in accordance with the Revenue Recognition Topic of the FASB ASC. The net effect of significant changes in aerospace contract estimates did not impact operating profit in the quarter ended March 31, 2016. Operating profit in the quarter ended March 31, 2015 included significant net favorable changes in aerospace contract estimates of $61 million, primarily representing favorable contract adjustments recorded at Pratt &amp; Whitney.</w:t>
      </w:r>
    </w:p>
    <w:p>
      <w:pPr>
        <w:spacing w:after="0" w:line="18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As previously disclosed, Pratt &amp; Whitney's PurePower PW1500G engine models have been selected by Bombardier to power the new CSeries passenger aircraft, which is scheduled to enter service in 2016. There have been multi-year delays in the development of the CSeries aircraft. Notwithstanding these delays, Bombardier reports that they have received over 300 orders for the aircraft including the recently announced Delta Airlines, Inc. order, and has certified the initial aircraft model and will close the certification process for all aircraft models in 2016. We have made various investments in support of the production and delivery of our PW1500G engines and systems for the CSeries program, which we currently expect to recover through future deliveries of PW1500G powered CSeries aircraft. We will continue to monitor the progress of the program and our ability to recover our investments.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March 31, 2016 and 2015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7"/>
              </w:rPr>
              <w:t>Pratt &amp; Whitney</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6"/>
              </w:rPr>
              <w:t>UTC Aerospace Systems</w:t>
            </w:r>
          </w:p>
        </w:tc>
        <w:tc>
          <w:tcPr>
            <w:tcW w:w="980" w:type="dxa"/>
            <w:vAlign w:val="bottom"/>
            <w:tcBorders>
              <w:bottom w:val="single" w:sz="8" w:color="auto"/>
            </w:tcBorders>
          </w:tcPr>
          <w:p>
            <w:pPr>
              <w:spacing w:after="0"/>
              <w:rPr>
                <w:sz w:val="16"/>
                <w:szCs w:val="16"/>
                <w:color w:val="auto"/>
              </w:rPr>
            </w:pP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2,551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Operating Expenses &amp;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4"/>
                <w:szCs w:val="24"/>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12.6%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24"/>
                <w:szCs w:val="2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16.0%</w:t>
            </w:r>
          </w:p>
        </w:tc>
        <w:tc>
          <w:tcPr>
            <w:tcW w:w="9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2016 Compared with Quarter Ended March 31,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8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Organic /</w:t>
            </w:r>
          </w:p>
        </w:tc>
        <w:tc>
          <w:tcPr>
            <w:tcW w:w="168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73" w:lineRule="auto"/>
        <w:tabs>
          <w:tab w:leader="none" w:pos="13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above tables.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6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organic sales increase (8%) primarily reflects higher commercial aftermarket sales (9%) and higher military engine sales (3%), partially offset by lower commercial engine sales (4%).</w:t>
      </w:r>
    </w:p>
    <w:p>
      <w:pPr>
        <w:spacing w:after="0" w:line="62"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Pratt &amp; Whitney's operating profit includes lower pension cost and restructuring savings across its business. The operational profit decrease (7%) was primarily due to higher negative engine margin due to unfavorable mix within the Large Commercial Engine business, and lower engine volume partially offset by favorable mix at Pratt &amp; Whitney Canada (13%), a decline in the amount of favorable contract performance adjustments within the military aftermarket business (5%), and unfavorable military engine mix (4%). The absence of a prior year favorable contract termination benefit at Pratt &amp; Whitney Canada was partially offset by the benefit of a favorable contract settlement at Pratt &amp; Whitney Canada in the current year (1%). These decreases were partially offset by higher commercial aftermarket profits despite unfavorable contract performance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adjustments (14%), and the favorable net impact of prior year amendments to research and development support arrangements at Pratt &amp; Whitney Canada (3%).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2016 Compared with Quarter Ended March 31,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8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Organic /</w:t>
            </w:r>
          </w:p>
        </w:tc>
        <w:tc>
          <w:tcPr>
            <w:tcW w:w="168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organic sales decrease (1%) primarily reflects lower military OEM sales volume (2%), partially offset by an increase in commercial aerospace OEM sales volume (1%).</w:t>
      </w:r>
    </w:p>
    <w:p>
      <w:pPr>
        <w:spacing w:after="0" w:line="17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 organic decrease in operational profit (12%) reflects lower commercial aerospace OEM and commercial aftermarket profit contribution (11%) primarily due to adverse mix, lower military OEM profit contribution (6%) driven by lower sales volumes and adverse mix, the absence of the favorable impact of prior year customer contract negotiations and other settlements (6%), and lower income from licensing agreements (3%), partially offset by lower pension costs (7%), lower research and development costs (5%), and lower selling, general and administrative expenses (2%).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14"/>
                <w:szCs w:val="14"/>
                <w:b w:val="1"/>
                <w:bCs w:val="1"/>
                <w:color w:val="auto"/>
                <w:w w:val="88"/>
              </w:rPr>
              <w:t>Net Sales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Operating Profits</w:t>
            </w:r>
          </w:p>
        </w:tc>
        <w:tc>
          <w:tcPr>
            <w:tcW w:w="92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6"/>
              </w:rPr>
              <w:t>Quarter Ended March 31,</w:t>
            </w:r>
          </w:p>
        </w:tc>
        <w:tc>
          <w:tcPr>
            <w:tcW w:w="360" w:type="dxa"/>
            <w:vAlign w:val="bottom"/>
          </w:tcPr>
          <w:p>
            <w:pPr>
              <w:spacing w:after="0"/>
              <w:rPr>
                <w:sz w:val="21"/>
                <w:szCs w:val="21"/>
                <w:color w:val="auto"/>
              </w:rPr>
            </w:pPr>
          </w:p>
        </w:tc>
        <w:tc>
          <w:tcPr>
            <w:tcW w:w="270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r>
    </w:tbl>
    <w:p>
      <w:pPr>
        <w:spacing w:after="0" w:line="37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businesses. The year-over-year increase in the amount of sales eliminations for the quarter ended March 31, 2016, as compared with the same period of 2015, reflects an increase in the amount of inter-segment sales eliminations, principally between our aerospace businesses. The year-over-year decline in operating profit for the quarter ended March 31, 2016, as compared with the same period of 2015, reflects a decrease in royalty income in 2016. The year-over-year decline in general corporate expenses for the quarter ended March 31, 2016, as compared with the same period in 2015, reflects lower salaries and wages expense.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Pr>
          <w:p>
            <w:pPr>
              <w:spacing w:after="0"/>
              <w:rPr>
                <w:sz w:val="14"/>
                <w:szCs w:val="14"/>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5,274</w:t>
            </w: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23,051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21,981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16,707</w:t>
            </w: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29,903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28,844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30,167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52,148</w:t>
            </w: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w w:val="96"/>
              </w:rPr>
              <w:t>Net capitalization (debt plus equity less cash and cash equivalents)</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45,739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46,874</w:t>
            </w:r>
          </w:p>
        </w:tc>
      </w:tr>
      <w:tr>
        <w:trPr>
          <w:trHeight w:val="162"/>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w:t>
            </w: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36%</w:t>
            </w:r>
          </w:p>
        </w:tc>
      </w:tr>
      <w:tr>
        <w:trPr>
          <w:trHeight w:val="48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of continuing operations, which, after netting out capital expenditures, we generally target to approximate net income from continuing operations attributable to common shareowners. For 2016, we expect this to approximate 90% to 100% of net income from continuing operations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6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Our domestic pension funds experienced a positive return on assets of 2.47% during the first three months of 2016. Approximately 88% of these domestic pension plans' funds are invested in readily-liquid investments, including equity, fixed income, asset-backed receivables and structured products. The balance of these domestic pension plans' funds (12%) is invested in less-liquid but market-valued investments, including real estate and private equity. Across our global pension plans, the impact of higher discount rates for pension obligations, a change in the manner of estimating discount rates for service cost and interest cost and the continued recognition of prior pension investment gains, partially offset by a reduction in the expected return on plan assets and 2015 actual returns on plan assets, will result in decreased pension expense in 2016 of approximately $500 million as compared to 2015, including a $215 million decrease in 2016 pension expense as a result of the change in approach to estimating the service and interest components of net periodic pension cost for our significant pension plans, as more fully discussed in Note 7.</w:t>
      </w:r>
    </w:p>
    <w:p>
      <w:pPr>
        <w:spacing w:after="0" w:line="17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Historically, our strong debt ratings and financial position have enabled us to issue long-term debt at favorable market rates. Our ability to obtain debt financing at comparable risk-based interest rates is partly a function of our existing debt-to-total-capitalization level as well as our credit standing. Our debt-to-total-capitalization increased to 44% at March 31, 2016, primarily reflecting additional borrowings in 2015 and 2016 to fund share repurchases. We use our commercial paper borrowings for general corporate purposes, including the funding of potential acquisitions, debt refinancing, and repurchases of our common stock. The need for commercial paper borrowings arises when the use of domestic cash for acquisitions, dividends, and share repurchases exceeds the sum of domestic cash generation and foreign cash repatriated to the U.S.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February 22, 2016 we issued €950 million aggregate principal amount of 1.125% notes due 2021, €500 million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1.875% notes due 2026 and €750 million aggregate principal amount of floating rate notes due 2018. The net proceeds from these debt issuances were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general corporate purposes.</w:t>
      </w:r>
    </w:p>
    <w:p>
      <w:pPr>
        <w:spacing w:after="0" w:line="2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May 4, 2015, we completed the previously announced optional remarketing of the 1.550% junior subordinated notes, which were originally issued as part of our equity units on June 18, 2012. As a result of the remarketing, these notes were redesignated as our 1.778% junior subordinated notes due May 4, 2018. On August 3, 2015, we received approximately $1.1 billion from the proceeds of the remarketing, and issued approximately 11.3 million shares of Common Stock to settle the purchase obligation of the holders of the equity units under the purchase contract entered into at the time of the original issuance of the equity units.</w:t>
      </w:r>
    </w:p>
    <w:p>
      <w:pPr>
        <w:spacing w:after="0" w:line="18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quarter ended June 30, 2015, we repaid at maturity all 4.875% notes due in 2015 and all floating rate notes due in 2015, representing $1.7 billion in aggregate principal. On May 4, 2015, we issued $850 million aggregate principal amount of 4.150% notes due May 15, 2045. On May 22, 2015 we issued €750 million aggregate principal amount of 1.250% notes due May 22, 2023. The net proceeds from these debt issuances were used primarily to repay the notes maturing during the quarter ended June 30, 2015.</w:t>
      </w:r>
    </w:p>
    <w:p>
      <w:pPr>
        <w:spacing w:after="0" w:line="18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At March 31, 2016, we had revolving credit agreements with various banks permitting aggregate borrowings of up to $4.35 billion pursuant to a $2.20 billion revolving credit agreement and a $2.15 billion multicurrency revolving credit agreement, both of which expire in May 2019. As of March 31, 2016, there were no borrowings under these revolving credit agreements. The undrawn portions of these revolving credit agreements are also available to serve as backup facilities for the issuance of commercial paper. As of March 31, 2016, our maximum commercial paper borrowing limit was $4.35 billion.</w:t>
      </w:r>
    </w:p>
    <w:p>
      <w:pPr>
        <w:spacing w:after="0" w:line="154"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On March 13, 2015, we entered into ASR agreements to repurchase an aggregate of $2.65 billion of our common stock, which was largely funded by our commercial paper borrowings. Under the terms of the ASR agreements, we made the aggregate payments and received an initial delivery of approximately 18.6 million shares of our common stock, representing approximately 85% of the shares expected to be repurchased. On July 31, 2015, the shares associated with the remaining portion of the aggregate purchase were settled upon final delivery of approximately 4.2 million additional shares of common stock.</w:t>
      </w:r>
    </w:p>
    <w:p>
      <w:pPr>
        <w:spacing w:after="0" w:line="18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November 6, 2015, we completed the sale of Sikorsky to Lockheed Martin Corp. for approximately $9,083 million in cash, subject to customary post-closing working capital and net debt adjustments. In connection with the sale of Sikorsky, we expect to make tax payments of approximately $2.5 billion in 2016, including approximately $2.2 billion of tax payments made during the quarter ended March 31, 2016, subject to resolution of outstanding matters with taxing authorities.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On November 11, 2015, we entered into ASR agreements to repurchase an aggregate of $6 billion of our common stock utilizing the net after-tax proceeds from the sale of Sikorsky. The ASR agreements provide for the repurchase of our common stock based on the average of the daily volume-weighted average prices of our common stock during the term of such ASR agreements, less a discount and subject to adjustments pursuant to the terms and conditions of the ASR agreements. Under the terms of the ASR agreements, we made the aggregate payments and received an initial delivery of approximately 51.9 million shares of our common stock, representing approximately 85% of the shares expected to be repurchased. The shares associated with the remaining portion of the aggregate purchase price are to be settled over six tranches. Upon settlement of each tranche, we may be entitled to receive additional shares of our common stock or, under certain limited circumstances, be required to deliver shares or make additional payments to the counterparties, at our election.</w:t>
      </w:r>
    </w:p>
    <w:p>
      <w:pPr>
        <w:spacing w:after="0" w:line="5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January 19, 2016, the shares associated with the remaining portion of the first tranche of the aggregate purchase were settled upon final delivery of approximately 2.1 million shares of common stock. The final settlement of the transactions under the remaining five tranches is expected to occur no later than the third quarter of 2016.</w:t>
      </w:r>
    </w:p>
    <w:p>
      <w:pPr>
        <w:spacing w:after="0" w:line="73" w:lineRule="exact"/>
        <w:rPr>
          <w:sz w:val="20"/>
          <w:szCs w:val="20"/>
          <w:color w:val="auto"/>
        </w:rPr>
      </w:pPr>
    </w:p>
    <w:p>
      <w:pPr>
        <w:ind w:right="40" w:firstLine="540"/>
        <w:spacing w:after="0" w:line="271" w:lineRule="auto"/>
        <w:rPr>
          <w:sz w:val="20"/>
          <w:szCs w:val="20"/>
          <w:color w:val="auto"/>
        </w:rPr>
      </w:pPr>
      <w:r>
        <w:rPr>
          <w:rFonts w:ascii="Arial" w:cs="Arial" w:eastAsia="Arial" w:hAnsi="Arial"/>
          <w:sz w:val="17"/>
          <w:szCs w:val="17"/>
          <w:color w:val="auto"/>
        </w:rPr>
        <w:t>At March 31, 2016, approximately 89% of our cash was held by UTC's foreign subsidiaries, due to our extensive international operations.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In the quarter ended December 31, 2015, we recognized an income tax provision of approximately $274 million related to the intended repatriation of foreign cash, the majority of which was from 2015 earnings of certain international subsidiaries. With few other exceptions, U.S. income taxes have not been provided on undistributed earnings of international subsidiaries. Our intention is to reinvest these earnings permanently or to repatriate the earnings only when it is tax effective to do so.</w:t>
      </w:r>
    </w:p>
    <w:p>
      <w:pPr>
        <w:spacing w:after="0" w:line="71" w:lineRule="exact"/>
        <w:rPr>
          <w:sz w:val="20"/>
          <w:szCs w:val="20"/>
          <w:color w:val="auto"/>
        </w:rPr>
      </w:pPr>
    </w:p>
    <w:p>
      <w:pPr>
        <w:ind w:firstLine="540"/>
        <w:spacing w:after="0" w:line="276" w:lineRule="auto"/>
        <w:rPr>
          <w:sz w:val="20"/>
          <w:szCs w:val="20"/>
          <w:color w:val="auto"/>
        </w:rPr>
      </w:pPr>
      <w:r>
        <w:rPr>
          <w:rFonts w:ascii="Arial" w:cs="Arial" w:eastAsia="Arial" w:hAnsi="Arial"/>
          <w:sz w:val="17"/>
          <w:szCs w:val="17"/>
          <w:color w:val="auto"/>
        </w:rPr>
        <w:t>We continue to be involved in litigation with the German Tax Office in the German Tax Court with respect to certain tax benefits that we have claimed related to a 1998 reorganization of the corporate structure of Otis operations in Germany. We made tax and interest payments of approximately $300 million during 2015, including approximately $22 million paid during the quarter ended March 31, 2015, to avoid additional interest accruals while we continue to litigate this matter. We do not expect to make significant additional tax or interest payments pending final resolution of this matter. See Note 14 to the Condensed Consolidated Financial Statements for a further discussion of this German tax litigation.</w:t>
      </w:r>
    </w:p>
    <w:p>
      <w:pPr>
        <w:spacing w:after="0" w:line="173"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March 31, 2016 and December 31, 2015, the amount of such restricted cash was approximately $31 million and $45 million, respectively.</w:t>
      </w:r>
    </w:p>
    <w:p>
      <w:pPr>
        <w:spacing w:after="0" w:line="181"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Quarter Ended March 31,</w:t>
            </w:r>
          </w:p>
        </w:tc>
        <w:tc>
          <w:tcPr>
            <w:tcW w:w="56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1,646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Cash generated from operating activities of continuing operations in the quarter ended March 31, 2016 was approximately $851 million lower than the same period in 2015, driven by lower net income and noncash deferred income tax provision, stock compensation cost and depreciation and amortization charges of approximately $183 million, an increase in cash outflows for working capital of approximately $367 million in the quarter ended March 31, 2016 over the prior year period, and the first of four annual payments of approximately $327 million Canadian (approximately $237 million) under the 2015 agreement with federal and provincial Canadian government agencies resulting from amendments to research and development support arrangements previously entered into.</w:t>
      </w:r>
    </w:p>
    <w:p>
      <w:pPr>
        <w:spacing w:after="0" w:line="19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the quarter ended March 31, 2016, inventories increased primarily in our aerospace businesses, supporting an increase in customers' platform deliveries and related aftermarket demand. Accounts receivable similarly increased in our aerospace businesses, partially offset by reductions at UTC Climate, Controls &amp; Security, primarily in its fire and security, refrigeration and international businesses. Factoring activity in the quarter ended March 31, 2016 was consistent with the prior year, excluding customer-funded factoring at Pratt &amp; Whitney related to certain extensions of contractual payment terms. Reductions in accounts payable and accrued liabilities across all businesses were partially offset by increased customer advances and deferred revenues, primarily at Pratt &amp;Whitney and Otis.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280" w:firstLine="432"/>
        <w:spacing w:after="0" w:line="288" w:lineRule="auto"/>
        <w:rPr>
          <w:sz w:val="20"/>
          <w:szCs w:val="20"/>
          <w:color w:val="auto"/>
        </w:rPr>
      </w:pPr>
      <w:r>
        <w:rPr>
          <w:rFonts w:ascii="Arial" w:cs="Arial" w:eastAsia="Arial" w:hAnsi="Arial"/>
          <w:sz w:val="16"/>
          <w:szCs w:val="16"/>
          <w:color w:val="auto"/>
        </w:rPr>
        <w:t>For the quarter ended March 31, 2015, cash outflows for working capital were primarily driven by increases in inventories and accounts receivable, partially offset by increases in accounts payable and accrued liabilities. Inventories increased at UTC Climate, Controls &amp; Security, supporting contractual deliveries, and at Pratt &amp; Whitney and UTC Aerospace Systems supporting customers' platform deliveries and expected related aftermarket demand.</w:t>
      </w:r>
    </w:p>
    <w:p>
      <w:pPr>
        <w:ind w:right="40"/>
        <w:spacing w:after="0" w:line="292" w:lineRule="auto"/>
        <w:rPr>
          <w:sz w:val="20"/>
          <w:szCs w:val="20"/>
          <w:color w:val="auto"/>
        </w:rPr>
      </w:pPr>
      <w:r>
        <w:rPr>
          <w:rFonts w:ascii="Arial" w:cs="Arial" w:eastAsia="Arial" w:hAnsi="Arial"/>
          <w:sz w:val="16"/>
          <w:szCs w:val="16"/>
          <w:color w:val="auto"/>
        </w:rPr>
        <w:t>Accounts receivable increased across all of our business segments, partially offset by approximately $285 million of incremental factoring activity in the quarter ended March 31, 2015, primarily at Pratt &amp; Whitney and UTC Climate, Controls &amp; Security. The increase in accounts receivable in our commercial businesses was largely driven by seasonal service billings and project completions, while the increases in our aerospace businesses were largely driven by the timing of billings under aftermarket flight hour agreements and development contracts, as well as the timing of commercial aerospace product deliveries. Increases in accounts payable and accrued liabilities primarily relate to the timing of U.S. federal and foreign tax payments and refunds.</w:t>
      </w:r>
    </w:p>
    <w:p>
      <w:pPr>
        <w:spacing w:after="0" w:line="163"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three months ended March 31, 2016 and 2015 were $75 million and $45 million, respectively. Although our domestic pension plans are approximately 85% funded on a projected benefit obligation basis as of March 31, 2016, and we are not required to make additional contributions through the end of 2020, we may elect to make discretionary contributions in 2016. We expect to make total cash contributions of approximately $175 million to our global defined benefit pension plans in 2016. Contributions to our global defined benefit pension plans in 2016 are expected to meet or exceed the current funding requirements.</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provided by investing activities of continuing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206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Cash flows used in investing activities of continuing operations for the quarter ended March 31, 2016 primarily reflect capital expenditures of approximately $286 million and payments related to our collaboration intangible assets and contractual rights to provide product on new aircraft platforms of approximately $172 million. Cash flows provided by investing activities of continuing operations for the quarter ended March 31, 2015 primarily reflect net cash receipts of approximately $569 million from the settlement of derivative instruments and $158 million from business dispositions, partially offset by capital expenditures of approximately $323 million and payments related to our collaboration intangible assets and contractual rights to provide product on new aircraft platforms of approximately $235 million.</w:t>
      </w:r>
    </w:p>
    <w:p>
      <w:pPr>
        <w:spacing w:after="0" w:line="193" w:lineRule="exact"/>
        <w:rPr>
          <w:sz w:val="20"/>
          <w:szCs w:val="20"/>
          <w:color w:val="auto"/>
        </w:rPr>
      </w:pPr>
    </w:p>
    <w:p>
      <w:pPr>
        <w:jc w:val="both"/>
        <w:ind w:right="420" w:firstLine="567"/>
        <w:spacing w:after="0" w:line="286" w:lineRule="auto"/>
        <w:rPr>
          <w:sz w:val="20"/>
          <w:szCs w:val="20"/>
          <w:color w:val="auto"/>
        </w:rPr>
      </w:pPr>
      <w:r>
        <w:rPr>
          <w:rFonts w:ascii="Arial" w:cs="Arial" w:eastAsia="Arial" w:hAnsi="Arial"/>
          <w:sz w:val="17"/>
          <w:szCs w:val="17"/>
          <w:color w:val="auto"/>
        </w:rPr>
        <w:t>During the quarter ended March 31, 2016, we increased our collaboration intangible assets by approximately $98 million, of which $82 million represented payments made under our 2012 agreement to acquire Rolls-Royce's collaboration interest in IAE. Capital expenditures for the quarter ended March 31, 2016 primarily relate to investments in new programs at Pratt &amp; Whitney and UTC Aerospace Systems.</w:t>
      </w:r>
    </w:p>
    <w:p>
      <w:pPr>
        <w:spacing w:after="0" w:line="166" w:lineRule="exact"/>
        <w:rPr>
          <w:sz w:val="20"/>
          <w:szCs w:val="20"/>
          <w:color w:val="auto"/>
        </w:rPr>
      </w:pPr>
    </w:p>
    <w:p>
      <w:pPr>
        <w:ind w:firstLine="540"/>
        <w:spacing w:after="0" w:line="259" w:lineRule="auto"/>
        <w:rPr>
          <w:sz w:val="20"/>
          <w:szCs w:val="20"/>
          <w:color w:val="auto"/>
        </w:rPr>
      </w:pPr>
      <w:r>
        <w:rPr>
          <w:rFonts w:ascii="Arial" w:cs="Arial" w:eastAsia="Arial" w:hAnsi="Arial"/>
          <w:sz w:val="18"/>
          <w:szCs w:val="18"/>
          <w:color w:val="auto"/>
        </w:rPr>
        <w:t>Cash investments in businesses in the quarter ended March 31, 2016 were approximately $79 million, and consisted of a number of small acquisitions, primarily in our commercial businesses. We expect total cash investments for acquisitions in 2016 to be approximately $1 billion to $2 billion, including acquisitions completed during the quarter ended March 31, 2016. However, actual acquisition spending may vary depending upon the timing, availability and appropriate value of acquisition opportunities.</w:t>
      </w:r>
    </w:p>
    <w:p>
      <w:pPr>
        <w:spacing w:after="0" w:line="187" w:lineRule="exact"/>
        <w:rPr>
          <w:sz w:val="20"/>
          <w:szCs w:val="20"/>
          <w:color w:val="auto"/>
        </w:rPr>
      </w:pPr>
    </w:p>
    <w:p>
      <w:pPr>
        <w:ind w:right="60" w:firstLine="540"/>
        <w:spacing w:after="0" w:line="293" w:lineRule="auto"/>
        <w:rPr>
          <w:sz w:val="20"/>
          <w:szCs w:val="20"/>
          <w:color w:val="auto"/>
        </w:rPr>
      </w:pPr>
      <w:r>
        <w:rPr>
          <w:rFonts w:ascii="Arial" w:cs="Arial" w:eastAsia="Arial" w:hAnsi="Arial"/>
          <w:sz w:val="16"/>
          <w:szCs w:val="16"/>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three months ended March 31, 2016 and 2015, we had net cash receipts of approximately $42 million and $569 million, respectively, from the settlement of these derivative instruments.</w:t>
      </w:r>
    </w:p>
    <w:p>
      <w:pPr>
        <w:spacing w:after="0" w:line="16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Customer financing activities were a net source of cash of $22 million for the quarter ended March 31, 2016 and a net use of cash of $14 million for the quarter ended March 31, 2015. While we expect that 2016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$14.0 billion at March 31, 2016 related to commercial aircraft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and certain contractual rights to provide product on new aircraft platforms, of which up to $0.9 billion may be required to be disbursed during the remainder of 2016. We had commercial aerospace financing and other contractual commitments of approximately $14.6 billion at December 31, 2015.</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Quarter Ended March 31,</w:t>
            </w:r>
          </w:p>
        </w:tc>
        <w:tc>
          <w:tcPr>
            <w:tcW w:w="58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 financing activities of continuing operations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2,038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timing and levels of certain cash flow activities, such as acquisitions and repurchases of our stock, have resulted in the issuance of both long-term and short-term debt, including approximately $2.3 billion of net debt issuances in the quarter ended March 31, 2016. Commercial paper borrowings and revolving credit facilities provide short-term liquidity to supplement operating cash flows and are used for general corporate purposes, including the funding of potential acquisitions and repurchases of our stock. We had approximately $1.1 billion of outstanding commercial paper at March 31, 2016.</w:t>
      </w:r>
    </w:p>
    <w:p>
      <w:pPr>
        <w:spacing w:after="0" w:line="15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At March 31, 2016, management had remaining authority to repurchase approximately $6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Other than the transactions under the ASR agreements discussed above, we did not repurchase any shares of our common stock during the quarter ended March 31, 2016. During the quarter ended March 31, 2015, we repurchased approximately 3 million shares of our common stock for approximately $350 million, in addition to the shares repurchased under the $2.65 billion ASR discussed above. Our share repurchase levels are influenced by various factors, including the level of other investing activities.</w:t>
      </w:r>
    </w:p>
    <w:p>
      <w:pPr>
        <w:spacing w:after="0" w:line="192"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paid dividends on common stock of $0.64 per share totaling approximately $509 million in the aggregate for the quarter ended March 31, 2016. On April 25, 2016, the Board of Directors declared a dividend of $0.66 per share payable June 10, 2015 to shareowners of record at the close of business on May 20, 2016.</w:t>
      </w:r>
    </w:p>
    <w:p>
      <w:pPr>
        <w:spacing w:after="0" w:line="18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 We plan to renew the shelf registration prior to its expiration on May 29, 2016.</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Discontinued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Cash flows used in discontinued operations primarily represent cash flows related to Sikorsky. For the quarter ended March 31, 2016, cash flows used in operating activities of discontinued operations primarily reflect the payment of taxes associated with the net gain realized on the sale of Sikorsky to Lockheed Martin Corp. in November 2015. For the quarter ended March 31, 2015, the net cash flows used in discontinued operations were driven by liquidation of customer advances and an increase in accounts receivable related to certain development programs at Sikorsky.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In our 2015 Annual Report, incorporated by reference in our 2015 Form 10-K, we disclosed our off-balance sheet arrangements and contractual obligations. As of March 31, 2016, there have been no material changes to these off-balance sheet arrangements and contractual obligations outside the ordinary course of business.</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quarter ended March 31, 2016. For discussion of our exposure to market risk, refer to Part II, Item 7A, "Quantitative and Qualitative Disclosures About Market Risk," contained in our 2015 Form 10-K.</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As required by Rule 13a-15 under the Exchange Act, we carried out an evaluation under the supervision and with the participation of our management, including the President and Chief Executive Officer (CEO), the Executive Vice President &amp; Chief Financial Officer (CFO) and the Corporate Vice President, Controller (Controller), of the effectiveness of the design and operation of our disclosure controls and procedures as of March 31, 2016.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March 31, 2016,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9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2016,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2" w:right="29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share repurchases and other measures of financial performance or potential future plans, strategies or transactions.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29" w:lineRule="exact"/>
        <w:rPr>
          <w:sz w:val="20"/>
          <w:szCs w:val="20"/>
          <w:color w:val="auto"/>
        </w:rPr>
      </w:pPr>
    </w:p>
    <w:p>
      <w:pPr>
        <w:ind w:left="740" w:right="160" w:hanging="327"/>
        <w:spacing w:after="0" w:line="30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100" w:lineRule="exact"/>
        <w:rPr>
          <w:rFonts w:ascii="Arial" w:cs="Arial" w:eastAsia="Arial" w:hAnsi="Arial"/>
          <w:sz w:val="16"/>
          <w:szCs w:val="16"/>
          <w:color w:val="auto"/>
        </w:rPr>
      </w:pPr>
    </w:p>
    <w:p>
      <w:pPr>
        <w:ind w:left="740" w:right="60" w:hanging="32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of advanced technologies and new products and services;</w:t>
      </w:r>
    </w:p>
    <w:p>
      <w:pPr>
        <w:spacing w:after="0" w:line="116"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and Company- directed cost reduction efforts and restructuring costs and savings and other consequences thereof;</w:t>
      </w:r>
    </w:p>
    <w:p>
      <w:pPr>
        <w:spacing w:after="0" w:line="171"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activity, including among other things integration of acquired businesses into our existing businesses and realization of synergies and opportunities for growth and innovation;</w:t>
      </w:r>
    </w:p>
    <w:p>
      <w:pPr>
        <w:spacing w:after="0" w:line="116"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scope of future repurchases of our common stock;</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operate; and</w:t>
      </w:r>
    </w:p>
    <w:p>
      <w:pPr>
        <w:spacing w:after="0" w:line="171" w:lineRule="exact"/>
        <w:rPr>
          <w:rFonts w:ascii="Arial" w:cs="Arial" w:eastAsia="Arial" w:hAnsi="Arial"/>
          <w:sz w:val="18"/>
          <w:szCs w:val="18"/>
          <w:color w:val="auto"/>
        </w:rPr>
      </w:pPr>
    </w:p>
    <w:p>
      <w:pPr>
        <w:ind w:left="740" w:right="20" w:hanging="32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(including among other things import/export) and other laws and regulations in the U.S. and other countries in which we operate.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122" w:right="31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addition, this Form 10-Q includes important information as to risks, uncertainties and other factors that may cause actual results to differ materially from those expressed or implied in the forward-looking statements. See the "Notes to Consolidated Financial Statements" under the heading "Note 14: Contingent Liabilities," the section titled "Management's Discussion and Analysis of Financial Condition and Results of Operations" under the headings "Business Overview," "Results of Operations," "Liquidity and Financial Condition," and "Critical Accounting Estimates," and the sections titled "Legal Proceedings" and "Risk Factors" in this Form 10-Q and in our 2015 Annual Report. Additional important information as to these factors is included in our 2015 Annual Report in the section titled "Management's Discussion and Analysis of Financial Condition and Results of Operations" under the headings "Restructuring Costs," "Environmental Matters" and "Governmental Matters" and in our 2015 Form 10-K in the "Business" section under the headings "General," "Description of Business by Segment" and "Other Matters Relating to Our Business as a Whole."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14, Contingent Liabilities, for discussion regarding legal proceedings.</w:t>
      </w:r>
    </w:p>
    <w:p>
      <w:pPr>
        <w:spacing w:after="0" w:line="22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2015 Form 10-K.</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2015 Form 10-K.</w:t>
      </w:r>
    </w:p>
    <w:p>
      <w:pPr>
        <w:spacing w:after="0" w:line="2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March 31, 2016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5"/>
              </w:rPr>
              <w:t>Program (dollars in</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Share</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8"/>
              </w:rPr>
              <w:t>millions) *</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2,078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2,078</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February 1 - February 29</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9"/>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2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2,078</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2,078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On October 14, 2015, our Board of Directors authorized a share repurchase program for up to $12 billion of our common stock, replacing the program announced on July 19, 2015. On November 11, 2015, we entered into ASR agreements to repurchase an aggregate of $6 billion of our common stock utilizing the net after-tax proceeds from the sale of Sikorsky. The ASR agreements provide for the repurchase of our common stock based on the average of the daily volume-weighted average prices of our common stock during the term of such ASR agreement, less a discount and subject to adjustments pursuant to the terms and conditions of the ASR agreement. Under the terms of the ASR agreements, we made the aggregate payments and received an initial delivery of approximately 51.9 million shares of our common stock, representing approximately 85% of the shares expected to be repurchased. The shares associated with the remaining portion of the aggregate purchase price are to be settled over six tranches. Upon settlement of each tranche, we may be entitled to receive additional shares of our common stock or, under certain limited circumstances, be required to deliver shares or make additional payments to the counterparties, at our election.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On January 19, 2016, the shares associated with the remaining portion of the first tranche of the aggregate purchase were settled upon final delivery of approximately 2.1 million shares of common stock at an average price of $93.21. The final settlement of the transactions under the remaining five tranches is expected to occur no later than the third quarter of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4"/>
              </w:rPr>
              <w:t>Item 6.</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center"/>
              <w:ind w:right="417"/>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4"/>
                <w:szCs w:val="24"/>
                <w:color w:val="auto"/>
              </w:rPr>
            </w:pPr>
          </w:p>
        </w:tc>
        <w:tc>
          <w:tcPr>
            <w:tcW w:w="10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center"/>
              <w:ind w:right="417"/>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utx-20160331.xml)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utx-20160331.xsd)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utx-20160331_cal.xml)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utx-20160331_def.xml)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utx-20160331_lab.xml)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utx-20160331_pre.xml)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ended March 31, 2016 and 2015, (ii) Condensed Consolidated Statements of Comprehensive Income for the quarters ended March 31, 2016 and 2015, (iii) Condensed Consolidated Balance Sheets as of March 31, 2016 and December 31, 2015, (iv) Condensed Consolidated Statements of Cash Flows for the quarters ended March 31, 2016 and 2015, and (v) Notes to Condensed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KHIL</w:t>
      </w:r>
      <w:r>
        <w:rPr>
          <w:rFonts w:ascii="Arial" w:cs="Arial" w:eastAsia="Arial" w:hAnsi="Arial"/>
          <w:sz w:val="18"/>
          <w:szCs w:val="18"/>
          <w:color w:val="auto"/>
        </w:rPr>
        <w:t xml:space="preserve"> J</w:t>
      </w:r>
      <w:r>
        <w:rPr>
          <w:rFonts w:ascii="Arial" w:cs="Arial" w:eastAsia="Arial" w:hAnsi="Arial"/>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Akhil Johri</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Executive Vice President &amp; Chief Financial Officer</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4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Neil G. Mitchill, Jr.</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Corporate Vice President,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122" w:right="3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2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right"/>
              <w:ind w:right="59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utx-20160331.xml)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utx-20160331.xsd)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utx-20160331_cal.xml)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utx-20160331_def.xml)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utx-20160331_lab.xml)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utx-20160331_pre.xml)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ended March 31, 2016 and 2015, (ii) Condensed Consolidated Statements of Comprehensive Income for the quarters ended March 31, 2016 and 2015, (iii) Condensed Consolidated Balance Sheets as of March 31, 2016 and December 31, 2015, (iv) Condensed Consolidated Statements of Cash Flows for the quarters ended March 31, 2016 and 2015, and (v)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3" w:name="page44"/>
    <w:bookmarkEnd w:id="43"/>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140" w:hanging="332"/>
        <w:spacing w:after="0" w:line="232"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$10 million and $11 million for the three months ended March 31, 2016 and 2015, respectively. The ratio of earnings to fixed charges would have been 7.34 and 8.35 for the three months ended March 31, 2016 and 2015, respectively, if such interest were excluded from the calculation.</w:t>
      </w:r>
    </w:p>
    <w:p>
      <w:pPr>
        <w:spacing w:after="0" w:line="9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We are aware that our report dated April 29, 2016 on our review of interim financial information of United Technologies Corporation (the "Corporation") for the three-month period ending March 31, 2016 and 2015 and included in the Corporation's quarterly report on Form 10-Q for the quarter ended March 31, 2016 is incorporated by reference in its Registration Statement on Form S-3 (No. 333-188957) and in the Registration Statements on Form S-8 (Nos. 333-207193, 333-197704, 333-183123, 333-177520, 333-175781, 333-150643, 333-125293, 333-110020, 333-100724, 333-100723, 333-100718 and 033-51385).</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29, 2016</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29, 2016</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&amp; Chief Financial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Neil G. Mitchill, Jr., certify that:</w:t>
      </w:r>
    </w:p>
    <w:p>
      <w:pPr>
        <w:spacing w:after="0" w:line="17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29, 2016</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Neil G. Mitchill, Jr.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Corporate Vice President, Controller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Quarterly Report on Form 10-Q for the quarter ended March 31, 2016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29, 2016</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29, 2016</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&amp;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29, 2016</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Neil G. Mitchill, Jr.</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Corporate Vice President,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4"/>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3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3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2"/>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2019-12-29T13:01:02Z</dcterms:created>
  <dcterms:modified xsi:type="dcterms:W3CDTF">2019-12-29T13:01:02Z</dcterms:modified>
</cp:coreProperties>
</file>