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7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3842385</wp:posOffset>
            </wp:positionH>
            <wp:positionV relativeFrom="paragraph">
              <wp:posOffset>-10160</wp:posOffset>
            </wp:positionV>
            <wp:extent cx="1040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tbl>
      <w:tblPr>
        <w:tblLayout w:type="fixed"/>
        <w:tblInd w:w="2400" w:type="dxa"/>
        <w:tblCellMar>
          <w:top w:w="0" w:type="dxa"/>
          <w:left w:w="0" w:type="dxa"/>
          <w:bottom w:w="0" w:type="dxa"/>
          <w:right w:w="0" w:type="dxa"/>
        </w:tblCellMar>
      </w:tblPr>
      <w:tr>
        <w:trPr>
          <w:trHeight w:val="228"/>
        </w:trPr>
        <w:tc>
          <w:tcPr>
            <w:tcW w:w="340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207" w:lineRule="exact"/>
        <w:tabs>
          <w:tab w:leader="none" w:pos="858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June 30, 2012 there were 911,787,235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June 30,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104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1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 of Comprehensive Income for the quarters ended June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Comprehensive Income for the six months ended June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Condensed Consolidated Balance Sheet at June 30, 2012 and December 31, 2011</w:t>
              </w:r>
            </w:hyperlink>
          </w:p>
        </w:tc>
        <w:tc>
          <w:tcPr>
            <w:tcW w:w="2180" w:type="dxa"/>
            <w:vAlign w:val="bottom"/>
            <w:tcBorders>
              <w:top w:val="single" w:sz="8" w:color="0000EE"/>
            </w:tcBorders>
            <w:gridSpan w:val="4"/>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4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 of Cash Flows for the six months ended June 30, 2012 and 2011</w:t>
              </w:r>
            </w:hyperlink>
          </w:p>
        </w:tc>
        <w:tc>
          <w:tcPr>
            <w:tcW w:w="31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PART II –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44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 Legal Proceedings</w:t>
              </w:r>
            </w:hyperlink>
          </w:p>
        </w:tc>
        <w:tc>
          <w:tcPr>
            <w:tcW w:w="844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24"/>
                <w:szCs w:val="24"/>
                <w:color w:val="auto"/>
              </w:rPr>
            </w:pPr>
          </w:p>
        </w:tc>
        <w:tc>
          <w:tcPr>
            <w:tcW w:w="87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3. Defaults Upon Senior Securities</w:t>
              </w:r>
            </w:hyperlink>
          </w:p>
        </w:tc>
        <w:tc>
          <w:tcPr>
            <w:tcW w:w="58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4. Mine Safety Disclosures</w:t>
              </w:r>
            </w:hyperlink>
          </w:p>
        </w:tc>
        <w:tc>
          <w:tcPr>
            <w:tcW w:w="78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6. Exhibits</w:t>
              </w:r>
            </w:hyperlink>
          </w:p>
        </w:tc>
        <w:tc>
          <w:tcPr>
            <w:tcW w:w="83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4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61">
              <w:r>
                <w:rPr>
                  <w:rFonts w:ascii="Arial" w:cs="Arial" w:eastAsia="Arial" w:hAnsi="Arial"/>
                  <w:sz w:val="18"/>
                  <w:szCs w:val="18"/>
                  <w:color w:val="0000EE"/>
                  <w:w w:val="98"/>
                </w:rPr>
                <w:t>EXHIBIT INDEX</w:t>
              </w:r>
            </w:hyperlink>
          </w:p>
        </w:tc>
        <w:tc>
          <w:tcPr>
            <w:tcW w:w="974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or “UTC,” unless the context otherwise requires, mean United Technologies Corporation and its subsidiaries.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20" w:type="dxa"/>
            <w:vAlign w:val="bottom"/>
            <w:gridSpan w:val="6"/>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80" w:type="dxa"/>
            <w:vAlign w:val="bottom"/>
            <w:gridSpan w:val="4"/>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9"/>
              </w:rPr>
              <w:t>UNITED TECHNOLOGIES CORPORATION</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6"/>
              </w:rPr>
              <w:t>AND SUBSIDIARIES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80" w:type="dxa"/>
            <w:vAlign w:val="bottom"/>
            <w:gridSpan w:val="4"/>
          </w:tcPr>
          <w:p>
            <w:pPr>
              <w:jc w:val="center"/>
              <w:ind w:left="1092"/>
              <w:spacing w:after="0"/>
              <w:rPr>
                <w:sz w:val="20"/>
                <w:szCs w:val="20"/>
                <w:color w:val="auto"/>
              </w:rPr>
            </w:pPr>
            <w:r>
              <w:rPr>
                <w:rFonts w:ascii="Arial" w:cs="Arial" w:eastAsia="Arial" w:hAnsi="Arial"/>
                <w:sz w:val="18"/>
                <w:szCs w:val="18"/>
                <w:b w:val="1"/>
                <w:bCs w:val="1"/>
                <w:color w:val="auto"/>
                <w:w w:val="97"/>
              </w:rPr>
              <w:t>CONDENSED CONSOLIDATED STATEMENT OF COMPREHENSIVE INCOME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20" w:type="dxa"/>
            <w:vAlign w:val="bottom"/>
            <w:tcBorders>
              <w:top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9"/>
              </w:rPr>
              <w:t>(Unaudited)</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3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Quarter Ended June 30,</w:t>
            </w:r>
          </w:p>
        </w:tc>
        <w:tc>
          <w:tcPr>
            <w:tcW w:w="0" w:type="dxa"/>
            <w:vAlign w:val="bottom"/>
          </w:tcPr>
          <w:p>
            <w:pPr>
              <w:spacing w:after="0"/>
              <w:rPr>
                <w:sz w:val="1"/>
                <w:szCs w:val="1"/>
                <w:color w:val="auto"/>
              </w:rPr>
            </w:pPr>
          </w:p>
        </w:tc>
      </w:tr>
      <w:tr>
        <w:trPr>
          <w:trHeight w:val="149"/>
        </w:trPr>
        <w:tc>
          <w:tcPr>
            <w:tcW w:w="9320" w:type="dxa"/>
            <w:vAlign w:val="bottom"/>
            <w:gridSpan w:val="6"/>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1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tcPr>
          <w:p>
            <w:pPr>
              <w:ind w:left="420"/>
              <w:spacing w:after="0"/>
              <w:rPr>
                <w:sz w:val="20"/>
                <w:szCs w:val="20"/>
                <w:color w:val="auto"/>
              </w:rPr>
            </w:pPr>
            <w:r>
              <w:rPr>
                <w:rFonts w:ascii="Arial" w:cs="Arial" w:eastAsia="Arial" w:hAnsi="Arial"/>
                <w:sz w:val="18"/>
                <w:szCs w:val="18"/>
                <w:color w:val="auto"/>
              </w:rPr>
              <w:t>Product sales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9,585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13,807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tcPr>
          <w:p>
            <w:pPr>
              <w:ind w:left="420"/>
              <w:spacing w:after="0"/>
              <w:rPr>
                <w:sz w:val="20"/>
                <w:szCs w:val="20"/>
                <w:color w:val="auto"/>
              </w:rPr>
            </w:pPr>
            <w:r>
              <w:rPr>
                <w:rFonts w:ascii="Arial" w:cs="Arial" w:eastAsia="Arial" w:hAnsi="Arial"/>
                <w:sz w:val="18"/>
                <w:szCs w:val="18"/>
                <w:color w:val="auto"/>
              </w:rPr>
              <w:t>Cost of products sold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tcPr>
          <w:p>
            <w:pPr>
              <w:ind w:left="4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11,968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12,538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320" w:type="dxa"/>
            <w:vAlign w:val="bottom"/>
            <w:gridSpan w:val="6"/>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320" w:type="dxa"/>
            <w:vAlign w:val="bottom"/>
            <w:gridSpan w:val="6"/>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320" w:type="dxa"/>
            <w:vAlign w:val="bottom"/>
            <w:gridSpan w:val="6"/>
          </w:tcPr>
          <w:p>
            <w:pPr>
              <w:spacing w:after="0"/>
              <w:rPr>
                <w:sz w:val="20"/>
                <w:szCs w:val="20"/>
                <w:color w:val="auto"/>
              </w:rPr>
            </w:pPr>
            <w:r>
              <w:rPr>
                <w:rFonts w:ascii="Arial" w:cs="Arial" w:eastAsia="Arial" w:hAnsi="Arial"/>
                <w:sz w:val="18"/>
                <w:szCs w:val="18"/>
                <w:color w:val="auto"/>
              </w:rPr>
              <w:t>Net income from continuing operations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6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tcPr>
          <w:p>
            <w:pPr>
              <w:ind w:left="420"/>
              <w:spacing w:after="0"/>
              <w:rPr>
                <w:sz w:val="20"/>
                <w:szCs w:val="20"/>
                <w:color w:val="auto"/>
              </w:rPr>
            </w:pPr>
            <w:r>
              <w:rPr>
                <w:rFonts w:ascii="Arial" w:cs="Arial" w:eastAsia="Arial" w:hAnsi="Arial"/>
                <w:sz w:val="18"/>
                <w:szCs w:val="18"/>
                <w:color w:val="auto"/>
              </w:rPr>
              <w:t>(Loss) income from operations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Loss on disposal</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tcPr>
          <w:p>
            <w:pPr>
              <w:ind w:left="420"/>
              <w:spacing w:after="0"/>
              <w:rPr>
                <w:sz w:val="20"/>
                <w:szCs w:val="20"/>
                <w:color w:val="auto"/>
              </w:rPr>
            </w:pPr>
            <w:r>
              <w:rPr>
                <w:rFonts w:ascii="Arial" w:cs="Arial" w:eastAsia="Arial" w:hAnsi="Arial"/>
                <w:sz w:val="18"/>
                <w:szCs w:val="18"/>
                <w:color w:val="auto"/>
              </w:rPr>
              <w:t>Income tax benefit (expense)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(loss) income on discontinued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30"/>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4"/>
              </w:rPr>
              <w:t>Net income</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320" w:type="dxa"/>
            <w:vAlign w:val="bottom"/>
            <w:gridSpan w:val="6"/>
          </w:tcPr>
          <w:p>
            <w:pPr>
              <w:spacing w:after="0"/>
              <w:rPr>
                <w:sz w:val="20"/>
                <w:szCs w:val="20"/>
                <w:color w:val="auto"/>
              </w:rPr>
            </w:pPr>
            <w:r>
              <w:rPr>
                <w:rFonts w:ascii="Arial" w:cs="Arial" w:eastAsia="Arial" w:hAnsi="Arial"/>
                <w:sz w:val="18"/>
                <w:szCs w:val="18"/>
                <w:b w:val="1"/>
                <w:bCs w:val="1"/>
                <w:color w:val="auto"/>
              </w:rPr>
              <w:t>Net income attributable to common shareowners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tcPr>
          <w:p>
            <w:pPr>
              <w:ind w:left="4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654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1,523</w:t>
            </w:r>
          </w:p>
        </w:tc>
        <w:tc>
          <w:tcPr>
            <w:tcW w:w="0" w:type="dxa"/>
            <w:vAlign w:val="bottom"/>
          </w:tcPr>
          <w:p>
            <w:pPr>
              <w:spacing w:after="0"/>
              <w:rPr>
                <w:sz w:val="1"/>
                <w:szCs w:val="1"/>
                <w:color w:val="auto"/>
              </w:rPr>
            </w:pPr>
          </w:p>
        </w:tc>
      </w:tr>
      <w:tr>
        <w:trPr>
          <w:trHeight w:val="20"/>
        </w:trPr>
        <w:tc>
          <w:tcPr>
            <w:tcW w:w="9320" w:type="dxa"/>
            <w:vAlign w:val="bottom"/>
            <w:gridSpan w:val="6"/>
            <w:vMerge w:val="restart"/>
          </w:tcPr>
          <w:p>
            <w:pPr>
              <w:spacing w:after="0"/>
              <w:rPr>
                <w:sz w:val="20"/>
                <w:szCs w:val="20"/>
                <w:color w:val="auto"/>
              </w:rPr>
            </w:pPr>
            <w:r>
              <w:rPr>
                <w:rFonts w:ascii="Arial" w:cs="Arial" w:eastAsia="Arial" w:hAnsi="Arial"/>
                <w:sz w:val="18"/>
                <w:szCs w:val="18"/>
                <w:color w:val="auto"/>
              </w:rPr>
              <w:t>Net income (loss) attributable to common shareowners: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6"/>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gridSpan w:val="5"/>
          </w:tcPr>
          <w:p>
            <w:pPr>
              <w:ind w:left="420"/>
              <w:spacing w:after="0"/>
              <w:rPr>
                <w:sz w:val="20"/>
                <w:szCs w:val="20"/>
                <w:color w:val="auto"/>
              </w:rPr>
            </w:pPr>
            <w:r>
              <w:rPr>
                <w:rFonts w:ascii="Arial" w:cs="Arial" w:eastAsia="Arial" w:hAnsi="Arial"/>
                <w:sz w:val="18"/>
                <w:szCs w:val="18"/>
                <w:color w:val="auto"/>
              </w:rPr>
              <w:t>Net (loss) income from discontinued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6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Per Share of Common Stock - Basic:</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tcPr>
          <w:p>
            <w:pPr>
              <w:ind w:left="420"/>
              <w:spacing w:after="0"/>
              <w:rPr>
                <w:sz w:val="20"/>
                <w:szCs w:val="20"/>
                <w:color w:val="auto"/>
              </w:rPr>
            </w:pPr>
            <w:r>
              <w:rPr>
                <w:rFonts w:ascii="Arial" w:cs="Arial" w:eastAsia="Arial" w:hAnsi="Arial"/>
                <w:sz w:val="18"/>
                <w:szCs w:val="18"/>
                <w:color w:val="auto"/>
              </w:rPr>
              <w:t>Net income from continuing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23"/>
        </w:trPr>
        <w:tc>
          <w:tcPr>
            <w:tcW w:w="9320" w:type="dxa"/>
            <w:vAlign w:val="bottom"/>
            <w:gridSpan w:val="6"/>
          </w:tcPr>
          <w:p>
            <w:pPr>
              <w:spacing w:after="0"/>
              <w:rPr>
                <w:sz w:val="20"/>
                <w:szCs w:val="20"/>
                <w:color w:val="auto"/>
              </w:rPr>
            </w:pPr>
            <w:r>
              <w:rPr>
                <w:rFonts w:ascii="Arial" w:cs="Arial" w:eastAsia="Arial" w:hAnsi="Arial"/>
                <w:sz w:val="18"/>
                <w:szCs w:val="18"/>
                <w:color w:val="auto"/>
              </w:rPr>
              <w:t>Earnings Per Share of Common Stock - Diluted: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gridSpan w:val="5"/>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9"/>
        </w:trPr>
        <w:tc>
          <w:tcPr>
            <w:tcW w:w="7400" w:type="dxa"/>
            <w:vAlign w:val="bottom"/>
            <w:gridSpan w:val="3"/>
            <w:vMerge w:val="continue"/>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45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18,004</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Cost of products sold</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23,608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4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40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40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(Loss) income from operations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disposal</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Income tax benefit (expense)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income on discontinued operations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30"/>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Net income attributable to common shareowners</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1,658</w:t>
            </w:r>
          </w:p>
        </w:tc>
        <w:tc>
          <w:tcPr>
            <w:tcW w:w="20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1,473</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3,203</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Net income (loss) attributable to common shareowners:</w:t>
            </w: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3"/>
            <w:vMerge w:val="continue"/>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Net (loss) income from discontinued operations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(997)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 - Basic:</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323"/>
        </w:trPr>
        <w:tc>
          <w:tcPr>
            <w:tcW w:w="7400" w:type="dxa"/>
            <w:vAlign w:val="bottom"/>
            <w:gridSpan w:val="3"/>
          </w:tcPr>
          <w:p>
            <w:pPr>
              <w:spacing w:after="0"/>
              <w:rPr>
                <w:sz w:val="20"/>
                <w:szCs w:val="20"/>
                <w:color w:val="auto"/>
              </w:rPr>
            </w:pPr>
            <w:r>
              <w:rPr>
                <w:rFonts w:ascii="Arial" w:cs="Arial" w:eastAsia="Arial" w:hAnsi="Arial"/>
                <w:sz w:val="18"/>
                <w:szCs w:val="18"/>
                <w:color w:val="auto"/>
              </w:rPr>
              <w:t>Earnings Per Share of Common Stock - Diluted:</w:t>
            </w: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4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5"/>
        </w:trPr>
        <w:tc>
          <w:tcPr>
            <w:tcW w:w="7400" w:type="dxa"/>
            <w:vAlign w:val="bottom"/>
            <w:gridSpan w:val="7"/>
            <w:vMerge w:val="continue"/>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93"/>
              <w:spacing w:after="0" w:line="148"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25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auto"/>
                <w:w w:val="81"/>
              </w:rPr>
              <w:t>Assets</w:t>
            </w:r>
          </w:p>
        </w:tc>
        <w:tc>
          <w:tcPr>
            <w:tcW w:w="26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5,966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9,538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8,502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Assets of discontinued operations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1,989</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Restricted cash, current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10,715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Other assets, current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39,142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25,758</w:t>
            </w:r>
          </w:p>
        </w:tc>
        <w:tc>
          <w:tcPr>
            <w:tcW w:w="0" w:type="dxa"/>
            <w:vAlign w:val="bottom"/>
          </w:tcPr>
          <w:p>
            <w:pPr>
              <w:spacing w:after="0"/>
              <w:rPr>
                <w:sz w:val="1"/>
                <w:szCs w:val="1"/>
                <w:color w:val="auto"/>
              </w:rPr>
            </w:pPr>
          </w:p>
        </w:tc>
      </w:tr>
      <w:tr>
        <w:trPr>
          <w:trHeight w:val="20"/>
        </w:trPr>
        <w:tc>
          <w:tcPr>
            <w:tcW w:w="7400" w:type="dxa"/>
            <w:vAlign w:val="bottom"/>
            <w:gridSpan w:val="7"/>
            <w:vMerge w:val="restart"/>
          </w:tcPr>
          <w:p>
            <w:pPr>
              <w:spacing w:after="0"/>
              <w:rPr>
                <w:sz w:val="20"/>
                <w:szCs w:val="20"/>
                <w:color w:val="auto"/>
              </w:rPr>
            </w:pPr>
            <w:r>
              <w:rPr>
                <w:rFonts w:ascii="Arial" w:cs="Arial" w:eastAsia="Arial" w:hAnsi="Arial"/>
                <w:sz w:val="18"/>
                <w:szCs w:val="18"/>
                <w:color w:val="auto"/>
              </w:rPr>
              <w:t>Customer financing assets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7"/>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15,012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(9,295)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Fixed assets, net</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5,717</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16,116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4,893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420"/>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74,653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5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91"/>
              </w:rPr>
              <w:t>Liabilities and Equity</w:t>
            </w:r>
          </w:p>
        </w:tc>
        <w:tc>
          <w:tcPr>
            <w:tcW w:w="202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Short-term borrowings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5,752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12,853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Liabilities of discontinued operations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Long-term debt currently due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19,793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18,616</w:t>
            </w:r>
          </w:p>
        </w:tc>
        <w:tc>
          <w:tcPr>
            <w:tcW w:w="0" w:type="dxa"/>
            <w:vAlign w:val="bottom"/>
          </w:tcPr>
          <w:p>
            <w:pPr>
              <w:spacing w:after="0"/>
              <w:rPr>
                <w:sz w:val="1"/>
                <w:szCs w:val="1"/>
                <w:color w:val="auto"/>
              </w:rPr>
            </w:pPr>
          </w:p>
        </w:tc>
      </w:tr>
      <w:tr>
        <w:trPr>
          <w:trHeight w:val="20"/>
        </w:trPr>
        <w:tc>
          <w:tcPr>
            <w:tcW w:w="7400" w:type="dxa"/>
            <w:vAlign w:val="bottom"/>
            <w:gridSpan w:val="7"/>
            <w:vMerge w:val="restart"/>
          </w:tcPr>
          <w:p>
            <w:pPr>
              <w:spacing w:after="0"/>
              <w:rPr>
                <w:sz w:val="20"/>
                <w:szCs w:val="20"/>
                <w:color w:val="auto"/>
              </w:rPr>
            </w:pPr>
            <w:r>
              <w:rPr>
                <w:rFonts w:ascii="Arial" w:cs="Arial" w:eastAsia="Arial" w:hAnsi="Arial"/>
                <w:sz w:val="18"/>
                <w:szCs w:val="18"/>
                <w:color w:val="auto"/>
              </w:rPr>
              <w:t>Long-term debt</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7"/>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20,450</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5,087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Other long-term liabilities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5,360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50,690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38,274</w:t>
            </w:r>
          </w:p>
        </w:tc>
        <w:tc>
          <w:tcPr>
            <w:tcW w:w="0" w:type="dxa"/>
            <w:vAlign w:val="bottom"/>
          </w:tcPr>
          <w:p>
            <w:pPr>
              <w:spacing w:after="0"/>
              <w:rPr>
                <w:sz w:val="1"/>
                <w:szCs w:val="1"/>
                <w:color w:val="auto"/>
              </w:rPr>
            </w:pPr>
          </w:p>
        </w:tc>
      </w:tr>
      <w:tr>
        <w:trPr>
          <w:trHeight w:val="221"/>
        </w:trPr>
        <w:tc>
          <w:tcPr>
            <w:tcW w:w="7400" w:type="dxa"/>
            <w:vAlign w:val="bottom"/>
            <w:gridSpan w:val="7"/>
          </w:tcPr>
          <w:p>
            <w:pPr>
              <w:spacing w:after="0"/>
              <w:rPr>
                <w:sz w:val="20"/>
                <w:szCs w:val="20"/>
                <w:color w:val="auto"/>
              </w:rPr>
            </w:pPr>
            <w:r>
              <w:rPr>
                <w:rFonts w:ascii="Arial" w:cs="Arial" w:eastAsia="Arial" w:hAnsi="Arial"/>
                <w:sz w:val="18"/>
                <w:szCs w:val="18"/>
                <w:color w:val="auto"/>
              </w:rPr>
              <w:t>Commitments and contingent liabilities (Note 14)</w:t>
            </w:r>
          </w:p>
        </w:tc>
        <w:tc>
          <w:tcPr>
            <w:tcW w:w="2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Shareowners’ Equity: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13,538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ind w:left="860"/>
              <w:spacing w:after="0"/>
              <w:rPr>
                <w:sz w:val="20"/>
                <w:szCs w:val="20"/>
                <w:color w:val="auto"/>
              </w:rPr>
            </w:pPr>
            <w:r>
              <w:rPr>
                <w:rFonts w:ascii="Arial" w:cs="Arial" w:eastAsia="Arial" w:hAnsi="Arial"/>
                <w:sz w:val="18"/>
                <w:szCs w:val="18"/>
                <w:color w:val="auto"/>
              </w:rPr>
              <w:t>Treasury Stock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(19,399)</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34,285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ind w:left="860"/>
              <w:spacing w:after="0"/>
              <w:rPr>
                <w:sz w:val="20"/>
                <w:szCs w:val="20"/>
                <w:color w:val="auto"/>
              </w:rPr>
            </w:pPr>
            <w:r>
              <w:rPr>
                <w:rFonts w:ascii="Arial" w:cs="Arial" w:eastAsia="Arial" w:hAnsi="Arial"/>
                <w:sz w:val="18"/>
                <w:szCs w:val="18"/>
                <w:color w:val="auto"/>
              </w:rPr>
              <w:t>Unearned ESOP shares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loss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180" w:type="dxa"/>
            <w:vAlign w:val="bottom"/>
            <w:gridSpan w:val="5"/>
            <w:vMerge w:val="restart"/>
          </w:tcPr>
          <w:p>
            <w:pPr>
              <w:ind w:left="80"/>
              <w:spacing w:after="0"/>
              <w:rPr>
                <w:sz w:val="20"/>
                <w:szCs w:val="20"/>
                <w:color w:val="auto"/>
              </w:rPr>
            </w:pPr>
            <w:r>
              <w:rPr>
                <w:rFonts w:ascii="Arial" w:cs="Arial" w:eastAsia="Arial" w:hAnsi="Arial"/>
                <w:sz w:val="18"/>
                <w:szCs w:val="18"/>
                <w:color w:val="auto"/>
              </w:rPr>
              <w:t>Total Shareowners’ Equity</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180" w:type="dxa"/>
            <w:vAlign w:val="bottom"/>
            <w:gridSpan w:val="5"/>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22,604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Equity</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23,725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74,653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6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1"/>
                <w:szCs w:val="11"/>
                <w:color w:val="auto"/>
              </w:rPr>
            </w:pPr>
          </w:p>
        </w:tc>
        <w:tc>
          <w:tcPr>
            <w:tcW w:w="580" w:type="dxa"/>
            <w:vAlign w:val="bottom"/>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Activities of Continuing Operations:</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2,822</w:t>
            </w:r>
          </w:p>
        </w:tc>
        <w:tc>
          <w:tcPr>
            <w:tcW w:w="4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$ 2,457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from continuing operations to net cash flows provided by operating activities of</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625</w:t>
            </w:r>
          </w:p>
        </w:tc>
        <w:tc>
          <w:tcPr>
            <w:tcW w:w="4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provision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Stock compensation cost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262</w:t>
            </w:r>
          </w:p>
        </w:tc>
        <w:tc>
          <w:tcPr>
            <w:tcW w:w="4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and contracts in progress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(1,049)</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Global pension contributions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(403)</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 of Continuing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(431)</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w:t>
            </w:r>
          </w:p>
        </w:tc>
        <w:tc>
          <w:tcPr>
            <w:tcW w:w="4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customer financing assets,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(Increase) decrease in restricted cash</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(10,696)</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collaboration intangible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(1,244)</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(12,272)</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330"/>
        </w:trPr>
        <w:tc>
          <w:tcPr>
            <w:tcW w:w="9680" w:type="dxa"/>
            <w:vAlign w:val="bottom"/>
            <w:gridSpan w:val="3"/>
          </w:tcPr>
          <w:p>
            <w:pPr>
              <w:spacing w:after="0"/>
              <w:rPr>
                <w:sz w:val="20"/>
                <w:szCs w:val="20"/>
                <w:color w:val="auto"/>
              </w:rPr>
            </w:pPr>
            <w:r>
              <w:rPr>
                <w:rFonts w:ascii="Arial" w:cs="Arial" w:eastAsia="Arial" w:hAnsi="Arial"/>
                <w:sz w:val="18"/>
                <w:szCs w:val="18"/>
                <w:color w:val="auto"/>
              </w:rPr>
              <w:t>Financing Activities of Continuing Operations:</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Issuance (repayment) of long-term debt,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10,784</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(Decrease) increase in short-term borrowings,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(418)</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(825)</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(302)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provided by (used in) financing activities of continuing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330"/>
        </w:trPr>
        <w:tc>
          <w:tcPr>
            <w:tcW w:w="968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60" w:type="dxa"/>
            <w:vAlign w:val="bottom"/>
            <w:vMerge w:val="restart"/>
          </w:tcPr>
          <w:p>
            <w:pPr>
              <w:ind w:left="80"/>
              <w:spacing w:after="0"/>
              <w:rPr>
                <w:sz w:val="20"/>
                <w:szCs w:val="20"/>
                <w:color w:val="auto"/>
              </w:rPr>
            </w:pPr>
            <w:r>
              <w:rPr>
                <w:rFonts w:ascii="Arial" w:cs="Arial" w:eastAsia="Arial" w:hAnsi="Arial"/>
                <w:sz w:val="18"/>
                <w:szCs w:val="18"/>
                <w:color w:val="auto"/>
              </w:rPr>
              <w:t>Net cash used in discontinued operations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8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3"/>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6,050</w:t>
            </w:r>
          </w:p>
        </w:tc>
        <w:tc>
          <w:tcPr>
            <w:tcW w:w="4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Cash and cash equivalents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3"/>
          </w:tcPr>
          <w:p>
            <w:pPr>
              <w:spacing w:after="0"/>
              <w:rPr>
                <w:sz w:val="20"/>
                <w:szCs w:val="20"/>
                <w:color w:val="auto"/>
              </w:rPr>
            </w:pPr>
            <w:r>
              <w:rPr>
                <w:rFonts w:ascii="Arial" w:cs="Arial" w:eastAsia="Arial" w:hAnsi="Arial"/>
                <w:sz w:val="18"/>
                <w:szCs w:val="18"/>
                <w:color w:val="auto"/>
              </w:rPr>
              <w:t>Cash and cash equivalents of continuing operations,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5,966</w:t>
            </w:r>
          </w:p>
        </w:tc>
        <w:tc>
          <w:tcPr>
            <w:tcW w:w="4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$ 5,396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Condensed Consolidated Financial Statements at June 30, 2012 and for the quarters and six months ended June 30, 2012 and 2011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(2011 Annual Report) incorporated by reference to our Annual Report on Form 10-K for calendar year 2011 (2011 Form 10-K).</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reclassifications have been made to the prior year amounts to conform to the current year presentation. On September 28, 2011, we announced a new organizational structure that allows us to better serve customers through greater integration across product lines. Effective January 1, 2012, we formed the UTC Climate, Controls &amp; Security segment which combines the former Carrier and UTC Fire &amp; Security segments. In 2012, the Company approved plans for the divestiture of a number of non-core businesses. The results of operations including the expected loss on disposition and the related cash flows which result from these non-core businesses have been reclassified to Discontinued Operations in our Condensed Consolidated Statement of Comprehensive Income and Condensed Consolidated Statement of Cash Flows for all periods presented. See Note 2 for further discussion.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first six months of 2012, our investment in business acquisitions was $358 million (including debt assumed</w:t>
      </w:r>
      <w:r>
        <w:rPr>
          <w:rFonts w:ascii="Arial" w:cs="Arial" w:eastAsia="Arial" w:hAnsi="Arial"/>
          <w:sz w:val="18"/>
          <w:szCs w:val="18"/>
          <w:b w:val="1"/>
          <w:bCs w:val="1"/>
          <w:color w:val="auto"/>
        </w:rPr>
        <w:t xml:space="preserve"> </w:t>
      </w:r>
      <w:r>
        <w:rPr>
          <w:rFonts w:ascii="Arial" w:cs="Arial" w:eastAsia="Arial" w:hAnsi="Arial"/>
          <w:sz w:val="18"/>
          <w:szCs w:val="18"/>
          <w:color w:val="auto"/>
        </w:rPr>
        <w:t>of $149 million).</w:t>
      </w:r>
    </w:p>
    <w:p>
      <w:pPr>
        <w:spacing w:after="0" w:line="126"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On September 21, 2011, we announced an agreement to acquire Goodrich Corporation (Goodrich), a global supplier of systems and services to the aerospace and defense industry with 2011 sales of $8.1 billion. Goodrich products include aircraft nacelles and interior systems, actuation and landing systems, and electronic systems. Under the terms of the agreement, Goodrich shareholders will receive $127.50 in cash for each share of Goodrich common stock they own at the time of the closing of the transaction. This equates to a total estimated enterprise value of $18.2 billion, including $1.7 billion in net debt to be assumed. In March 2012, Goodrich received shareholder approval for the transaction. The transaction is subject to customary closing conditions, including regulatory approvals. We expect that this acquisition will close in mid-2012. Once the acquisition is complete, Goodrich and Hamilton Sundstrand will be combined to form a new segment named UTC Aerospace Systems. This segment and our Pratt &amp; Whitney segment will be separately reportable segments although they will both be included within the UTC Propulsion &amp; Aerospace Systems organizational structure. We expect the increased scale, financial strength and complementary products of the new combined business will strengthen our position in the aerospace and defense industry. Further, we expect that this acquisition will enhance our ability to support our customers with more integrated systems.</w:t>
      </w:r>
    </w:p>
    <w:p>
      <w:pPr>
        <w:spacing w:after="0" w:line="12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In 2012, the Company approved plans for the divestiture of a number of non-core businesses. Cash generated from these divestitures is intended to be used to repay a portion of the short-term debt we expect to incur as part of the financing for the proposed acquisition of Goodrich. See Note 2 for further discussion.</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July 2012, we completed the acquisition of Goodrich and announced agreements to sell a number of non-core businesses. See Note 17 for discussion of subsequent events.</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On June 29, 2012, Pratt &amp; Whitney, Rolls-Royce plc (Rolls-Royce), and MTU Aero Engines AG (MTU) and Japanese Aero Engines Corporation (JAEC), participants in the IAE International Aero Engines AG (IAE) collaboration, completed a restructuring of their interests in IAE. Under the terms of the agreement, Rolls-Royce sold its ownership and collaboration interests in IAE to Pratt &amp; Whitney, while also entering into a license for its V2500 intellectual property with Pratt &amp; Whitney. In exchange for the increased ownership and collaboration interests and intellectual property license, Pratt &amp; Whitney paid Rolls-Royce $1.5 billion at closing with additional payments due to Rolls-Royce conditional upon each hour flown by V2500-powered aircraft in service at the closing date of the purchase from Rolls-Royce during the fifteen year period following closing of the purchase. The collaboration interest and intellectual property licenses are reflected as intangible assets and will be amortized in relation to the economic benefits received over the remaining estimated 30 year life of the V2500 program. Rolls-Royce will continue to support IAE as a strategic supplier for the V2500 engine and continue to perform its key responsibilities for IAE, including the manufacture of parts and assembly of engines. Pratt &amp; Whitney entered into a collaboration arrangement with MTU with respect to a portion of the acquired collaboration interest in IAE for consideration of approximately $233 million with additional payments due to Pratt &amp; Whitney in the future. As a result of these transactions, Pratt &amp; Whitney has a 61% net interest in the collaboration and a 49.5% ownership interest in IAE. Based on the criteria set forth in the Consolidation Topic of the FASB Accounting Standards Codification (ASC), we have determined that IAE is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variable interest entity (VIE). IAE’s business purpose is to coordinate the design, development, and the manufacture of, and to provide product support to the V2500 program through involvement with the collaborators. IAE retains limited equity with the primary economics of the V2500 program passed to the participants in the separate collaboration arrangement. As such, UTC is determined to be the primary beneficiary of IAE as it absorbs the significant economics of IAE and has the power to direct the activities that are considered most significant to IAE. The consolidation of IAE resulted in a gain of $21 million recognized on the remeasurement to fair value of our previously held equity interest on obtaining control of IAE. The carrying amounts and classification of assets and liabilities for IAE in our condensed consolidated balance sheet as of June 30, 2012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902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gridSpan w:val="3"/>
            <w:vMerge w:val="restart"/>
          </w:tcPr>
          <w:p>
            <w:pPr>
              <w:ind w:left="18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$1,465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9"/>
            <w:vMerge w:val="restart"/>
          </w:tcPr>
          <w:p>
            <w:pPr>
              <w:spacing w:after="0"/>
              <w:rPr>
                <w:sz w:val="20"/>
                <w:szCs w:val="20"/>
                <w:color w:val="auto"/>
              </w:rPr>
            </w:pPr>
            <w:r>
              <w:rPr>
                <w:rFonts w:ascii="Arial" w:cs="Arial" w:eastAsia="Arial" w:hAnsi="Arial"/>
                <w:sz w:val="18"/>
                <w:szCs w:val="18"/>
                <w:b w:val="1"/>
                <w:bCs w:val="1"/>
                <w:color w:val="auto"/>
                <w:w w:val="92"/>
              </w:rPr>
              <w:t xml:space="preserve">Goodwill. </w:t>
            </w:r>
            <w:r>
              <w:rPr>
                <w:rFonts w:ascii="Arial" w:cs="Arial" w:eastAsia="Arial" w:hAnsi="Arial"/>
                <w:sz w:val="18"/>
                <w:szCs w:val="18"/>
                <w:color w:val="auto"/>
                <w:w w:val="92"/>
              </w:rPr>
              <w:t>Changes in our goodwill balances for the first six months of 2012 were as follows:</w:t>
            </w: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820" w:type="dxa"/>
            <w:vAlign w:val="bottom"/>
            <w:gridSpan w:val="9"/>
            <w:vMerge w:val="continue"/>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3"/>
              </w:rPr>
              <w:t>Balance as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62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Balance as of</w:t>
            </w:r>
          </w:p>
        </w:tc>
        <w:tc>
          <w:tcPr>
            <w:tcW w:w="7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Goodwill resulting from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Foreign currency</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June</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620" w:type="dxa"/>
            <w:vAlign w:val="bottom"/>
            <w:gridSpan w:val="3"/>
            <w:vMerge w:val="continue"/>
          </w:tcPr>
          <w:p>
            <w:pPr>
              <w:spacing w:after="0"/>
              <w:rPr>
                <w:sz w:val="14"/>
                <w:szCs w:val="14"/>
                <w:color w:val="auto"/>
              </w:rPr>
            </w:pPr>
          </w:p>
        </w:tc>
        <w:tc>
          <w:tcPr>
            <w:tcW w:w="9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6"/>
              </w:rPr>
              <w:t>January 1, 2012</w:t>
            </w:r>
          </w:p>
        </w:tc>
        <w:tc>
          <w:tcPr>
            <w:tcW w:w="720" w:type="dxa"/>
            <w:vAlign w:val="bottom"/>
          </w:tcPr>
          <w:p>
            <w:pPr>
              <w:spacing w:after="0"/>
              <w:rPr>
                <w:sz w:val="14"/>
                <w:szCs w:val="14"/>
                <w:color w:val="auto"/>
              </w:rPr>
            </w:pPr>
          </w:p>
        </w:tc>
        <w:tc>
          <w:tcPr>
            <w:tcW w:w="13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w w:val="84"/>
              </w:rPr>
              <w:t>business combinations</w:t>
            </w:r>
          </w:p>
        </w:tc>
        <w:tc>
          <w:tcPr>
            <w:tcW w:w="780" w:type="dxa"/>
            <w:vAlign w:val="bottom"/>
          </w:tcPr>
          <w:p>
            <w:pPr>
              <w:spacing w:after="0"/>
              <w:rPr>
                <w:sz w:val="14"/>
                <w:szCs w:val="14"/>
                <w:color w:val="auto"/>
              </w:rPr>
            </w:pPr>
          </w:p>
        </w:tc>
        <w:tc>
          <w:tcPr>
            <w:tcW w:w="150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translation and other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88"/>
              </w:rPr>
              <w:t>30, 2012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82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1,516</w:t>
            </w:r>
          </w:p>
        </w:tc>
        <w:tc>
          <w:tcPr>
            <w:tcW w:w="7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(37)</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9,758</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(178)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254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4,475</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(744)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7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ind w:left="460"/>
              <w:spacing w:after="0"/>
              <w:rPr>
                <w:sz w:val="20"/>
                <w:szCs w:val="20"/>
                <w:color w:val="auto"/>
              </w:rPr>
            </w:pPr>
            <w:r>
              <w:rPr>
                <w:rFonts w:ascii="Arial" w:cs="Arial" w:eastAsia="Arial" w:hAnsi="Arial"/>
                <w:sz w:val="18"/>
                <w:szCs w:val="18"/>
                <w:color w:val="auto"/>
              </w:rPr>
              <w:t>Total Segments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17,320</w:t>
            </w: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298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(1,502)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20" w:type="dxa"/>
            <w:vAlign w:val="bottom"/>
            <w:gridSpan w:val="4"/>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82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17,943</w:t>
            </w: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298</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(2,125)</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six months ended June 30, 2012, Pratt &amp; Whitney recorded $254 million of tax-deductible goodwill resulting from business combinations related to its increased ownership interest and consolidation of IAE. The approximately $2.1 billion decrease reflected under “Foreign currency translation and other” in the table above primarily reflects the decision to divest a number of non-core businesses and the resulting reclassification to Assets of discontinued operations. See Note 2 for further discussion.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30, 2012</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8"/>
              </w:rPr>
              <w:t>December 31, 2011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26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Gross Amount</w:t>
            </w: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Amortization</w:t>
            </w: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Gross Amount</w:t>
            </w:r>
          </w:p>
        </w:tc>
        <w:tc>
          <w:tcPr>
            <w:tcW w:w="660" w:type="dxa"/>
            <w:vAlign w:val="bottom"/>
          </w:tcPr>
          <w:p>
            <w:pPr>
              <w:spacing w:after="0"/>
              <w:rPr>
                <w:sz w:val="14"/>
                <w:szCs w:val="14"/>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Amortized:</w:t>
            </w:r>
          </w:p>
        </w:tc>
        <w:tc>
          <w:tcPr>
            <w:tcW w:w="30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2,031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2,036</w:t>
            </w:r>
          </w:p>
        </w:tc>
        <w:tc>
          <w:tcPr>
            <w:tcW w:w="9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IAE collaboration</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(1,418)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6,838</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(2,671)</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5,828</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w:t>
            </w:r>
          </w:p>
        </w:tc>
        <w:tc>
          <w:tcPr>
            <w:tcW w:w="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Trademarks and other</w:t>
            </w: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(2,671)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Amortization of intangible assets for the quarter and six months ended June 30, 2012 was $96 million and $195 million respectively, compared with $103 million and $203 million for the same periods of 2011. Average amortization of these intangible assets for 2012 through 2016 is expected to approximate $360 million per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2012, the Company approved plans for the divestiture of a number of non-core businesses. Cash generated from these divestitures is intended to be used to repay a portion of the short-term debt we expect to incur as part of the financing for the proposed acquisition of Goodrich. These divestitures are expected to generate approximately $3 billion in net cash, on an after-tax basis.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first quarter of 2012, the Hamilton Sundstrand Industrial businesses, Pratt &amp; Whitney Rocketdyne (Rocketdyne), and Clipper Windpower (Clipper) all met the held-for-sale criteria. On June 29, 2012, management approved a plan for the divestiture of UTC Power. The operating results of Clipper and UTC Power had previously been reported within “Eliminations &amp; other” in our segment disclosure. The results of operations, including the net losses expected on disposition, and the related cash flows which result from these non-core businesses have been reclassified to Discontinued Operations in our Condensed Consolidated Statement of Comprehensive Income and Condensed Consolidated Statement of Cash Flows for all periods presented. The assets and liabilities of these non-core businesses have been reclassified to Assets of discontinued operations and Liabilities of discontinued operations in our Condensed Consolidated Balance Sheet as of June 30, 2012. Cash flows from the operation of these discontinued businesses will continue until their disposals, most of which are expected to occur in the second half of 2012.</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a result of the decision to dispose of these businesses, the Company has recorded pre-tax goodwill impairment charges of approximately $360 million and $590 million related to Rocketdyne and Clipper, respectively, in discontinued operations during the first quarter of 2012, and pre-tax net asset impairment charges of approximately $179 million related to UTC Power in discontinued operations during the second quarter of 2012. The goodwill impairment charges result from the decision to dispose of both Rocketdyne and Clipper within a relatively short period after acquiring the businesses. Consequently, there has not been sufficient opportunity for the long-term operations to recover the value implicit in goodwill at the initial date of acquisition. The impairment charge at UTC Power results from adjusting the net assets of the business to the estimated fair value less cost to sell the business expected to be realized upon sale and reflects the loss in value from the disposition of the business before the benefits of the technology investments could be fully realized. The fair value of these businesses has been estimated using information available in the marketplace as we market these businesses for sale. There could be gains or additional losses recorded upon final disposition of these businesses based upon the values, terms and conditions that are ultimately negotiated.</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summarized financial information related to these non-core businesses has been segregated from continuing operations and will be reported as discontinued operations through the dates of disposition:</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2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Quarter Ended 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Discontinued Operations:</w:t>
            </w: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562</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606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1,086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income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(Loss) income from operations, net of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Loss on disposal</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(loss) income on discontinued operations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(993)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income tax benefit for the six months ended June 30, 2012 includes approximately $235 million of unfavorable income tax adjustments related to the recognition of a deferred tax liability on the existing difference between the accounting versus tax gain on the planned disposition of Hamilton Sundstrand’s Industrial businesses.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assets and liabilities of discontinued operations on the Condensed Consolidated Balance Sheet as of June 30,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6960" w:type="dxa"/>
            <w:vAlign w:val="bottom"/>
            <w:gridSpan w:val="4"/>
            <w:shd w:val="clear" w:color="auto" w:fill="CCEEFF"/>
          </w:tcPr>
          <w:p>
            <w:pPr>
              <w:jc w:val="right"/>
              <w:ind w:right="5400"/>
              <w:spacing w:after="0" w:line="170"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Inventories and contracts in progress, net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assets, current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Assets of discontinued operations</w:t>
            </w:r>
          </w:p>
        </w:tc>
        <w:tc>
          <w:tcPr>
            <w:tcW w:w="69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1,989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660" w:type="dxa"/>
            <w:vAlign w:val="bottom"/>
            <w:gridSpan w:val="4"/>
            <w:shd w:val="clear" w:color="auto" w:fill="CCEEFF"/>
          </w:tcPr>
          <w:p>
            <w:pPr>
              <w:jc w:val="right"/>
              <w:ind w:right="5232"/>
              <w:spacing w:after="0" w:line="189" w:lineRule="exact"/>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Short-term borrowings</w:t>
            </w: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of discontinued operations</w:t>
            </w:r>
          </w:p>
        </w:tc>
        <w:tc>
          <w:tcPr>
            <w:tcW w:w="650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announced agreements for the sale of Rocketdyne on July 23, 2012 and for the sale of the Hamilton Sundstrand Industrial businesses on July 25,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Note 17 for discussion of subsequent events.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 shares in millions)</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87"/>
              </w:rPr>
              <w:t>Quarter Ended June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2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1,466</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1,288</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2,655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 income from discontinued operations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92"/>
              </w:rPr>
              <w:t>Basic weighted average number of shares outstanding</w:t>
            </w: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gridSpan w:val="2"/>
            <w:vMerge w:val="continue"/>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893.4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892.9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895.9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89"/>
              </w:rPr>
              <w:t>Diluted weighted average number of shares outstanding</w:t>
            </w:r>
          </w:p>
        </w:tc>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904.8</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909.8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3"/>
              </w:rPr>
              <w:t>Earnings (Loss) Per Share of Common Stock - Basic:</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Net (loss) income from discontinued operations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1"/>
              </w:rPr>
              <w:t>Net income attributable to common shareowners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1"/>
              </w:rPr>
              <w:t>Earnings (Loss) Per Share of Common Stock - Diluted:</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Net (loss) income from discontinued operations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1"/>
              </w:rPr>
              <w:t>Net income attributable to common shareowners</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 because the effect would be anti-dilutive. For the quarter ended June 30, 2012, the number of stock awards excluded from the computation was 6.2 million. For the six months ended June 30, 2012, there were no anti-dilutive stock awards excluded from the computation. There were no anti-dilutive stock awards excluded from the computation for the quarter and six months ended June 30, 2011. On June 18, 2012, we issued 22,000,000 Equity Units, which did not impact diluted earnings per share in the quarter or six months ended June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4000" w:type="dxa"/>
            <w:vAlign w:val="bottom"/>
          </w:tcPr>
          <w:p>
            <w:pPr>
              <w:spacing w:after="0"/>
              <w:rPr>
                <w:sz w:val="15"/>
                <w:szCs w:val="15"/>
                <w:color w:val="auto"/>
              </w:rPr>
            </w:pPr>
          </w:p>
        </w:tc>
        <w:tc>
          <w:tcPr>
            <w:tcW w:w="18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June 30, 2012</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r>
      <w:tr>
        <w:trPr>
          <w:trHeight w:val="203"/>
        </w:trPr>
        <w:tc>
          <w:tcPr>
            <w:tcW w:w="5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1,139</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3,823</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20" w:type="dxa"/>
            <w:vAlign w:val="bottom"/>
            <w:shd w:val="clear" w:color="auto" w:fill="CCEEFF"/>
          </w:tcPr>
          <w:p>
            <w:pPr>
              <w:spacing w:after="0"/>
              <w:rPr>
                <w:sz w:val="18"/>
                <w:szCs w:val="18"/>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7,101</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20" w:type="dxa"/>
            <w:vAlign w:val="bottom"/>
          </w:tcPr>
          <w:p>
            <w:pPr>
              <w:spacing w:after="0"/>
              <w:rPr>
                <w:sz w:val="19"/>
                <w:szCs w:val="19"/>
                <w:color w:val="auto"/>
              </w:rPr>
            </w:pPr>
          </w:p>
        </w:tc>
      </w:tr>
      <w:tr>
        <w:trPr>
          <w:trHeight w:val="216"/>
        </w:trPr>
        <w:tc>
          <w:tcPr>
            <w:tcW w:w="12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14,473</w:t>
            </w:r>
          </w:p>
        </w:tc>
        <w:tc>
          <w:tcPr>
            <w:tcW w:w="12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Less: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Progress payments, secured by lien, on U.S. Government contracts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(6,363)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(6,254)</w:t>
            </w:r>
          </w:p>
        </w:tc>
      </w:tr>
      <w:tr>
        <w:trPr>
          <w:trHeight w:val="27"/>
        </w:trPr>
        <w:tc>
          <w:tcPr>
            <w:tcW w:w="1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20" w:type="dxa"/>
            <w:vAlign w:val="bottom"/>
            <w:shd w:val="clear" w:color="auto" w:fill="CCEEFF"/>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2012 and December 31, 2011, the above inventory balances include capitalized contract development costs of $826 million and $776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680" w:type="dxa"/>
            <w:vAlign w:val="bottom"/>
            <w:gridSpan w:val="3"/>
          </w:tcPr>
          <w:p>
            <w:pPr>
              <w:ind w:left="1880"/>
              <w:spacing w:after="0"/>
              <w:rPr>
                <w:sz w:val="20"/>
                <w:szCs w:val="20"/>
                <w:color w:val="auto"/>
              </w:rPr>
            </w:pPr>
            <w:r>
              <w:rPr>
                <w:rFonts w:ascii="Arial" w:cs="Arial" w:eastAsia="Arial" w:hAnsi="Arial"/>
                <w:sz w:val="14"/>
                <w:szCs w:val="14"/>
                <w:b w:val="1"/>
                <w:bCs w:val="1"/>
                <w:color w:val="auto"/>
                <w:w w:val="85"/>
              </w:rPr>
              <w:t>June 30, 2012</w:t>
            </w:r>
          </w:p>
        </w:tc>
        <w:tc>
          <w:tcPr>
            <w:tcW w:w="2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December 31, 2011</w:t>
            </w: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455</w:t>
            </w: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1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210</w:t>
            </w:r>
          </w:p>
        </w:tc>
        <w:tc>
          <w:tcPr>
            <w:tcW w:w="9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21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210</w:t>
            </w:r>
          </w:p>
        </w:tc>
        <w:tc>
          <w:tcPr>
            <w:tcW w:w="1440" w:type="dxa"/>
            <w:vAlign w:val="bottom"/>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November 8, 2011, we entered into a bridge credit agreement with various financial institutions that provides for a $15 billion unsecured bridge loan facility available to partially fund the cash consideration of the pending acquisition of Goodrich and pay related fees, expenses and other amounts expected to become due and payable by UTC as a result of the acquisition. Any funding under the bridge credit agreement would substantially occur concurrently with the consummation of the Goodrich acquisition, subject to customary conditions for acquisition financings of this type. Any loans made pursuant to the bridge credit agreement would mature on the date that is 364 days after the funding date. We have reduced the available commitments under this bridge loan facility to $2 billion primarily as a result of the subsequent financing transactions on June 1, 2012 and June 18, 2012 as described below.</w:t>
      </w:r>
    </w:p>
    <w:p>
      <w:pPr>
        <w:spacing w:after="0" w:line="12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On April 24, 2012, we entered into a term loan credit agreement with various financial institutions that provides for a $2 billion unsecured term loan facility, and which is available to partially fund the cash consideration of the pending acquisition of Goodrich and pay related fees, expenses and other amounts expected to become due and payable by UTC as a result of the acquisition. Any loan under the agreement would mature on December 31, 2012, and funding would occur shortly before consummation of the acquisition, subject to customary conditions for financings of this type. Funding would be conditioned on the substantially contemporaneous termination of the remaining commitments under our $15 billion bridge credit agreement executed on November 8, 2011.</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 2012, we issued a total of $9.8 billion of long-term debt, which is comprised of $1.0 billion aggregate principal amount of 1.200% notes due 2015, $1.5 billion aggregate principal amount of 1.800% notes due 2017, $2.3 billion aggregate principal amount of 3.100% notes due 2022, $3.5 billion aggregate principal amount of 4.500% notes due 2042, $1.0 billion aggregate principal amount of three-month LIBOR plus 0.270% floating rate notes due 2013, and $0.5 billion aggregate principal amount of three-month LIBOR plus 0.500% floating rate notes due 2015. We expect to primarily use the net proceeds of these notes to partially fund the cash consideration for the pending acquisition of Goodrich and pay related fees, expenses and other amounts expected to become due and payable by UTC as a result of the acquisition. The remainder of the net proceeds from these notes, if any, will be used for general corporate purposes. The three-month LIBOR rate as of June 30, 2012 was approximately 0.5%.</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18, 2012, we issued 22,000,000 Equity Units. Each Equity Unit has a stated amount of $50 and initially is in the form of a corporate unit consisting of (a) a freestanding stock purchase contract under which the holder will purchase from us on August 1, 2015, a number of shares of our common stock determined pursuant to the terms of the agreement and (b) a 1/20, or 5.0%, undivided beneficial ownership interest in $1,000 principal amount on our 1.55% junior subordinated notes due 2022. Holders of the Equity Units will be entitled to receive quarterly contract adjustment payments at a rate of 5.95% per year of the stated amount of $50 per Equity Unit, subject to our right to defer such payments. We expect to primarily use the net proceeds of the Equity Units to partially fund the cash consideration of the pending acquisition of Goodrich and pay related fees, expenses and other amounts expected to become due and payable by UTC as a result of the acquisition. The remainder of the net proceeds from the Equity Units, if any, will be used for general corporate purposes.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net proceeds from the sale of the Equity Units were allocated between the purchase contracts and the notes in our financial statements based on the underlying fair value of each instrument at the time of issuance taking into consideration the contract adjustment payments. The fair value of the purchase contracts is expected to approximate the present value of the contract adjustment payments and was recorded as a reduction to Common Stock, with an offsetting credit to liabilities. This liability will be accreted over three years through interest charges to the income statement based on a constant rate calculation. The purchase contracts are reflected in our diluted earnings per share calculations using the treasury stock method.</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Cash generated from the issuances of long-term debt and Equity Units during June 2012 is currently designated for the Goodrich acquisition and payment of related fees, expenses and other amounts expected to become due and payable by UTC as a result of the acquisition, and has therefore been classified as “Restricted cash, current” in our Condensed Consolidated Balance Sheet as of June 30, 2012. The restricted cash balance held as of June 30, 2012 and December 31, 2011 was $10.7 billion and $37 million, respectively.</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June 30, 2012, we had revolving credit agreements with various banks permitting aggregate borrowings of up to $4 billion pursuant to a $2 billion revolving credit agreement and a $2 billion multicurrency revolving credit agreement, both of which expire in November 2016. As of June 30, 2012, there were no borrowings under either of these revolving credit agreements. The undrawn portions of our revolving credit agreements are also available to serve as backup facilities for the issuance of commercial paper. As of June 30, 2012, our maximum commercial paper borrowing authority as set by our Board of Directors was $4 billion. We generally use our commercial paper borrowings for general corporate purposes, including the funding of potential acquisitions and repurchases of our common stock.</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460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June 30, 2012</w:t>
            </w:r>
          </w:p>
        </w:tc>
        <w:tc>
          <w:tcPr>
            <w:tcW w:w="16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LIBOR plus 0.270% floating rate notes due 2013</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LIBOR plus 0.500% floating rate notes due 2015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notes due 2015*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4.875% notes due 2015*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5.375% notes due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1.800% notes due 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8.875% notes due 2019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4.500% notes due 2020*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8.750% notes due 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3.100% notes due 2022*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1.550% junior subordinated notes due 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6.700% notes due 2028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7.500% notes due 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5.400% notes due 2035*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6.050% notes due 2036*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5.700% notes due 2040*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4.500% notes due 2042*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Project financing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(including capitalized leases and discounts)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20,511</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20,450</w:t>
            </w:r>
          </w:p>
        </w:tc>
        <w:tc>
          <w:tcPr>
            <w:tcW w:w="460" w:type="dxa"/>
            <w:vAlign w:val="bottom"/>
          </w:tcPr>
          <w:p>
            <w:pPr>
              <w:spacing w:after="0"/>
              <w:rPr>
                <w:sz w:val="19"/>
                <w:szCs w:val="19"/>
                <w:color w:val="auto"/>
              </w:rPr>
            </w:pPr>
          </w:p>
        </w:tc>
        <w:tc>
          <w:tcPr>
            <w:tcW w:w="800" w:type="dxa"/>
            <w:vAlign w:val="bottom"/>
            <w:gridSpan w:val="2"/>
          </w:tcPr>
          <w:p>
            <w:pPr>
              <w:jc w:val="right"/>
              <w:ind w:right="22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20" w:right="100" w:hanging="448"/>
        <w:spacing w:after="0" w:line="254"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redeem some or all of these series of notes at any time at a redemption price in U.S. dollars equal to the greater of 100% of the principal amount outstanding of the applicable series of notes to be redeemed, or the sum of the present values of the remaining scheduled payments of principal and interest on the applicable series of notes to be redeemed. The discounts applied on such redemptions are based on a semiannual calculation at an adjusted treasury rate plus 10-50 basis points, depending on the particular series. The redemption price will also include interest accrued to the date of redemption on the principal balance of the notes being redeemed.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20" w:hanging="448"/>
        <w:spacing w:after="0" w:line="298" w:lineRule="auto"/>
        <w:tabs>
          <w:tab w:leader="none" w:pos="1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junior subordinated notes are redeemable at our option, in whole or in part, on a date not earlier than August 1, 2017. The redemption price will be the principal amount, plus accrued and unpaid interest, if any, up to but excluding the redemption date. We may extend or eliminate the optional redemption date as part of a remarketing of the junior subordinated notes which could occur between April 29, 2015 and July 15, 2015 or between July 23, 2015 and July 29, 2015.</w:t>
      </w:r>
    </w:p>
    <w:p>
      <w:pPr>
        <w:spacing w:after="0" w:line="11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closing of the acquisition of Goodrich on July 26, 2012 materially changed certain of the borrowings and lines of credit listed above. See Note 17 for discussion of subsequent events, including the Goodrich acquisition financing.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96"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9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 is reasonably possible that over the next twelve months the amount of unrecognized tax benefits may decrease within a range of $10 million to $120 million as a result of additional worldwide uncertain tax positions, the revaluation of current uncertain tax positions arising from developments in examinations, in appeals or in the courts, or the closure of tax statutes. A portion of this net reduction may impact the Company’s 2012 or 2013 income tax expense. Not included in the range is €198 million (approximately $247 million) of tax benefits that we have claimed related to a 1998 German reorganization. A portion of these tax benefits was denied by the German Tax Office on July 5, 2012, as a result of the audit of tax years 1999 to 2000.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Tax years 2004 through 2008 are currently before the Appeals Division of the Internal Revenue Service (IRS) for resolution discussions regarding certain proposed tax adjustments with which the Company does not agree. The Company expects resolution discussions relating to the 2004 and 2005 tax years to be completed within the next six months.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these plans were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9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119"/>
              <w:spacing w:after="0"/>
              <w:rPr>
                <w:sz w:val="20"/>
                <w:szCs w:val="20"/>
                <w:color w:val="auto"/>
              </w:rPr>
            </w:pPr>
            <w:r>
              <w:rPr>
                <w:rFonts w:ascii="Arial" w:cs="Arial" w:eastAsia="Arial" w:hAnsi="Arial"/>
                <w:sz w:val="14"/>
                <w:szCs w:val="14"/>
                <w:b w:val="1"/>
                <w:bCs w:val="1"/>
                <w:color w:val="auto"/>
                <w:w w:val="91"/>
              </w:rPr>
              <w:t>Quarter Ended June 30,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89"/>
              </w:rPr>
              <w:t>2011</w:t>
            </w: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Defined Benefit Plans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Defined Contribution Plans</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contributions to our domestic defined benefit pension plans in the first six months of 2012 and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left="178"/>
              <w:spacing w:after="0"/>
              <w:rPr>
                <w:sz w:val="20"/>
                <w:szCs w:val="20"/>
                <w:color w:val="auto"/>
              </w:rPr>
            </w:pPr>
            <w:r>
              <w:rPr>
                <w:rFonts w:ascii="Arial" w:cs="Arial" w:eastAsia="Arial" w:hAnsi="Arial"/>
                <w:sz w:val="14"/>
                <w:szCs w:val="14"/>
                <w:b w:val="1"/>
                <w:bCs w:val="1"/>
                <w:color w:val="auto"/>
                <w:w w:val="82"/>
              </w:rPr>
              <w:t>Pension Benefits</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left="198"/>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left="278"/>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3"/>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43"/>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2012</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76"/>
              </w:rPr>
              <w:t>2011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4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326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(456)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(458)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left="178"/>
              <w:spacing w:after="0"/>
              <w:rPr>
                <w:sz w:val="20"/>
                <w:szCs w:val="20"/>
                <w:color w:val="auto"/>
              </w:rPr>
            </w:pPr>
            <w:r>
              <w:rPr>
                <w:rFonts w:ascii="Arial" w:cs="Arial" w:eastAsia="Arial" w:hAnsi="Arial"/>
                <w:sz w:val="14"/>
                <w:szCs w:val="14"/>
                <w:b w:val="1"/>
                <w:bCs w:val="1"/>
                <w:color w:val="auto"/>
                <w:w w:val="82"/>
              </w:rPr>
              <w:t>Pension Benefits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left="278"/>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3"/>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43"/>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2012</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76"/>
              </w:rPr>
              <w:t>2011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4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222</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626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650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(912)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(914)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settlements and curtailment losses for pension benefits includes curtailment losses of approximately $3 million and $24 million related to, and recorded in, discontinued operations for the quarter and six months ended June 30, 2012,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six months of 2012, we recorded net pre-tax restructuring costs totaling $232 million for new and ongoing restructuring actions as follows:</w:t>
      </w:r>
    </w:p>
    <w:p>
      <w:pPr>
        <w:sectPr>
          <w:pgSz w:w="11900" w:h="16838" w:orient="portrait"/>
          <w:cols w:equalWidth="0" w:num="1">
            <w:col w:w="11340"/>
          </w:cols>
          <w:pgMar w:left="240" w:top="459" w:right="319" w:bottom="1440" w:gutter="0" w:footer="0" w:header="0"/>
        </w:sectPr>
      </w:pPr>
    </w:p>
    <w:p>
      <w:pPr>
        <w:spacing w:after="0" w:line="230"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763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225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UTC Climate, Controls &amp; Security</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Pratt &amp; Whitney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Hamilton Sundstrand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Sikorsky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Eliminations and other</w:t>
      </w:r>
    </w:p>
    <w:p>
      <w:pPr>
        <w:spacing w:after="0" w:line="13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Restructuring costs recorded within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-111125</wp:posOffset>
            </wp:positionV>
            <wp:extent cx="49225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8"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Restructuring costs recorded within discontinued operations</w:t>
      </w:r>
    </w:p>
    <w:p>
      <w:pPr>
        <w:spacing w:after="0" w:line="6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189" w:hanging="189"/>
        <w:spacing w:after="0"/>
        <w:tabs>
          <w:tab w:leader="none" w:pos="189" w:val="left"/>
        </w:tabs>
        <w:numPr>
          <w:ilvl w:val="0"/>
          <w:numId w:val="5"/>
        </w:numPr>
        <w:rPr>
          <w:rFonts w:ascii="Arial" w:cs="Arial" w:eastAsia="Arial" w:hAnsi="Arial"/>
          <w:sz w:val="16"/>
          <w:szCs w:val="16"/>
          <w:color w:val="auto"/>
        </w:rPr>
      </w:pPr>
      <w:r>
        <w:rPr>
          <w:rFonts w:ascii="Arial" w:cs="Arial" w:eastAsia="Arial" w:hAnsi="Arial"/>
          <w:sz w:val="16"/>
          <w:szCs w:val="16"/>
          <w:color w:val="auto"/>
        </w:rPr>
        <w:t>63</w:t>
      </w:r>
    </w:p>
    <w:p>
      <w:pPr>
        <w:spacing w:after="0" w:line="38" w:lineRule="exact"/>
        <w:rPr>
          <w:rFonts w:ascii="Arial" w:cs="Arial" w:eastAsia="Arial" w:hAnsi="Arial"/>
          <w:sz w:val="16"/>
          <w:szCs w:val="16"/>
          <w:color w:val="auto"/>
        </w:rPr>
      </w:pPr>
    </w:p>
    <w:p>
      <w:pPr>
        <w:ind w:left="189"/>
        <w:spacing w:after="0"/>
        <w:rPr>
          <w:rFonts w:ascii="Arial" w:cs="Arial" w:eastAsia="Arial" w:hAnsi="Arial"/>
          <w:sz w:val="16"/>
          <w:szCs w:val="16"/>
          <w:color w:val="auto"/>
        </w:rPr>
      </w:pPr>
      <w:r>
        <w:rPr>
          <w:rFonts w:ascii="Arial" w:cs="Arial" w:eastAsia="Arial" w:hAnsi="Arial"/>
          <w:sz w:val="16"/>
          <w:szCs w:val="16"/>
          <w:color w:val="auto"/>
        </w:rPr>
        <w:t>72</w:t>
      </w:r>
    </w:p>
    <w:p>
      <w:pPr>
        <w:spacing w:after="0" w:line="32" w:lineRule="exact"/>
        <w:rPr>
          <w:rFonts w:ascii="Arial" w:cs="Arial" w:eastAsia="Arial" w:hAnsi="Arial"/>
          <w:sz w:val="16"/>
          <w:szCs w:val="16"/>
          <w:color w:val="auto"/>
        </w:rPr>
      </w:pPr>
    </w:p>
    <w:p>
      <w:pPr>
        <w:ind w:left="189"/>
        <w:spacing w:after="0"/>
        <w:rPr>
          <w:rFonts w:ascii="Arial" w:cs="Arial" w:eastAsia="Arial" w:hAnsi="Arial"/>
          <w:sz w:val="16"/>
          <w:szCs w:val="16"/>
          <w:color w:val="auto"/>
        </w:rPr>
      </w:pPr>
      <w:r>
        <w:rPr>
          <w:rFonts w:ascii="Arial" w:cs="Arial" w:eastAsia="Arial" w:hAnsi="Arial"/>
          <w:sz w:val="16"/>
          <w:szCs w:val="16"/>
          <w:color w:val="auto"/>
        </w:rPr>
        <w:t>54</w:t>
      </w:r>
    </w:p>
    <w:p>
      <w:pPr>
        <w:spacing w:after="0" w:line="32" w:lineRule="exact"/>
        <w:rPr>
          <w:rFonts w:ascii="Arial" w:cs="Arial" w:eastAsia="Arial" w:hAnsi="Arial"/>
          <w:sz w:val="16"/>
          <w:szCs w:val="16"/>
          <w:color w:val="auto"/>
        </w:rPr>
      </w:pPr>
    </w:p>
    <w:p>
      <w:pPr>
        <w:ind w:left="269"/>
        <w:spacing w:after="0"/>
        <w:rPr>
          <w:rFonts w:ascii="Arial" w:cs="Arial" w:eastAsia="Arial" w:hAnsi="Arial"/>
          <w:sz w:val="16"/>
          <w:szCs w:val="16"/>
          <w:color w:val="auto"/>
        </w:rPr>
      </w:pPr>
      <w:r>
        <w:rPr>
          <w:rFonts w:ascii="Arial" w:cs="Arial" w:eastAsia="Arial" w:hAnsi="Arial"/>
          <w:sz w:val="16"/>
          <w:szCs w:val="16"/>
          <w:color w:val="auto"/>
        </w:rPr>
        <w:t>5</w:t>
      </w:r>
    </w:p>
    <w:p>
      <w:pPr>
        <w:spacing w:after="0" w:line="32" w:lineRule="exact"/>
        <w:rPr>
          <w:rFonts w:ascii="Arial" w:cs="Arial" w:eastAsia="Arial" w:hAnsi="Arial"/>
          <w:sz w:val="16"/>
          <w:szCs w:val="16"/>
          <w:color w:val="auto"/>
        </w:rPr>
      </w:pPr>
    </w:p>
    <w:p>
      <w:pPr>
        <w:ind w:left="269"/>
        <w:spacing w:after="0"/>
        <w:rPr>
          <w:rFonts w:ascii="Arial" w:cs="Arial" w:eastAsia="Arial" w:hAnsi="Arial"/>
          <w:sz w:val="16"/>
          <w:szCs w:val="16"/>
          <w:color w:val="auto"/>
        </w:rPr>
      </w:pPr>
      <w:r>
        <w:rPr>
          <w:rFonts w:ascii="Arial" w:cs="Arial" w:eastAsia="Arial" w:hAnsi="Arial"/>
          <w:sz w:val="16"/>
          <w:szCs w:val="16"/>
          <w:color w:val="auto"/>
        </w:rPr>
        <w:t>6</w:t>
      </w:r>
    </w:p>
    <w:p>
      <w:pPr>
        <w:spacing w:after="0" w:line="32" w:lineRule="exact"/>
        <w:rPr>
          <w:rFonts w:ascii="Arial" w:cs="Arial" w:eastAsia="Arial" w:hAnsi="Arial"/>
          <w:sz w:val="16"/>
          <w:szCs w:val="16"/>
          <w:color w:val="auto"/>
        </w:rPr>
      </w:pPr>
    </w:p>
    <w:p>
      <w:pPr>
        <w:ind w:left="269"/>
        <w:spacing w:after="0"/>
        <w:rPr>
          <w:rFonts w:ascii="Arial" w:cs="Arial" w:eastAsia="Arial" w:hAnsi="Arial"/>
          <w:sz w:val="16"/>
          <w:szCs w:val="16"/>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231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41" w:lineRule="exact"/>
        <w:rPr>
          <w:sz w:val="20"/>
          <w:szCs w:val="20"/>
          <w:color w:val="auto"/>
        </w:rPr>
      </w:pPr>
    </w:p>
    <w:p>
      <w:pPr>
        <w:ind w:left="109"/>
        <w:spacing w:after="0"/>
        <w:rPr>
          <w:sz w:val="20"/>
          <w:szCs w:val="20"/>
          <w:color w:val="auto"/>
        </w:rPr>
      </w:pPr>
      <w:r>
        <w:rPr>
          <w:rFonts w:ascii="Arial" w:cs="Arial" w:eastAsia="Arial" w:hAnsi="Arial"/>
          <w:sz w:val="15"/>
          <w:szCs w:val="15"/>
          <w:color w:val="auto"/>
        </w:rPr>
        <w:t>204</w:t>
      </w:r>
    </w:p>
    <w:p>
      <w:pPr>
        <w:spacing w:after="0" w:line="50"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31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0" w:lineRule="exact"/>
        <w:rPr>
          <w:sz w:val="20"/>
          <w:szCs w:val="20"/>
          <w:color w:val="auto"/>
        </w:rPr>
      </w:pPr>
    </w:p>
    <w:p>
      <w:pPr>
        <w:jc w:val="right"/>
        <w:ind w:right="1800"/>
        <w:spacing w:after="0"/>
        <w:rPr>
          <w:sz w:val="20"/>
          <w:szCs w:val="20"/>
          <w:color w:val="auto"/>
        </w:rPr>
      </w:pPr>
      <w:r>
        <w:rPr>
          <w:rFonts w:ascii="Arial" w:cs="Arial" w:eastAsia="Arial" w:hAnsi="Arial"/>
          <w:sz w:val="16"/>
          <w:szCs w:val="16"/>
          <w:u w:val="single" w:color="auto"/>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231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451" w:space="720"/>
            <w:col w:w="2169"/>
          </w:cols>
          <w:pgMar w:left="240" w:top="459" w:right="319" w:bottom="1440" w:gutter="0" w:footer="0" w:header="0"/>
          <w:type w:val="continuous"/>
        </w:sectPr>
      </w:pPr>
    </w:p>
    <w:p>
      <w:pPr>
        <w:spacing w:after="0" w:line="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net costs included $110 million recorded in cost of sales, $94 million in selling, general and administrative expenses, and $28 million in discontinued operations. As described below, these costs primarily relate to actions initiated during 2012 and 2011.</w:t>
      </w:r>
    </w:p>
    <w:p>
      <w:pPr>
        <w:spacing w:after="0" w:line="12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During the first six months of 2012,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consolidation of field operations. We recorded net pre-tax restructuring costs totaling $187 million, including $88 million in cost of sales, $72 million in selling, general and administrative expenses and $27 million in discontinued operations.</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the actions initiated in the first six months of 2012 to result in net workforce reductions of approximately 2,300 hourly and salaried employees, the exiting of approximately 600,000 net square feet of facilities and the disposal of assets associated with exited facilities. As of June 30, 2012, we have completed net workforce reductions of approximately 1,300 employees and exited approximately 100,000 net square feet. We are targeting the majority of the remaining workforce and all facility related cost reduction actions for completion during 2012 and 2013. No specific plans for significant other actions have been finalized at this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2012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Facility Exit, Lease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2"/>
                <w:szCs w:val="12"/>
                <w:color w:val="auto"/>
              </w:rPr>
            </w:pPr>
          </w:p>
        </w:tc>
        <w:tc>
          <w:tcPr>
            <w:tcW w:w="15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Termination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Write-Downs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9"/>
              </w:rPr>
              <w:t>Other Costs</w:t>
            </w:r>
          </w:p>
        </w:tc>
        <w:tc>
          <w:tcPr>
            <w:tcW w:w="320" w:type="dxa"/>
            <w:vAlign w:val="bottom"/>
          </w:tcPr>
          <w:p>
            <w:pPr>
              <w:spacing w:after="0"/>
              <w:rPr>
                <w:sz w:val="14"/>
                <w:szCs w:val="14"/>
                <w:color w:val="auto"/>
              </w:rPr>
            </w:pPr>
          </w:p>
        </w:tc>
        <w:tc>
          <w:tcPr>
            <w:tcW w:w="480" w:type="dxa"/>
            <w:vAlign w:val="bottom"/>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accruals at March 31, 2012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foreign exchange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2012</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Facility Exit, Lease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02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4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0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340" w:type="dxa"/>
            <w:vAlign w:val="bottom"/>
          </w:tcPr>
          <w:p>
            <w:pPr>
              <w:spacing w:after="0"/>
              <w:rPr>
                <w:sz w:val="14"/>
                <w:szCs w:val="14"/>
                <w:color w:val="auto"/>
              </w:rPr>
            </w:pPr>
          </w:p>
        </w:tc>
        <w:tc>
          <w:tcPr>
            <w:tcW w:w="52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costs</w:t>
            </w:r>
          </w:p>
        </w:tc>
        <w:tc>
          <w:tcPr>
            <w:tcW w:w="1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2012</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2012</w:t>
            </w: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40" w:type="dxa"/>
            <w:vAlign w:val="bottom"/>
            <w:gridSpan w:val="2"/>
          </w:tcPr>
          <w:p>
            <w:pPr>
              <w:jc w:val="right"/>
              <w:ind w:right="139"/>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segment: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Costs Incurred</w:t>
            </w:r>
          </w:p>
        </w:tc>
        <w:tc>
          <w:tcPr>
            <w:tcW w:w="36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Remaining</w:t>
            </w: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Expected</w:t>
            </w:r>
          </w:p>
        </w:tc>
        <w:tc>
          <w:tcPr>
            <w:tcW w:w="360" w:type="dxa"/>
            <w:vAlign w:val="bottom"/>
          </w:tcPr>
          <w:p>
            <w:pPr>
              <w:spacing w:after="0"/>
              <w:rPr>
                <w:sz w:val="12"/>
                <w:szCs w:val="12"/>
                <w:color w:val="auto"/>
              </w:rPr>
            </w:pP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Costs at</w:t>
            </w:r>
          </w:p>
        </w:tc>
        <w:tc>
          <w:tcPr>
            <w:tcW w:w="0" w:type="dxa"/>
            <w:vAlign w:val="bottom"/>
          </w:tcPr>
          <w:p>
            <w:pPr>
              <w:spacing w:after="0"/>
              <w:rPr>
                <w:sz w:val="1"/>
                <w:szCs w:val="1"/>
                <w:color w:val="auto"/>
              </w:rPr>
            </w:pPr>
          </w:p>
        </w:tc>
      </w:tr>
      <w:tr>
        <w:trPr>
          <w:trHeight w:val="168"/>
        </w:trPr>
        <w:tc>
          <w:tcPr>
            <w:tcW w:w="4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Costs</w:t>
            </w:r>
          </w:p>
        </w:tc>
        <w:tc>
          <w:tcPr>
            <w:tcW w:w="360" w:type="dxa"/>
            <w:vAlign w:val="bottom"/>
          </w:tcPr>
          <w:p>
            <w:pPr>
              <w:spacing w:after="0"/>
              <w:rPr>
                <w:sz w:val="14"/>
                <w:szCs w:val="14"/>
                <w:color w:val="auto"/>
              </w:rPr>
            </w:pPr>
          </w:p>
        </w:tc>
        <w:tc>
          <w:tcPr>
            <w:tcW w:w="17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March 31, 2012</w:t>
            </w:r>
          </w:p>
        </w:tc>
        <w:tc>
          <w:tcPr>
            <w:tcW w:w="1300" w:type="dxa"/>
            <w:vAlign w:val="bottom"/>
            <w:gridSpan w:val="3"/>
          </w:tcPr>
          <w:p>
            <w:pPr>
              <w:jc w:val="right"/>
              <w:ind w:right="460"/>
              <w:spacing w:after="0" w:line="148" w:lineRule="exact"/>
              <w:rPr>
                <w:sz w:val="20"/>
                <w:szCs w:val="20"/>
                <w:color w:val="auto"/>
              </w:rPr>
            </w:pPr>
            <w:r>
              <w:rPr>
                <w:rFonts w:ascii="Arial" w:cs="Arial" w:eastAsia="Arial" w:hAnsi="Arial"/>
                <w:sz w:val="14"/>
                <w:szCs w:val="14"/>
                <w:b w:val="1"/>
                <w:bCs w:val="1"/>
                <w:color w:val="auto"/>
                <w:w w:val="90"/>
              </w:rPr>
              <w:t>June 30, 2012</w:t>
            </w:r>
          </w:p>
        </w:tc>
        <w:tc>
          <w:tcPr>
            <w:tcW w:w="360" w:type="dxa"/>
            <w:vAlign w:val="bottom"/>
          </w:tcPr>
          <w:p>
            <w:pPr>
              <w:spacing w:after="0"/>
              <w:rPr>
                <w:sz w:val="14"/>
                <w:szCs w:val="14"/>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4"/>
              </w:rPr>
              <w:t>June 30, 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3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7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b w:val="1"/>
          <w:bCs w:val="1"/>
          <w:color w:val="auto"/>
        </w:rPr>
        <w:t xml:space="preserve">2011 Actions. </w:t>
      </w:r>
      <w:r>
        <w:rPr>
          <w:rFonts w:ascii="Arial" w:cs="Arial" w:eastAsia="Arial" w:hAnsi="Arial"/>
          <w:sz w:val="16"/>
          <w:szCs w:val="16"/>
          <w:color w:val="auto"/>
        </w:rPr>
        <w:t>During the first six months of 2012, we recorded net pre-tax restructuring costs totaling $41 million for restructuring actions initiated in 2011,</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$19 million in cost of sales, $21 million in selling, general and administrative expenses and $1 million in discontinued operations. The 2011 actions relate to ongoing cost reduction efforts, including workforce reductions and the consolidation of field operations.</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30, 2012, we have completed net workforce reductions of approximately 4,000 employees of an expected 5,000 employees, and have exited approximately 100,000 net square feet of facilities of an expected 2 million net square feet. We are targeting the majority of the remaining workforce and facility related cost reduction actions for completion during 2012 and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2011 restructuring actions:</w:t>
      </w:r>
    </w:p>
    <w:p>
      <w:pPr>
        <w:sectPr>
          <w:pgSz w:w="11900" w:h="16838" w:orient="portrait"/>
          <w:cols w:equalWidth="0" w:num="1">
            <w:col w:w="11300"/>
          </w:cols>
          <w:pgMar w:left="240" w:top="459" w:right="359" w:bottom="1440" w:gutter="0" w:footer="0" w:header="0"/>
        </w:sectPr>
      </w:pP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Facility Exit, Lease</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72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Termination and</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8"/>
              </w:rPr>
              <w:t>Write-Downs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2"/>
              </w:rPr>
              <w:t>Other Costs</w:t>
            </w:r>
          </w:p>
        </w:tc>
        <w:tc>
          <w:tcPr>
            <w:tcW w:w="0" w:type="dxa"/>
            <w:vAlign w:val="bottom"/>
          </w:tcPr>
          <w:p>
            <w:pPr>
              <w:spacing w:after="0"/>
              <w:rPr>
                <w:sz w:val="1"/>
                <w:szCs w:val="1"/>
                <w:color w:val="auto"/>
              </w:rPr>
            </w:pPr>
          </w:p>
        </w:tc>
      </w:tr>
      <w:tr>
        <w:trPr>
          <w:trHeight w:val="195"/>
        </w:trPr>
        <w:tc>
          <w:tcPr>
            <w:tcW w:w="5400" w:type="dxa"/>
            <w:vAlign w:val="bottom"/>
            <w:gridSpan w:val="2"/>
          </w:tcPr>
          <w:p>
            <w:pPr>
              <w:spacing w:after="0" w:line="195" w:lineRule="exact"/>
              <w:rPr>
                <w:sz w:val="20"/>
                <w:szCs w:val="20"/>
                <w:color w:val="auto"/>
              </w:rPr>
            </w:pPr>
            <w:r>
              <w:rPr>
                <w:rFonts w:ascii="Arial" w:cs="Arial" w:eastAsia="Arial" w:hAnsi="Arial"/>
                <w:sz w:val="18"/>
                <w:szCs w:val="18"/>
                <w:color w:val="auto"/>
              </w:rPr>
              <w:t>Restructuring accruals at March 31, 2012</w:t>
            </w: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83</w:t>
            </w:r>
          </w:p>
        </w:tc>
        <w:tc>
          <w:tcPr>
            <w:tcW w:w="72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Utilization and foreign exchange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2012</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gridSpan w:val="2"/>
            <w:vMerge w:val="continue"/>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-599440</wp:posOffset>
            </wp:positionV>
            <wp:extent cx="666369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-316865</wp:posOffset>
            </wp:positionV>
            <wp:extent cx="666369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Facility Exit, Lease</w:t>
            </w:r>
          </w:p>
        </w:tc>
        <w:tc>
          <w:tcPr>
            <w:tcW w:w="0" w:type="dxa"/>
            <w:vAlign w:val="bottom"/>
          </w:tcPr>
          <w:p>
            <w:pPr>
              <w:spacing w:after="0"/>
              <w:rPr>
                <w:sz w:val="1"/>
                <w:szCs w:val="1"/>
                <w:color w:val="auto"/>
              </w:rPr>
            </w:pPr>
          </w:p>
        </w:tc>
      </w:tr>
      <w:tr>
        <w:trPr>
          <w:trHeight w:val="149"/>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Termination and</w:t>
            </w:r>
          </w:p>
        </w:tc>
        <w:tc>
          <w:tcPr>
            <w:tcW w:w="0" w:type="dxa"/>
            <w:vAlign w:val="bottom"/>
          </w:tcPr>
          <w:p>
            <w:pPr>
              <w:spacing w:after="0"/>
              <w:rPr>
                <w:sz w:val="1"/>
                <w:szCs w:val="1"/>
                <w:color w:val="auto"/>
              </w:rPr>
            </w:pPr>
          </w:p>
        </w:tc>
      </w:tr>
      <w:tr>
        <w:trPr>
          <w:trHeight w:val="168"/>
        </w:trPr>
        <w:tc>
          <w:tcPr>
            <w:tcW w:w="42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Severance</w:t>
            </w: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Other Costs</w:t>
            </w:r>
          </w:p>
        </w:tc>
        <w:tc>
          <w:tcPr>
            <w:tcW w:w="0" w:type="dxa"/>
            <w:vAlign w:val="bottom"/>
          </w:tcPr>
          <w:p>
            <w:pPr>
              <w:spacing w:after="0"/>
              <w:rPr>
                <w:sz w:val="1"/>
                <w:szCs w:val="1"/>
                <w:color w:val="auto"/>
              </w:rPr>
            </w:pPr>
          </w:p>
        </w:tc>
      </w:tr>
      <w:tr>
        <w:trPr>
          <w:trHeight w:val="195"/>
        </w:trPr>
        <w:tc>
          <w:tcPr>
            <w:tcW w:w="1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Expected costs</w:t>
            </w:r>
          </w:p>
        </w:tc>
        <w:tc>
          <w:tcPr>
            <w:tcW w:w="3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304</w:t>
            </w:r>
          </w:p>
        </w:tc>
        <w:tc>
          <w:tcPr>
            <w:tcW w:w="72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2011</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2012</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2012</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Remaining costs at June 30, 2012</w:t>
            </w:r>
          </w:p>
        </w:tc>
        <w:tc>
          <w:tcPr>
            <w:tcW w:w="1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gridSpan w:val="2"/>
          </w:tcPr>
          <w:p>
            <w:pPr>
              <w:jc w:val="right"/>
              <w:ind w:right="99"/>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-692785</wp:posOffset>
            </wp:positionV>
            <wp:extent cx="666369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-401320</wp:posOffset>
            </wp:positionV>
            <wp:extent cx="666369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-975995</wp:posOffset>
            </wp:positionV>
            <wp:extent cx="666369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06"/>
        <w:spacing w:after="0"/>
        <w:rPr>
          <w:sz w:val="20"/>
          <w:szCs w:val="20"/>
          <w:color w:val="auto"/>
        </w:rPr>
      </w:pPr>
      <w:r>
        <w:rPr>
          <w:rFonts w:ascii="Arial" w:cs="Arial" w:eastAsia="Arial" w:hAnsi="Arial"/>
          <w:sz w:val="14"/>
          <w:szCs w:val="14"/>
          <w:b w:val="1"/>
          <w:bCs w:val="1"/>
          <w:u w:val="single" w:color="auto"/>
          <w:color w:val="auto"/>
        </w:rPr>
        <w:t>Total</w:t>
      </w:r>
    </w:p>
    <w:p>
      <w:pPr>
        <w:spacing w:after="0" w:line="13" w:lineRule="exact"/>
        <w:rPr>
          <w:sz w:val="20"/>
          <w:szCs w:val="20"/>
          <w:color w:val="auto"/>
        </w:rPr>
      </w:pPr>
    </w:p>
    <w:p>
      <w:pPr>
        <w:ind w:left="246" w:hanging="165"/>
        <w:spacing w:after="0"/>
        <w:tabs>
          <w:tab w:leader="none" w:pos="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97</w:t>
      </w:r>
    </w:p>
    <w:p>
      <w:pPr>
        <w:spacing w:after="0" w:line="7" w:lineRule="exact"/>
        <w:rPr>
          <w:rFonts w:ascii="Arial" w:cs="Arial" w:eastAsia="Arial" w:hAnsi="Arial"/>
          <w:sz w:val="18"/>
          <w:szCs w:val="18"/>
          <w:color w:val="auto"/>
        </w:rPr>
      </w:pPr>
    </w:p>
    <w:p>
      <w:pPr>
        <w:ind w:left="246"/>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9" w:lineRule="exact"/>
        <w:rPr>
          <w:sz w:val="20"/>
          <w:szCs w:val="20"/>
          <w:color w:val="auto"/>
        </w:rPr>
      </w:pPr>
    </w:p>
    <w:p>
      <w:pPr>
        <w:ind w:left="186"/>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21590</wp:posOffset>
            </wp:positionV>
            <wp:extent cx="2146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33" w:lineRule="exact"/>
        <w:rPr>
          <w:sz w:val="20"/>
          <w:szCs w:val="20"/>
          <w:color w:val="auto"/>
        </w:rPr>
      </w:pPr>
    </w:p>
    <w:p>
      <w:pPr>
        <w:ind w:left="86"/>
        <w:spacing w:after="0"/>
        <w:rPr>
          <w:sz w:val="20"/>
          <w:szCs w:val="20"/>
          <w:color w:val="auto"/>
        </w:rPr>
      </w:pPr>
      <w:r>
        <w:rPr>
          <w:rFonts w:ascii="Arial" w:cs="Arial" w:eastAsia="Arial" w:hAnsi="Arial"/>
          <w:sz w:val="18"/>
          <w:szCs w:val="18"/>
          <w:u w:val="single" w:color="auto"/>
          <w:color w:val="auto"/>
        </w:rPr>
        <w: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27940</wp:posOffset>
            </wp:positionV>
            <wp:extent cx="214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
        <w:spacing w:after="0"/>
        <w:rPr>
          <w:sz w:val="20"/>
          <w:szCs w:val="20"/>
          <w:color w:val="auto"/>
        </w:rPr>
      </w:pPr>
      <w:r>
        <w:rPr>
          <w:rFonts w:ascii="Arial" w:cs="Arial" w:eastAsia="Arial" w:hAnsi="Arial"/>
          <w:sz w:val="14"/>
          <w:szCs w:val="14"/>
          <w:b w:val="1"/>
          <w:bCs w:val="1"/>
          <w:color w:val="auto"/>
        </w:rPr>
        <w:t>Total</w:t>
      </w:r>
    </w:p>
    <w:p>
      <w:pPr>
        <w:spacing w:after="0" w:line="13" w:lineRule="exact"/>
        <w:rPr>
          <w:sz w:val="20"/>
          <w:szCs w:val="20"/>
          <w:color w:val="auto"/>
        </w:rPr>
      </w:pPr>
    </w:p>
    <w:p>
      <w:pPr>
        <w:ind w:left="146" w:hanging="146"/>
        <w:spacing w:after="0"/>
        <w:tabs>
          <w:tab w:leader="none" w:pos="146" w:val="left"/>
        </w:tabs>
        <w:numPr>
          <w:ilvl w:val="0"/>
          <w:numId w:val="7"/>
        </w:numPr>
        <w:rPr>
          <w:rFonts w:ascii="Arial" w:cs="Arial" w:eastAsia="Arial" w:hAnsi="Arial"/>
          <w:sz w:val="18"/>
          <w:szCs w:val="18"/>
          <w:color w:val="auto"/>
        </w:rPr>
      </w:pPr>
      <w:r>
        <w:rPr>
          <w:rFonts w:ascii="Arial" w:cs="Arial" w:eastAsia="Arial" w:hAnsi="Arial"/>
          <w:sz w:val="18"/>
          <w:szCs w:val="18"/>
          <w:color w:val="auto"/>
        </w:rPr>
        <w:t>377</w:t>
      </w:r>
    </w:p>
    <w:p>
      <w:pPr>
        <w:spacing w:after="0" w:line="7" w:lineRule="exact"/>
        <w:rPr>
          <w:rFonts w:ascii="Arial" w:cs="Arial" w:eastAsia="Arial" w:hAnsi="Arial"/>
          <w:sz w:val="18"/>
          <w:szCs w:val="18"/>
          <w:color w:val="auto"/>
        </w:rPr>
      </w:pPr>
    </w:p>
    <w:p>
      <w:pPr>
        <w:ind w:left="106"/>
        <w:spacing w:after="0"/>
        <w:rPr>
          <w:rFonts w:ascii="Arial" w:cs="Arial" w:eastAsia="Arial" w:hAnsi="Arial"/>
          <w:sz w:val="18"/>
          <w:szCs w:val="18"/>
          <w:color w:val="auto"/>
        </w:rPr>
      </w:pPr>
      <w:r>
        <w:rPr>
          <w:rFonts w:ascii="Arial" w:cs="Arial" w:eastAsia="Arial" w:hAnsi="Arial"/>
          <w:sz w:val="16"/>
          <w:szCs w:val="16"/>
          <w:color w:val="auto"/>
        </w:rPr>
        <w:t>(286)</w:t>
      </w:r>
    </w:p>
    <w:p>
      <w:pPr>
        <w:spacing w:after="0" w:line="32" w:lineRule="exact"/>
        <w:rPr>
          <w:rFonts w:ascii="Arial" w:cs="Arial" w:eastAsia="Arial" w:hAnsi="Arial"/>
          <w:sz w:val="18"/>
          <w:szCs w:val="18"/>
          <w:color w:val="auto"/>
        </w:rPr>
      </w:pPr>
    </w:p>
    <w:p>
      <w:pPr>
        <w:ind w:left="186"/>
        <w:spacing w:after="0"/>
        <w:rPr>
          <w:rFonts w:ascii="Arial" w:cs="Arial" w:eastAsia="Arial" w:hAnsi="Arial"/>
          <w:sz w:val="18"/>
          <w:szCs w:val="18"/>
          <w:color w:val="auto"/>
        </w:rPr>
      </w:pPr>
      <w:r>
        <w:rPr>
          <w:rFonts w:ascii="Arial" w:cs="Arial" w:eastAsia="Arial" w:hAnsi="Arial"/>
          <w:sz w:val="16"/>
          <w:szCs w:val="16"/>
          <w:color w:val="auto"/>
        </w:rPr>
        <w:t>(20)</w:t>
      </w:r>
    </w:p>
    <w:p>
      <w:pPr>
        <w:spacing w:after="0" w:line="32" w:lineRule="exact"/>
        <w:rPr>
          <w:rFonts w:ascii="Arial" w:cs="Arial" w:eastAsia="Arial" w:hAnsi="Arial"/>
          <w:sz w:val="18"/>
          <w:szCs w:val="18"/>
          <w:color w:val="auto"/>
        </w:rPr>
      </w:pPr>
    </w:p>
    <w:p>
      <w:pPr>
        <w:ind w:left="186"/>
        <w:spacing w:after="0"/>
        <w:rPr>
          <w:rFonts w:ascii="Arial" w:cs="Arial" w:eastAsia="Arial" w:hAnsi="Arial"/>
          <w:sz w:val="18"/>
          <w:szCs w:val="18"/>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2660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33" w:lineRule="exact"/>
        <w:rPr>
          <w:sz w:val="20"/>
          <w:szCs w:val="20"/>
          <w:color w:val="auto"/>
        </w:rPr>
      </w:pPr>
    </w:p>
    <w:p>
      <w:pPr>
        <w:ind w:left="6"/>
        <w:spacing w:after="0"/>
        <w:tabs>
          <w:tab w:leader="none" w:pos="225"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660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ectPr>
          <w:pgSz w:w="11900" w:h="16838" w:orient="portrait"/>
          <w:cols w:equalWidth="0" w:num="2">
            <w:col w:w="9840" w:space="594"/>
            <w:col w:w="866"/>
          </w:cols>
          <w:pgMar w:left="240" w:top="459" w:right="3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Costs Incurred</w:t>
            </w:r>
          </w:p>
        </w:tc>
        <w:tc>
          <w:tcPr>
            <w:tcW w:w="3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Remaining</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0"/>
              </w:rPr>
              <w:t>Expected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through</w:t>
            </w:r>
          </w:p>
        </w:tc>
        <w:tc>
          <w:tcPr>
            <w:tcW w:w="3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Costs at</w:t>
            </w:r>
          </w:p>
        </w:tc>
        <w:tc>
          <w:tcPr>
            <w:tcW w:w="0" w:type="dxa"/>
            <w:vAlign w:val="bottom"/>
          </w:tcPr>
          <w:p>
            <w:pPr>
              <w:spacing w:after="0"/>
              <w:rPr>
                <w:sz w:val="1"/>
                <w:szCs w:val="1"/>
                <w:color w:val="auto"/>
              </w:rPr>
            </w:pPr>
          </w:p>
        </w:tc>
      </w:tr>
      <w:tr>
        <w:trPr>
          <w:trHeight w:val="148"/>
        </w:trPr>
        <w:tc>
          <w:tcPr>
            <w:tcW w:w="34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77"/>
              </w:rPr>
              <w:t>Costs</w:t>
            </w:r>
          </w:p>
        </w:tc>
        <w:tc>
          <w:tcPr>
            <w:tcW w:w="620" w:type="dxa"/>
            <w:vAlign w:val="bottom"/>
          </w:tcPr>
          <w:p>
            <w:pPr>
              <w:spacing w:after="0"/>
              <w:rPr>
                <w:sz w:val="12"/>
                <w:szCs w:val="12"/>
                <w:color w:val="auto"/>
              </w:rPr>
            </w:pPr>
          </w:p>
        </w:tc>
        <w:tc>
          <w:tcPr>
            <w:tcW w:w="146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300" w:type="dxa"/>
            <w:vAlign w:val="bottom"/>
          </w:tcPr>
          <w:p>
            <w:pPr>
              <w:spacing w:after="0"/>
              <w:rPr>
                <w:sz w:val="12"/>
                <w:szCs w:val="12"/>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March 31, 2012</w:t>
            </w:r>
          </w:p>
        </w:tc>
        <w:tc>
          <w:tcPr>
            <w:tcW w:w="300" w:type="dxa"/>
            <w:vAlign w:val="bottom"/>
          </w:tcPr>
          <w:p>
            <w:pPr>
              <w:spacing w:after="0"/>
              <w:rPr>
                <w:sz w:val="12"/>
                <w:szCs w:val="12"/>
                <w:color w:val="auto"/>
              </w:rPr>
            </w:pPr>
          </w:p>
        </w:tc>
        <w:tc>
          <w:tcPr>
            <w:tcW w:w="1260" w:type="dxa"/>
            <w:vAlign w:val="bottom"/>
            <w:gridSpan w:val="3"/>
          </w:tcPr>
          <w:p>
            <w:pPr>
              <w:jc w:val="right"/>
              <w:ind w:right="420"/>
              <w:spacing w:after="0" w:line="148" w:lineRule="exact"/>
              <w:rPr>
                <w:sz w:val="20"/>
                <w:szCs w:val="20"/>
                <w:color w:val="auto"/>
              </w:rPr>
            </w:pPr>
            <w:r>
              <w:rPr>
                <w:rFonts w:ascii="Arial" w:cs="Arial" w:eastAsia="Arial" w:hAnsi="Arial"/>
                <w:sz w:val="14"/>
                <w:szCs w:val="14"/>
                <w:b w:val="1"/>
                <w:bCs w:val="1"/>
                <w:color w:val="auto"/>
                <w:w w:val="90"/>
              </w:rPr>
              <w:t>June 30, 2012</w:t>
            </w:r>
          </w:p>
        </w:tc>
        <w:tc>
          <w:tcPr>
            <w:tcW w:w="300" w:type="dxa"/>
            <w:vAlign w:val="bottom"/>
          </w:tcPr>
          <w:p>
            <w:pPr>
              <w:spacing w:after="0"/>
              <w:rPr>
                <w:sz w:val="12"/>
                <w:szCs w:val="12"/>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4"/>
              </w:rPr>
              <w:t>June 30,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2240" w:type="dxa"/>
            <w:vAlign w:val="bottom"/>
            <w:vMerge w:val="restart"/>
            <w:shd w:val="clear" w:color="auto" w:fill="CCEEFF"/>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2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w:t>
            </w:r>
          </w:p>
        </w:tc>
        <w:tc>
          <w:tcPr>
            <w:tcW w:w="3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(6)</w:t>
            </w:r>
          </w:p>
        </w:tc>
        <w:tc>
          <w:tcPr>
            <w:tcW w:w="3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(4)</w:t>
            </w:r>
          </w:p>
        </w:tc>
        <w:tc>
          <w:tcPr>
            <w:tcW w:w="3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As of June 30, 2012, we have approximately $44 million of accrual balances remaining related to 2010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that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we deem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in which it occurs.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$11.1 billion and $10.4 billion at June 30, 2012 and December 31,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summarizes the fair value of derivative instruments as of June 30, 2012 and December 31, 2011 which consist solely of foreign exchange contracts: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5"/>
          </w:tcPr>
          <w:p>
            <w:pPr>
              <w:ind w:left="40"/>
              <w:spacing w:after="0"/>
              <w:rPr>
                <w:sz w:val="20"/>
                <w:szCs w:val="20"/>
                <w:color w:val="auto"/>
              </w:rPr>
            </w:pPr>
            <w:r>
              <w:rPr>
                <w:rFonts w:ascii="Arial" w:cs="Arial" w:eastAsia="Arial" w:hAnsi="Arial"/>
                <w:sz w:val="14"/>
                <w:szCs w:val="14"/>
                <w:b w:val="1"/>
                <w:bCs w:val="1"/>
                <w:color w:val="auto"/>
              </w:rPr>
              <w:t>June 30, 2012</w:t>
            </w:r>
          </w:p>
        </w:tc>
        <w:tc>
          <w:tcPr>
            <w:tcW w:w="260" w:type="dxa"/>
            <w:vAlign w:val="bottom"/>
          </w:tcPr>
          <w:p>
            <w:pPr>
              <w:spacing w:after="0"/>
              <w:rPr>
                <w:sz w:val="14"/>
                <w:szCs w:val="14"/>
                <w:color w:val="auto"/>
              </w:rPr>
            </w:pPr>
          </w:p>
        </w:tc>
        <w:tc>
          <w:tcPr>
            <w:tcW w:w="20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7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Derivatives</w:t>
            </w:r>
          </w:p>
        </w:tc>
        <w:tc>
          <w:tcPr>
            <w:tcW w:w="6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Derivatives not</w:t>
            </w:r>
          </w:p>
        </w:tc>
        <w:tc>
          <w:tcPr>
            <w:tcW w:w="680" w:type="dxa"/>
            <w:vAlign w:val="bottom"/>
            <w:gridSpan w:val="2"/>
          </w:tcPr>
          <w:p>
            <w:pPr>
              <w:spacing w:after="0"/>
              <w:rPr>
                <w:sz w:val="11"/>
                <w:szCs w:val="11"/>
                <w:color w:val="auto"/>
              </w:rPr>
            </w:pPr>
          </w:p>
        </w:tc>
        <w:tc>
          <w:tcPr>
            <w:tcW w:w="7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Derivatives</w:t>
            </w:r>
          </w:p>
        </w:tc>
        <w:tc>
          <w:tcPr>
            <w:tcW w:w="6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Derivatives not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designated</w:t>
            </w:r>
          </w:p>
        </w:tc>
        <w:tc>
          <w:tcPr>
            <w:tcW w:w="680" w:type="dxa"/>
            <w:vAlign w:val="bottom"/>
          </w:tcPr>
          <w:p>
            <w:pPr>
              <w:spacing w:after="0"/>
              <w:rPr>
                <w:sz w:val="12"/>
                <w:szCs w:val="12"/>
                <w:color w:val="auto"/>
              </w:rPr>
            </w:pPr>
          </w:p>
        </w:tc>
        <w:tc>
          <w:tcPr>
            <w:tcW w:w="15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designated as</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designated</w:t>
            </w:r>
          </w:p>
        </w:tc>
        <w:tc>
          <w:tcPr>
            <w:tcW w:w="66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designated as</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as hedging</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hedging</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as hedging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hedging</w:t>
            </w:r>
          </w:p>
        </w:tc>
        <w:tc>
          <w:tcPr>
            <w:tcW w:w="0" w:type="dxa"/>
            <w:vAlign w:val="bottom"/>
          </w:tcPr>
          <w:p>
            <w:pPr>
              <w:spacing w:after="0"/>
              <w:rPr>
                <w:sz w:val="1"/>
                <w:szCs w:val="1"/>
                <w:color w:val="auto"/>
              </w:rPr>
            </w:pPr>
          </w:p>
        </w:tc>
      </w:tr>
      <w:tr>
        <w:trPr>
          <w:trHeight w:val="148"/>
        </w:trPr>
        <w:tc>
          <w:tcPr>
            <w:tcW w:w="5260" w:type="dxa"/>
            <w:vAlign w:val="bottom"/>
            <w:gridSpan w:val="3"/>
            <w:vMerge w:val="continue"/>
          </w:tcPr>
          <w:p>
            <w:pPr>
              <w:spacing w:after="0"/>
              <w:rPr>
                <w:sz w:val="12"/>
                <w:szCs w:val="12"/>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instruments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760"/>
              <w:spacing w:after="0" w:line="148" w:lineRule="exact"/>
              <w:rPr>
                <w:sz w:val="20"/>
                <w:szCs w:val="20"/>
                <w:color w:val="auto"/>
              </w:rPr>
            </w:pPr>
            <w:r>
              <w:rPr>
                <w:rFonts w:ascii="Arial" w:cs="Arial" w:eastAsia="Arial" w:hAnsi="Arial"/>
                <w:sz w:val="14"/>
                <w:szCs w:val="14"/>
                <w:b w:val="1"/>
                <w:bCs w:val="1"/>
                <w:color w:val="auto"/>
                <w:w w:val="84"/>
              </w:rPr>
              <w:t>instruments</w:t>
            </w:r>
          </w:p>
        </w:tc>
        <w:tc>
          <w:tcPr>
            <w:tcW w:w="7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instruments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instruments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Sheet Asset Locations:</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Other assets, current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 Derivative Contracts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color w:val="auto"/>
              </w:rPr>
              <w:t>Balance Sheet Liability Locations:</w:t>
            </w: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color w:val="auto"/>
              </w:rPr>
              <w:t>Total Liability Derivative Contracts</w:t>
            </w: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8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1"/>
              </w:rPr>
              <w:t>Quarter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gain recorded in Accumulated other comprehensive loss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w:t>
            </w:r>
          </w:p>
        </w:tc>
        <w:tc>
          <w:tcPr>
            <w:tcW w:w="360" w:type="dxa"/>
            <w:vAlign w:val="bottom"/>
            <w:tcBorders>
              <w:top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w:t>
            </w:r>
          </w:p>
        </w:tc>
        <w:tc>
          <w:tcPr>
            <w:tcW w:w="360" w:type="dxa"/>
            <w:vAlign w:val="bottom"/>
            <w:tcBorders>
              <w:top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(Loss) gain reclassified from Accumulated other comprehensive loss into</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Product sales (effective portion)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18"/>
              <w:spacing w:after="0"/>
              <w:rPr>
                <w:sz w:val="20"/>
                <w:szCs w:val="20"/>
                <w:color w:val="auto"/>
              </w:rPr>
            </w:pPr>
            <w:r>
              <w:rPr>
                <w:rFonts w:ascii="Arial" w:cs="Arial" w:eastAsia="Arial" w:hAnsi="Arial"/>
                <w:sz w:val="18"/>
                <w:szCs w:val="18"/>
                <w:color w:val="auto"/>
              </w:rPr>
              <w:t>(8)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Assuming current market conditions continue, a $54 million pre-tax loss is expected to be reclassified from Accumulated other comprehensive loss into Product sales to reflect the fixed prices obtained from foreign exchange hedging within the next 12 months. At June 30, 2012, all derivative contracts accounted for as cash flow hedges will mature by June 2014.</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effect on the Condensed Consolidated Statement of Comprehensive Income from foreign exchange contracts not designated as hedging instruments was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6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w w:val="95"/>
              </w:rPr>
              <w:t>Quarter Ended June 30,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66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6"/>
              <w:spacing w:after="0" w:line="129" w:lineRule="exact"/>
              <w:rPr>
                <w:sz w:val="20"/>
                <w:szCs w:val="20"/>
                <w:color w:val="auto"/>
              </w:rPr>
            </w:pPr>
            <w:r>
              <w:rPr>
                <w:rFonts w:ascii="Arial" w:cs="Arial" w:eastAsia="Arial" w:hAnsi="Arial"/>
                <w:sz w:val="14"/>
                <w:szCs w:val="14"/>
                <w:b w:val="1"/>
                <w:bCs w:val="1"/>
                <w:color w:val="auto"/>
                <w:w w:val="96"/>
              </w:rPr>
              <w:t>2012</w:t>
            </w: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gain recognized in Other income,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w:t>
            </w:r>
          </w:p>
        </w:tc>
        <w:tc>
          <w:tcPr>
            <w:tcW w:w="760" w:type="dxa"/>
            <w:vAlign w:val="bottom"/>
            <w:tcBorders>
              <w:top w:val="single" w:sz="8" w:color="CCEEFF"/>
            </w:tcBorders>
            <w:shd w:val="clear" w:color="auto" w:fill="CCEEFF"/>
          </w:tcPr>
          <w:p>
            <w:pPr>
              <w:jc w:val="right"/>
              <w:ind w:right="61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316" w:lineRule="auto"/>
        <w:rPr>
          <w:sz w:val="20"/>
          <w:szCs w:val="20"/>
          <w:color w:val="auto"/>
        </w:rPr>
      </w:pPr>
      <w:r>
        <w:rPr>
          <w:rFonts w:ascii="Arial" w:cs="Arial" w:eastAsia="Arial" w:hAnsi="Arial"/>
          <w:sz w:val="15"/>
          <w:szCs w:val="15"/>
          <w:b w:val="1"/>
          <w:bCs w:val="1"/>
          <w:color w:val="auto"/>
        </w:rPr>
        <w:t xml:space="preserve">Fair Value Disclosure. </w:t>
      </w:r>
      <w:r>
        <w:rPr>
          <w:rFonts w:ascii="Arial" w:cs="Arial" w:eastAsia="Arial" w:hAnsi="Arial"/>
          <w:sz w:val="15"/>
          <w:szCs w:val="15"/>
          <w:color w:val="auto"/>
        </w:rPr>
        <w:t>As of January 1, 2012, we adopted the provisions of the FASB issued ASU No. 2011-04, “Amendments to Achieve Common Fair Value</w:t>
      </w:r>
      <w:r>
        <w:rPr>
          <w:rFonts w:ascii="Arial" w:cs="Arial" w:eastAsia="Arial" w:hAnsi="Arial"/>
          <w:sz w:val="15"/>
          <w:szCs w:val="15"/>
          <w:b w:val="1"/>
          <w:bCs w:val="1"/>
          <w:color w:val="auto"/>
        </w:rPr>
        <w:t xml:space="preserve"> </w:t>
      </w:r>
      <w:r>
        <w:rPr>
          <w:rFonts w:ascii="Arial" w:cs="Arial" w:eastAsia="Arial" w:hAnsi="Arial"/>
          <w:sz w:val="15"/>
          <w:szCs w:val="15"/>
          <w:color w:val="auto"/>
        </w:rPr>
        <w:t>Measurement and Disclosure Requirements in U.S. GAAP and IFRSs.” This ASU clarifies many of the existing concepts for measuring fair value and does not result in a change in our application of the Fair Value Measurements and Disclosures Topic of the FASB ASC. The guidance includes enhanced disclosure requirements about recurring Level 3 fair value measurements for each class of assets and liabilities measured at fair value in the balance sheet, which has no impact on our financial statements or disclosures as there are presently no Level 3 fair value measurements in our Condensed Consolidated Balance Sheet. This ASU also requires additional disclosures for items that are not measured at fair value in the balance sheet but for which the fair value is required to be disclosed.</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Valuation Hierarchy. </w:t>
      </w:r>
      <w:r>
        <w:rPr>
          <w:rFonts w:ascii="Arial" w:cs="Arial" w:eastAsia="Arial" w:hAnsi="Arial"/>
          <w:sz w:val="16"/>
          <w:szCs w:val="16"/>
          <w:color w:val="auto"/>
        </w:rPr>
        <w:t>The following table provides the valuation hierarchy classification of assets and liabilities that are carried at fair value and measured on a</w:t>
      </w:r>
      <w:r>
        <w:rPr>
          <w:rFonts w:ascii="Arial" w:cs="Arial" w:eastAsia="Arial" w:hAnsi="Arial"/>
          <w:sz w:val="16"/>
          <w:szCs w:val="16"/>
          <w:b w:val="1"/>
          <w:bCs w:val="1"/>
          <w:color w:val="auto"/>
        </w:rPr>
        <w:t xml:space="preserve"> </w:t>
      </w:r>
      <w:r>
        <w:rPr>
          <w:rFonts w:ascii="Arial" w:cs="Arial" w:eastAsia="Arial" w:hAnsi="Arial"/>
          <w:sz w:val="16"/>
          <w:szCs w:val="16"/>
          <w:color w:val="auto"/>
        </w:rPr>
        <w:t>recurring and nonrecurring basis in our Condensed Consolidated Balance Sheet as of June 30, 2012 and December 31, 2011:</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Total Carrying</w:t>
            </w: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Quoted price in</w:t>
            </w: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Significant other</w:t>
            </w:r>
          </w:p>
        </w:tc>
        <w:tc>
          <w:tcPr>
            <w:tcW w:w="1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Value at</w:t>
            </w: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48"/>
        </w:trPr>
        <w:tc>
          <w:tcPr>
            <w:tcW w:w="5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7"/>
              </w:rPr>
              <w:t>June 30, 2012</w:t>
            </w:r>
          </w:p>
        </w:tc>
        <w:tc>
          <w:tcPr>
            <w:tcW w:w="140" w:type="dxa"/>
            <w:vAlign w:val="bottom"/>
          </w:tcPr>
          <w:p>
            <w:pPr>
              <w:spacing w:after="0"/>
              <w:rPr>
                <w:sz w:val="12"/>
                <w:szCs w:val="12"/>
                <w:color w:val="auto"/>
              </w:rPr>
            </w:pPr>
          </w:p>
        </w:tc>
        <w:tc>
          <w:tcPr>
            <w:tcW w:w="112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center"/>
              <w:ind w:left="640"/>
              <w:spacing w:after="0"/>
              <w:rPr>
                <w:sz w:val="20"/>
                <w:szCs w:val="20"/>
                <w:color w:val="auto"/>
              </w:rPr>
            </w:pPr>
            <w:r>
              <w:rPr>
                <w:rFonts w:ascii="Arial" w:cs="Arial" w:eastAsia="Arial" w:hAnsi="Arial"/>
                <w:sz w:val="18"/>
                <w:szCs w:val="18"/>
                <w:color w:val="auto"/>
                <w:w w:val="86"/>
              </w:rPr>
              <w:t>839</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839</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640"/>
              <w:spacing w:after="0"/>
              <w:rPr>
                <w:sz w:val="20"/>
                <w:szCs w:val="20"/>
                <w:color w:val="auto"/>
              </w:rPr>
            </w:pPr>
            <w:r>
              <w:rPr>
                <w:rFonts w:ascii="Arial" w:cs="Arial" w:eastAsia="Arial" w:hAnsi="Arial"/>
                <w:sz w:val="18"/>
                <w:szCs w:val="18"/>
                <w:color w:val="auto"/>
                <w:w w:val="86"/>
              </w:rPr>
              <w:t>134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9"/>
                <w:szCs w:val="19"/>
                <w:color w:val="auto"/>
              </w:rPr>
            </w:pPr>
          </w:p>
        </w:tc>
        <w:tc>
          <w:tcPr>
            <w:tcW w:w="1360" w:type="dxa"/>
            <w:vAlign w:val="bottom"/>
            <w:gridSpan w:val="2"/>
          </w:tcPr>
          <w:p>
            <w:pPr>
              <w:jc w:val="center"/>
              <w:ind w:left="260"/>
              <w:spacing w:after="0"/>
              <w:rPr>
                <w:sz w:val="20"/>
                <w:szCs w:val="20"/>
                <w:color w:val="auto"/>
              </w:rPr>
            </w:pPr>
            <w:r>
              <w:rPr>
                <w:rFonts w:ascii="Arial" w:cs="Arial" w:eastAsia="Arial" w:hAnsi="Arial"/>
                <w:sz w:val="18"/>
                <w:szCs w:val="18"/>
                <w:color w:val="auto"/>
                <w:w w:val="90"/>
              </w:rPr>
              <w:t>(144)</w:t>
            </w:r>
          </w:p>
        </w:tc>
        <w:tc>
          <w:tcPr>
            <w:tcW w:w="140" w:type="dxa"/>
            <w:vAlign w:val="bottom"/>
          </w:tcPr>
          <w:p>
            <w:pPr>
              <w:spacing w:after="0"/>
              <w:rPr>
                <w:sz w:val="19"/>
                <w:szCs w:val="19"/>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fair value measurements: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18"/>
                <w:szCs w:val="18"/>
                <w:color w:val="auto"/>
              </w:rPr>
            </w:pPr>
          </w:p>
        </w:tc>
        <w:tc>
          <w:tcPr>
            <w:tcW w:w="980" w:type="dxa"/>
            <w:vAlign w:val="bottom"/>
          </w:tcPr>
          <w:p>
            <w:pPr>
              <w:jc w:val="center"/>
              <w:ind w:left="640"/>
              <w:spacing w:after="0"/>
              <w:rPr>
                <w:sz w:val="20"/>
                <w:szCs w:val="20"/>
                <w:color w:val="auto"/>
              </w:rPr>
            </w:pPr>
            <w:r>
              <w:rPr>
                <w:rFonts w:ascii="Arial" w:cs="Arial" w:eastAsia="Arial" w:hAnsi="Arial"/>
                <w:sz w:val="18"/>
                <w:szCs w:val="18"/>
                <w:color w:val="auto"/>
                <w:w w:val="86"/>
              </w:rPr>
              <w:t>440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Business dispositions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640"/>
              <w:spacing w:after="0"/>
              <w:rPr>
                <w:sz w:val="20"/>
                <w:szCs w:val="20"/>
                <w:color w:val="auto"/>
              </w:rPr>
            </w:pPr>
            <w:r>
              <w:rPr>
                <w:rFonts w:ascii="Arial" w:cs="Arial" w:eastAsia="Arial" w:hAnsi="Arial"/>
                <w:sz w:val="18"/>
                <w:szCs w:val="18"/>
                <w:color w:val="auto"/>
                <w:w w:val="86"/>
              </w:rPr>
              <w:t>100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920"/>
        <w:spacing w:after="0" w:line="291" w:lineRule="auto"/>
        <w:rPr>
          <w:sz w:val="20"/>
          <w:szCs w:val="20"/>
          <w:color w:val="auto"/>
        </w:rPr>
      </w:pPr>
      <w:r>
        <w:rPr>
          <w:rFonts w:ascii="Arial" w:cs="Arial" w:eastAsia="Arial" w:hAnsi="Arial"/>
          <w:sz w:val="16"/>
          <w:szCs w:val="16"/>
          <w:color w:val="auto"/>
        </w:rPr>
        <w:t>During 2012, we recorded net gains on nonrecurring fair value measurements of approximately $222 million within Other income, net from UTC Climate, Controls &amp; Security’s ongoing portfolio transformation efforts including the integration of the legacy UTC Fire &amp; Security businesses with the legacy Carrier businesses. These net gains include approximately $357 million from the sales of controlling interests in manufacturing and distribution joint ventures in Asia and Canada, of which approximately $272 million relates to non-cash gains. These gains were partially offset by $103 million of other-than-temporary impairment charges related to business dispositions and $32 million loss on the disposition of the U.S. fire and security branch operations.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Total Carrying</w:t>
            </w: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Quoted price in</w:t>
            </w: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Significant other</w:t>
            </w:r>
          </w:p>
        </w:tc>
        <w:tc>
          <w:tcPr>
            <w:tcW w:w="1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Value at</w:t>
            </w: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48"/>
        </w:trPr>
        <w:tc>
          <w:tcPr>
            <w:tcW w:w="5240" w:type="dxa"/>
            <w:vAlign w:val="bottom"/>
            <w:gridSpan w:val="3"/>
            <w:vMerge w:val="continue"/>
          </w:tcPr>
          <w:p>
            <w:pPr>
              <w:spacing w:after="0"/>
              <w:rPr>
                <w:sz w:val="12"/>
                <w:szCs w:val="12"/>
                <w:color w:val="auto"/>
              </w:rPr>
            </w:pPr>
          </w:p>
        </w:tc>
        <w:tc>
          <w:tcPr>
            <w:tcW w:w="146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140" w:type="dxa"/>
            <w:vAlign w:val="bottom"/>
          </w:tcPr>
          <w:p>
            <w:pPr>
              <w:spacing w:after="0"/>
              <w:rPr>
                <w:sz w:val="12"/>
                <w:szCs w:val="12"/>
                <w:color w:val="auto"/>
              </w:rPr>
            </w:pPr>
          </w:p>
        </w:tc>
        <w:tc>
          <w:tcPr>
            <w:tcW w:w="112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926</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926</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fair value measurements: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During 2011, we recorded non-cash other-than-temporary impairment charges of $66 million within Other income, net on an equity investment. The impairment charge recorded on our investment was determined by comparing the carrying value of our investment to the closing market value of the shares on the date the investment was deemed to be impaired.</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measured at fair value using closing stock prices from active markets and are classified within Level 1 of the valuation hierarchy. Our derivative assets and liabilities are managed on the basis of net exposure to market and credit risks of each of the counterparties. The fair value for these derivative assets and liabilities is measured at the price that would be received on a net asset position for a particular risk or to transfer a net liability position for a particular risk in an orderly transaction between market participants at the measurement date.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June 30, 2012, there were no significant transfers in and out of Level 1 and Level 2.</w:t>
      </w:r>
    </w:p>
    <w:p>
      <w:pPr>
        <w:spacing w:after="0" w:line="119"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June 30, 2012,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June 30, 2012 and December 31,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2012</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680" w:type="dxa"/>
            <w:vAlign w:val="bottom"/>
            <w:vMerge w:val="restart"/>
          </w:tcPr>
          <w:p>
            <w:pPr>
              <w:spacing w:after="0"/>
              <w:rPr>
                <w:sz w:val="11"/>
                <w:szCs w:val="11"/>
                <w:color w:val="auto"/>
              </w:rPr>
            </w:pPr>
          </w:p>
        </w:tc>
        <w:tc>
          <w:tcPr>
            <w:tcW w:w="1320" w:type="dxa"/>
            <w:vAlign w:val="bottom"/>
            <w:tcBorders>
              <w:top w:val="single" w:sz="8" w:color="auto"/>
            </w:tcBorders>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92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124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receivables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273</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267</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283</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Customer financing notes receivable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298</w:t>
            </w:r>
          </w:p>
        </w:tc>
        <w:tc>
          <w:tcPr>
            <w:tcW w:w="1540" w:type="dxa"/>
            <w:vAlign w:val="bottom"/>
            <w:gridSpan w:val="3"/>
          </w:tcPr>
          <w:p>
            <w:pPr>
              <w:jc w:val="right"/>
              <w:ind w:right="6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w:t>
            </w: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Long-term debt (excluding capitalized leases)</w:t>
            </w:r>
          </w:p>
        </w:tc>
        <w:tc>
          <w:tcPr>
            <w:tcW w:w="8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(20,479)</w:t>
            </w: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(23,652)</w:t>
            </w:r>
          </w:p>
        </w:tc>
        <w:tc>
          <w:tcPr>
            <w:tcW w:w="1540" w:type="dxa"/>
            <w:vAlign w:val="bottom"/>
            <w:gridSpan w:val="3"/>
          </w:tcPr>
          <w:p>
            <w:pPr>
              <w:jc w:val="right"/>
              <w:ind w:right="620"/>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(11,639)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June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Total Fair</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760" w:type="dxa"/>
            <w:vAlign w:val="bottom"/>
          </w:tcPr>
          <w:p>
            <w:pPr>
              <w:spacing w:after="0"/>
              <w:rPr>
                <w:sz w:val="14"/>
                <w:szCs w:val="14"/>
                <w:color w:val="auto"/>
              </w:rPr>
            </w:pPr>
          </w:p>
        </w:tc>
        <w:tc>
          <w:tcPr>
            <w:tcW w:w="18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6"/>
              </w:rPr>
              <w:t>Significant other</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3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Value 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60" w:type="dxa"/>
            <w:vAlign w:val="bottom"/>
          </w:tcPr>
          <w:p>
            <w:pPr>
              <w:spacing w:after="0"/>
              <w:rPr>
                <w:sz w:val="12"/>
                <w:szCs w:val="12"/>
                <w:color w:val="auto"/>
              </w:rPr>
            </w:pPr>
          </w:p>
        </w:tc>
        <w:tc>
          <w:tcPr>
            <w:tcW w:w="18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observable inputs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1580" w:type="dxa"/>
            <w:vAlign w:val="bottom"/>
            <w:gridSpan w:val="3"/>
          </w:tcPr>
          <w:p>
            <w:pPr>
              <w:jc w:val="center"/>
              <w:ind w:right="760"/>
              <w:spacing w:after="0" w:line="148" w:lineRule="exact"/>
              <w:rPr>
                <w:sz w:val="20"/>
                <w:szCs w:val="20"/>
                <w:color w:val="auto"/>
              </w:rPr>
            </w:pPr>
            <w:r>
              <w:rPr>
                <w:rFonts w:ascii="Arial" w:cs="Arial" w:eastAsia="Arial" w:hAnsi="Arial"/>
                <w:sz w:val="14"/>
                <w:szCs w:val="14"/>
                <w:b w:val="1"/>
                <w:bCs w:val="1"/>
                <w:color w:val="auto"/>
                <w:w w:val="85"/>
              </w:rPr>
              <w:t>June 30, 2012</w:t>
            </w:r>
          </w:p>
        </w:tc>
        <w:tc>
          <w:tcPr>
            <w:tcW w:w="140" w:type="dxa"/>
            <w:vAlign w:val="bottom"/>
          </w:tcPr>
          <w:p>
            <w:pPr>
              <w:spacing w:after="0"/>
              <w:rPr>
                <w:sz w:val="14"/>
                <w:szCs w:val="14"/>
                <w:color w:val="auto"/>
              </w:rPr>
            </w:pPr>
          </w:p>
        </w:tc>
        <w:tc>
          <w:tcPr>
            <w:tcW w:w="760" w:type="dxa"/>
            <w:vAlign w:val="bottom"/>
          </w:tcPr>
          <w:p>
            <w:pPr>
              <w:jc w:val="center"/>
              <w:ind w:right="56"/>
              <w:spacing w:after="0" w:line="148" w:lineRule="exact"/>
              <w:rPr>
                <w:sz w:val="20"/>
                <w:szCs w:val="20"/>
                <w:color w:val="auto"/>
              </w:rPr>
            </w:pPr>
            <w:r>
              <w:rPr>
                <w:rFonts w:ascii="Arial" w:cs="Arial" w:eastAsia="Arial" w:hAnsi="Arial"/>
                <w:sz w:val="14"/>
                <w:szCs w:val="14"/>
                <w:b w:val="1"/>
                <w:bCs w:val="1"/>
                <w:color w:val="auto"/>
                <w:w w:val="87"/>
              </w:rPr>
              <w:t>(Level 1)</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0"/>
        </w:trPr>
        <w:tc>
          <w:tcPr>
            <w:tcW w:w="4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Long-term receivables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267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267</w:t>
            </w:r>
          </w:p>
        </w:tc>
        <w:tc>
          <w:tcPr>
            <w:tcW w:w="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Customer financing notes receivable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debt (excluding capitalized leases)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(23,652)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(23,452)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long-term receivables and customer financing notes receivables include our commercial and aerospace long-term trade, government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receivables, leases, and notes receivable. Our long-term receivables and customer financing notes receivables are measured at fair value using an income approach based on the present value of the contractual, promised or most likely cash flows discounted at observed or estimated market rate for comparable assets or liabilities that are traded in the market. Based on these inputs, long-term receivables and customer financing notes receivables are classified within Level 2 of the valuation hierarchy. Our short-term borrowings include commercial paper and other international credit facility agreements. Our long-term debt includes domestic and international notes. Commercial paper and domestic long-term notes are measured at fair values based on comparable transactions and current market interest rates quoted in active markets for similar assets, and are classified within Level 2 of the valuation hierarchy. Foreign short-term borrowings and foreign long-term notes are measured at fair value based on comparable transactions and rates calculated from the respective countries’ yield curves. Based on these inputs, foreign borrowings and foreign long-term notes are classified within Level 3 of the valuation hierarchy. The fair values of Accounts receivable and Accounts payable approximate the carrying amounts due to the short-term maturities of these instruments.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had commercial aerospace financing and other contractual commitments totaling approximately $2.8 billion at June 30, 2012, which now include approximately $580 million of IAE commitments, related to commercial aircraft and certain contractual rights to provide product on new aircraft platforms. We had commercial aerospace financing and other contractual commitments of approximately $2.3 billion at December 31, 2011.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Credit Quality of Long-Term Receivables</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 long-term or financing receivable represents a contractual right to receive money on demand or on fixed and determinable dates, including trade receivable balances with maturity dates greater than one year. Our long-term and financing receivables primarily represent balances related to the aerospace businesses such as long-term trade accounts receivable, leases, and notes receivable. We also have other long-term receivables in our commercial businesses; however, both the individual and aggregate amounts are not significant.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long-term receivables as of June 30, 2012 and December 31, 2011:</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9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72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8"/>
        </w:trPr>
        <w:tc>
          <w:tcPr>
            <w:tcW w:w="5500" w:type="dxa"/>
            <w:vAlign w:val="bottom"/>
            <w:gridSpan w:val="3"/>
            <w:vMerge w:val="continue"/>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w w:val="83"/>
              </w:rPr>
              <w:t>2012</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trade accounts receivable</w:t>
            </w:r>
          </w:p>
        </w:tc>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Notes and leases receivable</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receivables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increase reflected in “Notes and leases receivable” as of June 30, 2012, as compared to December 31, 2011, primarily reflects the impact of consolidating IAE. See Note 1 for further discussion.</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Economic conditions and air travel influence the operating environment for most airlines, and the financial performance of our aerospace businesses is directly tied to the economic conditions of the commercial aerospace and defense industries. Additionally, the value of the collateral is also closely tied to commercial airline performance and may be subject to exposure of reduced valuation as a result of market declines. We determine a receivable is impaired when, based on current information and events, it is probable that we will be unable to collect amounts due according to the contractual terms of the receivable 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Long-term receivables can be considered delinquent if payment has not been received in accordance with the underlying agreement. If determined delinquent, long-term trade accounts receivable and notes and leases receivable balances accruing interest may be placed on nonaccrual status. We record potential losses related to long-term receivables when identified. The reserve for credit losses on these receivables relates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Uncollectible long-term receivables are written-off when collection of the indebtedness has been pursued for a reasonable period of time without collection; the customer is no longer in operation; or judgment has been levied, but the underlying assets are not adequate to satisfy the indebtedness. At both June 30, 2012 and December 31, 2011, we do not have any significant balances that are considered to be delinquent, on non-accrual status, past due 90 days or more, or considered to be impaired.</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provides the balance of aerospace long-term receivables and summarizes the associated changes in the reserve for estimated credit losses and exposure for the six months ended June 30, 2012 and 2011, respectively:</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574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r>
      <w:tr>
        <w:trPr>
          <w:trHeight w:val="203"/>
        </w:trPr>
        <w:tc>
          <w:tcPr>
            <w:tcW w:w="6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of the reserve for credit losses and exposure as of January 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5"/>
        </w:trPr>
        <w:tc>
          <w:tcPr>
            <w:tcW w:w="6940" w:type="dxa"/>
            <w:vAlign w:val="bottom"/>
            <w:gridSpan w:val="2"/>
          </w:tcPr>
          <w:p>
            <w:pPr>
              <w:spacing w:after="0"/>
              <w:rPr>
                <w:sz w:val="20"/>
                <w:szCs w:val="20"/>
                <w:color w:val="auto"/>
              </w:rPr>
            </w:pPr>
            <w:r>
              <w:rPr>
                <w:rFonts w:ascii="Arial" w:cs="Arial" w:eastAsia="Arial" w:hAnsi="Arial"/>
                <w:sz w:val="18"/>
                <w:szCs w:val="18"/>
                <w:color w:val="auto"/>
              </w:rPr>
              <w:t>Ending balance of the reserve for credit losses and exposure: individually evaluated for</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impairment as of June 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Ending balance of long-term receivables: individually evaluated for impairment as of June 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739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595</w:t>
            </w:r>
          </w:p>
        </w:tc>
        <w:tc>
          <w:tcPr>
            <w:tcW w:w="120" w:type="dxa"/>
            <w:vAlign w:val="bottom"/>
            <w:shd w:val="clear" w:color="auto" w:fill="CCEEFF"/>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determine credit ratings for each customer in the portfolio based upon public information and information obtained directly from our customers. We conduct a review of customer credit ratings, published historical credit default rates for different rating categories, and multiple third party aircraft value publications as a basis to validate the reasonableness of the allowance for losses on these balances quarterly or when events and circumstances warrant. The credit ratings listed below range from “A” which indicates an extremely strong capacity to meet financial obligations and the receivable is either collateralized or uncollateralized, to “D” which indicates that payment is in default and the receivable is uncollateralized. There can be no assurance that actual results will not differ from estimates or that consideration of these factors in the future will not result in an increase or decrease to the allowance for credit losses on long-term receivables.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credit risk profile by creditworthiness category for aerospace long-term receivable balances at June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0"/>
              </w:rPr>
              <w:t>June 30, 2012</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5"/>
              </w:rPr>
              <w:t>December 31, 2011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9"/>
              </w:rPr>
              <w:t>Long-term</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Notes and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Long-term</w:t>
            </w:r>
          </w:p>
        </w:tc>
        <w:tc>
          <w:tcPr>
            <w:tcW w:w="64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Notes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3400" w:type="dxa"/>
            <w:vAlign w:val="bottom"/>
            <w:vMerge w:val="restart"/>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trade accounts</w:t>
            </w:r>
          </w:p>
        </w:tc>
        <w:tc>
          <w:tcPr>
            <w:tcW w:w="100" w:type="dxa"/>
            <w:vAlign w:val="bottom"/>
          </w:tcPr>
          <w:p>
            <w:pPr>
              <w:spacing w:after="0"/>
              <w:rPr>
                <w:sz w:val="12"/>
                <w:szCs w:val="12"/>
                <w:color w:val="auto"/>
              </w:rPr>
            </w:pPr>
          </w:p>
        </w:tc>
        <w:tc>
          <w:tcPr>
            <w:tcW w:w="5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79"/>
              </w:rPr>
              <w:t>leases</w:t>
            </w:r>
          </w:p>
        </w:tc>
        <w:tc>
          <w:tcPr>
            <w:tcW w:w="5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trade accounts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4"/>
              </w:rPr>
              <w:t>receivable</w:t>
            </w: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receivable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receivable</w:t>
            </w:r>
          </w:p>
        </w:tc>
        <w:tc>
          <w:tcPr>
            <w:tcW w:w="640" w:type="dxa"/>
            <w:vAlign w:val="bottom"/>
          </w:tcPr>
          <w:p>
            <w:pPr>
              <w:spacing w:after="0"/>
              <w:rPr>
                <w:sz w:val="14"/>
                <w:szCs w:val="14"/>
                <w:color w:val="auto"/>
              </w:rPr>
            </w:pPr>
          </w:p>
        </w:tc>
        <w:tc>
          <w:tcPr>
            <w:tcW w:w="68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1"/>
              </w:rPr>
              <w:t>receivable</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 - (low risk, collateralized/uncollateralized)</w:t>
            </w: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w w:val="79"/>
              </w:rPr>
              <w:t>196</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201</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 - (moderate risk, collateralized/uncollateralized)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660"/>
              <w:spacing w:after="0"/>
              <w:rPr>
                <w:sz w:val="20"/>
                <w:szCs w:val="20"/>
                <w:color w:val="auto"/>
              </w:rPr>
            </w:pPr>
            <w:r>
              <w:rPr>
                <w:rFonts w:ascii="Arial" w:cs="Arial" w:eastAsia="Arial" w:hAnsi="Arial"/>
                <w:sz w:val="15"/>
                <w:szCs w:val="15"/>
                <w:color w:val="auto"/>
                <w:w w:val="71"/>
              </w:rPr>
              <w:t>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660"/>
              <w:spacing w:after="0"/>
              <w:rPr>
                <w:sz w:val="20"/>
                <w:szCs w:val="20"/>
                <w:color w:val="auto"/>
              </w:rPr>
            </w:pPr>
            <w:r>
              <w:rPr>
                <w:rFonts w:ascii="Arial" w:cs="Arial" w:eastAsia="Arial" w:hAnsi="Arial"/>
                <w:sz w:val="18"/>
                <w:szCs w:val="18"/>
                <w:color w:val="auto"/>
                <w:w w:val="79"/>
              </w:rPr>
              <w:t>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 (high risk, collateralized/uncollateralized)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D - (in default, uncollateralized)</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204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Shareowners’ Equity and Noncontrolling Interest</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As of January 1, 2012, we adopted the provisions of the FASB issued ASU No. 2011-05, “Presentation of Comprehensive Income.” As a result of this adoption, we have presented total comprehensive income for each of the periods presented within a single continuous Condensed Consolidated Statement of Comprehensive Income.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summary of the changes in shareowners’ equity and noncontrolling interest (excluding redeemable noncontrolling interest) comprising total equity for the quarters and six months ended June 30, 2012 and 2011 is provided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1"/>
              </w:rPr>
              <w:t>Quarter Ended June 30,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1"/>
                <w:szCs w:val="11"/>
                <w:color w:val="auto"/>
              </w:rPr>
            </w:pPr>
          </w:p>
        </w:tc>
        <w:tc>
          <w:tcPr>
            <w:tcW w:w="116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2"/>
              </w:rPr>
              <w:t>Shareowners’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2"/>
                <w:szCs w:val="12"/>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8"/>
              </w:rPr>
              <w:t>Interest</w:t>
            </w: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beginning of period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22,492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1,057</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$23,549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22,126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$23,126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repurchased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Equity Units issuance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Common Stock</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Dividends on ESOP 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w w:val="91"/>
              </w:rPr>
              <w:t>Purchase of subsidiary shares from noncontrolling 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Acquisition of noncontrolling 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in subsidiaries’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rPr>
              <w:t>Redeemable noncontrolling interest in total other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64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w w:val="99"/>
              </w:rPr>
              <w:t>Redeemable noncontrolling interest reclassification to</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6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23,725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3"/>
              </w:rPr>
              <w:t>Six Months Ended June 30,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37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58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96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21,880</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$22,820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21,385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947</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$22,332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Comprehensive income for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4920" w:type="dxa"/>
            <w:vAlign w:val="bottom"/>
            <w:gridSpan w:val="2"/>
          </w:tcPr>
          <w:p>
            <w:pPr>
              <w:ind w:left="880"/>
              <w:spacing w:after="0"/>
              <w:rPr>
                <w:sz w:val="20"/>
                <w:szCs w:val="20"/>
                <w:color w:val="auto"/>
              </w:rPr>
            </w:pPr>
            <w:r>
              <w:rPr>
                <w:rFonts w:ascii="Arial" w:cs="Arial" w:eastAsia="Arial" w:hAnsi="Arial"/>
                <w:sz w:val="18"/>
                <w:szCs w:val="18"/>
                <w:color w:val="auto"/>
              </w:rPr>
              <w:t>Total other comprehensive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comprehensive income for the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Common Stock issued under employee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repurchased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Equity Units issuance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on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Dividends on ESOP 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attributable to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w w:val="96"/>
              </w:rPr>
              <w:t>Purchase of subsidiary shares from noncontrolling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 of subsidiary shares in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Acquisition of noncontrolling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Disposition of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Redeemable noncontrolling interest in subsidiaries’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ind w:left="66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Redeemable noncontrolling interest in total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Change in redemption value of put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Redeemable noncontrolling interest reclassification to</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noncontrolling interest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20" w:type="dxa"/>
            <w:vAlign w:val="bottom"/>
            <w:gridSpan w:val="2"/>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22,604</w:t>
            </w:r>
          </w:p>
        </w:tc>
        <w:tc>
          <w:tcPr>
            <w:tcW w:w="3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23,725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22,723</w:t>
            </w:r>
          </w:p>
        </w:tc>
        <w:tc>
          <w:tcPr>
            <w:tcW w:w="220" w:type="dxa"/>
            <w:vAlign w:val="bottom"/>
          </w:tcPr>
          <w:p>
            <w:pPr>
              <w:spacing w:after="0"/>
              <w:rPr>
                <w:sz w:val="24"/>
                <w:szCs w:val="24"/>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1,016</w:t>
            </w:r>
          </w:p>
        </w:tc>
        <w:tc>
          <w:tcPr>
            <w:tcW w:w="3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23,739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summary of the changes in each component of accumulated other comprehensive (loss) income for the quarter and six months ended June 30, 2012 is provided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Defined</w:t>
            </w:r>
          </w:p>
        </w:tc>
        <w:tc>
          <w:tcPr>
            <w:tcW w:w="80" w:type="dxa"/>
            <w:vAlign w:val="bottom"/>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Benefit</w:t>
            </w: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79"/>
              </w:rPr>
              <w:t>(Losses)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Pension and</w:t>
            </w:r>
          </w:p>
        </w:tc>
        <w:tc>
          <w:tcPr>
            <w:tcW w:w="80" w:type="dxa"/>
            <w:vAlign w:val="bottom"/>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on</w:t>
            </w: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Foreign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Post-</w:t>
            </w: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Available-</w:t>
            </w: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Hedging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4400" w:type="dxa"/>
            <w:vAlign w:val="bottom"/>
            <w:vMerge w:val="restart"/>
          </w:tcPr>
          <w:p>
            <w:pPr>
              <w:spacing w:after="0"/>
              <w:rPr>
                <w:sz w:val="12"/>
                <w:szCs w:val="12"/>
                <w:color w:val="auto"/>
              </w:rPr>
            </w:pPr>
          </w:p>
        </w:tc>
        <w:tc>
          <w:tcPr>
            <w:tcW w:w="9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2"/>
                <w:szCs w:val="12"/>
                <w:color w:val="auto"/>
              </w:rPr>
            </w:pPr>
          </w:p>
        </w:tc>
        <w:tc>
          <w:tcPr>
            <w:tcW w:w="12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80" w:type="dxa"/>
            <w:vAlign w:val="bottom"/>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for-Sale</w:t>
            </w: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79"/>
              </w:rPr>
              <w:t>(Losses)</w:t>
            </w:r>
          </w:p>
        </w:tc>
        <w:tc>
          <w:tcPr>
            <w:tcW w:w="2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96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5"/>
              </w:rPr>
              <w:t>Plans</w:t>
            </w:r>
          </w:p>
        </w:tc>
        <w:tc>
          <w:tcPr>
            <w:tcW w:w="1180" w:type="dxa"/>
            <w:vAlign w:val="bottom"/>
            <w:gridSpan w:val="3"/>
          </w:tcPr>
          <w:p>
            <w:pPr>
              <w:jc w:val="center"/>
              <w:ind w:right="540"/>
              <w:spacing w:after="0" w:line="148"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4"/>
                <w:szCs w:val="14"/>
                <w:color w:val="auto"/>
              </w:rPr>
            </w:pPr>
          </w:p>
        </w:tc>
        <w:tc>
          <w:tcPr>
            <w:tcW w:w="8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4"/>
                <w:szCs w:val="14"/>
                <w:color w:val="auto"/>
              </w:rPr>
            </w:pPr>
          </w:p>
        </w:tc>
        <w:tc>
          <w:tcPr>
            <w:tcW w:w="10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(Loss) Income</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w:t>
            </w:r>
          </w:p>
        </w:tc>
        <w:tc>
          <w:tcPr>
            <w:tcW w:w="30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(5,810)</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7"/>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 comprehensive income - quarter ended March 31, 2012</w:t>
            </w:r>
          </w:p>
        </w:tc>
        <w:tc>
          <w:tcPr>
            <w:tcW w:w="10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 quarter ended June 30, 2012</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2012</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(104)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(5,575)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summary of the changes in redeemable noncontrolling interest recorded in the mezzanine section of the Condensed Consolidated Balance Sheet for the quarters and six months ended June 30, 2012 and 2011 is provided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95"/>
              </w:rPr>
              <w:t>Quarter Ended June 30,</w:t>
            </w:r>
          </w:p>
        </w:tc>
        <w:tc>
          <w:tcPr>
            <w:tcW w:w="140" w:type="dxa"/>
            <w:vAlign w:val="bottom"/>
          </w:tcPr>
          <w:p>
            <w:pPr>
              <w:spacing w:after="0"/>
              <w:rPr>
                <w:sz w:val="14"/>
                <w:szCs w:val="14"/>
                <w:color w:val="auto"/>
              </w:rPr>
            </w:pPr>
          </w:p>
        </w:tc>
        <w:tc>
          <w:tcPr>
            <w:tcW w:w="202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5800" w:type="dxa"/>
            <w:vAlign w:val="bottom"/>
            <w:gridSpan w:val="3"/>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89"/>
              </w:rPr>
              <w:t>2012</w:t>
            </w: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89"/>
              </w:rPr>
              <w:t>2011</w:t>
            </w:r>
          </w:p>
        </w:tc>
        <w:tc>
          <w:tcPr>
            <w:tcW w:w="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noncontrolling interest,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319</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358</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20" w:type="dxa"/>
            <w:vAlign w:val="bottom"/>
          </w:tcPr>
          <w:p>
            <w:pPr>
              <w:spacing w:after="0"/>
              <w:rPr>
                <w:sz w:val="18"/>
                <w:szCs w:val="18"/>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subsidiary shares from noncontrolling interest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reclassification to</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Other changes in redeemable noncontrolling interest</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and six months ended June 30, 2012 and 2011 is provided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15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w w:val="87"/>
              </w:rPr>
              <w:t>Quarter Ended June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29"/>
        </w:trPr>
        <w:tc>
          <w:tcPr>
            <w:tcW w:w="666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common shareowners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1,328</w:t>
            </w:r>
          </w:p>
        </w:tc>
        <w:tc>
          <w:tcPr>
            <w:tcW w:w="3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1,318</w:t>
            </w:r>
          </w:p>
        </w:tc>
        <w:tc>
          <w:tcPr>
            <w:tcW w:w="3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1,658</w:t>
            </w: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6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common stock for sale of subsidiary shares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Decrease in common stock for purchase of subsidiary shares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from net income attributable to common shareowners and transfers to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Guarantees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extend a variety of financial, market value and product performance guarantees to third parties. As disclosed in Note 1, on June 29, 2012 Pratt &amp; Whitney, Rolls-Royce, MTU and JAEC, completed a restructuring of their interests in IAE. This transaction has resulted in an increase in our proportionate share of IAE’s obligations from 33% to 61%. There were no material changes to IAE’s financing arrangements, which, as previously disclosed, were $989 million as of December 31, 2011. There have been no other material changes to guarantees outstanding since December 31, 2011.</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six months ended June 30, 2012 and 2011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w:t>
            </w:r>
          </w:p>
        </w:tc>
        <w:tc>
          <w:tcPr>
            <w:tcW w:w="19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$1,468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decrease in the above table in “Other” during the six months ended June 30, 2012 primarily reflects the impact of warranty reserves reclassified to Liabilities of Discontinued Operations. See Note 2 for further discussion. The increase reflected in “Other” during the six months ended June 30, 2011 primarily reflected the impact of finalizing purchase accounting on the acquisition of Clipper.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Collaborative Arrangements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sales, costs and risks are shared. Sales generated from engine programs, spare parts, and aftermarket business under collaboration arrangements are recorded as earned in our financial statements. Amounts attributable to our collaborative partners for their share of sales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June 30, 2012, the collaborators’ interests in all commercial engine programs ranged from 4% to 48%, inclusive of a portion of Pratt &amp; Whitney’s interests held by other participants. Pratt &amp; Whitney is the principal participant in all existing collaborative arrangements. There are no individually significant collaborative arrangements and none of the partners exceed a 31% share in an individual program. See Note 1 for further discussion of changes in the IAE collaboration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2011 Annual Report, incorporated by reference in our 2011 Form 10-K, updated as applicable.</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regulatory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have settled some allegations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previously disclosed, the U.S.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its 1983 offer. In the absence of actual damages, the trial court judge awarded the DOJ the maximum civil penalty of $7.09 million, or $10,000 for each of the 709 invoices Pratt &amp; Whitney submitted in 1989 and later under the contracts. In September 2008, both the DOJ and UTC appealed the decision to the Sixth Circuit Court of Appeals. In November 2010, the Sixth Circuit affirmed Pratt &amp; Whitney’s liability under the False Claims Act and remanded the case to the trial court for further proceedings.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18, 2012, the trial court found that Pratt &amp; Whitney had breached other obligations imposed by common law based on the same conduct with respect to which the court previously found liability under the False Claims Act. Under the common law claims, the U.S. Air Force may seek damages for events occurring before March 3, 1989, which are not recoverable under the False Claims Act. Further proceedings at the trial court will determine the damages, if any, relating to the False Claims Act and common law claims. The government is expected to continue to seek damages of $624 million, plus interest. Pratt &amp; Whitney continues to contend that the government suffered no actual damages. Should the government ultimately prevail, the outcome of this matter could result in a material adverse effect on our results of operations in the period in which a liability would be recognized or cash flows for the period in which damages would be paid.</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 2006. These changes relate to the calculation of material overhead rates in government contracts. The DOD claims that Sikorsky’s liability is approximately $93 million (including interest through June 2012). We believe this claim is without merit and Sikorsky filed an appeal in December 2009 with the U.S. Court of Federal Claims. Trial in the matter is scheduled to commence later this year. We do not believe the resolution of this matter will have a material adverse effect on our competitive position, results of operations, cash flows or financial condition.</w:t>
      </w:r>
    </w:p>
    <w:p>
      <w:pPr>
        <w:spacing w:after="0" w:line="12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 significant portion of our activities are subject to export control regulation by the U.S. Department of State (State Department) under the U.S. Arms Export Control Act and International Traffic in Arms Regulations (ITAR). From time to time, we identify, investigate, remediate and voluntarily disclose to the State Department’s Office of Defense Trade Controls Compliance (DTCC) potential violations of the ITAR. DTCC administers the State Department’s authority under the ITAR to impose civil penalties and other administrative sanctions for violations, including debarment from engaging in the export of defense articles or defense services. Most of our voluntary disclosures are resolved without the imposition of penalties or other sanctions. However, as previously disclosed, in November 2011, DTCC informed us that it considers certain of our voluntary disclosures filed since 2005 to reflect deficiencies warranting penalties and sanctions. On June 28, 2012, we entered into a Consent Agreement (CA) with DTCC to resolve a Proposed Charging Letter that references approximately 45 of our previous disclosures. The CA has a four-year term, and provides that we will: (1) pay a civil penalty of $55 million, up to $20 million of which can be suspended based on qualifying compliance investments made by us prior to or during the term of the CA; (2) appoint, subject to DTCC approval, an outside Special Compliance Official (SCO) to oversee our compliance with the CA and the ITAR; (3) continue and undertake additional remedial actions to strengthen ITAR compliance, with emphasis on human resources and organization, training, automation, and security of electronic data; and (4) sponsor two company-wide outside compliance audits during the term of the CA.</w:t>
      </w:r>
    </w:p>
    <w:p>
      <w:pPr>
        <w:spacing w:after="0" w:line="124" w:lineRule="exact"/>
        <w:rPr>
          <w:sz w:val="20"/>
          <w:szCs w:val="20"/>
          <w:color w:val="auto"/>
        </w:rPr>
      </w:pPr>
    </w:p>
    <w:p>
      <w:pPr>
        <w:ind w:right="100" w:firstLine="456"/>
        <w:spacing w:after="0" w:line="282" w:lineRule="auto"/>
        <w:rPr>
          <w:sz w:val="20"/>
          <w:szCs w:val="20"/>
          <w:color w:val="auto"/>
        </w:rPr>
      </w:pPr>
      <w:r>
        <w:rPr>
          <w:rFonts w:ascii="Arial" w:cs="Arial" w:eastAsia="Arial" w:hAnsi="Arial"/>
          <w:sz w:val="16"/>
          <w:szCs w:val="16"/>
          <w:color w:val="auto"/>
        </w:rPr>
        <w:t>The voluntary disclosures addressed in the CA include disclosures made in 2006 and 2007 regarding the export by Hamilton Sundstrand to Pratt &amp; Whitney Canada (P&amp;WC) of certain modifications to dual-use electronic engine control software, and the re-export by P&amp;WC of those software modifications and subsequent P&amp;WC-developed modifications to China during the period 2002-2004 for use in the development of the Z-10 Chinese military helicopter. As previously disclosed, the DOJ separately conducted a criminal investigation of the matters addressed in these disclosures, as well as the accuracy, adequacy, and timeliness of the disclosures. We cooperated with the DOJ’s investigation. On June 28, 2012, the U.S. Attorney for the District of Connecticut filed a three-count criminal information alleging: (1) that in 2002-2003, P&amp;WC caused Hamilton Sundstrand to export ITAR-controlled software modifications to Canada and re-exported them to China without the required license; (2) that in 2006, P&amp;WC, Hamilton Sundstrand and UTC made false statements in disclosures to DTCC regarding these ITAR violations; and (3) that P&amp;WC and Hamilton Sundstrand violated a separate provision of the ITAR by failing timely to notify DTCC of the unlicensed software shipments to China, an embargoed country. P&amp;WC pleaded guilty to violating the ITAR and making false statements as alleged, and was sentenced to probation and to pay fines and forfeitures totaling $6.9 million. P&amp;WC, Hamilton Sundstrand and UTC (the UTC Entities) entered into a Deferred Prosecution Agreement (DPA) regarding the remaining offenses charged with respect to each UTC Entity. The DPA has a two-year term, and provides that the UTC Entities will: (1) pay an additional penalty of $13.8 million; (2) appoint, subject to DOJ approval, an independent monitor (who may be the same person as the SCO appointed under the CA) to oversee compliance with the DPA; (3) provide annual senior officer certifications that all known violations of the ITAR, Export Administration Regulations and sanctions regimes implemented under the International Emergency Economic Powers Act occurring after the execution date of the DPA have been reported by UTC, its subsidiaries, and its majority-owned or controlled affiliates to the appropriate official(s) of the U.S. government;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cooperate with law enforcement in specified areas; and (5) implement specified compliance training initiatives.</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the previously disclosed potential liability recognized at March 31, 2012 of $55 million will be sufficient to discharge all amounts due under the CA and DPA.</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By reason of P&amp;WC’s guilty plea to a criminal violation of the ITAR, DTCC imposed a partial statutory debarment on P&amp;WC with respect to obtaining new or renewed ITAR license privileges. The debarment does not affect existing ITAR licenses/authorities, nor does it extend to programs supporting: (1) the U.S. government; (2) NATO allies; or (3) “major non-NATO allies” (as defined in the ITAR). P&amp;WC may seek “transaction exception” approvals on a case-by-case basis for new or renewed ITAR licensing in other cases during the period of debarment. P&amp;WC may apply for full reinstatement of ITAR privileges after one year. Various military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department and defense agency officials are also reviewing the UTC Entities’ present responsibility under the Federal Acquisition Regulation and P&amp;WC’s eligibility to receive funds appropriated for fiscal year 2012 under the National Defense Appropriations Act. We do not believe the ultimate resolution of these matters, individually or collectively, will have a material adverse effect on our competitive position, results of operations, cash flows or financial condition.</w:t>
      </w:r>
    </w:p>
    <w:p>
      <w:pPr>
        <w:spacing w:after="0" w:line="101"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accrued our estimate of the liability that may result under these guarantees and for service costs that are probable and can be reasonably estimated.</w:t>
      </w:r>
    </w:p>
    <w:p>
      <w:pPr>
        <w:spacing w:after="0" w:line="8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have identified the potential for additional warranty costs associated with certain components within the wind turbines previously installed by our Clipper business. During the second quarter of 2012, we evaluated likely sources of underlying quality issues on a portion of the affected wind turbines and recorded a $91 million reserve in discontinued operations for potential warranty costs. We continue to research the source of the remaining underlying quality issues and are unable to determine an estimate of reasonably possible additional warranty costs at this time. Depending upon the nature of the warranty actions required and the number of installed turbines that may be affected, the outcome of this matter could result in a material effect on our results of operations in the period in which a warranty liability would be recognized or cash flows for the period in which warranty remediation is performed.</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involved in a number of other legal proceedings, investigations and other contingency matters, including government audit matters, environmental investigatory, remediation, operating and maintenance costs, performance guarantees, self-insurance programs and matters arising out of the normal course of business. We are also subject to a number of routine lawsuits, investigations and claims (some of which involve substantial amounts) arising out of the ordinary course of our business. Many of these proceedings are at preliminary stages, and many of these cases seek an indeterminate amount of damages. We regularly evaluate the status of legal proceedings in which we are involved, to assess whether a loss is probable or there is a reasonable possibility that a loss or additional loss may have been incurred and determine if accruals and related disclosures are appropriate. The Company has established reserves for several hundred of its legal proceedings and other matters. We accrue contingencies based upon a range of possible outcomes. If no amount within this range is a better estimate than any other, then we accrue the minimum amount. With respect to any additional losses that may be incurred in excess of those accrued, either they are considered not material or we do not believe that a range of reasonably possible losses (defined by the relevant accounting literature to include all potential losses other than those deemed “remote”) can be determined. We do not believe that these matters will have a material adverse effect upon our competitive position, results of operations, cash flows or financial condition.</w:t>
      </w:r>
    </w:p>
    <w:p>
      <w:pPr>
        <w:spacing w:after="0" w:line="12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All forward-looking statements concerning the possible or anticipated outcome of environmental, investigatory, litigation proceedings and other contingency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 Item 1A, “Risk Factors” in this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operations are classified into five principal segments: Otis, UTC Climate, Controls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 On September 28, 2011, we announced a new organizational structure that allows us to better serve customers through greater integration across product lines. Effective January 1, 2012, we formed the UTC Climate, Controls &amp; Security segment which combines the former Carrier and UTC Fire &amp; Security segments.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and six months ended June 30, 2012 and 2011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Operating Profits</w:t>
            </w:r>
          </w:p>
        </w:tc>
        <w:tc>
          <w:tcPr>
            <w:tcW w:w="2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29"/>
        </w:trPr>
        <w:tc>
          <w:tcPr>
            <w:tcW w:w="4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1"/>
                <w:szCs w:val="11"/>
                <w:color w:val="auto"/>
              </w:rPr>
            </w:pPr>
          </w:p>
        </w:tc>
        <w:tc>
          <w:tcPr>
            <w:tcW w:w="5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2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3,192</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651</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743</w:t>
            </w:r>
          </w:p>
        </w:tc>
        <w:tc>
          <w:tcPr>
            <w:tcW w:w="5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21.5%</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5,140</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665</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17.3%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1,171</w:t>
            </w:r>
          </w:p>
        </w:tc>
        <w:tc>
          <w:tcPr>
            <w:tcW w:w="5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41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180" w:type="dxa"/>
            <w:vAlign w:val="bottom"/>
            <w:gridSpan w:val="3"/>
          </w:tcPr>
          <w:p>
            <w:pPr>
              <w:spacing w:after="0"/>
              <w:rPr>
                <w:sz w:val="20"/>
                <w:szCs w:val="20"/>
                <w:color w:val="auto"/>
              </w:rPr>
            </w:pPr>
            <w:r>
              <w:rPr>
                <w:rFonts w:ascii="Arial" w:cs="Arial" w:eastAsia="Arial" w:hAnsi="Arial"/>
                <w:sz w:val="18"/>
                <w:szCs w:val="18"/>
                <w:color w:val="auto"/>
              </w:rPr>
              <w:t>Total segments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13,920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14,565</w:t>
            </w: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2,294</w:t>
            </w:r>
          </w:p>
        </w:tc>
        <w:tc>
          <w:tcPr>
            <w:tcW w:w="52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14,469</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2,150</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1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Operating Profits</w:t>
            </w:r>
          </w:p>
        </w:tc>
        <w:tc>
          <w:tcPr>
            <w:tcW w:w="2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29"/>
        </w:trPr>
        <w:tc>
          <w:tcPr>
            <w:tcW w:w="4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1"/>
                <w:szCs w:val="11"/>
                <w:color w:val="auto"/>
              </w:rPr>
            </w:pPr>
          </w:p>
        </w:tc>
        <w:tc>
          <w:tcPr>
            <w:tcW w:w="5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Otis</w:t>
            </w:r>
          </w:p>
        </w:tc>
        <w:tc>
          <w:tcPr>
            <w:tcW w:w="2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5,797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5,964</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$1,217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1,373</w:t>
            </w:r>
          </w:p>
        </w:tc>
        <w:tc>
          <w:tcPr>
            <w:tcW w:w="5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21.0%</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8,684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9,533</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1,136</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15.4%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2,309</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357</w:t>
            </w:r>
          </w:p>
        </w:tc>
        <w:tc>
          <w:tcPr>
            <w:tcW w:w="5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1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180" w:type="dxa"/>
            <w:vAlign w:val="bottom"/>
            <w:gridSpan w:val="3"/>
          </w:tcPr>
          <w:p>
            <w:pPr>
              <w:spacing w:after="0"/>
              <w:rPr>
                <w:sz w:val="20"/>
                <w:szCs w:val="20"/>
                <w:color w:val="auto"/>
              </w:rPr>
            </w:pPr>
            <w:r>
              <w:rPr>
                <w:rFonts w:ascii="Arial" w:cs="Arial" w:eastAsia="Arial" w:hAnsi="Arial"/>
                <w:sz w:val="18"/>
                <w:szCs w:val="18"/>
                <w:color w:val="auto"/>
              </w:rPr>
              <w:t>Total segments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26,436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27,323</w:t>
            </w: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4,136</w:t>
            </w:r>
          </w:p>
        </w:tc>
        <w:tc>
          <w:tcPr>
            <w:tcW w:w="52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15.6%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(181)</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26,223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27,142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3,850</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8 to the Condensed Consolidated Financial Statements for a discussion of restructuring costs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Accounting Pronouncements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2011, the FASB issued ASU No. 2011-11, “Disclosures about Offsetting Assets and Liabilities.” This ASU is intended to enhance a financial statement user’s ability to understand the effects of netting arrangements on an entity’s financial statements, including financial instruments and derivative instruments that are either offset or subject to an enforceable master netting or similar arrangement. The scope of this ASU includes derivatives, sale and repurchase agreements and reverse sale and repurchase agreements, and securities borrowing and securities lending arrangements. This ASU includes enhanced disclosure requirements, including both gross and net information about instruments and transactions eligible for offset or subject to an agreement similar to a master netting arrangement. The provisions of this ASU will be applied retrospectively for interim and annual periods beginning on or after January 1, 2013. We are currently evaluating the impact of this new ASU.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23, 2012, we announced an agreement to sell Rocketdyne to GenCorp for $550 million. The transaction is expected to close in the first quarter of</w:t>
      </w:r>
    </w:p>
    <w:p>
      <w:pPr>
        <w:spacing w:after="0" w:line="3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2013. Proceeds from the sale will be used to repay a portion of the short-term debt incurred to finance the acquisition of Goodrich. The sale is subject to customary closing conditions, including regulatory approvals.</w:t>
      </w:r>
    </w:p>
    <w:p>
      <w:pPr>
        <w:spacing w:after="0" w:line="13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July 25, 2012, we announced an agreement to sell the Hamilton Sundstrand Industrial businesses to BC Partners and The Carlyle Group for $3.46 billion. The sale is expected to close before the end of the year and the proceeds from the sale will be used to repay a portion of the short-term debt incurred to finance the acquisition of Goodrich. The sale is subject to customary closing conditions, including regulatory approvals.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July 26, 2012, we completed the acquisition of Goodrich, a global supplier of systems and services to the aerospace and defense industry with 2011 sales of $8.1 billion. Goodrich products include aircraft nacelles and interior systems, actuation and landing systems, and electronic systems. Under the terms of the agreement, Goodrich shareholders received $127.50 in cash for each</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share of Goodrich common stock they owned on July 26, 2012. This equates to a total estimated enterprise value of $18.2 billion, including $1.7 billion in net debt assumed. Goodrich will be combined with Hamilton Sundstrand to form a new segment named UTC Aerospace Systems. This segment and our Pratt &amp; Whitney segment will be separately reportable segments although they will both be included within the UTC Propulsion &amp; Aerospace Systems organizational structure. Additional disclosures relating to the purchase price allocation will be provided in our third quarter Form 10-Q.</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finance the cash consideration for the Goodrich acquisition and pay related fees, expenses and other amounts due and payable, we utilized the previously disclosed net proceeds of approximately $9.7 billion from the $9.8 billion of long-term notes issued on June 1, 2012 and the net proceeds of approximately $1.1 billion from the Equity Units issued on June 18, 2012, as well as $3.2 billion from the issuance of commercial paper during July 2012 and $2.0 billion of proceeds borrowed on our April 24, 2012 term loan credit agreement on July 26, 2012. For the remainder of the cash consideration, we also utilized approximately $0.5 billion of cash and cash equivalents generated from operating activities. On July 26, 2012 we terminated our bridge credit agreement entered into on November 8, 2011 after completing the Goodrich acquisition financing.</w:t>
      </w:r>
    </w:p>
    <w:p>
      <w:pPr>
        <w:spacing w:after="0" w:line="12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Since these transactions occurred subsequent to the end of the second quarter of 2012, the effects of these transactions are not reflected in the condensed consolidated statement of comprehensive income, statement of cash flows, or balance sheet as of or for the quarter or six months ended June 30, 2012.</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six months ended June 30, 2012 and 2011, PricewaterhouseCoopers LLP (PricewaterhouseCoopers) reported that it has applied limited procedures in accordance with professional standards for a review of such information. However, its report dated July 30, 2012,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50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June 30, 2012 and the related condensed consolidated statement of comprehensive income for the three-month and six-month periods ended June 30, 2012 and 2011 and the condensed consolidated statement of cash flows for the six-month periods ended June 30, 2012 and 2011. This interim financial information is the responsibility of the Corporation’s management.</w:t>
      </w:r>
    </w:p>
    <w:p>
      <w:pPr>
        <w:spacing w:after="0" w:line="143"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previously audited, in accordance with the standards of the Public Company Accounting Oversight Board (United States), the consolidated balance sheet as of December 31, 2011, and the related consolidated statements of operations, of cash flows, and of changes in equity for the year then ended (not presented herein), and in our report dated February 9, 2012, we expressed an unqualified opinion on those consolidated financial statements. In our opinion, the information set forth in the accompanying condensed consolidated balance sheet as of December 31, 2011, is fairly stated in all material respects in relation to the consolidated balance sheet from which it has been derived.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30,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are classified into five principal business segments: Otis, UTC Climate, Controls &amp; Security, Pratt &amp; Whitney, Hamilton Sundstrand and Sikorsky. Otis and UTC Climate, Controls &amp; Security are referred to as the “commercial businesses,” while Pratt &amp; Whitney, Hamilton Sundstrand and Sikorsky are collectively referred to as the “aerospace businesses.”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September 28, 2011, we announced a new organizational structure that allows us to better serve customers through greater integration across product lines. Effective January 1, 2012, we formed the UTC Climate, Controls &amp; Security segment which combines the former Carrier and UTC Fire &amp; Security segments.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Certain reclassifications have been made to the prior year amounts to conform to the current year presentation. The current status of significant factors impacting our business environment in 2012 is discussed below. For additional discussion, refer to the “Business Overview” section in Management’s Discussion and Analysis of Financial Condition and Results of Operations in our 2011 Annual Report, which is incorporated by reference in our 2011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23, 2012, we announced an agreement to sell Rocketdyne to GenCorp for $550 million. The transaction is expected to close in the first quarter of</w:t>
      </w:r>
    </w:p>
    <w:p>
      <w:pPr>
        <w:spacing w:after="0" w:line="3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2013. Proceeds from the sale will be used to repay a portion of the short-term debt incurred to finance the acquisition of Goodrich. The sale is subject to customary closing conditions, including regulatory approvals.</w:t>
      </w:r>
    </w:p>
    <w:p>
      <w:pPr>
        <w:spacing w:after="0" w:line="13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July 25, 2012, we announced an agreement to sell the Hamilton Sundstrand Industrial businesses to BC Partners and The Carlyle Group for $3.46 billion. The sale is expected to close before the end of the year and the proceeds from the sale will be used to repay a portion of the short-term debt incurred to finance the acquisition of Goodrich. The sale is subject to customary closing conditions, including regulatory approvals.</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July 26, 2012, we completed the acquisition of Goodrich, a global supplier of systems and services to the aerospace and defense industry with 2011 sales of $8.1 billion. Goodrich products include aircraft nacelles and interior systems, actuation and landing systems, and electronic systems. Under the terms of the agreement, Goodrich shareholders received $127.50 in cash for each share of Goodrich common stock they owned on July 26, 2012. This equates to a total estimated enterprise value of $18.2 billion, including $1.7 billion in net debt assumed. Goodrich will be combined with Hamilton Sundstrand to form a new segment named UTC Aerospace Systems. This segment and our Pratt &amp; Whitney segment will be separately reportable segments although they will both be included within the UTC Propulsion &amp; Aerospace Systems organizational structure. Additional disclosures relating to the purchase price allocation will be provided in our third quarter Form 10-Q.</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finance the cash consideration for the Goodrich acquisition and pay related fees, expenses and other amounts due and payable, we utilized the previously disclosed net proceeds of approximately $9.7 billion from the $9.8 billion of long-term notes issued on June 1, 2012 and the net proceeds of approximately $1.1 billion from the Equity Units issued on June 18, 2012, as well as $3.2 billion from the issuance of commercial paper during July 2012 and $2.0 billion of proceeds borrowed on our April 24, 2012 term loan credit agreement on July 26, 2012. For the remainder of the cash consideration, we also utilized approximately $0.5 billion of cash and cash equivalents generated from operating activities. On July 26, 2012 we terminated our bridge credit agreement entered into on November 8, 2011 after completing the Goodrich acquisition financing.</w:t>
      </w:r>
    </w:p>
    <w:p>
      <w:pPr>
        <w:spacing w:after="0" w:line="12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Since these transactions occurred subsequent to the end of the second quarter of 2012, the effects of these transactions are not reflected in the condensed consolidated statement of comprehensive income, statement of cash flows, or balance sheet as of or for the quarter or six months ended June 30, 2012 or in the remainder of Management’s Discussion and Analysis of Financial Condition and Results of Operations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and extensive related aftermarket parts and services businesses, as well as the combination of shorter cycles at UTC Climate, Controls &amp; Security and at our commercial aerospace aftermarket businesses, and longer cycles at Otis and at our aerospace OEM businesses. Our customers include companies in the private sector and governments, and our businesses reflect an extensive geographic diversification that has evolved with the continued globalization of world economies.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Europe continues to struggle with a debt crisis, and no clear solution is yet in place. An unfavorable Euro foreign exchange rate, combined with the continued economic slowdown in the region, has adversely affected sales and profit growth. China’s reported second quarter GDP growth rate was 7.6%, which while still strong, was the lowest growth rate since 2009. The Chinese government has begun easing fiscal policies in support of economic growth, including interest rate reductions. Despite the recent lower growth rates, urbanization and long-term economic fundamentals support continued growth in China, and we remain confident in China’s long-term growth prospects. Most indicators point towards modest growth in the U.S. in 2012. However, the political debate in Washington D.C. surrounding the “fiscal cliff” arising from scheduled spending cuts and tax increases could dampen growth prospects for 2013. With an uneven growth outlook, we continue to take preemptive steps to position our business for future earnings growth by further reducing operating costs even as we continue to invest in new product launches and growth markets. As a result, we are increasing our 2012 full year estimate of restructuring cost in continuing operations from $450 million to $500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March 14, 2012, the Board of Directors of the Company approved a plan for the divestiture of a number of non-core businesses. Cash generated from these divestitures is intended to be used to repay a portion of the short-term debt we expect to incur as part of the financing for the proposed acquisition of Goodrich Corporation (Goodrich). These divestitures are expected to generate approximately $3 billion in net cash, on an after-tax basis. In the first quarter of 2012, the Hamilton Sundstrand Industrial businesses, Pratt &amp; Whitney Rocketdyne (Rocketdyne) and Clipper Windpower (Clipper) all met the “held-for-sale” criteria. On June 29, 2012, management of the Company approved a plan for the divestiture of UTC Power. The results of operations, including the net losses expected on disposition, and the related cash flows which result from these non-core businesses have been reclassified to Discontinued Operations in our Condensed Consolidated Statements of Comprehensive Income and Cash Flows for all periods presented. Cash flows from the operation of these discontinued businesses are expected to continue until their disposals, most of which are expected to occur in the second half of 2012. As a result of the decision to dispose of these businesses, the Company recorded pre-tax goodwill impairment charges of approximately $360 million and $590 million related to Rocketdyne and Clipper, respectively, in discontinued operations during the first quarter of 2012, and pre-tax net asset impairment charges of approximately $179 million related to UTC Power in discontinued operations during the second quarter of 2012. The goodwill impairment charges result from the decision to dispose of both Rocketdyne and Clipper within a relatively short period after acquiring the businesses. Consequently, there has not been sufficient opportunity for the long-term operations to recover the value implicit in goodwill at the initial date of acquisition. The impairment charge at UTC Power results from adjusting the net assets of the business to the estimated fair value less costs to sell the business expected to be realized upon sale, and reflects the loss in value from the disposition of the business before the benefits of the technology investments could be fully realized. There could be additional gains or losses recorded upon final disposition of the businesses based upon the values, terms and conditions that are ultimately negotiated.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and Disposition Activity</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discussed below in “Results of Operations,” our results include the impact from non-recurring items such as the adverse effect of asset impairment charges, and the beneficial impact of gains from business divestiture activities, including those related to the ongoing portfolio transformation at UTC Climate, Controls &amp; Security. Our growth strategy contemplates acquisitions. Our operations and results can be affected by the rate and extent to which appropriate acquisition opportunities are available, acquired businesses are effectively integrated, and anticipated synergies or cost savings are achieved.</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first six months of 2012, our investment in business acquisitions was $358 million (including debt assumed of $149 million), and consisted primarily of an increase of our ownership interest in IAE International Aero Engines AG (IAE) and a number of small acquisitions in our commercial businesses. We recorded the excess of the purchase price over the estimated fair value of the assets acquired as an increase in goodwill. As a result of acquisition activity in the first six months of 2012, goodwill increased $298 million.</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September 21, 2011, we announced an agreement to acquire Goodrich, a global supplier of systems and services to the aerospace and defense industry with 2011 sales of $8.1 billion. Goodrich products include aircraft nacelles and interior systems, actuation and landing systems, and electronic systems. Under the terms of the agreement, Goodrich shareholders will receive $127.50 in cash for each share of Goodrich common stock they own at the time of the closing of the transaction. This equates to a total estimated enterprise value of $18.2 billion, including $1.7 billion in net debt to be assumed. In March 2012, Goodrich received shareholder approval for the transaction. The transaction is subject to customary closing conditions, including regulatory approvals. We expect that this acquisition will close in mid-2012. Once the acquisition is complete, Goodrich and Hamilton Sundstrand will be combined to form a new segment named UTC Aerospace Systems. This segment and our Pratt &amp; Whitney segment will be separately reportable segments although they will both be included within the UTC Propulsion &amp; Aerospace Systems organizational structure. We expect the increased scale, financial strength and complementary products of the new combined business will strengthen our position in the aerospace and defense industry. Further, we expect that this acquisition will enhance our ability to support our customers with more integrated systems.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29, 2012, Pratt &amp; Whitney, Rolls-Royce plc (Rolls-Royce), MTU Aero Engines AG (MTU), and Japanese Aero Engines Corporation (JAEC) participants in the IAE collaboration, completed a restructuring of their interests in IAE. Under the terms of the agreement, Rolls-Royce sold its ownership and collaboration interests in IAE to Pratt &amp; Whitney, while also entering into a license for its V2500 intellectual property with Pratt &amp; Whitney. In exchange for the increased ownership and collaboration interests and intellectual property license, Pratt &amp; Whitney paid Rolls-Royce $1.5 billion at closing with additional payments due to Rolls-Royce conditional upon each hour flown by V2500-powered aircraft in service at the closing date of the purchase from Rolls-Royce during the fifteen year period following closing of the purchase. The collaboration interest and intellectual property licenses are reflected as intangible assets and will be amortized in relation to the economic benefits received over the remaining estimated 30 year life of the V2500 program. Rolls-Royce will continue to support IAE as a strategic supplier for the V2500 engine and continue to perform its key responsibilities for IAE, including the manufacture of parts and assembly of engines. Pratt &amp; Whitney entered into a collaboration arrangement with MTU with respect to a portion of the acquired collaboration interest in IAE for consideration of approximately $233 million with additional payments due to Pratt &amp; Whitney in the future. As a result of these transactions, Pratt &amp; Whitney holds a 61% interest in the collaboration and a 49.5% ownership interest in IAE. Based on the criteria set forth in the Consolidation Topic of the FASB Accounting Standards Codification (ASC), we have determined that IAE is a variable interest entity (VIE). IAE’s business purpose is to coordinate the design, development and manufacture of, and to provide product support to, the V2500 program through involvement with the collaborators. IAE retains limited equity with the primary economics of the V2500 program passed to the participants in the separate collaboration arrangement. As such, UTC is determined to be the primary beneficiary of IAE as it absorbs the significant economics of IAE and has the power to direct the activities that are considered most significant to IAE. The consolidation of IAE resulted in a gain of $21 million recognized on the remeasurement to fair value of our previously held equity interest on obtaining control of IAE.</w:t>
      </w:r>
    </w:p>
    <w:p>
      <w:pPr>
        <w:spacing w:after="0" w:line="3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October 12, 2011, Pratt &amp; Whitney and Rolls-Royce announced an agreement to form a new joint venture to develop new engines to power the next generation of mid-size aircraft that will replace the existing fleet of mid-size aircraft currently in service or in development. With this new joint venture, Pratt &amp; Whitney and Rolls-Royce will focus on high-bypass ratio geared turbofan technology as well as collaborate on future studies of next generation propulsion systems. Pursuant to the agreement, the formation of this new joint venture is subject to regulatory approvals and other closing conditions. The completion of the restructuring of the parties’ interests in IAE on June 29, 2012 satisfied one of these closing conditions. The formation of the new joint venture may not occur for a substantial period of time.</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expect to invest approximately $500 million in acquisitions in 2012, excluding spending for the acquisitions of Goodrich and Rolls-Royce’s interests in IAE. However, actual acquisition spending may vary depending upon the timing, availability and appropriate value of acquisition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2012. See Part II, Item 1A, “Risk Factors” in this Form 10-Q for further discussion.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2011 Annual Report, incorporated by reference in our 2011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six months of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500" w:type="dxa"/>
            <w:vAlign w:val="bottom"/>
          </w:tcPr>
          <w:p>
            <w:pPr>
              <w:spacing w:after="0"/>
              <w:rPr>
                <w:sz w:val="14"/>
                <w:szCs w:val="14"/>
                <w:color w:val="auto"/>
              </w:rPr>
            </w:pPr>
          </w:p>
        </w:tc>
        <w:tc>
          <w:tcPr>
            <w:tcW w:w="162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Quarter Ended June 30,</w:t>
            </w:r>
          </w:p>
        </w:tc>
        <w:tc>
          <w:tcPr>
            <w:tcW w:w="340" w:type="dxa"/>
            <w:vAlign w:val="bottom"/>
          </w:tcPr>
          <w:p>
            <w:pPr>
              <w:spacing w:after="0"/>
              <w:rPr>
                <w:sz w:val="14"/>
                <w:szCs w:val="14"/>
                <w:color w:val="auto"/>
              </w:rPr>
            </w:pPr>
          </w:p>
        </w:tc>
        <w:tc>
          <w:tcPr>
            <w:tcW w:w="184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5500" w:type="dxa"/>
            <w:vAlign w:val="bottom"/>
          </w:tcPr>
          <w:p>
            <w:pPr>
              <w:spacing w:after="0"/>
              <w:rPr>
                <w:sz w:val="12"/>
                <w:szCs w:val="12"/>
                <w:color w:val="auto"/>
              </w:rPr>
            </w:pPr>
          </w:p>
        </w:tc>
        <w:tc>
          <w:tcPr>
            <w:tcW w:w="620" w:type="dxa"/>
            <w:vAlign w:val="bottom"/>
            <w:tcBorders>
              <w:top w:val="single" w:sz="8" w:color="auto"/>
            </w:tcBorders>
          </w:tcPr>
          <w:p>
            <w:pPr>
              <w:jc w:val="right"/>
              <w:ind w:right="86"/>
              <w:spacing w:after="0" w:line="129"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70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top w:val="single" w:sz="8" w:color="auto"/>
            </w:tcBorders>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$ 13,807</w:t>
            </w: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$ 14,469</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26,223</w:t>
            </w:r>
          </w:p>
        </w:tc>
        <w:tc>
          <w:tcPr>
            <w:tcW w:w="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27,142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5% decrease in net sales for the second quarter of 2012 primarily reflects the impact of net dispositions (3%) and the adverse impact of foreign currency translation (3%). Organic sales growth was 1% for the quarter. During the second quarter of 2012, two of the five business segments experienced organic sales growth: Hamilton Sundstrand (9%) and Pratt &amp; Whitney (6%). The organic growth at Hamilton Sundstrand is driven by higher aerospace OEM sales (9%), while organic growth at Pratt &amp; Whitney is primarily a result of higher military engine and aftermarket sales (6%). Sikorsky organic sales contracted 9%, following 5% organic growth in the second quarter of 2011, driven by reduced aircraft deliveries from foreign military operations (6%) and fewer deliveries to the U.S. government (4%) in 2012.</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3% decrease in net sales in the first six months of 2012 reflects organic sales growth (1%), which was more than offset by the impact of net dispositions (2%) and the adverse impact of foreign currency translation (2%). During the first six months of 2012, two of the five business segments experienced organic sales growth: Hamilton Sundstrand (10%) and Pratt &amp; Whitney (7%). The organic growth at Hamilton Sundstrand is driven by higher aerospace OEM (7%) and aerospace aftermarket (3%) volumes. Pratt &amp; Whitney’s organic growth is primarily a result of higher military engine and aftermarket sales (6%). Sikorsky organic sales contracted 12%, following 9% organic growth in the first six months of 2011, driven by reduced aircraft deliveries from foreign military operations (9%) in 2012.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980" w:type="dxa"/>
            <w:vAlign w:val="bottom"/>
            <w:vMerge w:val="restart"/>
          </w:tcPr>
          <w:p>
            <w:pPr>
              <w:spacing w:after="0"/>
              <w:rPr>
                <w:sz w:val="14"/>
                <w:szCs w:val="14"/>
                <w:color w:val="auto"/>
              </w:rPr>
            </w:pPr>
          </w:p>
        </w:tc>
        <w:tc>
          <w:tcPr>
            <w:tcW w:w="22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6"/>
              </w:rPr>
              <w:t>Quarter Ended June 30,</w:t>
            </w:r>
          </w:p>
        </w:tc>
        <w:tc>
          <w:tcPr>
            <w:tcW w:w="120" w:type="dxa"/>
            <w:vAlign w:val="bottom"/>
          </w:tcPr>
          <w:p>
            <w:pPr>
              <w:spacing w:after="0"/>
              <w:rPr>
                <w:sz w:val="14"/>
                <w:szCs w:val="14"/>
                <w:color w:val="auto"/>
              </w:rPr>
            </w:pPr>
          </w:p>
        </w:tc>
        <w:tc>
          <w:tcPr>
            <w:tcW w:w="19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52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8"/>
              <w:spacing w:after="0" w:line="129"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products sold</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$ 7,123</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7,666</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13,446</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14,131</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Percentage of product sales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sold</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$ 2,811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Percentage of service sales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products and services sold</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$ 9,934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10,468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18,864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factors contributing to the total percentage change year-over-year for the quarter and six months ended June 30, 2012 in total cost of products and services sold are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40" w:type="dxa"/>
            <w:vAlign w:val="bottom"/>
            <w:gridSpan w:val="3"/>
          </w:tcPr>
          <w:p>
            <w:pPr>
              <w:jc w:val="center"/>
              <w:ind w:left="717"/>
              <w:spacing w:after="0"/>
              <w:rPr>
                <w:sz w:val="20"/>
                <w:szCs w:val="20"/>
                <w:color w:val="auto"/>
              </w:rPr>
            </w:pPr>
            <w:r>
              <w:rPr>
                <w:rFonts w:ascii="Arial" w:cs="Arial" w:eastAsia="Arial" w:hAnsi="Arial"/>
                <w:sz w:val="14"/>
                <w:szCs w:val="14"/>
                <w:b w:val="1"/>
                <w:bCs w:val="1"/>
                <w:color w:val="auto"/>
                <w:w w:val="90"/>
              </w:rPr>
              <w:t>Quarter Ended</w:t>
            </w:r>
          </w:p>
        </w:tc>
        <w:tc>
          <w:tcPr>
            <w:tcW w:w="182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gridSpan w:val="2"/>
          </w:tcPr>
          <w:p>
            <w:pPr>
              <w:jc w:val="center"/>
              <w:ind w:right="592"/>
              <w:spacing w:after="0"/>
              <w:rPr>
                <w:sz w:val="20"/>
                <w:szCs w:val="20"/>
                <w:color w:val="auto"/>
              </w:rPr>
            </w:pPr>
            <w:r>
              <w:rPr>
                <w:rFonts w:ascii="Arial" w:cs="Arial" w:eastAsia="Arial" w:hAnsi="Arial"/>
                <w:sz w:val="14"/>
                <w:szCs w:val="14"/>
                <w:b w:val="1"/>
                <w:bCs w:val="1"/>
                <w:color w:val="auto"/>
                <w:w w:val="87"/>
              </w:rPr>
              <w:t>June 30, 2012</w:t>
            </w:r>
          </w:p>
        </w:tc>
        <w:tc>
          <w:tcPr>
            <w:tcW w:w="500" w:type="dxa"/>
            <w:vAlign w:val="bottom"/>
          </w:tcPr>
          <w:p>
            <w:pPr>
              <w:spacing w:after="0"/>
              <w:rPr>
                <w:sz w:val="14"/>
                <w:szCs w:val="14"/>
                <w:color w:val="auto"/>
              </w:rPr>
            </w:pPr>
          </w:p>
        </w:tc>
        <w:tc>
          <w:tcPr>
            <w:tcW w:w="132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7"/>
              </w:rPr>
              <w:t>June 30, 2012</w:t>
            </w: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Organic volume</w:t>
            </w:r>
          </w:p>
        </w:tc>
        <w:tc>
          <w:tcPr>
            <w:tcW w:w="1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1</w:t>
            </w:r>
          </w:p>
        </w:tc>
        <w:tc>
          <w:tcPr>
            <w:tcW w:w="660" w:type="dxa"/>
            <w:vAlign w:val="bottom"/>
            <w:tcBorders>
              <w:top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w w:val="74"/>
              </w:rPr>
              <w:t>%</w:t>
            </w:r>
          </w:p>
        </w:tc>
        <w:tc>
          <w:tcPr>
            <w:tcW w:w="5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040" w:type="dxa"/>
            <w:vAlign w:val="bottom"/>
            <w:gridSpan w:val="3"/>
          </w:tcPr>
          <w:p>
            <w:pPr>
              <w:ind w:left="2220"/>
              <w:spacing w:after="0"/>
              <w:rPr>
                <w:sz w:val="20"/>
                <w:szCs w:val="20"/>
                <w:color w:val="auto"/>
              </w:rPr>
            </w:pPr>
            <w:r>
              <w:rPr>
                <w:rFonts w:ascii="Arial" w:cs="Arial" w:eastAsia="Arial" w:hAnsi="Arial"/>
                <w:sz w:val="18"/>
                <w:szCs w:val="18"/>
                <w:color w:val="auto"/>
              </w:rPr>
              <w:t>(3)%</w:t>
            </w:r>
          </w:p>
        </w:tc>
        <w:tc>
          <w:tcPr>
            <w:tcW w:w="1820" w:type="dxa"/>
            <w:vAlign w:val="bottom"/>
            <w:gridSpan w:val="3"/>
          </w:tcPr>
          <w:p>
            <w:pPr>
              <w:ind w:left="14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304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rPr>
              <w:t>(3)%</w:t>
            </w:r>
          </w:p>
        </w:tc>
        <w:tc>
          <w:tcPr>
            <w:tcW w:w="182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304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rPr>
              <w:t>(5)%</w:t>
            </w:r>
          </w:p>
        </w:tc>
        <w:tc>
          <w:tcPr>
            <w:tcW w:w="182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organic increase in total cost of products and services sold (1%) in the second quarter of 2012 corresponded to the organic sales growth (1%) noted above. The 3% decline attributable to “Acquisitions and divestitures, net” is largely attributable to the ongoing portfolio transformation initiatives at UTC Climate, Controls &amp; Security. The year-over-year decrease in cost of products sold, as a percentage of product sales, reflects the absence of losses associated with international development aircraft at Sikorsky, which were recognized in the second quarter of the prior year.</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organic increase in total cost of products and services sold (1%) in the first six months of 2012 corresponded to the organic sales growth (1%) noted above. The 3% decline attributable to “Acquisitions and divestitures, net” is largely attributable to the ongoing portfolio transformation initiatives at UTC Climate, Controls &amp; Security. The year-over-year decrease in cost of services sold, as a percentage of service sales, reflects favorable aftermarket service performance within the aerospace businesses.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720" w:type="dxa"/>
            <w:vAlign w:val="bottom"/>
            <w:vMerge w:val="restart"/>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 Ended June 30,</w:t>
            </w:r>
          </w:p>
        </w:tc>
        <w:tc>
          <w:tcPr>
            <w:tcW w:w="200" w:type="dxa"/>
            <w:vAlign w:val="bottom"/>
          </w:tcPr>
          <w:p>
            <w:pPr>
              <w:spacing w:after="0"/>
              <w:rPr>
                <w:sz w:val="14"/>
                <w:szCs w:val="14"/>
                <w:color w:val="auto"/>
              </w:rPr>
            </w:pPr>
          </w:p>
        </w:tc>
        <w:tc>
          <w:tcPr>
            <w:tcW w:w="20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106"/>
              <w:spacing w:after="0" w:line="129"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2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$ 3,873</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$ 4,001</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7,359</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7,522</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3200" w:type="dxa"/>
            <w:vAlign w:val="bottom"/>
            <w:gridSpan w:val="3"/>
          </w:tcPr>
          <w:p>
            <w:pPr>
              <w:jc w:val="right"/>
              <w:ind w:right="200"/>
              <w:spacing w:after="0"/>
              <w:rPr>
                <w:sz w:val="20"/>
                <w:szCs w:val="20"/>
                <w:color w:val="auto"/>
              </w:rPr>
            </w:pPr>
            <w:r>
              <w:rPr>
                <w:rFonts w:ascii="Arial" w:cs="Arial" w:eastAsia="Arial" w:hAnsi="Arial"/>
                <w:sz w:val="18"/>
                <w:szCs w:val="18"/>
                <w:color w:val="auto"/>
              </w:rPr>
              <w:t>28.1%</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27.7%</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28.1%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40 basis point increase in gross margin as a percentage of sales for the second quarter of 2012 is due to the absence of losses associated with international development aircraft sales at Sikorsky, which were recognized in the second quarter of the prior year (20 basis points), lower year over year warranty costs at UTC Climate, Controls &amp; Security (10 basis points) and the benefit of higher margin service sales (10 basis points) in the second quarter of 2012.</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40 basis point increase in gross margin as a percentage of sales for the first six months of 2012 is due to the absence of losses associated with international development aircraft sales at Sikorsky, which were recognized in the six months of the prior year (30 basis points) and benefit of higher margin service sales (10 basis points) in the first six months of 2012.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6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2"/>
              </w:rPr>
              <w:t>Quarter Ended June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62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Company-funded</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525</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494</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1,069</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962</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Customer-funded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(6%) in the second quarter of 2012 primarily reflects an increase at Pratt &amp; Whitney (3%) to further advance development primarily of multiple geared turbo fan platforms. Lower expenditures on the Boeing 787 program at Hamilton Sundstrand (1%) partially offset higher research and development spending on other aerospace programs (3%).</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increase in company-funded research and development expenses for the first six months of 2012 (11%) primarily reflects an increase at Pratt &amp; Whitney (7%) to further advance development primarily of multiple geared turbo fan platforms, and at Sikorsky (2%) primarily in support of military programs. We continue to expect company-funded research and development for the full year 2012 to increase about $150 million, as compared with 2011, in support of multiple next generation aerospace platforms.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ectPr>
          <w:pgSz w:w="11900" w:h="16838" w:orient="portrait"/>
          <w:cols w:equalWidth="0" w:num="1">
            <w:col w:w="11400"/>
          </w:cols>
          <w:pgMar w:left="240" w:top="459" w:right="259" w:bottom="1440" w:gutter="0" w:footer="0" w:header="0"/>
        </w:sect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(Dollars in millions)</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Selling, general and administrative expenses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net sales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gridSpan w:val="5"/>
          </w:tcPr>
          <w:p>
            <w:pPr>
              <w:ind w:left="120"/>
              <w:spacing w:after="0"/>
              <w:rPr>
                <w:sz w:val="20"/>
                <w:szCs w:val="20"/>
                <w:color w:val="auto"/>
              </w:rPr>
            </w:pPr>
            <w:r>
              <w:rPr>
                <w:rFonts w:ascii="Arial" w:cs="Arial" w:eastAsia="Arial" w:hAnsi="Arial"/>
                <w:sz w:val="14"/>
                <w:szCs w:val="14"/>
                <w:b w:val="1"/>
                <w:bCs w:val="1"/>
                <w:color w:val="auto"/>
              </w:rPr>
              <w:t>Quarter Ended June 30,</w:t>
            </w:r>
          </w:p>
        </w:tc>
        <w:tc>
          <w:tcPr>
            <w:tcW w:w="200" w:type="dxa"/>
            <w:vAlign w:val="bottom"/>
          </w:tcPr>
          <w:p>
            <w:pPr>
              <w:spacing w:after="0"/>
              <w:rPr>
                <w:sz w:val="14"/>
                <w:szCs w:val="14"/>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2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$ 1,509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$ 1,576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  3,038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  3,026</w:t>
            </w:r>
          </w:p>
        </w:tc>
        <w:tc>
          <w:tcPr>
            <w:tcW w:w="140" w:type="dxa"/>
            <w:vAlign w:val="bottom"/>
          </w:tcPr>
          <w:p>
            <w:pPr>
              <w:spacing w:after="0"/>
              <w:rPr>
                <w:sz w:val="17"/>
                <w:szCs w:val="17"/>
                <w:color w:val="auto"/>
              </w:rPr>
            </w:pPr>
          </w:p>
        </w:tc>
      </w:tr>
      <w:tr>
        <w:trPr>
          <w:trHeight w:val="222"/>
        </w:trPr>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10.9%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10.9%</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11.6%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-281305</wp:posOffset>
            </wp:positionV>
            <wp:extent cx="666369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5960" w:space="720"/>
            <w:col w:w="4720"/>
          </w:cols>
          <w:pgMar w:left="240" w:top="459" w:right="259" w:bottom="1440" w:gutter="0" w:footer="0" w:header="0"/>
          <w:type w:val="continuous"/>
        </w:sectPr>
      </w:pPr>
    </w:p>
    <w:p>
      <w:pPr>
        <w:ind w:right="280" w:firstLine="456"/>
        <w:spacing w:after="0" w:line="259" w:lineRule="auto"/>
        <w:rPr>
          <w:sz w:val="20"/>
          <w:szCs w:val="20"/>
          <w:color w:val="auto"/>
        </w:rPr>
      </w:pPr>
      <w:r>
        <w:rPr>
          <w:rFonts w:ascii="Arial" w:cs="Arial" w:eastAsia="Arial" w:hAnsi="Arial"/>
          <w:sz w:val="18"/>
          <w:szCs w:val="18"/>
          <w:color w:val="auto"/>
        </w:rPr>
        <w:t>Selling, general and administrative expenses decreased 4% in the second quarter of 2012, due primarily to the impact of favorable foreign exchange translation (4%) and dispositions completed over the preceding twelve months (3%), partially offset by higher restructuring costs (2%) and costs related to the proposed acquisition of Goodrich (1%).</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Selling, general and administrative expenses increased less than 1% in the first six months of 2012, due primarily to the impact of favorable foreign exchange translation (2%) and dispositions completed over the preceding twelve months (2%), partially offset by higher restructuring costs (2%) and costs related to the proposed acquisition of Goodrich (2%). The 50 basis point year-over-year increase as a percent of sales also reflects these higher acquisition related and restructuring costs.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2480" w:type="dxa"/>
            <w:vAlign w:val="bottom"/>
            <w:vMerge w:val="restart"/>
          </w:tcPr>
          <w:p>
            <w:pPr>
              <w:spacing w:after="0"/>
              <w:rPr>
                <w:sz w:val="14"/>
                <w:szCs w:val="14"/>
                <w:color w:val="auto"/>
              </w:rPr>
            </w:pPr>
          </w:p>
        </w:tc>
        <w:tc>
          <w:tcPr>
            <w:tcW w:w="2400" w:type="dxa"/>
            <w:vAlign w:val="bottom"/>
          </w:tcPr>
          <w:p>
            <w:pPr>
              <w:spacing w:after="0"/>
              <w:rPr>
                <w:sz w:val="14"/>
                <w:szCs w:val="14"/>
                <w:color w:val="auto"/>
              </w:rPr>
            </w:pPr>
          </w:p>
        </w:tc>
        <w:tc>
          <w:tcPr>
            <w:tcW w:w="1820" w:type="dxa"/>
            <w:vAlign w:val="bottom"/>
            <w:gridSpan w:val="4"/>
          </w:tcPr>
          <w:p>
            <w:pPr>
              <w:jc w:val="right"/>
              <w:ind w:right="142"/>
              <w:spacing w:after="0"/>
              <w:rPr>
                <w:sz w:val="20"/>
                <w:szCs w:val="20"/>
                <w:color w:val="auto"/>
              </w:rPr>
            </w:pPr>
            <w:r>
              <w:rPr>
                <w:rFonts w:ascii="Arial" w:cs="Arial" w:eastAsia="Arial" w:hAnsi="Arial"/>
                <w:sz w:val="14"/>
                <w:szCs w:val="14"/>
                <w:b w:val="1"/>
                <w:bCs w:val="1"/>
                <w:color w:val="auto"/>
              </w:rPr>
              <w:t>Quarter Ended June 30,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580" w:type="dxa"/>
            <w:vAlign w:val="bottom"/>
            <w:tcBorders>
              <w:top w:val="single" w:sz="8" w:color="auto"/>
            </w:tcBorders>
          </w:tcPr>
          <w:p>
            <w:pPr>
              <w:jc w:val="right"/>
              <w:ind w:right="86"/>
              <w:spacing w:after="0" w:line="129"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w w:val="96"/>
              </w:rPr>
              <w:t>2011</w:t>
            </w: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2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340</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640</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Other income, net includes the operational impact of equity earnings in unconsolidated entities, royalty income, foreign exchange gains and losses as well as other ongoing and non-recurring items. The year-over-year increase in other income, net in the second quarter of 2012, is largely due to an approximately $142 million net gain from the sale of a controlling interest in a Canadian distribution business, partially offset by a $32 million loss on the disposition of the U.S. fire and security branch operations, both of which are related to the ongoing UTC Climate, Controls &amp; Security portfolio transformation. The remaining increase in other income, net is attributable primarily to net gains recognized on miscellaneous asset sales ($49 million) and normal recurring operational activity as disclosed above.</w:t>
      </w:r>
    </w:p>
    <w:p>
      <w:pPr>
        <w:spacing w:after="0" w:line="14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year-over-year increase in other income, net in the first six months of 2012, largely reflects an approximately $215 million net gain from the sale of a controlling interest in a manufacturing and distribution joint venture in Asia and an approximately $142 million net gain from the sale of a controlling interest in a Canadian distribution business, partially offset by $103 million of impairment charges related to planned business dispositions and a $32 million loss on the disposition of the U.S. fire and security branch operations, all of which are related to the ongoing UTC Climate, Controls &amp; Security portfolio transformation. The remaining increase in other income, net is attributable primarily to net gains recognized on miscellaneous asset sales ($91 million) and normal recurring operational activity as disclosed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5"/>
              </w:rPr>
              <w:t>Quarter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9"/>
        </w:trPr>
        <w:tc>
          <w:tcPr>
            <w:tcW w:w="56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3"/>
              </w:rPr>
              <w:t>2012</w:t>
            </w: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89"/>
              </w:rPr>
              <w:t>2011</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7"/>
              </w:rPr>
              <w:t>Interest expense</w:t>
            </w:r>
          </w:p>
        </w:tc>
        <w:tc>
          <w:tcPr>
            <w:tcW w:w="4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190</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354</w:t>
            </w: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Average interest expense rate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increase in interest expense in the second quarter and for the first six months of 2012 is a result of higher average long-term debt balances associated with the financing of our proposed acquisition of Goodrich. The increase in interest income in the first six months of 2012, as compared with the same period of 2011, reflects approximately $15 million of favorable pre-tax interest adjustments related to the conclusion of the IRS’s examination of our 2006 – 2008 tax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Quarter Ended June 30,</w:t>
            </w:r>
          </w:p>
        </w:tc>
        <w:tc>
          <w:tcPr>
            <w:tcW w:w="22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56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22.5%</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30.5%</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r>
      <w:tr>
        <w:trPr>
          <w:trHeight w:val="20"/>
        </w:trPr>
        <w:tc>
          <w:tcPr>
            <w:tcW w:w="5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decrease in the effective tax rate for the quarter ended June 30, 2012, reflects the favorable income tax impact of $168 million related to the release of valuation allowances resulting from internal legal entity reorganizations. The decrease is also the result of favorable tax impacts related to the net gains associated with the UTC Climate, Controls &amp; Security ongoing portfolio transformation.</w:t>
      </w:r>
    </w:p>
    <w:p>
      <w:pPr>
        <w:spacing w:after="0" w:line="140"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The decrease in the effective tax rate for the first six months of 2012, primarily reflects the items noted above. This decrease is also the result of the favorable non-cash income tax impact of $203 million in the first quarter of 2012 related to the conclusion of the IRS’s examination of our 2006 – 2008 tax years.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estimate our full year annual effective income tax rate in 2012, excluding the impact of the acquisition of Goodrich, to be approximately 29.5%, absent non-recurring adjustments.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 from Continuing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w:t>
            </w:r>
          </w:p>
        </w:tc>
        <w:tc>
          <w:tcPr>
            <w:tcW w:w="39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Quarter Ended June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9"/>
        </w:trPr>
        <w:tc>
          <w:tcPr>
            <w:tcW w:w="2880" w:type="dxa"/>
            <w:vAlign w:val="bottom"/>
            <w:tcBorders>
              <w:bottom w:val="single" w:sz="8" w:color="auto"/>
            </w:tcBorders>
            <w:vMerge w:val="continue"/>
          </w:tcPr>
          <w:p>
            <w:pPr>
              <w:spacing w:after="0"/>
              <w:rPr>
                <w:sz w:val="12"/>
                <w:szCs w:val="12"/>
                <w:color w:val="auto"/>
              </w:rPr>
            </w:pPr>
          </w:p>
        </w:tc>
        <w:tc>
          <w:tcPr>
            <w:tcW w:w="390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common shareowners from continuing operations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1,466</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2,655</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2.94</w:t>
            </w:r>
          </w:p>
        </w:tc>
        <w:tc>
          <w:tcPr>
            <w:tcW w:w="5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Diluted earnings per share from continuing operations for the second quarter of 2012 includes a net $0.10 per share benefit from non-recurring items, partially offset by $0.06 per share of restructuring charges. The results for the second quarter of 2011 included a net $0.05 per share benefit from non-recurring items, partially offset by a restructuring charge of $0.04 per share. For the first six months of 2012, diluted earnings per share from continuing operations includes a net $0.40 per share benefit from non-recurring items, partially offset by $0.15 per share of restructuring charges. The results for the first six months of 2011 included a net $0.05 per share benefit from non-recurring items, partially offset by a restructuring charge of $0.06 per share.</w:t>
      </w:r>
    </w:p>
    <w:p>
      <w:pPr>
        <w:spacing w:after="0" w:line="11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impact of foreign currency generated an adverse impact of $0.05 and $0.07 per diluted share on our operational performance in the second quarter and first six months of 2012, respectively. This year-over-year impact also includes the net adverse foreign currency translation impact at Pratt &amp; Whitney Canada (P&amp;WC). At P&amp;WC, strength in the U.S. Dollar in 2012 generated a benefit from foreign currency translation as the majority of P&amp;WC’s sales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As a result of hedging programs currently in place, P&amp;WC’s 2012 full year operating results are expected to include a net adverse impact of foreign currency translation and hedging of approximately $50 million. The net impact of foreign currency translation and hedging was a favorable impact of $6 million and an adverse impact of $10 million in the quarter and first six months of 2012, respectively. For additional discussion of hedging, refer to Note 9 to the Condensed Consolidated Financial Statements.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Net (Loss) Income Attributable to Common Shareowners from Discontinued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w:t>
            </w:r>
          </w:p>
        </w:tc>
        <w:tc>
          <w:tcPr>
            <w:tcW w:w="336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Quarter Ended 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9"/>
        </w:trPr>
        <w:tc>
          <w:tcPr>
            <w:tcW w:w="288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2"/>
              </w:rPr>
              <w:t>Net (loss) income attributable to common shareowners from discontinued operations</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(997)</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color w:val="auto"/>
              </w:rPr>
              <w:t>Diluted (loss) earnings per share from discontinued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Diluted loss per share from discontinued operations for the second quarter of 2012 includes $0.12 per share of net asset impairment charges at UTC Power. A warranty charge of $0.07 per share for potential costs associated with certain components of wind turbines previously installed by our Clipper business offset a $0.07 per share benefit from the results of operations of discontinued entities in the quarter.</w:t>
      </w:r>
    </w:p>
    <w:p>
      <w:pPr>
        <w:spacing w:after="0" w:line="10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Diluted loss per share from discontinued operations for the first six months of 2012 includes $0.82 per share of goodwill impairment charges related to Rocketdyne and Clipper and net asset impairment charges at UTC Power, and $0.26 per share unfavorable income tax adjustments related to the recognition of a deferred tax liability on the existing difference between the accounting versus tax gain on the planned disposition of Hamilton Sundstrand’s Industrial Businesses. A $0.09 per share benefit from the results of operations of discontinued entities was partially offset by the $0.07 per share Clipper warranty charge noted above.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net pre-tax restructuring costs for new and ongoing restructuring actions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536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w w:val="96"/>
              </w:rPr>
              <w:t>2012</w:t>
            </w: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4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recorded within continuing operations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Restructuring costs recorded within discontinued operations</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net costs included $110 million recorded in cost of sales, $94 million in selling, general and administrative expenses and $28 million in discontinued operations. As described below, these costs primarily relate to actions initiated during 2012 and 2011.</w:t>
      </w:r>
    </w:p>
    <w:p>
      <w:pPr>
        <w:spacing w:after="0" w:line="12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During the first six months of 2012,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consolidation of field operations. We incurred net pre-tax restructuring costs totaling $187 million as follows:</w:t>
      </w:r>
    </w:p>
    <w:p>
      <w:pPr>
        <w:spacing w:after="0" w:line="15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420" w:type="dxa"/>
            <w:vAlign w:val="bottom"/>
            <w:vMerge w:val="restart"/>
          </w:tcPr>
          <w:p>
            <w:pPr>
              <w:spacing w:after="0"/>
              <w:rPr>
                <w:sz w:val="14"/>
                <w:szCs w:val="14"/>
                <w:color w:val="auto"/>
              </w:rPr>
            </w:pPr>
          </w:p>
        </w:tc>
        <w:tc>
          <w:tcPr>
            <w:tcW w:w="11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5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June 30, 2012</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620" w:type="dxa"/>
            <w:vAlign w:val="bottom"/>
            <w:gridSpan w:val="2"/>
          </w:tcPr>
          <w:p>
            <w:pPr>
              <w:spacing w:after="0"/>
              <w:rPr>
                <w:sz w:val="20"/>
                <w:szCs w:val="20"/>
                <w:color w:val="auto"/>
              </w:rPr>
            </w:pPr>
            <w:r>
              <w:rPr>
                <w:rFonts w:ascii="Arial" w:cs="Arial" w:eastAsia="Arial" w:hAnsi="Arial"/>
                <w:sz w:val="18"/>
                <w:szCs w:val="18"/>
                <w:color w:val="auto"/>
              </w:rPr>
              <w:t>Restructuring costs recorded within continuing operations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recorded within discontinued operations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charges included $88 million in cost of sales, $72 million in selling, general and administrative expenses and $27 million in discontinued operations. These costs include $155 million for severance and related employee termination costs, $13 million for asset write-downs and $19 million for facility exit, lease termination costs and other related costs.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the 2012 actions that were initiated in the first six months to result in net workforce reductions of approximately 2,300 hourly and salaried employees, the exiting of approximately 600,000 net square feet and the disposal of assets associated with exited facilities. As of June 30, 2012, we have completed net workforce reductions of approximately 1,300 employees and exited approximately 100,000 net square feet. We are targeting the majority of the remaining workforce and all facility related cost reduction actions for completion during 2012 and 2013. Approximately 75% of the total pre-tax charge will require cash payments, which we will fund with cash generated from operations. During the first six months of 2012, we had cash outflows of approximately $62 million related to the 2012 actions. We expect to incur additional restructuring costs of $69 million to complete these actions. We expect recurring pre-tax savings to increase over the two-year period subsequent to initiating these actions to approximately $200 million annually.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During the first six months of 2012, we recorded net pre-tax restructuring costs totaling $41 million for restructuring actions initiated in 2011. The</w:t>
      </w:r>
      <w:r>
        <w:rPr>
          <w:rFonts w:ascii="Arial" w:cs="Arial" w:eastAsia="Arial" w:hAnsi="Arial"/>
          <w:sz w:val="18"/>
          <w:szCs w:val="18"/>
          <w:b w:val="1"/>
          <w:bCs w:val="1"/>
          <w:color w:val="auto"/>
        </w:rPr>
        <w:t xml:space="preserve"> </w:t>
      </w:r>
      <w:r>
        <w:rPr>
          <w:rFonts w:ascii="Arial" w:cs="Arial" w:eastAsia="Arial" w:hAnsi="Arial"/>
          <w:sz w:val="18"/>
          <w:szCs w:val="18"/>
          <w:color w:val="auto"/>
        </w:rPr>
        <w:t>2011 actions relate to ongoing cost reduction efforts, including workforce reductions and the consolidation of field operations. We incurred net pre-tax restructuring costs for the first six months of 2012 as follows: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560"/>
              <w:spacing w:after="0"/>
              <w:rPr>
                <w:sz w:val="20"/>
                <w:szCs w:val="20"/>
                <w:color w:val="auto"/>
              </w:rPr>
            </w:pPr>
            <w:r>
              <w:rPr>
                <w:rFonts w:ascii="Arial" w:cs="Arial" w:eastAsia="Arial" w:hAnsi="Arial"/>
                <w:sz w:val="14"/>
                <w:szCs w:val="14"/>
                <w:b w:val="1"/>
                <w:bCs w:val="1"/>
                <w:color w:val="auto"/>
                <w:w w:val="85"/>
              </w:rPr>
              <w:t>Six Months Ended</w:t>
            </w:r>
          </w:p>
        </w:tc>
        <w:tc>
          <w:tcPr>
            <w:tcW w:w="2280" w:type="dxa"/>
            <w:vAlign w:val="bottom"/>
            <w:gridSpan w:val="4"/>
          </w:tcPr>
          <w:p>
            <w:pPr>
              <w:jc w:val="center"/>
              <w:ind w:left="922"/>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8"/>
        </w:trPr>
        <w:tc>
          <w:tcPr>
            <w:tcW w:w="478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w w:val="87"/>
              </w:rPr>
              <w:t>June 30, 2012</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3"/>
              </w:rPr>
              <w:t>June 30, 2011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Otis</w:t>
            </w:r>
          </w:p>
        </w:tc>
        <w:tc>
          <w:tcPr>
            <w:tcW w:w="3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UTC Climate, Controls &amp; Security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 &amp; Whitney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recorded within continuing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9"/>
              </w:rPr>
              <w:t>Restructuring costs recorded within discontinued operations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charges included $19 million in cost of sales, $21 million in selling, general and administrative expenses and $1 million in discontinued operations. Those costs included $28 million for severance and related employee termination costs and $13 million for facility exit, lease termination costs and other related costs.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the 2011 actions to result in net workforce reductions of approximately 5,000 hourly and salaried employees, the exiting of approximately 2 million net square feet of facilities and the disposal of assets associated with the exited facilities. As of June 30, 2012, we completed net workforce reductions of approximately 4,000 employees and exited approximately 100,000 net square feet of facilities. We are targeting the majority of the remaining workforce and facility related cost reduction actions for completion during 2012 and 2013. Approximately 75% of the total pre-tax charge will require cash payments, which we will fund with cash generated from operations. During the first six months of 2012, we had cash outflows of approximately $104 million related to the 2011 actions. We expect to incur additional restructuring costs of $50 million to complete these actions. We expect recurring pre-tax savings to increase over the two-year period subsequent to initiating these actions to approximately $300 million annually.</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Additional 2012 Actions. </w:t>
      </w:r>
      <w:r>
        <w:rPr>
          <w:rFonts w:ascii="Arial" w:cs="Arial" w:eastAsia="Arial" w:hAnsi="Arial"/>
          <w:sz w:val="18"/>
          <w:szCs w:val="18"/>
          <w:color w:val="auto"/>
        </w:rPr>
        <w:t>We expect to initiate additional restructuring actions during the remainder of 2012. Including trailing costs related to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actions, we now expect full year 2012 restructuring costs from continuing operations of approximately $500 million, including the $204 million of charges incurred during the first six months of 2012. The expected adverse impact on full year earnings in 2012 from anticipated restructuring costs is expected to be offset by the beneficial impact from net non-recurring items. Except for those actions described above, no specific plans for significant other actions have been finalized at this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Effective January 1, 2012, we formed the UTC Climate, Controls &amp; Security segment, which combines the former Carrier and UTC Fire &amp; Security segments. Adjustments to reconcile segment reporting to the consolidated results for the quarters and six months ended June 30, 2012 and 2011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commercial businesses generally serve customers in the worldwide commercial and residential property industries, although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Within the Otis segment, new equipment orders were down 7% in the second quarter of 2012 (including 3% attributable to foreign exchange) due primarily to a decline in China (11%). The ongoing Chinese government effort to reduce housing prices has had an adverse impact on the high-end residential market, which has negatively impacted Otis’ China sales. However, the new equipment order rate in China improved during the second quarter in comparison to the first quarter of 2012.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U.S. residential HVAC orders continued to grow through the second quarter and increased 4% compared to the second quarter of 2011, as UTC Climate, Controls &amp; Security benefited from warmer than normal temperatures across most of the U.S. As begun in 2008 for the legacy Carrier business, we will continue the process of evaluating and transforming the UTC Climate, Controls &amp; Security portfolio.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commercial businesses for the quarters ended June 30, 2012 and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0"/>
              </w:rPr>
              <w:t>Otis</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tcPr>
          <w:p>
            <w:pPr>
              <w:jc w:val="right"/>
              <w:ind w:right="312"/>
              <w:spacing w:after="0"/>
              <w:rPr>
                <w:sz w:val="20"/>
                <w:szCs w:val="20"/>
                <w:color w:val="auto"/>
              </w:rPr>
            </w:pPr>
            <w:r>
              <w:rPr>
                <w:rFonts w:ascii="Arial" w:cs="Arial" w:eastAsia="Arial" w:hAnsi="Arial"/>
                <w:sz w:val="14"/>
                <w:szCs w:val="14"/>
                <w:b w:val="1"/>
                <w:bCs w:val="1"/>
                <w:color w:val="auto"/>
                <w:w w:val="91"/>
              </w:rPr>
              <w:t>UTC Climate, Controls &amp; Security</w:t>
            </w:r>
          </w:p>
        </w:tc>
        <w:tc>
          <w:tcPr>
            <w:tcW w:w="0" w:type="dxa"/>
            <w:vAlign w:val="bottom"/>
          </w:tcPr>
          <w:p>
            <w:pPr>
              <w:spacing w:after="0"/>
              <w:rPr>
                <w:sz w:val="1"/>
                <w:szCs w:val="1"/>
                <w:color w:val="auto"/>
              </w:rPr>
            </w:pPr>
          </w:p>
        </w:tc>
      </w:tr>
      <w:tr>
        <w:trPr>
          <w:trHeight w:val="129"/>
        </w:trPr>
        <w:tc>
          <w:tcPr>
            <w:tcW w:w="4200" w:type="dxa"/>
            <w:vAlign w:val="bottom"/>
            <w:gridSpan w:val="3"/>
            <w:vMerge w:val="continue"/>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2980" w:type="dxa"/>
            <w:vAlign w:val="bottom"/>
            <w:vMerge w:val="restart"/>
            <w:shd w:val="clear" w:color="auto" w:fill="CCEEFF"/>
          </w:tcPr>
          <w:p>
            <w:pPr>
              <w:spacing w:after="0" w:line="20" w:lineRule="exact"/>
              <w:rPr>
                <w:sz w:val="1"/>
                <w:szCs w:val="1"/>
                <w:color w:val="auto"/>
              </w:rPr>
            </w:pPr>
          </w:p>
        </w:tc>
        <w:tc>
          <w:tcPr>
            <w:tcW w:w="20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980" w:type="dxa"/>
            <w:vAlign w:val="bottom"/>
            <w:vMerge w:val="continue"/>
            <w:shd w:val="clear" w:color="auto" w:fill="CCEEFF"/>
          </w:tcPr>
          <w:p>
            <w:pPr>
              <w:spacing w:after="0"/>
              <w:rPr>
                <w:sz w:val="17"/>
                <w:szCs w:val="17"/>
                <w:color w:val="auto"/>
              </w:rPr>
            </w:pPr>
          </w:p>
        </w:tc>
        <w:tc>
          <w:tcPr>
            <w:tcW w:w="2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w w:val="79"/>
              </w:rPr>
              <w:t>3,027</w:t>
            </w:r>
          </w:p>
        </w:tc>
        <w:tc>
          <w:tcPr>
            <w:tcW w:w="2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3,192</w:t>
            </w:r>
          </w:p>
        </w:tc>
        <w:tc>
          <w:tcPr>
            <w:tcW w:w="3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4,572</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5,140</w:t>
            </w:r>
          </w:p>
        </w:tc>
        <w:tc>
          <w:tcPr>
            <w:tcW w:w="40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1,986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2,060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3,271</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3,754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1,132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1,301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1,386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3"/>
        </w:trPr>
        <w:tc>
          <w:tcPr>
            <w:tcW w:w="420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389</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665</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Operating Profit Margins</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3"/>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commercial businesses for the six months ended June 30, 2012 and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Otis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5"/>
              </w:rPr>
              <w:t>UTC Climate, Controls &amp; Security</w:t>
            </w:r>
          </w:p>
        </w:tc>
        <w:tc>
          <w:tcPr>
            <w:tcW w:w="0" w:type="dxa"/>
            <w:vAlign w:val="bottom"/>
          </w:tcPr>
          <w:p>
            <w:pPr>
              <w:spacing w:after="0"/>
              <w:rPr>
                <w:sz w:val="1"/>
                <w:szCs w:val="1"/>
                <w:color w:val="auto"/>
              </w:rPr>
            </w:pPr>
          </w:p>
        </w:tc>
      </w:tr>
      <w:tr>
        <w:trPr>
          <w:trHeight w:val="129"/>
        </w:trPr>
        <w:tc>
          <w:tcPr>
            <w:tcW w:w="49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42"/>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1"/>
              </w:rPr>
              <w:t>Change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37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37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$5,797</w:t>
            </w:r>
          </w:p>
        </w:tc>
        <w:tc>
          <w:tcPr>
            <w:tcW w:w="180" w:type="dxa"/>
            <w:vAlign w:val="bottom"/>
            <w:vMerge w:val="continue"/>
            <w:shd w:val="clear" w:color="auto" w:fill="CCEEFF"/>
          </w:tcPr>
          <w:p>
            <w:pPr>
              <w:spacing w:after="0"/>
              <w:rPr>
                <w:sz w:val="17"/>
                <w:szCs w:val="17"/>
                <w:color w:val="auto"/>
              </w:rPr>
            </w:pPr>
          </w:p>
        </w:tc>
        <w:tc>
          <w:tcPr>
            <w:tcW w:w="220" w:type="dxa"/>
            <w:vAlign w:val="bottom"/>
            <w:tcBorders>
              <w:right w:val="single" w:sz="8" w:color="CCEEFF"/>
            </w:tcBorders>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$5,964</w:t>
            </w:r>
          </w:p>
        </w:tc>
        <w:tc>
          <w:tcPr>
            <w:tcW w:w="2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$ 8,684</w:t>
            </w:r>
          </w:p>
        </w:tc>
        <w:tc>
          <w:tcPr>
            <w:tcW w:w="2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$ 9,533</w:t>
            </w:r>
          </w:p>
        </w:tc>
        <w:tc>
          <w:tcPr>
            <w:tcW w:w="400" w:type="dxa"/>
            <w:vAlign w:val="bottom"/>
            <w:vMerge w:val="continue"/>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3,814</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3,841</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6,267</w:t>
            </w:r>
          </w:p>
        </w:tc>
        <w:tc>
          <w:tcPr>
            <w:tcW w:w="1080" w:type="dxa"/>
            <w:vAlign w:val="bottom"/>
            <w:gridSpan w:val="4"/>
          </w:tcPr>
          <w:p>
            <w:pPr>
              <w:jc w:val="right"/>
              <w:ind w:right="400"/>
              <w:spacing w:after="0"/>
              <w:rPr>
                <w:sz w:val="20"/>
                <w:szCs w:val="20"/>
                <w:color w:val="auto"/>
              </w:rPr>
            </w:pPr>
            <w:r>
              <w:rPr>
                <w:rFonts w:ascii="Arial" w:cs="Arial" w:eastAsia="Arial" w:hAnsi="Arial"/>
                <w:sz w:val="18"/>
                <w:szCs w:val="18"/>
                <w:color w:val="auto"/>
              </w:rPr>
              <w:t>6,977</w:t>
            </w:r>
          </w:p>
        </w:tc>
        <w:tc>
          <w:tcPr>
            <w:tcW w:w="740" w:type="dxa"/>
            <w:vAlign w:val="bottom"/>
            <w:gridSpan w:val="4"/>
          </w:tcPr>
          <w:p>
            <w:pPr>
              <w:jc w:val="center"/>
              <w:ind w:left="96"/>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1,983</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2,123</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2,417</w:t>
            </w:r>
          </w:p>
        </w:tc>
        <w:tc>
          <w:tcPr>
            <w:tcW w:w="10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2,556</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3"/>
        </w:trPr>
        <w:tc>
          <w:tcPr>
            <w:tcW w:w="496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766</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750</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4"/>
                <w:szCs w:val="24"/>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1,084</w:t>
            </w:r>
          </w:p>
        </w:tc>
        <w:tc>
          <w:tcPr>
            <w:tcW w:w="1080" w:type="dxa"/>
            <w:vAlign w:val="bottom"/>
            <w:gridSpan w:val="4"/>
          </w:tcPr>
          <w:p>
            <w:pPr>
              <w:jc w:val="right"/>
              <w:ind w:right="400"/>
              <w:spacing w:after="0"/>
              <w:rPr>
                <w:sz w:val="20"/>
                <w:szCs w:val="20"/>
                <w:color w:val="auto"/>
              </w:rPr>
            </w:pPr>
            <w:r>
              <w:rPr>
                <w:rFonts w:ascii="Arial" w:cs="Arial" w:eastAsia="Arial" w:hAnsi="Arial"/>
                <w:sz w:val="18"/>
                <w:szCs w:val="18"/>
                <w:color w:val="auto"/>
              </w:rPr>
              <w:t>1,420</w:t>
            </w:r>
          </w:p>
        </w:tc>
        <w:tc>
          <w:tcPr>
            <w:tcW w:w="740" w:type="dxa"/>
            <w:vAlign w:val="bottom"/>
            <w:gridSpan w:val="4"/>
          </w:tcPr>
          <w:p>
            <w:pPr>
              <w:jc w:val="center"/>
              <w:ind w:left="96"/>
              <w:spacing w:after="0"/>
              <w:rPr>
                <w:sz w:val="20"/>
                <w:szCs w:val="20"/>
                <w:color w:val="auto"/>
              </w:rPr>
            </w:pPr>
            <w:r>
              <w:rPr>
                <w:rFonts w:ascii="Arial" w:cs="Arial" w:eastAsia="Arial" w:hAnsi="Arial"/>
                <w:sz w:val="18"/>
                <w:szCs w:val="18"/>
                <w:color w:val="auto"/>
                <w:w w:val="91"/>
              </w:rPr>
              <w:t>(24)%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1,217</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1,373</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3"/>
              </w:rPr>
              <w:t>$ 1,333</w:t>
            </w:r>
          </w:p>
        </w:tc>
        <w:tc>
          <w:tcPr>
            <w:tcW w:w="10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$ 1,136</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Operating Profit Margins</w:t>
            </w: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6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21.0%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Otis –</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6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5"/>
              </w:rPr>
              <w:t>Quarter ended June 30, 2012 Compared with Quarter ended June 30, 2011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252"/>
              <w:spacing w:after="0"/>
              <w:rPr>
                <w:sz w:val="20"/>
                <w:szCs w:val="20"/>
                <w:color w:val="auto"/>
              </w:rPr>
            </w:pPr>
            <w:r>
              <w:rPr>
                <w:rFonts w:ascii="Arial" w:cs="Arial" w:eastAsia="Arial" w:hAnsi="Arial"/>
                <w:sz w:val="14"/>
                <w:szCs w:val="14"/>
                <w:b w:val="1"/>
                <w:bCs w:val="1"/>
                <w:color w:val="auto"/>
                <w:w w:val="90"/>
              </w:rPr>
              <w:t>Factors contributing to total % Change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4"/>
          </w:tcPr>
          <w:p>
            <w:pPr>
              <w:jc w:val="center"/>
              <w:ind w:right="112"/>
              <w:spacing w:after="0" w:line="129" w:lineRule="exact"/>
              <w:rPr>
                <w:sz w:val="20"/>
                <w:szCs w:val="20"/>
                <w:color w:val="auto"/>
              </w:rPr>
            </w:pPr>
            <w:r>
              <w:rPr>
                <w:rFonts w:ascii="Arial" w:cs="Arial" w:eastAsia="Arial" w:hAnsi="Arial"/>
                <w:sz w:val="14"/>
                <w:szCs w:val="14"/>
                <w:b w:val="1"/>
                <w:bCs w:val="1"/>
                <w:color w:val="auto"/>
                <w:w w:val="87"/>
              </w:rPr>
              <w:t>Acquisitions /</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Organic /</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FX</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520" w:type="dxa"/>
            <w:vAlign w:val="bottom"/>
          </w:tcPr>
          <w:p>
            <w:pPr>
              <w:spacing w:after="0"/>
              <w:rPr>
                <w:sz w:val="12"/>
                <w:szCs w:val="12"/>
                <w:color w:val="auto"/>
              </w:rPr>
            </w:pPr>
          </w:p>
        </w:tc>
        <w:tc>
          <w:tcPr>
            <w:tcW w:w="128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Restructuring</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Operational</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84"/>
              </w:rPr>
              <w:t>Translation</w:t>
            </w:r>
          </w:p>
        </w:tc>
        <w:tc>
          <w:tcPr>
            <w:tcW w:w="120" w:type="dxa"/>
            <w:vAlign w:val="bottom"/>
          </w:tcPr>
          <w:p>
            <w:pPr>
              <w:spacing w:after="0"/>
              <w:rPr>
                <w:sz w:val="14"/>
                <w:szCs w:val="14"/>
                <w:color w:val="auto"/>
              </w:rPr>
            </w:pPr>
          </w:p>
        </w:tc>
        <w:tc>
          <w:tcPr>
            <w:tcW w:w="88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w w:val="95"/>
              </w:rPr>
              <w:t>net</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7"/>
              </w:rPr>
              <w:t>Costs</w:t>
            </w:r>
          </w:p>
        </w:tc>
        <w:tc>
          <w:tcPr>
            <w:tcW w:w="300" w:type="dxa"/>
            <w:vAlign w:val="bottom"/>
          </w:tcPr>
          <w:p>
            <w:pPr>
              <w:spacing w:after="0"/>
              <w:rPr>
                <w:sz w:val="14"/>
                <w:szCs w:val="14"/>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Other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18"/>
                <w:szCs w:val="18"/>
                <w:color w:val="auto"/>
              </w:rPr>
            </w:pPr>
          </w:p>
        </w:tc>
        <w:tc>
          <w:tcPr>
            <w:tcW w:w="4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organic sales decrease in the quarter (1%) is due primarily to declines in new equipment volume in Europe and China (combined 2%) partially offset by growth in North America and Brazil (combined 1%). The decline in new equipment sales was slightly offset by growth in service sales with increases in both contractual maintenance and modernization sales (1%).</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decrease in operational profit in the quarter (3%) is due primarily to the impact of commodity costs increases (2%), lower service pricing (2%), and higher accounts receivable reserves (2%), all of which were partially offset by savings from continued cost reduction initiatives (3%).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with Six months ended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89"/>
              </w:rPr>
              <w:t>Factors contributing to total % Change</w:t>
            </w: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7"/>
              </w:rPr>
              <w:t>Acquisitions /</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Organic /</w:t>
            </w:r>
          </w:p>
        </w:tc>
        <w:tc>
          <w:tcPr>
            <w:tcW w:w="14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FX</w:t>
            </w: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Operational</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Translation</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net</w:t>
            </w: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77"/>
              </w:rPr>
              <w:t>Costs</w:t>
            </w: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1 %</w:t>
            </w: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1 %</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Organic sales were flat, reflecting declines in new equipment sales 1% primarily in China, offset by higher service sales (1%) with increases in both contractual maintenance and modernization sales primarily in North America and Asia slightly offset by declines in Europe (1%).</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decrease in operational profit in the first six months (4%) is due primarily to the impact of lower new equipment volume in China (1%), commodity costs increases (2%), higher overhead costs (2%), and the impact of higher accounts receivable reserves (1%), all of which were partially offset by savings from cost reduction initiatives (3%). Higher service volume (2%) was more than offset by lower average service pricing (3%).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2012 Compared with Quarter ended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Factors contributing to total % Change</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492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Organic /</w:t>
            </w:r>
          </w:p>
        </w:tc>
        <w:tc>
          <w:tcPr>
            <w:tcW w:w="14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FX</w:t>
            </w:r>
          </w:p>
        </w:tc>
        <w:tc>
          <w:tcPr>
            <w:tcW w:w="15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49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Operational</w:t>
            </w:r>
          </w:p>
        </w:tc>
        <w:tc>
          <w:tcPr>
            <w:tcW w:w="7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Translation</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7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Costs</w:t>
            </w:r>
          </w:p>
        </w:tc>
        <w:tc>
          <w:tcPr>
            <w:tcW w:w="7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Borders>
              <w:bottom w:val="single" w:sz="8" w:color="CCEEFF"/>
            </w:tcBorders>
          </w:tcPr>
          <w:p>
            <w:pPr>
              <w:spacing w:after="0"/>
              <w:rPr>
                <w:sz w:val="14"/>
                <w:szCs w:val="14"/>
                <w:color w:val="auto"/>
              </w:rPr>
            </w:pPr>
          </w:p>
        </w:tc>
      </w:tr>
      <w:tr>
        <w:trPr>
          <w:trHeight w:val="210"/>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11 %</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13 %</w:t>
            </w: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Organic sales were flat, with growth in the Americas (1%) driven by the residential and commercial HVAC businesses offset by lower volume in the transport refrigeration business (1%). The decrease in “Acquisitions and divestitures, net” (8%) reflects the year over year impact of net divestitures completed in the preceding twelve months associated with UTC Climate, Controls &amp; Security’s ongoing portfolio transformation.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11% operational profit increase was driven largely by the benefits of prior restructuring actions (8%), including savings from the consolidation of Carrier and UTC Fire &amp; Security, and lower year over year warranty related costs (3%). The benefit of prior year pricing actions was largely offset by unfavorable customer and product mix and increases in employment costs. The 13% increase in “Other” primarily reflects an approximately $110 million net gain from UTC Climate, Controls &amp; Security’s ongoing portfolio transformation partially offset by the absence of an approximately $25 million favorable litigation resolution in the prior year. The net portfolio transformation gain includes approximately $142 million from the sale of a controlling interest in a Canadian distribution business, partially offset by a $32 million loss on the disposition of the U.S. fire and security branch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with Six months ended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Factors contributing to total % Change</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492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Organic /</w:t>
            </w:r>
          </w:p>
        </w:tc>
        <w:tc>
          <w:tcPr>
            <w:tcW w:w="14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FX</w:t>
            </w:r>
          </w:p>
        </w:tc>
        <w:tc>
          <w:tcPr>
            <w:tcW w:w="15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49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Operational</w:t>
            </w:r>
          </w:p>
        </w:tc>
        <w:tc>
          <w:tcPr>
            <w:tcW w:w="7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Translation</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7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Costs</w:t>
            </w:r>
          </w:p>
        </w:tc>
        <w:tc>
          <w:tcPr>
            <w:tcW w:w="7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Borders>
              <w:bottom w:val="single" w:sz="8" w:color="CCEEFF"/>
            </w:tcBorders>
          </w:tcPr>
          <w:p>
            <w:pPr>
              <w:spacing w:after="0"/>
              <w:rPr>
                <w:sz w:val="14"/>
                <w:szCs w:val="14"/>
                <w:color w:val="auto"/>
              </w:rPr>
            </w:pPr>
          </w:p>
        </w:tc>
      </w:tr>
      <w:tr>
        <w:trPr>
          <w:trHeight w:val="210"/>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1 %</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5 %</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17 %</w:t>
            </w:r>
          </w:p>
        </w:tc>
      </w:tr>
    </w:tbl>
    <w:p>
      <w:pPr>
        <w:spacing w:after="0" w:line="15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Organic sales were flat, reflecting growth in the Americas (1%) driven by the residential and commercial HVAC businesses offset by lower volumes in the transport refrigeration business (1%). The decrease in “Acquisitions and divestitures, net” (7%) reflects the year over year impact of net divestitures completed in the preceding twelve months associated with UTC Climate, Controls &amp; Security’s ongoing portfolio transformation efforts.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5% operational profit increase was driven largely by the benefits of prior restructuring actions (8%), including savings from the consolidation of Carrier and UTC Fire &amp; Security, and higher equity income from joint venture partners (2%). These increases were partially offset by unfavorable customer and product sales mix (5%). The benefit of prior year pricing actions was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largely offset by increases in employment and intangible amortization costs. The 17% increase in “Other” primarily reflects an approximately $222 million net gain from UTC Climate, Controls &amp; Security’s ongoing portfolio transformation partially offset by the absence of an approximately $25 million favorable litigation resolution in the second quarter of 2011. The net portfolio transformation gain includes approximately $142 million from the sale of a controlling interest in a Canadian distribution business in the second quarter of 2012 combined with an approximately $215 million net gain in the first quarter of 2012 from the sale of a controlling interest in a manufacturing and distribution joint venture in Asia. These gains were partially offset by a $32 million loss on the disposition of the U.S. fire and security branch operations in the second quarter of 2012 and $103 million of impairment charges recorded in the first quarter of 2012 related to ongoing business dispositions.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4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commercial airline industry rebounded in 2010 and has remained generally strong since. Airline traffic, as measured by RPMs is expected to grow between 4% and 6% in 2012. Although many airlines have returned to profitability, high fuel prices continue to challenge the airlines to consider the need for more fuel efficient aircraft. Cash conservation at airlines has adversely impacted order rates. Commercial aerospace spares orders at Pratt &amp; Whitney’s large commercial engine business declined 15% in the second quarter of 2012, following a 23% increase in the second quarter of 2011. Hamilton Sundstrand commercial aerospace spares orders declined 10% in the second quarter of 2012, following a 25% increase in the second quarter of 2011. Consolidated commercial aerospace aftermarket sales increased 2% in the second quarter of 2012, as compared with the same period of 2011, primarily due to a 24% increase at Sikorsky over the prior year.</w:t>
      </w:r>
    </w:p>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Deficit reduction measures being considered by the U.S. Government are expected to pressure the U.S. Department of Defense budget in the coming years, resulting in a decline in U.S. Department of Defense spending. Total sales to the U.S. Government were $2.4 billion and $2.4 billion, or 18% and 16% of total UTC sales in the second quarter of 2012 and 2011, respectively. Our participation in long-term production and development programs for the U.S. Government has and is expected to contribute positively to our results in 2012. In July 2012, the U.S. Government and Sikorsky signed a five-year multiservice contract for approximately 650 H-60 helicopters. Actual production quantities will be determined year-by-year over the life of the program based on funding allocations set by Congress and Pentagon acquisition priorities.</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previously reported, Sikorsky is developing the CH-148 derivative of the H-92 helicopter, a military variant of the S-92 helicopter, for the Canadian government. The CH-148 is being developed under a fixed-price contract that provides for the development and production of 28 helicopters, and related logistical support through March 2028. The current contract value is estimated to be $4.5 billion, and is subject to changes in underlying variables such as future flight hours as well as fluctuations in foreign currency exchange rates. Sikorsky and the Canadian government have a number of open disputes relating to the contract, including responsibility for delay of delivery of the fully configured and tested aircraft beyond the current contract delivery schedule and other disputes relating to development, production and logistical support. Sikorsky is prepared to deliver five aircraft in 2012 in a configuration that will require additional hardware and further software testing and upgrades before full mission capability can be achieved. Sikorsky intends to continue discussions with the Canadian government to resolve the open disputes, however, the parties may not reach a contractual solution that allows for delivery of these aircraft or revenue recognition in 2012. As discussions continue, we will assess whether the inability to achieve a contractual solution could lead to a further negative financial impact on the program.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aerospace businesses for the quarters ended June 30, 2012 and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9"/>
              </w:rPr>
              <w:t>Pratt &amp; Whitney</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Hamilton Sundstrand</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9"/>
              </w:rPr>
              <w:t>Sikorsky</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8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2011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1"/>
                <w:szCs w:val="11"/>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860" w:type="dxa"/>
            <w:vAlign w:val="bottom"/>
            <w:vMerge w:val="restart"/>
            <w:shd w:val="clear" w:color="auto" w:fill="CCEEFF"/>
          </w:tcPr>
          <w:p>
            <w:pPr>
              <w:spacing w:after="0" w:line="20" w:lineRule="exact"/>
              <w:rPr>
                <w:sz w:val="1"/>
                <w:szCs w:val="1"/>
                <w:color w:val="auto"/>
              </w:rPr>
            </w:pPr>
          </w:p>
        </w:tc>
        <w:tc>
          <w:tcPr>
            <w:tcW w:w="9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87"/>
              </w:rPr>
              <w:t>%</w:t>
            </w: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8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3,447</w:t>
            </w: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3,276</w:t>
            </w:r>
          </w:p>
        </w:tc>
        <w:tc>
          <w:tcPr>
            <w:tcW w:w="2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1,254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1,171</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26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1,620</w:t>
            </w:r>
          </w:p>
        </w:tc>
        <w:tc>
          <w:tcPr>
            <w:tcW w:w="2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1,786</w:t>
            </w:r>
          </w:p>
        </w:tc>
        <w:tc>
          <w:tcPr>
            <w:tcW w:w="360" w:type="dxa"/>
            <w:vAlign w:val="bottom"/>
            <w:vMerge w:val="continue"/>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2,436</w:t>
            </w:r>
          </w:p>
        </w:tc>
        <w:tc>
          <w:tcPr>
            <w:tcW w:w="240" w:type="dxa"/>
            <w:vAlign w:val="bottom"/>
          </w:tcPr>
          <w:p>
            <w:pPr>
              <w:spacing w:after="0"/>
              <w:rPr>
                <w:sz w:val="18"/>
                <w:szCs w:val="18"/>
                <w:color w:val="auto"/>
              </w:rPr>
            </w:pPr>
          </w:p>
        </w:tc>
        <w:tc>
          <w:tcPr>
            <w:tcW w:w="920" w:type="dxa"/>
            <w:vAlign w:val="bottom"/>
            <w:gridSpan w:val="3"/>
          </w:tcPr>
          <w:p>
            <w:pPr>
              <w:jc w:val="right"/>
              <w:ind w:right="112"/>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847</w:t>
            </w:r>
          </w:p>
        </w:tc>
        <w:tc>
          <w:tcPr>
            <w:tcW w:w="36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1,471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323"/>
        </w:trPr>
        <w:tc>
          <w:tcPr>
            <w:tcW w:w="308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24"/>
                <w:szCs w:val="24"/>
                <w:color w:val="auto"/>
              </w:rPr>
            </w:pPr>
          </w:p>
        </w:tc>
        <w:tc>
          <w:tcPr>
            <w:tcW w:w="920" w:type="dxa"/>
            <w:vAlign w:val="bottom"/>
            <w:gridSpan w:val="3"/>
          </w:tcPr>
          <w:p>
            <w:pPr>
              <w:jc w:val="right"/>
              <w:ind w:right="112"/>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4"/>
                <w:szCs w:val="24"/>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14 %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Operating Profit Margins</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8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gridSpan w:val="2"/>
          </w:tcPr>
          <w:p>
            <w:pPr>
              <w:jc w:val="right"/>
              <w:ind w:right="282"/>
              <w:spacing w:after="0"/>
              <w:rPr>
                <w:sz w:val="20"/>
                <w:szCs w:val="20"/>
                <w:color w:val="auto"/>
              </w:rPr>
            </w:pPr>
            <w:r>
              <w:rPr>
                <w:rFonts w:ascii="Arial" w:cs="Arial" w:eastAsia="Arial" w:hAnsi="Arial"/>
                <w:sz w:val="18"/>
                <w:szCs w:val="18"/>
                <w:color w:val="auto"/>
                <w:w w:val="89"/>
              </w:rPr>
              <w:t>42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performance for each of the aerospace businesses for the six months ended June 30, 2012 and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6"/>
          </w:tcPr>
          <w:p>
            <w:pPr>
              <w:ind w:left="100"/>
              <w:spacing w:after="0"/>
              <w:rPr>
                <w:sz w:val="20"/>
                <w:szCs w:val="20"/>
                <w:color w:val="auto"/>
              </w:rPr>
            </w:pPr>
            <w:r>
              <w:rPr>
                <w:rFonts w:ascii="Arial" w:cs="Arial" w:eastAsia="Arial" w:hAnsi="Arial"/>
                <w:sz w:val="14"/>
                <w:szCs w:val="14"/>
                <w:b w:val="1"/>
                <w:bCs w:val="1"/>
                <w:color w:val="auto"/>
              </w:rPr>
              <w:t>Pratt &amp; Whitney</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Hamilton Sundstrand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Sikorsky</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2012</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3"/>
              </w:rPr>
              <w:t>2011</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1"/>
              </w:rPr>
              <w:t>Change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6,499</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6,149</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280" w:type="dxa"/>
            <w:vAlign w:val="bottom"/>
            <w:tcBorders>
              <w:top w:val="single" w:sz="8" w:color="CCEEFF"/>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2,490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2,309</w:t>
            </w: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260" w:type="dxa"/>
            <w:vAlign w:val="bottom"/>
            <w:tcBorders>
              <w:top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2,966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3,368</w:t>
            </w: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92"/>
              <w:spacing w:after="0"/>
              <w:rPr>
                <w:sz w:val="20"/>
                <w:szCs w:val="20"/>
                <w:color w:val="auto"/>
              </w:rPr>
            </w:pPr>
            <w:r>
              <w:rPr>
                <w:rFonts w:ascii="Arial" w:cs="Arial" w:eastAsia="Arial" w:hAnsi="Arial"/>
                <w:sz w:val="18"/>
                <w:szCs w:val="18"/>
                <w:color w:val="auto"/>
                <w:w w:val="84"/>
              </w:rPr>
              <w:t>4,832</w:t>
            </w: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w w:val="84"/>
              </w:rPr>
              <w:t>4,525</w:t>
            </w:r>
          </w:p>
        </w:tc>
        <w:tc>
          <w:tcPr>
            <w:tcW w:w="2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1,656</w:t>
            </w: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52"/>
              <w:spacing w:after="0"/>
              <w:rPr>
                <w:sz w:val="20"/>
                <w:szCs w:val="20"/>
                <w:color w:val="auto"/>
              </w:rPr>
            </w:pPr>
            <w:r>
              <w:rPr>
                <w:rFonts w:ascii="Arial" w:cs="Arial" w:eastAsia="Arial" w:hAnsi="Arial"/>
                <w:sz w:val="18"/>
                <w:szCs w:val="18"/>
                <w:color w:val="auto"/>
                <w:w w:val="84"/>
              </w:rPr>
              <w:t>2,379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w w:val="84"/>
              </w:rPr>
              <w:t>2,806</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4"/>
              </w:rPr>
              <w:t>1,667</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4"/>
              </w:rPr>
              <w:t>1,624</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562</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323"/>
        </w:trPr>
        <w:tc>
          <w:tcPr>
            <w:tcW w:w="3060" w:type="dxa"/>
            <w:vAlign w:val="bottom"/>
            <w:gridSpan w:val="3"/>
          </w:tcPr>
          <w:p>
            <w:pPr>
              <w:spacing w:after="0"/>
              <w:rPr>
                <w:sz w:val="20"/>
                <w:szCs w:val="20"/>
                <w:color w:val="auto"/>
              </w:rPr>
            </w:pPr>
            <w:r>
              <w:rPr>
                <w:rFonts w:ascii="Arial" w:cs="Arial" w:eastAsia="Arial" w:hAnsi="Arial"/>
                <w:sz w:val="18"/>
                <w:szCs w:val="18"/>
                <w:color w:val="auto"/>
              </w:rPr>
              <w:t>Operating Expenses and Other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92"/>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4"/>
                <w:szCs w:val="24"/>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24"/>
                <w:szCs w:val="2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296</w:t>
            </w: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ind w:right="15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144</w:t>
            </w: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852</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349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418</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Operating Profit Margins</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6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760" w:type="dxa"/>
            <w:vAlign w:val="bottom"/>
            <w:gridSpan w:val="3"/>
          </w:tcPr>
          <w:p>
            <w:pPr>
              <w:jc w:val="right"/>
              <w:ind w:right="132"/>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060" w:type="dxa"/>
            <w:vAlign w:val="bottom"/>
            <w:gridSpan w:val="3"/>
          </w:tcPr>
          <w:p>
            <w:pPr>
              <w:spacing w:after="0"/>
              <w:rPr>
                <w:sz w:val="20"/>
                <w:szCs w:val="20"/>
                <w:color w:val="auto"/>
              </w:rPr>
            </w:pPr>
            <w:r>
              <w:rPr>
                <w:rFonts w:ascii="Arial" w:cs="Arial" w:eastAsia="Arial" w:hAnsi="Arial"/>
                <w:sz w:val="18"/>
                <w:szCs w:val="18"/>
                <w:b w:val="1"/>
                <w:bCs w:val="1"/>
                <w:color w:val="auto"/>
              </w:rPr>
              <w:t>Pratt &amp; Whitney –</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60" w:type="dxa"/>
            <w:vAlign w:val="bottom"/>
            <w:gridSpan w:val="12"/>
          </w:tcPr>
          <w:p>
            <w:pPr>
              <w:spacing w:after="0"/>
              <w:rPr>
                <w:sz w:val="20"/>
                <w:szCs w:val="20"/>
                <w:color w:val="auto"/>
              </w:rPr>
            </w:pPr>
            <w:r>
              <w:rPr>
                <w:rFonts w:ascii="Arial" w:cs="Arial" w:eastAsia="Arial" w:hAnsi="Arial"/>
                <w:sz w:val="18"/>
                <w:szCs w:val="18"/>
                <w:b w:val="1"/>
                <w:bCs w:val="1"/>
                <w:i w:val="1"/>
                <w:iCs w:val="1"/>
                <w:color w:val="auto"/>
                <w:w w:val="89"/>
              </w:rPr>
              <w:t>Quarter ended June 30, 2012 Compared with Quarter ended June 30, 2011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5"/>
          </w:tcPr>
          <w:p>
            <w:pPr>
              <w:jc w:val="right"/>
              <w:ind w:right="452"/>
              <w:spacing w:after="0"/>
              <w:rPr>
                <w:sz w:val="20"/>
                <w:szCs w:val="20"/>
                <w:color w:val="auto"/>
              </w:rPr>
            </w:pPr>
            <w:r>
              <w:rPr>
                <w:rFonts w:ascii="Arial" w:cs="Arial" w:eastAsia="Arial" w:hAnsi="Arial"/>
                <w:sz w:val="14"/>
                <w:szCs w:val="14"/>
                <w:b w:val="1"/>
                <w:bCs w:val="1"/>
                <w:color w:val="auto"/>
                <w:w w:val="99"/>
              </w:rPr>
              <w:t>Factors contributing to total % Change</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Organic /</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rPr>
              <w:t>FX</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8"/>
          </w:tcPr>
          <w:p>
            <w:pPr>
              <w:jc w:val="right"/>
              <w:ind w:right="620"/>
              <w:spacing w:after="0" w:line="149" w:lineRule="exact"/>
              <w:rPr>
                <w:sz w:val="20"/>
                <w:szCs w:val="20"/>
                <w:color w:val="auto"/>
              </w:rPr>
            </w:pPr>
            <w:r>
              <w:rPr>
                <w:rFonts w:ascii="Arial" w:cs="Arial" w:eastAsia="Arial" w:hAnsi="Arial"/>
                <w:sz w:val="14"/>
                <w:szCs w:val="14"/>
                <w:b w:val="1"/>
                <w:bCs w:val="1"/>
                <w:color w:val="auto"/>
              </w:rPr>
              <w:t>Restructuring</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Operational</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Translation*</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net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82"/>
              </w:rPr>
              <w:t>Costs</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w w:val="74"/>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5"/>
          </w:tcPr>
          <w:p>
            <w:pPr>
              <w:jc w:val="right"/>
              <w:ind w:right="256"/>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96"/>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2 %</w:t>
            </w:r>
          </w:p>
        </w:tc>
        <w:tc>
          <w:tcPr>
            <w:tcW w:w="3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Organic sales growth (6%) was driven by an increase in commercial engine deliveries (3%), an increase in military engine and aftermarket sales (6%), commercial aftermarket sales to third party aftermarket parts companies (3%), and higher engine volume at PW&amp;C (1%), partially offset by a decrease in commercial aftermarket spares volume (5%) and lower industrial volume at Pratt &amp; Whitney Power Systems (2%).</w:t>
      </w:r>
    </w:p>
    <w:p>
      <w:pPr>
        <w:spacing w:after="0" w:line="107"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The operational profit decrease (14%) was driven by lower commercial spares volume (25%), lower industrial volume at Pratt &amp; Whitney Power Systems (2%), and higher research and development costs (4%), partially offset by higher military engine and aftermarket volume (7%) and the benefit from sales to third party aftermarket parts companies (10%). Savings from prior restructuring actions largely offset higher pension costs during the quarter. The impact from foreign currency reflects the favorable transactional impact of foreign exchange hedging at P&amp;WC (1%). The change in “Other” primarily reflects a gain on the sale of an equity interest in a commercial aftermarket venture (5%) and a gain due to the change in control resulting from the restructuring of interests in IAE (5%).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with Six months ended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89"/>
              </w:rPr>
              <w:t>Factors contributing to total % Change</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4940" w:type="dxa"/>
            <w:vAlign w:val="bottom"/>
          </w:tcPr>
          <w:p>
            <w:pPr>
              <w:spacing w:after="0"/>
              <w:rPr>
                <w:sz w:val="12"/>
                <w:szCs w:val="12"/>
                <w:color w:val="auto"/>
              </w:rPr>
            </w:pPr>
          </w:p>
        </w:tc>
        <w:tc>
          <w:tcPr>
            <w:tcW w:w="1460" w:type="dxa"/>
            <w:vAlign w:val="bottom"/>
            <w:gridSpan w:val="2"/>
          </w:tcPr>
          <w:p>
            <w:pPr>
              <w:jc w:val="right"/>
              <w:ind w:right="752"/>
              <w:spacing w:after="0" w:line="149" w:lineRule="exact"/>
              <w:rPr>
                <w:sz w:val="20"/>
                <w:szCs w:val="20"/>
                <w:color w:val="auto"/>
              </w:rPr>
            </w:pPr>
            <w:r>
              <w:rPr>
                <w:rFonts w:ascii="Arial" w:cs="Arial" w:eastAsia="Arial" w:hAnsi="Arial"/>
                <w:sz w:val="14"/>
                <w:szCs w:val="14"/>
                <w:b w:val="1"/>
                <w:bCs w:val="1"/>
                <w:color w:val="auto"/>
                <w:w w:val="98"/>
              </w:rPr>
              <w:t>Organic /</w:t>
            </w:r>
          </w:p>
        </w:tc>
        <w:tc>
          <w:tcPr>
            <w:tcW w:w="150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rPr>
              <w:t>FX</w:t>
            </w: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49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Operational</w:t>
            </w:r>
          </w:p>
        </w:tc>
        <w:tc>
          <w:tcPr>
            <w:tcW w:w="7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Translation*</w:t>
            </w:r>
          </w:p>
        </w:tc>
        <w:tc>
          <w:tcPr>
            <w:tcW w:w="7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Costs</w:t>
            </w:r>
          </w:p>
        </w:tc>
        <w:tc>
          <w:tcPr>
            <w:tcW w:w="7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Borders>
              <w:bottom w:val="single" w:sz="8" w:color="CCEEFF"/>
            </w:tcBorders>
          </w:tcPr>
          <w:p>
            <w:pPr>
              <w:spacing w:after="0"/>
              <w:rPr>
                <w:sz w:val="14"/>
                <w:szCs w:val="14"/>
                <w:color w:val="auto"/>
              </w:rPr>
            </w:pPr>
          </w:p>
        </w:tc>
      </w:tr>
      <w:tr>
        <w:trPr>
          <w:trHeight w:val="210"/>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4"/>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Cost of Sales</w:t>
            </w:r>
          </w:p>
        </w:tc>
        <w:tc>
          <w:tcPr>
            <w:tcW w:w="1460" w:type="dxa"/>
            <w:vAlign w:val="bottom"/>
            <w:gridSpan w:val="2"/>
          </w:tcPr>
          <w:p>
            <w:pPr>
              <w:jc w:val="right"/>
              <w:ind w:right="532"/>
              <w:spacing w:after="0"/>
              <w:rPr>
                <w:sz w:val="20"/>
                <w:szCs w:val="20"/>
                <w:color w:val="auto"/>
              </w:rPr>
            </w:pPr>
            <w:r>
              <w:rPr>
                <w:rFonts w:ascii="Arial" w:cs="Arial" w:eastAsia="Arial" w:hAnsi="Arial"/>
                <w:sz w:val="18"/>
                <w:szCs w:val="18"/>
                <w:color w:val="auto"/>
              </w:rPr>
              <w:t>7 %</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5 %</w:t>
            </w:r>
          </w:p>
        </w:tc>
      </w:tr>
    </w:tbl>
    <w:p>
      <w:pPr>
        <w:spacing w:after="0" w:line="194" w:lineRule="exact"/>
        <w:rPr>
          <w:sz w:val="20"/>
          <w:szCs w:val="20"/>
          <w:color w:val="auto"/>
        </w:rPr>
      </w:pPr>
    </w:p>
    <w:p>
      <w:pPr>
        <w:ind w:left="220" w:right="100" w:hanging="212"/>
        <w:spacing w:after="0" w:line="294" w:lineRule="auto"/>
        <w:tabs>
          <w:tab w:leader="none" w:pos="2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P&amp;WC has been netted against the translational foreign exchange impact for presentation purposes in the above table. For all other segments, these foreign exchange transactional impacts are included within the organic / 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Organic sales growth (7%) is driven by higher military engine deliveries and aftermarket sales (6%), higher engine and spares volume at P&amp;WC (2%), and sales to third party aftermarket parts companies (2%), offset by a decrease in commercial spares volume (4%).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operational profit decrease (5%) is driven by higher research and development costs (8%), lower commercial spares volume (18%), and higher pension costs (1%), partially offset by higher military engine and aftermarket volume (8%), higher PW&amp;C engine shipments (5%) and the benefit of sales to third party aftermarket parts companies (9%). “Other” includes a gain on the sale of intellectual property (2%), a gain on the sale of an equity interest in a venture (3%) and a gain due to the change in control resulting from the restructuring of interests in IAE (2%), offset by the absence of a gain on the sale of an equity investment in a venture in 2011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2012 Compared with Quarter ended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0"/>
              </w:rPr>
              <w:t>Factors contributing to total % Change</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420" w:type="dxa"/>
            <w:vAlign w:val="bottom"/>
            <w:gridSpan w:val="2"/>
          </w:tcPr>
          <w:p>
            <w:pPr>
              <w:jc w:val="right"/>
              <w:ind w:right="712"/>
              <w:spacing w:after="0" w:line="149" w:lineRule="exact"/>
              <w:rPr>
                <w:sz w:val="20"/>
                <w:szCs w:val="20"/>
                <w:color w:val="auto"/>
              </w:rPr>
            </w:pPr>
            <w:r>
              <w:rPr>
                <w:rFonts w:ascii="Arial" w:cs="Arial" w:eastAsia="Arial" w:hAnsi="Arial"/>
                <w:sz w:val="14"/>
                <w:szCs w:val="14"/>
                <w:b w:val="1"/>
                <w:bCs w:val="1"/>
                <w:color w:val="auto"/>
                <w:w w:val="98"/>
              </w:rPr>
              <w:t>Organic /</w:t>
            </w:r>
          </w:p>
        </w:tc>
        <w:tc>
          <w:tcPr>
            <w:tcW w:w="14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FX</w:t>
            </w: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Divestitures,</w:t>
            </w:r>
          </w:p>
        </w:tc>
        <w:tc>
          <w:tcPr>
            <w:tcW w:w="15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4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w w:val="87"/>
              </w:rPr>
              <w:t>Operational</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Translation</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Costs</w:t>
            </w: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jc w:val="right"/>
              <w:ind w:right="472"/>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420" w:type="dxa"/>
            <w:vAlign w:val="bottom"/>
            <w:gridSpan w:val="2"/>
          </w:tcPr>
          <w:p>
            <w:pPr>
              <w:jc w:val="right"/>
              <w:ind w:right="472"/>
              <w:spacing w:after="0"/>
              <w:rPr>
                <w:sz w:val="20"/>
                <w:szCs w:val="20"/>
                <w:color w:val="auto"/>
              </w:rPr>
            </w:pPr>
            <w:r>
              <w:rPr>
                <w:rFonts w:ascii="Arial" w:cs="Arial" w:eastAsia="Arial" w:hAnsi="Arial"/>
                <w:sz w:val="18"/>
                <w:szCs w:val="18"/>
                <w:color w:val="auto"/>
              </w:rPr>
              <w:t>8 %</w:t>
            </w: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16 %</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organic sales growth (9%) primarily reflects higher volumes in the aerospace OEM business (9%). The increase in aerospace OEM is primarily attributed to volume growth within commercial programs (4%) and military programs (4%).</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organic increase in operational profit (16%) primarily reflects the benefit of higher volume and favorable mix within commercial programs (15%) and military programs (9%). The increase is primarily offset by higher research and development costs (3%) and higher domestic pension expenses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with Six months ended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0"/>
              </w:rPr>
              <w:t>Factors contributing to total % Change</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420" w:type="dxa"/>
            <w:vAlign w:val="bottom"/>
            <w:gridSpan w:val="2"/>
          </w:tcPr>
          <w:p>
            <w:pPr>
              <w:jc w:val="right"/>
              <w:ind w:right="712"/>
              <w:spacing w:after="0" w:line="149" w:lineRule="exact"/>
              <w:rPr>
                <w:sz w:val="20"/>
                <w:szCs w:val="20"/>
                <w:color w:val="auto"/>
              </w:rPr>
            </w:pPr>
            <w:r>
              <w:rPr>
                <w:rFonts w:ascii="Arial" w:cs="Arial" w:eastAsia="Arial" w:hAnsi="Arial"/>
                <w:sz w:val="14"/>
                <w:szCs w:val="14"/>
                <w:b w:val="1"/>
                <w:bCs w:val="1"/>
                <w:color w:val="auto"/>
                <w:w w:val="98"/>
              </w:rPr>
              <w:t>Organic /</w:t>
            </w:r>
          </w:p>
        </w:tc>
        <w:tc>
          <w:tcPr>
            <w:tcW w:w="14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FX</w:t>
            </w: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Divestitures,</w:t>
            </w:r>
          </w:p>
        </w:tc>
        <w:tc>
          <w:tcPr>
            <w:tcW w:w="15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4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w w:val="87"/>
              </w:rPr>
              <w:t>Operational</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Translation</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Costs</w:t>
            </w: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jc w:val="right"/>
              <w:ind w:right="472"/>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420" w:type="dxa"/>
            <w:vAlign w:val="bottom"/>
            <w:gridSpan w:val="2"/>
          </w:tcPr>
          <w:p>
            <w:pPr>
              <w:jc w:val="right"/>
              <w:ind w:right="472"/>
              <w:spacing w:after="0"/>
              <w:rPr>
                <w:sz w:val="20"/>
                <w:szCs w:val="20"/>
                <w:color w:val="auto"/>
              </w:rPr>
            </w:pPr>
            <w:r>
              <w:rPr>
                <w:rFonts w:ascii="Arial" w:cs="Arial" w:eastAsia="Arial" w:hAnsi="Arial"/>
                <w:sz w:val="18"/>
                <w:szCs w:val="18"/>
                <w:color w:val="auto"/>
              </w:rPr>
              <w:t>10 %</w:t>
            </w: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16 %</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organic sales growth (10%) primarily reflects higher volumes in both the aerospace OEM (7%) and aerospace aftermarket (3%) businesses. The increase within aerospace OEM sales was primarily attributed to volume growth within commercial programs (5%) and military programs (2%). The increase within aerospace aftermarket is primarily attributable to military and commercial spares volume growth (2%).</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organic increase in operational profit (16%) primarily reflects the benefit of higher volume and favorable mix within commercial programs (12%) and increased favorable margin within aftermarket spares (9%), partially offset by higher domestic pension expenses (5%).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2012 Compared with Quarter ended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0"/>
              </w:rPr>
              <w:t>Factors contributing to total % Change</w:t>
            </w: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4"/>
              </w:rPr>
              <w:t>Acquisitions /</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50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8"/>
              </w:rPr>
              <w:t>Organic /</w:t>
            </w:r>
          </w:p>
        </w:tc>
        <w:tc>
          <w:tcPr>
            <w:tcW w:w="13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FX</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Divestitures,</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7"/>
              </w:rPr>
              <w:t>Operational</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Translation</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net</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Costs</w:t>
            </w: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Cost of Sales</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3 %</w:t>
            </w: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organic sales decline (9%) reflects reduced aircraft deliveries from foreign military operations (6%), fewer aircraft sales to the U.S. Government (4%) and reduced sales to commercial customers (2%) due primarily to a lack of S-76 sales in the quarter as Sikorsky transitions to certification and full-scale production of the new S-76D model. These declines were partially offset by increased aftermarket support (4%) driven by higher military spares volume.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operational profit increase (3%) reflects increased commercial profits (7%) due to favorable S-92 margins and higher aftermarket support volume (11%), partially offset by lower U.S. Government volume (9%), lower foreign military and international development profits (2%) and lower volume on customer funded development programs (3%). “Other” reflects the absence of a gain recognized on the contribution of a business to a venture in the United Arab Emirates in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with Six months ended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Factors contributing to total % Change</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Acquisitions /</w:t>
            </w: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9"/>
        </w:trPr>
        <w:tc>
          <w:tcPr>
            <w:tcW w:w="5020" w:type="dxa"/>
            <w:vAlign w:val="bottom"/>
          </w:tcPr>
          <w:p>
            <w:pPr>
              <w:spacing w:after="0"/>
              <w:rPr>
                <w:sz w:val="12"/>
                <w:szCs w:val="12"/>
                <w:color w:val="auto"/>
              </w:rPr>
            </w:pPr>
          </w:p>
        </w:tc>
        <w:tc>
          <w:tcPr>
            <w:tcW w:w="1480" w:type="dxa"/>
            <w:vAlign w:val="bottom"/>
            <w:gridSpan w:val="2"/>
          </w:tcPr>
          <w:p>
            <w:pPr>
              <w:jc w:val="right"/>
              <w:ind w:right="772"/>
              <w:spacing w:after="0" w:line="149" w:lineRule="exact"/>
              <w:rPr>
                <w:sz w:val="20"/>
                <w:szCs w:val="20"/>
                <w:color w:val="auto"/>
              </w:rPr>
            </w:pPr>
            <w:r>
              <w:rPr>
                <w:rFonts w:ascii="Arial" w:cs="Arial" w:eastAsia="Arial" w:hAnsi="Arial"/>
                <w:sz w:val="14"/>
                <w:szCs w:val="14"/>
                <w:b w:val="1"/>
                <w:bCs w:val="1"/>
                <w:color w:val="auto"/>
                <w:w w:val="98"/>
              </w:rPr>
              <w:t>Organic /</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FX</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Divestitures,</w:t>
            </w:r>
          </w:p>
        </w:tc>
        <w:tc>
          <w:tcPr>
            <w:tcW w:w="2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5020" w:type="dxa"/>
            <w:vAlign w:val="bottom"/>
          </w:tcPr>
          <w:p>
            <w:pPr>
              <w:spacing w:after="0"/>
              <w:rPr>
                <w:sz w:val="14"/>
                <w:szCs w:val="14"/>
                <w:color w:val="auto"/>
              </w:rPr>
            </w:pPr>
          </w:p>
        </w:tc>
        <w:tc>
          <w:tcPr>
            <w:tcW w:w="1480" w:type="dxa"/>
            <w:vAlign w:val="bottom"/>
            <w:gridSpan w:val="2"/>
          </w:tcPr>
          <w:p>
            <w:pPr>
              <w:jc w:val="right"/>
              <w:ind w:right="692"/>
              <w:spacing w:after="0"/>
              <w:rPr>
                <w:sz w:val="20"/>
                <w:szCs w:val="20"/>
                <w:color w:val="auto"/>
              </w:rPr>
            </w:pPr>
            <w:r>
              <w:rPr>
                <w:rFonts w:ascii="Arial" w:cs="Arial" w:eastAsia="Arial" w:hAnsi="Arial"/>
                <w:sz w:val="14"/>
                <w:szCs w:val="14"/>
                <w:b w:val="1"/>
                <w:bCs w:val="1"/>
                <w:color w:val="auto"/>
                <w:w w:val="87"/>
              </w:rPr>
              <w:t>Operational</w:t>
            </w: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Translation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net</w:t>
            </w:r>
          </w:p>
        </w:tc>
        <w:tc>
          <w:tcPr>
            <w:tcW w:w="620" w:type="dxa"/>
            <w:vAlign w:val="bottom"/>
          </w:tcPr>
          <w:p>
            <w:pPr>
              <w:spacing w:after="0"/>
              <w:rPr>
                <w:sz w:val="14"/>
                <w:szCs w:val="14"/>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2"/>
              </w:rPr>
              <w:t>Costs</w:t>
            </w: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r>
      <w:tr>
        <w:trPr>
          <w:trHeight w:val="210"/>
        </w:trPr>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tcBorders>
              <w:top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gridSpan w:val="2"/>
          </w:tcPr>
          <w:p>
            <w:pPr>
              <w:jc w:val="right"/>
              <w:ind w:right="492"/>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14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1 %</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organic sales decline (12%) reflects reduced aircraft deliveries from foreign military operations (9%) and fewer aircraft sales to the U.S. Government (5%). These declines were partially offset by increased aftermarket support (3%) driven by higher military spares volume.</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operational profit increase (1%) reflects increased commercial profits (6%) due to better S-92 profitability, higher aftermarket support volume (12%) and higher foreign military and international development profits (2%) due primarily to the absence of two Canadian maritime helicopter deliveries in 2011. These increases were partially offset by lower U.S. Government volume (10%), lower volume on customer funded development programs (3%) and higher year-over-year research and development spending (5%). “Other” reflects the absence of a gain recognized on the contribution of a business to a venture in the United Arab Emirates in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Operating Profits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164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Quarter Ended June 30,</w:t>
            </w:r>
          </w:p>
        </w:tc>
        <w:tc>
          <w:tcPr>
            <w:tcW w:w="17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0"/>
              </w:rPr>
              <w:t>Six Months Ended June 30,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w w:val="87"/>
              </w:rPr>
              <w:t>Quarter Ended June 30,</w:t>
            </w:r>
          </w:p>
        </w:tc>
        <w:tc>
          <w:tcPr>
            <w:tcW w:w="17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1"/>
              </w:rPr>
              <w:t>Six Months Ended 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220" w:type="dxa"/>
            <w:vAlign w:val="bottom"/>
            <w:tcBorders>
              <w:bottom w:val="single" w:sz="8" w:color="auto"/>
            </w:tcBorders>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76"/>
              </w:rPr>
              <w:t>2012</w:t>
            </w: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9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(113)</w:t>
            </w:r>
          </w:p>
        </w:tc>
        <w:tc>
          <w:tcPr>
            <w:tcW w:w="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w:t>
            </w:r>
          </w:p>
        </w:tc>
        <w:tc>
          <w:tcPr>
            <w:tcW w:w="3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w:t>
            </w:r>
          </w:p>
        </w:tc>
        <w:tc>
          <w:tcPr>
            <w:tcW w:w="3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(181)</w:t>
            </w: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(8)</w:t>
            </w:r>
          </w:p>
        </w:tc>
        <w:tc>
          <w:tcPr>
            <w:tcW w:w="1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3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19"/>
                <w:szCs w:val="19"/>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Eliminations and other reflects the elimination of sales, other income and operating profit transacted between segments, as well as the operating results of certain smaller businesses. We have previously reported the results of UTC Power and Clipper within eliminations and other but have reclassified the results of these businesses to discontinued operations for all periods presented, as noted in the “Discontinued Operations” section of our Business Overview in Management’s Discussion and Analysis of Financial Condition and Results of Operations. The year over year change in sales for both the second quarter and first six months of 2012, as compared with the same period of 2011, reflects an increase in the amount of inter-segment sales eliminations. The year-over-year change in operating profit for the first quarter of 2012, as compared with the same period of 2011, primarily reflects the impact of lower self-insurance and legal costs.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1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31,</w:t>
            </w:r>
          </w:p>
        </w:tc>
        <w:tc>
          <w:tcPr>
            <w:tcW w:w="7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122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2012</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2011</w:t>
            </w:r>
          </w:p>
        </w:tc>
        <w:tc>
          <w:tcPr>
            <w:tcW w:w="132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$ 5,966</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5,960</w:t>
            </w:r>
          </w:p>
        </w:tc>
        <w:tc>
          <w:tcPr>
            <w:tcW w:w="7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$ 5,396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Restricted cash, current</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10,715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20,721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debt (total debt less cash and cash equivalents)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14,755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23,725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Total capitalization (debt plus equity)</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44,446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35,137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capitalization (debt plus equity less cash and cash equivalents)</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38,480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Debt to total capitalization</w:t>
            </w:r>
          </w:p>
        </w:tc>
        <w:tc>
          <w:tcPr>
            <w:tcW w:w="3920" w:type="dxa"/>
            <w:vAlign w:val="bottom"/>
          </w:tcPr>
          <w:p>
            <w:pPr>
              <w:jc w:val="right"/>
              <w:ind w:right="532"/>
              <w:spacing w:after="0"/>
              <w:rPr>
                <w:sz w:val="20"/>
                <w:szCs w:val="20"/>
                <w:color w:val="auto"/>
              </w:rPr>
            </w:pPr>
            <w:r>
              <w:rPr>
                <w:rFonts w:ascii="Arial" w:cs="Arial" w:eastAsia="Arial" w:hAnsi="Arial"/>
                <w:sz w:val="18"/>
                <w:szCs w:val="18"/>
                <w:color w:val="auto"/>
              </w:rPr>
              <w:t>47%</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31%</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debt to net capitalization</w:t>
            </w:r>
          </w:p>
        </w:tc>
        <w:tc>
          <w:tcPr>
            <w:tcW w:w="39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38%</w:t>
            </w:r>
          </w:p>
        </w:tc>
        <w:tc>
          <w:tcPr>
            <w:tcW w:w="14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363"/>
        </w:trPr>
        <w:tc>
          <w:tcPr>
            <w:tcW w:w="3380" w:type="dxa"/>
            <w:vAlign w:val="bottom"/>
          </w:tcPr>
          <w:p>
            <w:pPr>
              <w:spacing w:after="0"/>
              <w:rPr>
                <w:sz w:val="24"/>
                <w:szCs w:val="24"/>
                <w:color w:val="auto"/>
              </w:rPr>
            </w:pPr>
          </w:p>
        </w:tc>
        <w:tc>
          <w:tcPr>
            <w:tcW w:w="3920" w:type="dxa"/>
            <w:vAlign w:val="bottom"/>
          </w:tcPr>
          <w:p>
            <w:pPr>
              <w:jc w:val="right"/>
              <w:ind w:right="2332"/>
              <w:spacing w:after="0"/>
              <w:rPr>
                <w:sz w:val="20"/>
                <w:szCs w:val="20"/>
                <w:color w:val="auto"/>
              </w:rPr>
            </w:pPr>
            <w:r>
              <w:rPr>
                <w:rFonts w:ascii="Arial" w:cs="Arial" w:eastAsia="Arial" w:hAnsi="Arial"/>
                <w:sz w:val="18"/>
                <w:szCs w:val="18"/>
                <w:color w:val="auto"/>
              </w:rPr>
              <w:t>45</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of continuing operations, which, after netting out capital expenditures, we target to equal or exceed net income attributable to common shareowners from continuing operations.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Improvement in the global economy remains uneven, and in light of these circumstances, we continue to assess our current business and closely monitor the impact on our customers and suppliers. We have determined that overall there has not been a significant impact on our financial position, results of operations or liquidity during the first six months of 2012.</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domestic pension funds experienced a positive return on assets of approximately 6% during the first six months of 2012. Approximately 87% of our domestic pension plans are invested in readily-liquid investments, including equity, fixed income, asset-backed receivables and structured products. The balance of our domestic pension plans (13%) is invested in less-liquid but market-valued investments, including real estate and private equity. The continued recognition of prior pension losses and the impact of a lower discount rate, partially offset by additional funding and the positive returns experienced during 2011 and the first six months of 2012, are expected to result in increased pension expense in 2012 of approximately $250 million as compared to 2011.</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discussed further below, despite a recent downgrade in the quarter in anticipation of our increased debt levels to finance the acquisition of Goodrich, our strong debt ratings and financial position have historically enabled us to issue long-term debt at favorable market rates, including our issuance of $9.8 billion of long-term debt in June 2012. Our ability to obtain debt financing at comparable risk-based interest rates is partly a function of our existing debt-to-total-capitalization level as well as our current credit standing.</w:t>
      </w:r>
    </w:p>
    <w:p>
      <w:pPr>
        <w:spacing w:after="0" w:line="1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purchase price for our pending acquisition of Goodrich for $127.50 per share in cash equates to a total estimated enterprise value of $18.2 billion, including $1.7 billion in net debt to be assumed. We expect to finance the total $16.5 billion to be paid to Goodrich shareholders at the closing of the acquisition through a combination of short- and long-term debt, equity units and cash. In 2012, the Company approved plans for the divestiture of a number of non-core businesses. Cash generated from these divestitures is intended to be used to repay a portion of the short-term debt incurred as part of the financing for the proposed acquisition of Goodrich. The divestitures are expected to generate approximately $3 billion in net cash, on an after-tax basis. To manage the cash flow and liquidity impacts of these actions, we have suspended share repurchases until at least January 1, 2013, and will significantly reduce repurchases from historical levels for two years thereafter. In addition, we will reduce our budgeted acquisition spending for the next few years, which for 2012 we expect to approximate $500 million excluding spending for our pending acquisition of Goodrich and our acquisition of Rolls-Royce’s interests in IAE.</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November 8, 2011, we entered into a bridge credit agreement with various financial institutions that provides for a $15 billion unsecured bridge loan facility, available to partially fund the cash consideration of the pending acquisition of Goodrich and pay related fees, expenses and other amounts expected to become due and payable by UTC as a result of the acquisition. Any funding under the bridge credit agreement would occur substantially concurrently with the consummation of the Goodrich acquisition, subject to customary conditions for acquisition financings of this type. Any loans made pursuant to the bridge credit agreement would mature on the date that is 364 days after the funding date. As of June 30, 2012, we have reduced the available commitments under this bridge loan facility to $2 billion primarily as a result of the subsequent financing transactions on June 1, 2012 and June 18, 2012 described below.</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On April 24, 2012, we entered into a term loan credit agreement with various financial institutions that provides for a $2 billion unsecured term loan facility available to partially fund the cash consideration of the pending acquisition of Goodrich and pay related fees, expenses and other amounts expected to become due and payable by UTC as a result of the acquisition. Any loan under the agreement would mature on December 31, 2012, and funding would occur shortly before consummation of the acquisition, subject to customary conditions for financings of this type. Funding would be conditioned on the substantially contemporaneous termination of the remaining commitments under our $15 billion bridge credit agreement executed on November 8, 2011.</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June 1, 2012, we issued a total of $9.8 billion of long-term debt, which is comprised of $1 billion aggregate principal amount of 1.200% notes due 2015, $1.5 billion aggregate principal amount of 1.800% notes due 2017, $2.3 billion aggregate principal amount of 3.100% notes due 2022, $3.5 billion aggregate principal amount of 4.500% notes due 2042, $1 billion aggregate principal amount of three-month LIBOR plus 0.270% floating rate notes due 2013, and $0.5 billion aggregate principal amount of three-month LIBOR plus 0.500% floating rate notes due 2015. We expect primarily to use the net proceeds of these notes to partially fund the cash consideration of the pending acquisition of Goodrich and pay related fees, expenses and other amounts expected to become due and payable by UTC as a result of the acquisition. The remainder of the net proceeds from these notes, if any, will be used for general corporate purposes. The three-month LIBOR rate as of June 30, 2012 was approximately 0.5%.</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June 18, 2012, we issued 22,000,000 Equity Units. Each Equity Unit has a stated amount of $50 and initially is in the form of a corporate unit consisting of (a) a stock purchase contract under which the holder will purchase from us on August 1, 2015, a number of shares of our common stock determined pursuant to the terms of the agreement, and (b) a 1/20, or 5.0%, undivided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beneficial ownership interest in $1,000 principal amount of our 1.55% junior subordinated notes due 2022. Holders of the Equity Units will be entitled to receive quarterly contract adjustment payments at a rate of 5.95% per year on the stated amount of $50 per Equity Unit, subject to our right to defer such payments. We expect primarily to use the net proceeds of the Equity Units to partially fund the cash consideration of the pending acquisition of Goodrich and pay related fees, expenses and other amounts expected to become due and payable by UTC as a result of the acquisition. The remainder of the net proceeds from the Equity Units, if any, will be used for general corporate purposes. Following the issuance of the Equity Units, we further reduced the available commitments under our $15.0 billion bridge loan facility entered into on November 8, 2011, which is available to pay a portion of the cash consideration for the Goodrich acquisition, to $2 billion.</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June 30, 2012, we had revolving credit agreements with various banks permitting aggregate borrowings of up to $4 billion pursuant to a $2 billion revolving credit agreement and a $2 billion multicurrency revolving credit agreement, both of which expire in November 2016. As of June 30, 2012, there were no borrowings under either of these revolving credit agreements. The undrawn portions of our revolving credit agreements are also available to serve as backup facilities for the issuance of commercial paper. As of June 30, 2012, our maximum commercial paper borrowing authority as set by our Board of Directors was $4 billion. We generally use our commercial paper borrowings for general corporate purposes, including the funding of potential acquisitions and repurchases of our common stock.</w:t>
      </w:r>
    </w:p>
    <w:p>
      <w:pPr>
        <w:spacing w:after="0" w:line="14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continue to have access to the commercial paper markets and our existing credit facilities, and expect to continue to generate strong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Restricted cash as of June 30, 2012 and December 31, 2011 was approximately $10.7 billion and $37 million, respectively. The $10.7 billion of restricted cash was held as of June 30, 2012 in preparation for the acquisition of Goodrich, and is comprised of the proceeds received from the long-term debt and Equity Unit issuances during June 2012, described above.</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74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Borders>
              <w:top w:val="single" w:sz="8" w:color="auto"/>
            </w:tcBorders>
          </w:tcPr>
          <w:p>
            <w:pPr>
              <w:jc w:val="right"/>
              <w:ind w:right="146"/>
              <w:spacing w:after="0" w:line="129" w:lineRule="exact"/>
              <w:rPr>
                <w:sz w:val="20"/>
                <w:szCs w:val="20"/>
                <w:color w:val="auto"/>
              </w:rPr>
            </w:pPr>
            <w:r>
              <w:rPr>
                <w:rFonts w:ascii="Arial" w:cs="Arial" w:eastAsia="Arial" w:hAnsi="Arial"/>
                <w:sz w:val="14"/>
                <w:szCs w:val="14"/>
                <w:b w:val="1"/>
                <w:bCs w:val="1"/>
                <w:color w:val="auto"/>
              </w:rPr>
              <w:t>2012</w:t>
            </w:r>
          </w:p>
        </w:tc>
        <w:tc>
          <w:tcPr>
            <w:tcW w:w="1140" w:type="dxa"/>
            <w:vAlign w:val="bottom"/>
            <w:tcBorders>
              <w:top w:val="single" w:sz="8" w:color="auto"/>
            </w:tcBorders>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provided by operating activities of continuing operations</w:t>
            </w:r>
          </w:p>
        </w:tc>
        <w:tc>
          <w:tcPr>
            <w:tcW w:w="8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3,026</w:t>
            </w: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2,643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Cash generated from operating activities of continuing operations in the first six months of 2012 was $383 million higher than the same period in 2011, driven primarily by lower working capital cash requirements. While income from continuing operations increased by approximately $365 million, this included approximately $222 million of net gains from the portfolio transformation activities at UTC Climate, Controls &amp; Security and an approximately $218 million non-cash tax benefit from the conclusion of the IRS’s examination of the Company’s 2006 – 2008 tax years, which are netted out of operating cash flows through both other operating activities and the deferred tax provision. During the first six months of 2012, the net increase in working capital resulted in a cash outflow of $101 million compared to a cash outflow of $791 million during the first six months of 2011. This decrease of $690 million was primarily driven by a decrease in accounts receivable, due to strong collections, and increased advances at Sikorsky, Pratt &amp; Whitney and Otis, which were partially offset by an increase in inventories largely associated with anticipated volume changes at Sikorsky and Pratt &amp; Whitney.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first six months of 2012 and 2011 were $24 million and $70 million, respectively. We expect to make cash contributions of approximately $100 million to our foreign defined benefit pension plans and $200 million of voluntary stock contributions to our domestic pension plans in 2012. Our domestic pension plans are approximately 84% funded on a projected benefit obligation basis as of June 30, 2012 and we are not required to make additional contributions through the end of 2012. Contributions to our global defined benefit pension plans in 2012 are expected to meet or exceed the current funding requirements.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456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gridSpan w:val="5"/>
          </w:tcPr>
          <w:p>
            <w:pPr>
              <w:jc w:val="center"/>
              <w:ind w:right="58"/>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45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Borders>
              <w:top w:val="single" w:sz="8" w:color="auto"/>
            </w:tcBorders>
          </w:tcPr>
          <w:p>
            <w:pPr>
              <w:jc w:val="right"/>
              <w:ind w:right="226"/>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flows used in investing activities of continuing operations</w:t>
            </w:r>
          </w:p>
        </w:tc>
        <w:tc>
          <w:tcPr>
            <w:tcW w:w="10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(12,272</w:t>
            </w:r>
          </w:p>
        </w:tc>
        <w:tc>
          <w:tcPr>
            <w:tcW w:w="20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(302</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increase in cash used in investing activities of continuing operations was primarily a result of $10.7 billion of restricted cash held as of June 30, 2012 in preparation for the acquisition of Goodrich, as well as payments made to Rolls-Royce to acquire their ownership and collaboration interests in IAE and license its V2500 intellectual property to Pratt &amp; Whitney of approximately $1.5 billion in total. Partially offsetting these increases, concurrent with the closing of the purchase of Rolls-Royce’s interests in IAE, Pratt &amp; Whitney entered into a collaboration arrangement with MTU with respect to a portion of the acquired collaboration interest in IAE for consideration of approximately $233 million, with additional payments due to Pratt &amp; Whitney in the future. Investments in businesses in the first six months of 2012 consisted primarily of our acquisition of Rolls-Royce’s ownership interest in IAE and a number of small acquisitions in our commercial and aerospace businesses. Excluding spending for our pending acquisition of Goodrich and our acquisition of Rolls-Royce’s interests in IAE, we expect total cash investments for acquisitions in 2012 to be approximately $500 million, including acquisitions completed during the first six months of 2012. However, actual acquisition spending may vary depending upon the timing, availability and appropriate value of acquisition opportunities. Capital expenditures increased $60 million primarily at Pratt &amp; Whitney and Otis, which reflected expenditures related to investment in new programs and low-cost manufacturing facilities.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Customer financing activities were a net source of cash of $26 million and $29 million for the first six months of 2012 and 2011, respectively. While we expect that 2012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$2.8 billion, which now includes approximately $580 million of IAE commitments, related to commercial aircraft and certain contractual rights to provide product on new aircraft platforms at June 30, 2012, of which as much as $250 million may be required to be disbursed during 2012. We had commercial aerospace financing and other contractual commitments of approximately $2.3 billion at December 31, 2011.</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millions)</w:t>
            </w:r>
          </w:p>
        </w:tc>
        <w:tc>
          <w:tcPr>
            <w:tcW w:w="506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4"/>
          </w:tcPr>
          <w:p>
            <w:pPr>
              <w:jc w:val="right"/>
              <w:ind w:right="138"/>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top w:val="single" w:sz="8" w:color="auto"/>
            </w:tcBorders>
          </w:tcPr>
          <w:p>
            <w:pPr>
              <w:jc w:val="right"/>
              <w:ind w:right="126"/>
              <w:spacing w:after="0" w:line="129" w:lineRule="exact"/>
              <w:rPr>
                <w:sz w:val="20"/>
                <w:szCs w:val="20"/>
                <w:color w:val="auto"/>
              </w:rPr>
            </w:pPr>
            <w:r>
              <w:rPr>
                <w:rFonts w:ascii="Arial" w:cs="Arial" w:eastAsia="Arial" w:hAnsi="Arial"/>
                <w:sz w:val="14"/>
                <w:szCs w:val="14"/>
                <w:b w:val="1"/>
                <w:bCs w:val="1"/>
                <w:color w:val="auto"/>
              </w:rPr>
              <w:t>2012</w:t>
            </w:r>
          </w:p>
        </w:tc>
        <w:tc>
          <w:tcPr>
            <w:tcW w:w="112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Net cash flows provided by (used in) financing activities of continuing operations</w:t>
            </w: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9,377</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(1,099</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timing and levels of certain cash flow activities, such as acquisitions and repurchases of our stock, have resulted in the issuance of both long-term and short-term debt. In June 2012, we issued $9.8 billion of long-term debt and $1.1 billion of Equity Units. We expect to use the net proceeds of the long-term debt and Equity Units primarily to partially fund the cash consideration of our pending acquisition of Goodrich and pay related fees, expenses and other amounts expected to become due and payable by UTC as a result of the acquisition. Commercial paper borrowings and revolving credit facilities provide short-term liquidity to supplement operating cash flows and are used for general corporate purposes, including the funding of potential acquisitions and repurchases of our stock. We repaid the $455 million of outstanding commercial paper as of December 31, 2011 during the six months ended June 30, 2012, and had no outstanding commercial paper at June 30, 2012.</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a result of our pending acquisition of Goodrich, we have suspended share repurchases until at least January 1, 2013, and will significantly reduce repurchases for two years thereafter. At June 30, 2012, management had authority to repurchase approximately 7 million shares under the previously announced share repurchase program. When we repurchase shares, our share repurchases vary depending upon various factors including the level of other investing activities.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paid dividends on Common Stock of $0.48 per share in the first quarter of 2012 totaling $412 million in the aggregate and $0.48 per share in the second quarter of 2012 totaling $413 million in the aggregate. On June 13, 2012, the Board of Directors declared, effective as of July 5, 2012, a dividend of $0.535 per share payable September 10, 2012 to shareowners of record at the close of business on August 17, 2012.</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2011 Annual Report, incorporated by reference in our 2011 Form 10-K, we disclosed our off-balance sheet arrangements and contractual obligations. On June 29, 2012, Pratt &amp; Whitney, Rolls-Royce, MTU and JAEC, completed a restructuring of their interests in IAE. Under the terms of the agreement, Rolls-Royce sold its ownership and collaboration interests in IAE to Pratt &amp; Whitney, while also entering into a license for its V2500 intellectual property with Pratt &amp; Whitney. Concurrently, Pratt &amp; Whitney entered into a collaboration arrangement with MTU with respect to a portion of the acquired collaboration interest in IAE. As a result of the transactions, Pratt &amp; Whitney now consolidates IAE. As a result of the consolidation, purchase obligations increased $1.9 billion and are expected to be payable as follows: $436 million in 2012 and $1.5 billion in 2013 through 2014.</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exchange for the increased ownership and collaboration interests and intellectual property license, Pratt &amp; Whitney paid Rolls-Royce $1.5 billion at closing with additional payments due to Rolls-Royce contingent upon each hour flown by the V2500-powered aircraft in service as of June 29, 2012 during the fifteen year period following closing of the purchase. These payments will be capitalized as a collaboration intangible asset and amortized in relation to the economic benefits received over the projected remaining 30 year life of the V2500 program. Flight hour payments are estimated to be approximately $123 million in 2012, $593 million in 2013 through 2014, $646 million in 2015 through 2016, and $2.9 billion thereafter.</w:t>
      </w:r>
    </w:p>
    <w:p>
      <w:pPr>
        <w:spacing w:after="0" w:line="1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anticipation of our Goodrich acquisition, we issued $9.8 billion of long-term debt and $1.1 billion of Equity Units. Future interest payments on these issuances are estimated to be approximately $162 million in 2012, $722 million in 2013 through 2014, $614 million in 2015 through 2016, and $4,521 million thereafter.</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June 30, 2012, there have been no other material changes to off-balance sheet arrangements and contractual obligations outside the ordinary course of business except as otherwise disclosed.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has been no significant change in our exposure to market risk during the second quarter of 2012. For discussion of our exposure to market risk, refer to Part II, Item 7A, “Quantitative and Qualitative Disclosures About Market Risk,” contained in our 2011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required by Rule 13a-15 under the Securities Exchange Act of 1934, as amended (Exchange Act), we carried out an evaluation under the supervision and with the participation of our management, including the Chairman &amp; Chief Executive Officer (CEO), the Senior Vice President and Chief Financial Officer (CFO) and the Vice President, Controller (Controller), of the effectiveness of the design and operation of our disclosure controls and procedures as of June 30, 2012.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2012,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0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2012 that has materially affected, or is reasonably likely to materially affect, our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All forward-looking statements involve risks, uncertainties and other factors that may cause actual results to differ materially from those expressed or implied in the forward-looking statements. Such risks, uncertainties and other factors include, without limitation:</w:t>
      </w:r>
    </w:p>
    <w:p>
      <w:pPr>
        <w:spacing w:after="0" w:line="39" w:lineRule="exact"/>
        <w:rPr>
          <w:sz w:val="20"/>
          <w:szCs w:val="20"/>
          <w:color w:val="auto"/>
        </w:rPr>
      </w:pPr>
    </w:p>
    <w:p>
      <w:pPr>
        <w:ind w:left="900" w:right="60" w:hanging="325"/>
        <w:spacing w:after="0" w:line="323"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effect of economic conditions in the markets in which we operate in the United States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6" w:lineRule="exact"/>
        <w:rPr>
          <w:rFonts w:ascii="Arial" w:cs="Arial" w:eastAsia="Arial" w:hAnsi="Arial"/>
          <w:sz w:val="15"/>
          <w:szCs w:val="15"/>
          <w:color w:val="auto"/>
        </w:rPr>
      </w:pPr>
    </w:p>
    <w:p>
      <w:pPr>
        <w:ind w:left="900" w:right="5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respect of recently completed acquisitions, including the acquisition of Goodrich, our ability to integrate acquired operations and to realize synergies and opportunities for growth and innovation;</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other acquisition, divestiture and joint venture activity, including integration of acquired businesses into our existing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recently announced organizational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reduction efforts and restructuring costs and savings and other consequences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legal proceedings and other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changes in tax, environmental and other laws and regulations or political conditions in the United States and other countries in which we operate.</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Operations,” and “Liquidity and Financial Condition,” and the section titled “Risk Factors” in this Form 10-Q and in our 2011 Form 10-K. Our Form 10-K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2011 Annual Report in the section titled “Management’s Discussion and Analysis of Financial Condition and Results of Operations” under the headings “Environmental Matters” and “Restructuring Costs.” The forward-looking statements speak only as of the date of this Form 10-Q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As previously disclosed, the U.S.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its 1983 offer. In the absence of actual damages, the trial court judge awarded the DOJ the maximum civil penalty of $7.09 million, or $10,000 for each of the 709 invoices Pratt &amp; Whitney submitted in 1989 and later under the contracts. In September 2008, both the DOJ and UTC appealed the decision to the Sixth Circuit Court of Appeals. In November 2010, the Sixth Circuit affirmed Pratt &amp; Whitney’s liability under the False Claims Act and remanded the case to the trial court for further proceedings.</w:t>
      </w:r>
    </w:p>
    <w:p>
      <w:pPr>
        <w:spacing w:after="0" w:line="12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18, 2012, the trial court found that Pratt &amp; Whitney had breached other obligations imposed by common law based on the same conduct with respect to which the court previously found liability under the False Claims Act. Under the common law claims, the U.S. Air Force may seek damages for events occurring before March 3, 1989, which are not recoverable under the False Claims Act. Further proceedings at the trial court will determine the damages, if any, relating to the False Claims Act and common law claims. The government is expected to continue to seek damages of $624 million, plus interest. Pratt &amp; Whitney continues to contend that the government suffered no actual damages. Should the government ultimately prevail, the outcome of this matter could result in a material adverse effect on our results of operations in the period in which a liability would be recognized or cash flows for the period in which damages would be paid.</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 2006. These changes relate to the calculation of material overhead rates in government contracts. The DOD claims that Sikorsky’s liability is approximately $93 million (including interest through June 2012). We believe this claim is without merit and Sikorsky filed an appeal in December 2009 with the U.S. Court of Federal Claims. Trial in the matter is scheduled to commence later this year. We do not believe the resolution of this matter will have a material adverse effect on our competitive position, results of operations, cash flows or financial condition.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 significant portion of our activities are subject to export control regulation by the U.S. Department of State (State Department) under the U.S. Arms Export Control Act and International Traffic in Arms Regulations (ITAR). From time to time, we identify, investigate, remediate and voluntarily disclose to the State Department’s Office of Defense Trade Controls Compliance (DTCC) potential violations of the ITAR. DTCC administers the State Department’s authority under the ITAR to impose civil penalties and other administrative sanctions for violations, including debarment from engaging in the export of defense articles or defense services. Most of our voluntary disclosures are resolved without the imposition of penalties or other sanctions. However, as previously disclosed, in November 2011, DTCC informed us that it considers certain of our voluntary disclosures filed since 2005 to reflect deficiencies warranting penalties and sanctions. On June 28, 2012, we entered into a Consent Agreement (CA) with DTCC to resolve a Proposed Charging Letter that references approximately 45 of our previous disclosures. The CA has a four-year term, and provides that we will: (1) pay a civil penalty of $55 million, up to $20 million of which can be suspended based on qualifying compliance investments made by us prior to or during the term of the CA; (2) appoint, subject to DTCC approval, an outside Special Compliance Official (SCO) to oversee our compliance with the CA and the ITAR; (3) continue and undertake additional remedial actions to strengthen ITAR compliance, with emphasis on human resources and organization, training, automation, and security of electronic data; and (4) sponsor two company-wide outside compliance audits during the term of the CA.</w:t>
      </w:r>
    </w:p>
    <w:p>
      <w:pPr>
        <w:spacing w:after="0" w:line="12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voluntary disclosures addressed in the CA include disclosures made in 2006 and 2007 regarding the export by Hamilton Sundstrand to P&amp;WC of certain modifications to dual-use electronic engine control software, and the re-export by P&amp;WC of those software modifications and subsequent P&amp;WC-developed modifications to China during the period 2002-2004 for use in the development of the Z-10 Chinese military helicopter. As previously disclosed, the DOJ separately conducted a criminal investigation of the matters addressed in these disclosures, as well as the accuracy, adequacy, and timeliness of the disclosures. We cooperated with the DOJ’s investigation. On June 28, 2012, the U.S. Attorney for the District of Connecticut filed a three-count criminal information alleging: (1) that in 2002-2003, P&amp;WC caused Hamilton Sundstrand to export ITAR-controlled software modifications to Canada and re-exported them to China without the required license; (2) that in 2006, P&amp;WC, Hamilton Sundstrand and UTC made false statements in disclosures to DTCC regarding these ITAR violations; and (3) that P&amp;WC and Hamilton Sundstrand violated a separate provision of the ITAR by failing timely to notify DTCC of the unlicensed software shipments to China, an embargoed country. P&amp;WC pleaded guilty to violating the ITAR and making false statements as alleged, and was sentenced to probation and to pay fines and forfeitures totaling $6.9 million. P&amp;WC, Hamilton Sundstrand and UTC (the UTC Entities) entered into a Deferred Prosecution Agreement (DPA) regarding the remaining offenses charged with respect to each UTC Entity. The DPA has a two-year term, and provides that the UTC Entities will: (1) pay an additional penalty of $13.8 million; (2) appoint, subject to DOJ approval, an independent monitor (who may be the same person as the SCO appointed under the CA) to oversee compliance with the DPA; (3) provide annual senior officer certifications that all known violations of the ITAR, Export Administration Regulations and sanctions regimes implemented under the International Emergency Economic Powers Act occurring after the execution date of the DPA have been reported by UTC, its subsidiaries, and its majority-owned or controlled affiliates to the appropriate official(s) of the U.S. government; (4) cooperate with law enforcement in specified areas; and (5) implement specified compliance training initiatives.</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the previously disclosed potential liability recognized at March 31, 2012 of $55 million will be sufficient to discharge all amounts due under the CA and DPA.</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By reason of P&amp;WC’s guilty plea to a criminal violation of the ITAR, DTCC imposed a partial statutory debarment on P&amp;WC with respect to obtaining new or renewed ITAR license privileges. The debarment does not affect existing ITAR licenses/authorities, nor does it extend to programs supporting: (1) the U.S. government; (2) NATO allies; or (3) “major non-NATO allies” (as defined in the ITAR). P&amp;WC may seek “transaction exception” approvals on a case-by-case basis for new or renewed ITAR licensing in other cases during the period of debarment. P&amp;WC may apply for full reinstatement of ITAR privileges after one year. Various military department and defense agency officials are also reviewing the UTC Entities’ present responsibility under the Federal Acquisition Regulation and P&amp;WC’s eligibility to receive funds appropriated for fiscal year 2012 under the National Defense Appropriations Act. We do not believe the ultimate resolution of these matters, individually or collectively, will have a material adverse effect on our competitive position, results of operations, cash flows or financial condition.</w:t>
      </w:r>
    </w:p>
    <w:p>
      <w:pPr>
        <w:spacing w:after="0" w:line="14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as otherwise noted above, there have been no material developments in legal proceedings. For a description of previously reported legal proceedings refer to Part I, Item 3, “Legal Proceedings,” of our 2011 10-K and Part II, Item 1, “Legal Proceedings,” of our 2012 Form 10-Q for the quarter ended March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Although the global economy has gradually improved since the significant downturn of 2008 and 2009 when the global economy experienced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uncertainty continues to exist as to the overall rate and stability of the recovery. Global gross domestic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product growth continues to be led by emerging markets, particularly in Brazil, Russia, India and China, while in the developed economies, particularly in Europe, the recovery remains uncertain due to persistent high unemployment in the U.S. and Europe, a weak U.S. and European housing market, government budget reduction plans, the unwinding of fiscal stimuli and concerns over the deepening European sovereign debt crisis. In addition, China has shown signs of a short-term slowdown in construction and its overall gross domestic product growth rate, while still high, has decreased from the levels seen in 2011. As a result, further disruptions or slowdown in these or in other economies could affect our sales or liquidity.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consumer confidence in the U.S. has improved since the economic downturn, it still remains low, while, as mentioned above, unemployment remains high and the housing market remains weak. There can be no assurance that any of the recent economic improvements will be broad-based and sustainable, or that they will enhance conditions in markets relevant to us. Further, there can be no assurance that we will not experience further adverse effects that may be material to our cash flows, competitive position, financial condition, results of operations, or our ability to access capital. While these economic developments have not impaired our ability to access credit markets and finance our operations to date, there can be no assurance that there will not be a further deterioration in financial 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airlines and business jet operators, and government procurement. Strengthening of the rate of exchange for the U.S. Dollar against certain major currencies such as the Euro, the Canadian Dollar and other currencies also adversely affects our results, as the majority of our sales are non-U.S. based.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results of our commercial and industrial businesses, which generated approximately 58 percent of our consolidated net sales in 2011, are influenced by a number of external factors including fluctuations in residential and commercial construction activity, regulatory changes, interest rates, labor costs, foreign currency exchange rates, customer attrition, raw material and energy costs, the tightening of global credit markets and other global and political factors. For example, a slowdown in building and remodeling activity can adversely affect our UTC Climate, Controls &amp; Security segment. In addition to these factors, the financial performance of UTC Climate, Controls &amp; Security can also be influenced by production and utilization of transport equipment and, particularly in its residential business, weather conditions.</w:t>
      </w:r>
    </w:p>
    <w:p>
      <w:pPr>
        <w:spacing w:after="0" w:line="14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42 percent of our consolidated net sales in 2011, are directly tied to the economic conditions in the commercial aviation and defense industries, which are cyclical in nature. Although the operating environment currently faced by commercial airlines has shown signs of improvement in 2012 with many airlines returning to profitability, uncertainty continues to exist. As a result, financial difficulties, including bankruptcy, of one or more of the major commercial airlines could result in significant cancellations of orders, reductions in our aerospace sales and losses under existing contracts. In addition, capital spending and demand for aircraft engines, aerospace products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the demand for air travel and the aftermarket sales and margins of our aerospace businesses. Future terrorist actions, pandemic health issues or major natural disasters could dramatically reduce both the demand for air travel and our aerospace businesses aftermarket sales and margins. Also, since a substantial portion of the backlog for commercial aerospace customers is scheduled for delivery beyond 2012,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competitive position, results of operations, cash flows or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 and Laws Relating to Export of Goods and Technology</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damages it suffers. We are now, and believe that in light of the current U.S. government contracting environment we will continue to be, the subject of one or more U.S. government investigations relating to certain of our U.S. government contracts.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and/or bar us from bidding on or receiving new awards of U.S. government contracts.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As previously disclosed and as discussed in Part II, Item 1 “Legal Proceedings,” and in Note 14 to the Condensed Consolidated Financial Statements in this Form 10-Q, on June 28, 2012 we entered into a consent agreement with the DTCC and a deferred prosecution agreement with the DOJ regarding separate but related export licensing compliance violations, both of which impose significant continuing obligations. In addition, we are also sensitive to U.S. military budgets, which may fluctuate based on the policies of a new administration or Congress.</w:t>
      </w:r>
    </w:p>
    <w:p>
      <w:pPr>
        <w:spacing w:after="0" w:line="1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and Changes in Local Government Regulation</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61 percent of our total 2011 segment sales derived from international operations, including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United States are incurred in the applicable local currency (principally the Euro, the Canadian Dollar, and the Polish Zloty).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sales. See Note 1 and Note 13 to the Consolidated Financial Statements in our 2011 Annual Report and Note 9 to the Condensed Consolidated Financial Statements in this Form 10-Q for further discussion of our hedging strategies.</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addition, as part of our globalization strategy, we have invested in certain countries, including Argentina, Brazil, China, India, Mexico, Russia, South Africa and countries in the Middle East, that carry high levels of currency, political and economic risk. We expect that sales to emerging markets will continue to account for a significant portion of our sales as our business evolves and as these and other developing nations and regions around the world increase their demand for our products. Emerging market operations can present many risks, including civil disturbances, health concerns, cultural differences (such as employment and business practices), volatility in gross domestic product, economic and government instability, and the imposition of exchange controls and capital controls. While these factors and their impact are difficult to predict, any one or more of them could have a material adverse effect on our competitive position, results of operations, cash flows or financial condition.</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reliance on suppliers, third party contract manufacturing and commodity markets to secure raw materials, parts, components and sub-systems used in our products exposes us to volatility in the prices and availability of these materials. In many instances, we depend upon a single source of supply, manufacturing or assembly or participate in commodity markets that may be subject to allocations of limited supplies by suppliers. A disruption in deliveries from our suppliers or third party contract manufacturers,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supplier capacity constraints, supplier and third party contract manufacturer production disruptions, 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competitive position, results of operations, cash flows or financial condition.</w:t>
      </w:r>
    </w:p>
    <w:p>
      <w:pPr>
        <w:spacing w:after="0" w:line="1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8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seek to grow through strategic acquisitions in addition to internal growth. In the past several years, we have made various acquisitions and have entered into joint venture arrangements intended to complement and expand our businesses, and expect to do so in the future. For example, we recently completed our acquisition of Goodrich on July 26, 2012 and on June 29, 2012, Pratt &amp; Whitney completed its acquisition of the interests of Rolls-Royce in IAE. Further, on October 12, 2011 Pratt &amp; Whitney and Rolls-Royce announced an agreement to form a new joint venture to develop new engines to power the next generation of mid-size aircraft that will replace the existing fleet of mid-size aircraft currently in service or in development and MTU and JAEC subsequently agreed to join this new joint venture.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We may incur unanticipated costs or expenses, including post-closing asset impairment charges, expenses associated with eliminating duplicate facilities, litigation, and other liabilities. We also may encounter difficulties in integrating acquisitions with our operations, applying our internal controls processes to these acquisitions, or managing strategic investments. Additionally, we may not realize the degree or timing of benefits we anticipate when we first enter into a transaction. The success of our proposed acquisitions will depend on the satisfaction of conditions precedent to, and consummation of, the proposed transactions, the timing of consummation of these proposed transactions, and the ability of the parties to secure any required regulatory approvals in a timely manner. Any of the foregoing could adversely affect our business and results of operations.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These divestitures may result in continued financial involvement in the divested businesses, such as through guarantees or other financial arrangements, following the transaction. Under these arrangements, nonperformance by those divested businesses could result in obligations imposed on us and could affect our future financial results. In addition, as disclosed in Note 2 to the Condensed Consolidated Financial Statements in this Form 10-Q, the Board of Directors of the Company has approved a plan for the divestiture of a number of non-core businesses, and net cash generated from these divestitures is intended to be used to repay a portion of the short-term debt we incurred as part of the financing for the recently completed acquisition of Goodrich. Whether and when these divestitures are consummated and the consideration received or paid will determine how much of such debt we are able to repay using these divestiture proceeds and the timeframe of repayment.</w:t>
      </w:r>
    </w:p>
    <w:p>
      <w:pPr>
        <w:spacing w:after="0" w:line="128"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Our Acquisition of Goodrich May Underperform Relative to our Expectations; The Transaction May Cause Our Financial Results to Differ From Our Expectations or the Expectations of the Investment Community; We May Not Be Able to Achieve Anticipated Cost Savings or Other Anticipated Synergies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is unpredictability in the business and regulatory conditions affecting the industries in which we and Goodrich operate. The success of the acquisition will depend, in part, on our ability to realize the anticipated synergies, cost savings and growth opportunities from the integration of Goodrich with our existing businesses. The integration process may be complex, costly and time-consuming. The potential difficulties of integrating the operations of Goodrich and realizing our expectations for the acquisition include, among others:</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issues in integrating manufacturing, logistics, information, communications and other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in the combined business due to potential divestitures or other requirements imposed by antitrust regulators;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key customers, suppliers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and obtaining required regulatory approvals, licenses and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risks inherent in the Goodrich business and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our internal controls and compliance with the regulatory requirements under the Sarbanes-Oxley Act of 2002;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unanticipated issues, expenses and liabilities.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Debt Has Increased As A Result of the Goodrich Acquisition and Will Increase If We Incur Additional Debt in the Future and Do Not Retire Existing Debt.</w:t>
      </w:r>
    </w:p>
    <w:p>
      <w:pPr>
        <w:spacing w:after="0" w:line="13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have outstanding debt and other financial obligations and significant unused borrowing capacity. As of June 30, 2012, we had approximately $20.7 billion of total debt on a consolidated basis. We have incurred additional debt as a result of our financing of the Goodrich acquisition and have assumed approximately $1.7 billion of net Goodrich debt. Our debt level and related debt service obligations could have negative consequences, including:</w:t>
      </w:r>
    </w:p>
    <w:p>
      <w:pPr>
        <w:spacing w:after="0" w:line="26" w:lineRule="exact"/>
        <w:rPr>
          <w:sz w:val="20"/>
          <w:szCs w:val="20"/>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dedicate significant cash flow from operations to the payment of principal and interest on our debt, which would reduce the funds we have available for other purposes, such as acquisitions;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our flexibility in planning for or reacting to changes in our business and market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exposing us to interest rate risk since a portion of our debt obligations are at variable rates.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significantly more debt in the future. If we add new debt and do not retire existing debt, the risks described above could increase.</w:t>
      </w:r>
    </w:p>
    <w:p>
      <w:pPr>
        <w:spacing w:after="0" w:line="19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current global and domestic revolving credit facilities impose restrictions on us, including certain restrictions on our ability to incur liens on our assets. Our current revolving credit facilities are available for general corporate purposes. There are currently no amounts outstanding under our credit facilities. Our long-term debt obligations include covenants that may adversely affect our ability to incur certain secured indebtedness or engage in certain types of sale and leaseback transactions. Our ability to comply with these restrictions and covenants may be affected by events beyond our control. If we breach any of these restrictions or covenants and do not obtain a waiver from the lenders, then, subject to applicable cure periods, our outstanding indebtedness could be declared immediately due and payable.</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our products and products that incorporate technologies we develop. These factors involve significant risks and uncertainties. Any 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suppliers and subcontractors may encounter difficulties in developing and producing these new products and services, and may not realize the degree or timing of benefits initially anticipated. Due to the design complexity of our products, we may in the future experience delays in completing the development and introduction of new products. Any delays could result in increased development costs or deflect resources from other projects. For example, we cannot predict with certainty whether, when and in what quantities our aerospace businesses will produce and sell aircraft engines, helicopters, aircraft systems and components and other products currently in development or pending required certifications. Our contracts are typically awarded on a competitive basis. Our bids are based upon, among other items, the cost to provide the products and services. To generate an acceptable return on our investment in these contracts, we must be able to accurately estimate our costs to provide the services required by the contract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Furthermore, we cannot be sure that our competitors will not develop competing technologies which gain market acceptance in advance of or instead of our products. The possibility exists that our competitors might develop new technology or offerings that might cause our existing technology and offerings to become obsolete. Any of the foregoing could have a material adverse effect on our competitive position, results of operations, cash flows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Tax, Environmental and Other Legal Compliance Risks</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are subject to a variety of litigation, tax and legal compliance risks. These risks include, among other things, possible liability relating to product liability matters, personal injuries, intellectual property rights, contract-related claims, government contracts, taxes, environmental matters and compliance with U.S. and foreign export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damages), or suspension or debarment from government contracts. Independently, failure of us or one of our business units to comply with applicable export and trade practice laws could result in civil or criminal penalties, suspension, debarment or termination of export privileges. As previously disclosed and as discussed in Part II, Item 1 “Legal Proceedings,” and in Note 14 to the Condensed Consolidated Financial Statements in this Form 10-Q, on June 28, 2012 we entered into a consent agreement with the DTCC and a deferred prosecution agreement with the DOJ regarding separate but related export licensing compliance violations, both of which impose significant continuing obligations.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area of taxes,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investigations launched in the future by governmental authorities in various jurisdictions, and existing investigations could be expanded.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 material adverse effect on our results of operations in the period in which a liability would be recognized or cash flows for the period in which damages would be paid. For a description of current legal proceedings, see Part I, Item 3 “Legal Proceedings,” in our Form 10-K, as updated from time to time in subsequent filings, including this Form 10-Q. For income tax risks, we recognize tax benefits based on our assessment that a tax benefit has a greater than 50 percent likelihood of being sustained upon ultimate settlement with the applicable taxing authority that has full knowledge of all relevant facts. For those income tax positions where we assess that there is not a greater than 50 percent likelihood that such tax benefits will be sustained, we do not recognize a tax benefit in our financial statements. Subsequent events may cause us to change our assessment of the likelihood of sustaining a previously-recognized benefit which could result in a material adverse effect on our financial condition or results of operations in the period in which any such event occurs or on our cash flows in the period in which the ultimate settlement with the applicable taxing authority occurs.</w:t>
      </w:r>
    </w:p>
    <w:p>
      <w:pPr>
        <w:spacing w:after="0" w:line="12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Our Profitability May Be Hurt or Our Business Otherwise Might Be Adversely Affected</w:t>
      </w:r>
    </w:p>
    <w:p>
      <w:pPr>
        <w:spacing w:after="0" w:line="132"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direct and indirect overhead expense reductions as well as other savings. We may undertake further workforce reductions or restructuring actions in the future. These types of cost reduction and restructuring activities are complex. If we do not successfully manage our current restructuring activities, or any other restructuring activities that we may undertake in the future, expected efficiencies and benefits might be delayed or not realized, and our operations and business could be disrupted.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which could have a material adverse effect on our competitive position, results of operations, cash flows or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Information Technology and Other Business Disruptions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business may be impacted by disruptions, including information technology attacks or failures, threats to physical security, as well as damaging weather or other acts of nature, pandemics or other public health crises.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have experienced cybersecurity attacks in the past and may experience them in the future, potentially with more frequency. We believe that we have adopted appropriate measures to mitigate potential risks to our technology and our operations from these information technology-related and other potential disruptions. However, given the unpredictability of the timing, nature and scope of such disruptions, we could potentially be subject to production downtimes, operational delays, other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detrimental impacts on our operations or ability to provide products and services to our customers, the compromising of confidential or otherwise protected information, destruction or corruption of data, security breaches, other manipulation or improper use of our systems and networks, financial losses from remedial actions, loss of business or potential liability, and/or damage to our reputation, any of which could have a material adverse effect on our cash flows, competitive position, financial condition or results of operations.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Depend On Our Intellectual Property, and Have Access to Certain Intellectual Property and Information of Our Customers and Suppliers; Infringement or Failure to Protect Our Intellectual Property Could Adversely Affect Our Future Growth and Success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rely on a combination of patents, trademarks, copyrights, trade secrets, nondisclosure agreements, information technology security systems and other measures to protect our proprietary intellectual property. We also rely on nondisclosure agreements, information technology security systems and other measures to protect certain customer and supplier information and intellectual property that we have in our possession or to which we have access.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United States, which could make it easier for competitors to capture market position in such countries by utilizing technologies that are similar to those developed or licensed by us. We may also be subject to disruptions, losses and liability resulting from various cybersecurity attacks or information technology failures.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have experienced cybersecurity attacks in the past and may experience them in the future, potentially with more frequency.</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Any of these events or factors could diminish or cause us to lose the competitive advantages associated with our intellectual property, subject us to judgments, penalties and significant litigation costs or temporarily or permanently disrupt our sales and marketing of the affected products or services. Any of the foregoing could have a material adverse effect on our competitive position, results of operations, cash flows or financial condition.</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did not make any repurchases of our common stock under the current share repurchase program during the quarter ended June 30, 2012. Under the current program, which was announced on March 10, 2010 and which authorizes the repurchase of up to 60 million shares of our common stock, shares may be purchased on the open market, in privately negotiated transactions and under plans complying with Rules 10b5-1 and 10b-18 under the Securities Exchange Act of 1934, as amended. In connection with our pending acquisition of Goodrich, we announced that we will suspend additional share repurchases until at least January 1, 2013, and will significantly reduce repurchases for two years thereafter. The number of shares remaining for purchase under the current program is approximately 6,937,000. We may, however, continue to reacquire shares outside of this program from time to time in connection with the surrender of shares to cover taxes on the vesting of restricted stock. Approximately 3,000 shares were reacquired in transactions outside the program during the quarter ended June 30, 2012.</w:t>
      </w:r>
    </w:p>
    <w:p>
      <w:pPr>
        <w:spacing w:after="0" w:line="2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1"/>
              </w:rPr>
              <w:t>Item 6.</w:t>
            </w:r>
          </w:p>
        </w:tc>
        <w:tc>
          <w:tcPr>
            <w:tcW w:w="506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3340" w:type="dxa"/>
            <w:vAlign w:val="bottom"/>
          </w:tcPr>
          <w:p>
            <w:pPr>
              <w:spacing w:after="0"/>
              <w:rPr>
                <w:sz w:val="14"/>
                <w:szCs w:val="14"/>
                <w:color w:val="auto"/>
              </w:rPr>
            </w:pPr>
          </w:p>
        </w:tc>
      </w:tr>
      <w:tr>
        <w:trPr>
          <w:trHeight w:val="316"/>
        </w:trPr>
        <w:tc>
          <w:tcPr>
            <w:tcW w:w="620" w:type="dxa"/>
            <w:vAlign w:val="bottom"/>
            <w:gridSpan w:val="2"/>
          </w:tcPr>
          <w:p>
            <w:pPr>
              <w:jc w:val="right"/>
              <w:ind w:right="332"/>
              <w:spacing w:after="0"/>
              <w:rPr>
                <w:sz w:val="20"/>
                <w:szCs w:val="20"/>
                <w:color w:val="auto"/>
              </w:rPr>
            </w:pPr>
            <w:r>
              <w:rPr>
                <w:rFonts w:ascii="Arial" w:cs="Arial" w:eastAsia="Arial" w:hAnsi="Arial"/>
                <w:sz w:val="18"/>
                <w:szCs w:val="18"/>
                <w:color w:val="auto"/>
                <w:w w:val="99"/>
              </w:rPr>
              <w:t>12</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88"/>
              </w:rPr>
              <w:t>Statement re: computation of ratio of earnings to fixed charges.*</w:t>
            </w:r>
          </w:p>
        </w:tc>
      </w:tr>
      <w:tr>
        <w:trPr>
          <w:trHeight w:val="324"/>
        </w:trPr>
        <w:tc>
          <w:tcPr>
            <w:tcW w:w="620" w:type="dxa"/>
            <w:vAlign w:val="bottom"/>
            <w:gridSpan w:val="2"/>
          </w:tcPr>
          <w:p>
            <w:pPr>
              <w:jc w:val="right"/>
              <w:ind w:right="332"/>
              <w:spacing w:after="0"/>
              <w:rPr>
                <w:sz w:val="20"/>
                <w:szCs w:val="20"/>
                <w:color w:val="auto"/>
              </w:rPr>
            </w:pPr>
            <w:r>
              <w:rPr>
                <w:rFonts w:ascii="Arial" w:cs="Arial" w:eastAsia="Arial" w:hAnsi="Arial"/>
                <w:sz w:val="18"/>
                <w:szCs w:val="18"/>
                <w:color w:val="auto"/>
                <w:w w:val="99"/>
              </w:rPr>
              <w:t>15</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108"/>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108"/>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and six months ended June 30, 2012 and 2011, (ii) Condensed Consolidated Balance Sheet at June 30, 2012 and December 31, 2011, (iii) Condensed Consolidated Statement of Cash Flows for the six months ended June 30, 2012 and 2011 and (iv) Notes to Condensed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(Registrant)</w:t>
      </w:r>
    </w:p>
    <w:p>
      <w:pPr>
        <w:spacing w:after="0" w:line="232" w:lineRule="exact"/>
        <w:rPr>
          <w:sz w:val="20"/>
          <w:szCs w:val="20"/>
          <w:color w:val="auto"/>
        </w:rPr>
      </w:pPr>
    </w:p>
    <w:p>
      <w:pPr>
        <w:spacing w:after="0"/>
        <w:tabs>
          <w:tab w:leader="none" w:pos="5560" w:val="left"/>
          <w:tab w:leader="none" w:pos="7620" w:val="left"/>
          <w:tab w:leader="none" w:pos="8020" w:val="left"/>
        </w:tabs>
        <w:rPr>
          <w:sz w:val="20"/>
          <w:szCs w:val="20"/>
          <w:color w:val="auto"/>
        </w:rPr>
      </w:pPr>
      <w:r>
        <w:rPr>
          <w:rFonts w:ascii="Arial" w:cs="Arial" w:eastAsia="Arial" w:hAnsi="Arial"/>
          <w:sz w:val="18"/>
          <w:szCs w:val="18"/>
          <w:color w:val="auto"/>
        </w:rPr>
        <w:t>Dated: July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10795</wp:posOffset>
            </wp:positionV>
            <wp:extent cx="35591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Gregory J. Hayes</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5560" w:val="left"/>
          <w:tab w:leader="none" w:pos="7720" w:val="left"/>
          <w:tab w:leader="none" w:pos="8120" w:val="left"/>
        </w:tabs>
        <w:rPr>
          <w:sz w:val="20"/>
          <w:szCs w:val="20"/>
          <w:color w:val="auto"/>
        </w:rPr>
      </w:pPr>
      <w:r>
        <w:rPr>
          <w:rFonts w:ascii="Arial" w:cs="Arial" w:eastAsia="Arial" w:hAnsi="Arial"/>
          <w:sz w:val="18"/>
          <w:szCs w:val="18"/>
          <w:color w:val="auto"/>
        </w:rPr>
        <w:t>Dated: July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10795</wp:posOffset>
            </wp:positionV>
            <wp:extent cx="35591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Peter F. Longo</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Vice President, Controller</w:t>
      </w:r>
    </w:p>
    <w:p>
      <w:pPr>
        <w:spacing w:after="0" w:line="87"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(on behalf of the Registrant and as the Registrant’s Principal Accounting</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240" w:top="459" w:right="5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4060" w:type="dxa"/>
            <w:vAlign w:val="bottom"/>
            <w:gridSpan w:val="2"/>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utx-20120630_pre.xml)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quarters and six months ended June 30, 2012 and 2011, (ii) Condensed Consolidated Balance Sheet at June 30, 2012 and December 31, 2011, (iii) Condensed Consolidated Statement of Cash Flows for the six months ended June 30, 2012 and 2011, and (iv) Notes to Condensed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Ended June 30,</w:t>
            </w:r>
          </w:p>
        </w:tc>
        <w:tc>
          <w:tcPr>
            <w:tcW w:w="0" w:type="dxa"/>
            <w:vAlign w:val="bottom"/>
          </w:tcPr>
          <w:p>
            <w:pPr>
              <w:spacing w:after="0"/>
              <w:rPr>
                <w:sz w:val="1"/>
                <w:szCs w:val="1"/>
                <w:color w:val="auto"/>
              </w:rPr>
            </w:pPr>
          </w:p>
        </w:tc>
      </w:tr>
      <w:tr>
        <w:trPr>
          <w:trHeight w:val="149"/>
        </w:trPr>
        <w:tc>
          <w:tcPr>
            <w:tcW w:w="7180" w:type="dxa"/>
            <w:vAlign w:val="bottom"/>
            <w:gridSpan w:val="3"/>
            <w:vMerge w:val="continue"/>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Fixed Charges:</w:t>
            </w:r>
          </w:p>
        </w:tc>
        <w:tc>
          <w:tcPr>
            <w:tcW w:w="59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rPr>
              <w:t>Earnings:</w:t>
            </w: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180" w:type="dxa"/>
            <w:vAlign w:val="bottom"/>
            <w:gridSpan w:val="3"/>
            <w:vMerge w:val="continue"/>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income taxes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3,595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3,560</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Fixed charges per above</w:t>
            </w:r>
          </w:p>
        </w:tc>
        <w:tc>
          <w:tcPr>
            <w:tcW w:w="2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2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Total earnings</w:t>
            </w:r>
          </w:p>
        </w:tc>
        <w:tc>
          <w:tcPr>
            <w:tcW w:w="2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4,030</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Pursuant to the guidance in the Income Taxes Topic of the FASB ASC, interest related to unrecognized tax benefits recorded was approximately $17 million and $10 million for the six months ended June 30, 2012 and 2011, respectively. The ratio of earnings to fixed charges would have been 9.55 and 9.79 for the six months ended June 30, 2012 and 2011, respectively, if such interest were excluded from the calculation. Reasonable approximation of the interest factor.</w:t>
      </w:r>
    </w:p>
    <w:p>
      <w:pPr>
        <w:sectPr>
          <w:pgSz w:w="11900" w:h="16838" w:orient="portrait"/>
          <w:cols w:equalWidth="0" w:num="2">
            <w:col w:w="60" w:space="400"/>
            <w:col w:w="10960"/>
          </w:cols>
          <w:pgMar w:left="240" w:top="125" w:right="2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are aware that our report dated July 30, 2012 on our review of interim financial information of United Technologies Corporation (the “Corporation”) for the three-month and six-month periods ending June 30, 2012 and 2011 and included in the Corporation’s quarterly report on Form 10-Q for the quarter ended</w:t>
      </w:r>
    </w:p>
    <w:p>
      <w:pPr>
        <w:ind w:right="60"/>
        <w:spacing w:after="0" w:line="295" w:lineRule="auto"/>
        <w:rPr>
          <w:sz w:val="20"/>
          <w:szCs w:val="20"/>
          <w:color w:val="auto"/>
        </w:rPr>
      </w:pPr>
      <w:r>
        <w:rPr>
          <w:rFonts w:ascii="Arial" w:cs="Arial" w:eastAsia="Arial" w:hAnsi="Arial"/>
          <w:sz w:val="16"/>
          <w:szCs w:val="16"/>
          <w:color w:val="auto"/>
        </w:rPr>
        <w:t>June 30, 2012 is incorporated by reference in its Registration Statement on Form S-3 (No. 333-167771) as amended by Post-Effective Amendment No.1 on Form S-3 (No. 333-167771), in the Registration Statement on Form S-4 (No. 333-77991) as amended by Post-Effective Amendment No. 1 on Form S-8 (No. 333-77991) and in the Registration Statements on Form S-8 (Nos. 333-177520, 333-177517, 333-175781, 333-175780, 333-156390, 333-150643, 333-125293, 333-110020, 333-100724, 333-100723, 333-100718, 333-82911, 333-77817, 333-21853, 333-21851 and 033-51385).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July 30, 2012</w:t>
            </w:r>
          </w:p>
        </w:tc>
        <w:tc>
          <w:tcPr>
            <w:tcW w:w="560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July 30, 2012</w:t>
            </w: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27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Peter F. Longo,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F. L</w:t>
            </w:r>
            <w:r>
              <w:rPr>
                <w:rFonts w:ascii="Arial" w:cs="Arial" w:eastAsia="Arial" w:hAnsi="Arial"/>
                <w:sz w:val="14"/>
                <w:szCs w:val="14"/>
                <w:color w:val="auto"/>
              </w:rPr>
              <w:t>ONGO</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Peter F. Longo</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July 30, 2012</w:t>
            </w:r>
          </w:p>
        </w:tc>
        <w:tc>
          <w:tcPr>
            <w:tcW w:w="560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ectPr>
          <w:pgSz w:w="11900" w:h="16838" w:orient="portrait"/>
          <w:cols w:equalWidth="0" w:num="1">
            <w:col w:w="11420"/>
          </w:cols>
          <w:pgMar w:left="240" w:top="27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Quarterly Report on Form 10-Q for the quarter ended June 30, 2012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30, 2012</w:t>
      </w:r>
      <w:r>
        <w:rPr>
          <w:sz w:val="20"/>
          <w:szCs w:val="20"/>
          <w:color w:val="auto"/>
        </w:rPr>
        <w:tab/>
      </w:r>
      <w:r>
        <w:rPr>
          <w:rFonts w:ascii="Arial" w:cs="Arial" w:eastAsia="Arial" w:hAnsi="Arial"/>
          <w:sz w:val="16"/>
          <w:szCs w:val="16"/>
          <w:color w:val="auto"/>
        </w:rPr>
        <w:t>/s/ L</w:t>
      </w:r>
      <w:r>
        <w:rPr>
          <w:rFonts w:ascii="Arial" w:cs="Arial" w:eastAsia="Arial" w:hAnsi="Arial"/>
          <w:sz w:val="13"/>
          <w:szCs w:val="13"/>
          <w:color w:val="auto"/>
        </w:rPr>
        <w:t>OUIS</w:t>
      </w:r>
      <w:r>
        <w:rPr>
          <w:rFonts w:ascii="Arial" w:cs="Arial" w:eastAsia="Arial" w:hAnsi="Arial"/>
          <w:sz w:val="16"/>
          <w:szCs w:val="16"/>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&amp; Chief Executive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30, 2012</w:t>
      </w:r>
      <w:r>
        <w:rPr>
          <w:sz w:val="20"/>
          <w:szCs w:val="20"/>
          <w:color w:val="auto"/>
        </w:rPr>
        <w:tab/>
      </w:r>
      <w:r>
        <w:rPr>
          <w:rFonts w:ascii="Arial" w:cs="Arial" w:eastAsia="Arial" w:hAnsi="Arial"/>
          <w:sz w:val="16"/>
          <w:szCs w:val="16"/>
          <w:color w:val="auto"/>
        </w:rPr>
        <w:t>/s/ 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30, 2012</w:t>
      </w:r>
      <w:r>
        <w:rPr>
          <w:sz w:val="20"/>
          <w:szCs w:val="20"/>
          <w:color w:val="auto"/>
        </w:rPr>
        <w:tab/>
      </w:r>
      <w:r>
        <w:rPr>
          <w:rFonts w:ascii="Arial" w:cs="Arial" w:eastAsia="Arial" w:hAnsi="Arial"/>
          <w:sz w:val="16"/>
          <w:szCs w:val="16"/>
          <w:color w:val="auto"/>
        </w:rPr>
        <w:t>/s/ 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F. Longo</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and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31"/>
    </w:lvl>
  </w:abstractNum>
  <w:abstractNum w:abstractNumId="13">
    <w:nsid w:val="41A7C4C9"/>
    <w:multiLevelType w:val="hybridMultilevel"/>
    <w:lvl w:ilvl="0">
      <w:lvlJc w:val="left"/>
      <w:lvlText w:val="%1"/>
      <w:numFmt w:val="decimal"/>
      <w:start w:val="3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2019-12-09T07:49:21Z</dcterms:created>
  <dcterms:modified xsi:type="dcterms:W3CDTF">2019-12-09T07:49:21Z</dcterms:modified>
</cp:coreProperties>
</file>