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34"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UNITED STATES</w:t>
      </w:r>
    </w:p>
    <w:p>
      <w:pPr>
        <w:spacing w:after="0" w:line="5"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SECURITIES AND EXCHANGE COMMISSION</w:t>
      </w:r>
    </w:p>
    <w:p>
      <w:pPr>
        <w:spacing w:after="0" w:line="5"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Washington, D.C. 20549</w:t>
      </w:r>
    </w:p>
    <w:p>
      <w:pPr>
        <w:spacing w:after="0" w:line="220" w:lineRule="exact"/>
        <w:rPr>
          <w:sz w:val="24"/>
          <w:szCs w:val="24"/>
          <w:color w:val="auto"/>
        </w:rPr>
      </w:pPr>
    </w:p>
    <w:p>
      <w:pPr>
        <w:jc w:val="center"/>
        <w:ind w:right="-279"/>
        <w:spacing w:after="0"/>
        <w:rPr>
          <w:sz w:val="20"/>
          <w:szCs w:val="20"/>
          <w:color w:val="auto"/>
        </w:rPr>
      </w:pPr>
      <w:r>
        <w:rPr>
          <w:rFonts w:ascii="Arial" w:cs="Arial" w:eastAsia="Arial" w:hAnsi="Arial"/>
          <w:sz w:val="17"/>
          <w:szCs w:val="17"/>
          <w:color w:val="auto"/>
        </w:rPr>
        <w:t>SCHEDULE 14A</w:t>
      </w:r>
    </w:p>
    <w:p>
      <w:pPr>
        <w:spacing w:after="0" w:line="220" w:lineRule="exact"/>
        <w:rPr>
          <w:sz w:val="24"/>
          <w:szCs w:val="24"/>
          <w:color w:val="auto"/>
        </w:rPr>
      </w:pPr>
    </w:p>
    <w:p>
      <w:pPr>
        <w:ind w:left="3700"/>
        <w:spacing w:after="0"/>
        <w:rPr>
          <w:sz w:val="20"/>
          <w:szCs w:val="20"/>
          <w:color w:val="auto"/>
        </w:rPr>
      </w:pPr>
      <w:r>
        <w:rPr>
          <w:rFonts w:ascii="Arial" w:cs="Arial" w:eastAsia="Arial" w:hAnsi="Arial"/>
          <w:sz w:val="17"/>
          <w:szCs w:val="17"/>
          <w:color w:val="auto"/>
        </w:rPr>
        <w:t>Proxy Statement Pursuant to Section 14(a) of the</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7"/>
          <w:szCs w:val="17"/>
          <w:color w:val="auto"/>
        </w:rPr>
        <w:t>Securities Exchange Act of 1934 (Amendment No. )</w:t>
      </w:r>
    </w:p>
    <w:p>
      <w:pPr>
        <w:spacing w:after="0" w:line="155" w:lineRule="exact"/>
        <w:rPr>
          <w:sz w:val="24"/>
          <w:szCs w:val="24"/>
          <w:color w:val="auto"/>
        </w:rPr>
      </w:pPr>
    </w:p>
    <w:p>
      <w:pPr>
        <w:spacing w:after="0" w:line="242" w:lineRule="exact"/>
        <w:tabs>
          <w:tab w:leader="none" w:pos="7460" w:val="left"/>
        </w:tabs>
        <w:rPr>
          <w:sz w:val="20"/>
          <w:szCs w:val="20"/>
          <w:color w:val="auto"/>
        </w:rPr>
      </w:pPr>
      <w:r>
        <w:rPr>
          <w:rFonts w:ascii="MS PGothic" w:cs="MS PGothic" w:eastAsia="MS PGothic" w:hAnsi="MS PGothic"/>
          <w:sz w:val="21"/>
          <w:szCs w:val="21"/>
          <w:color w:val="auto"/>
        </w:rPr>
        <w:t>☑</w:t>
      </w:r>
      <w:r>
        <w:rPr>
          <w:rFonts w:ascii="Arial" w:cs="Arial" w:eastAsia="Arial" w:hAnsi="Arial"/>
          <w:sz w:val="17"/>
          <w:szCs w:val="17"/>
          <w:color w:val="auto"/>
        </w:rPr>
        <w:t xml:space="preserve"> Filed by the Registrant</w:t>
      </w:r>
      <w:r>
        <w:rPr>
          <w:sz w:val="20"/>
          <w:szCs w:val="20"/>
          <w:color w:val="auto"/>
        </w:rPr>
        <w:tab/>
      </w:r>
      <w:r>
        <w:rPr>
          <w:rFonts w:ascii="MS PGothic" w:cs="MS PGothic" w:eastAsia="MS PGothic" w:hAnsi="MS PGothic"/>
          <w:sz w:val="21"/>
          <w:szCs w:val="21"/>
          <w:color w:val="auto"/>
        </w:rPr>
        <w:t xml:space="preserve">☐ </w:t>
      </w:r>
      <w:r>
        <w:rPr>
          <w:rFonts w:ascii="Arial" w:cs="Arial" w:eastAsia="Arial" w:hAnsi="Arial"/>
          <w:sz w:val="17"/>
          <w:szCs w:val="17"/>
          <w:color w:val="auto"/>
        </w:rPr>
        <w:t>Filed by a party other than the Registrant</w:t>
      </w:r>
    </w:p>
    <w:p>
      <w:pPr>
        <w:spacing w:after="0" w:line="318" w:lineRule="exact"/>
        <w:rPr>
          <w:sz w:val="24"/>
          <w:szCs w:val="24"/>
          <w:color w:val="auto"/>
        </w:rPr>
      </w:pPr>
    </w:p>
    <w:p>
      <w:pPr>
        <w:ind w:left="80"/>
        <w:spacing w:after="0"/>
        <w:rPr>
          <w:sz w:val="20"/>
          <w:szCs w:val="20"/>
          <w:color w:val="auto"/>
        </w:rPr>
      </w:pPr>
      <w:r>
        <w:rPr>
          <w:rFonts w:ascii="Arial" w:cs="Arial" w:eastAsia="Arial" w:hAnsi="Arial"/>
          <w:sz w:val="17"/>
          <w:szCs w:val="17"/>
          <w:color w:val="auto"/>
        </w:rPr>
        <w:t>CHECK THE APPROPRIATE BOX:</w:t>
      </w:r>
    </w:p>
    <w:p>
      <w:pPr>
        <w:spacing w:after="0" w:line="52" w:lineRule="exact"/>
        <w:rPr>
          <w:sz w:val="24"/>
          <w:szCs w:val="24"/>
          <w:color w:val="auto"/>
        </w:rPr>
      </w:pPr>
    </w:p>
    <w:p>
      <w:pPr>
        <w:ind w:left="540" w:hanging="462"/>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Preliminary Proxy Statement</w:t>
      </w:r>
    </w:p>
    <w:p>
      <w:pPr>
        <w:spacing w:after="0" w:line="44" w:lineRule="exact"/>
        <w:rPr>
          <w:rFonts w:ascii="MS PGothic" w:cs="MS PGothic" w:eastAsia="MS PGothic" w:hAnsi="MS PGothic"/>
          <w:sz w:val="21"/>
          <w:szCs w:val="21"/>
          <w:color w:val="auto"/>
        </w:rPr>
      </w:pPr>
    </w:p>
    <w:p>
      <w:pPr>
        <w:ind w:left="80" w:right="4260" w:hanging="2"/>
        <w:spacing w:after="0" w:line="254" w:lineRule="exact"/>
        <w:tabs>
          <w:tab w:leader="none" w:pos="544"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 xml:space="preserve">Confidential, for Use of the Commission Only (as permitted by Rule 14a-6(e)(2)) </w:t>
      </w:r>
      <w:r>
        <w:rPr>
          <w:rFonts w:ascii="MS PGothic" w:cs="MS PGothic" w:eastAsia="MS PGothic" w:hAnsi="MS PGothic"/>
          <w:sz w:val="21"/>
          <w:szCs w:val="21"/>
          <w:color w:val="auto"/>
        </w:rPr>
        <w:t>☑</w:t>
      </w:r>
      <w:r>
        <w:rPr>
          <w:rFonts w:ascii="Arial" w:cs="Arial" w:eastAsia="Arial" w:hAnsi="Arial"/>
          <w:sz w:val="17"/>
          <w:szCs w:val="17"/>
          <w:color w:val="auto"/>
        </w:rPr>
        <w:t xml:space="preserve"> Definitive Proxy Statement</w:t>
      </w:r>
    </w:p>
    <w:p>
      <w:pPr>
        <w:spacing w:after="0" w:line="1"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Definitive Additional Materials</w:t>
      </w:r>
    </w:p>
    <w:p>
      <w:pPr>
        <w:spacing w:after="0" w:line="45"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17"/>
          <w:szCs w:val="17"/>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-797560</wp:posOffset>
            </wp:positionV>
            <wp:extent cx="7133590" cy="8159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15975"/>
                    </a:xfrm>
                    <a:prstGeom prst="rect">
                      <a:avLst/>
                    </a:prstGeom>
                    <a:noFill/>
                  </pic:spPr>
                </pic:pic>
              </a:graphicData>
            </a:graphic>
          </wp:anchor>
        </w:drawing>
        <w:drawing>
          <wp:anchor simplePos="0" relativeHeight="251657728" behindDoc="1" locked="0" layoutInCell="0" allowOverlap="1">
            <wp:simplePos x="0" y="0"/>
            <wp:positionH relativeFrom="column">
              <wp:posOffset>2937510</wp:posOffset>
            </wp:positionH>
            <wp:positionV relativeFrom="paragraph">
              <wp:posOffset>154305</wp:posOffset>
            </wp:positionV>
            <wp:extent cx="1275080" cy="3314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5080" cy="3314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79"/>
        <w:spacing w:after="0"/>
        <w:rPr>
          <w:sz w:val="20"/>
          <w:szCs w:val="20"/>
          <w:color w:val="auto"/>
        </w:rPr>
      </w:pPr>
      <w:r>
        <w:rPr>
          <w:rFonts w:ascii="Arial" w:cs="Arial" w:eastAsia="Arial" w:hAnsi="Arial"/>
          <w:sz w:val="21"/>
          <w:szCs w:val="21"/>
          <w:b w:val="1"/>
          <w:bCs w:val="1"/>
          <w:color w:val="auto"/>
        </w:rPr>
        <w:t>Raytheon Technologies Corporation</w:t>
      </w:r>
    </w:p>
    <w:p>
      <w:pPr>
        <w:spacing w:after="0" w:line="243" w:lineRule="exact"/>
        <w:rPr>
          <w:sz w:val="24"/>
          <w:szCs w:val="24"/>
          <w:color w:val="auto"/>
        </w:rPr>
      </w:pPr>
    </w:p>
    <w:p>
      <w:pPr>
        <w:jc w:val="center"/>
        <w:ind w:right="-279"/>
        <w:spacing w:after="0"/>
        <w:rPr>
          <w:sz w:val="20"/>
          <w:szCs w:val="20"/>
          <w:color w:val="auto"/>
        </w:rPr>
      </w:pPr>
      <w:r>
        <w:rPr>
          <w:rFonts w:ascii="Arial" w:cs="Arial" w:eastAsia="Arial" w:hAnsi="Arial"/>
          <w:sz w:val="13"/>
          <w:szCs w:val="13"/>
          <w:color w:val="auto"/>
        </w:rPr>
        <w:t>(Name of Registrant as Specified In Its Charter)</w:t>
      </w:r>
    </w:p>
    <w:p>
      <w:pPr>
        <w:jc w:val="center"/>
        <w:ind w:right="-279"/>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229" w:lineRule="exact"/>
        <w:rPr>
          <w:sz w:val="24"/>
          <w:szCs w:val="24"/>
          <w:color w:val="auto"/>
        </w:rPr>
      </w:pPr>
    </w:p>
    <w:p>
      <w:pPr>
        <w:ind w:left="80"/>
        <w:spacing w:after="0"/>
        <w:rPr>
          <w:sz w:val="20"/>
          <w:szCs w:val="20"/>
          <w:color w:val="auto"/>
        </w:rPr>
      </w:pPr>
      <w:r>
        <w:rPr>
          <w:rFonts w:ascii="Arial" w:cs="Arial" w:eastAsia="Arial" w:hAnsi="Arial"/>
          <w:sz w:val="17"/>
          <w:szCs w:val="17"/>
          <w:color w:val="auto"/>
        </w:rPr>
        <w:t>PAYMENT OF FILING FEE (CHECK ALL BOXES THAT APPLY):</w:t>
      </w:r>
    </w:p>
    <w:p>
      <w:pPr>
        <w:spacing w:after="0" w:line="52" w:lineRule="exact"/>
        <w:rPr>
          <w:sz w:val="24"/>
          <w:szCs w:val="24"/>
          <w:color w:val="auto"/>
        </w:rPr>
      </w:pPr>
    </w:p>
    <w:p>
      <w:pPr>
        <w:ind w:left="540" w:hanging="462"/>
        <w:spacing w:after="0"/>
        <w:tabs>
          <w:tab w:leader="none" w:pos="540" w:val="left"/>
        </w:tabs>
        <w:numPr>
          <w:ilvl w:val="0"/>
          <w:numId w:val="2"/>
        </w:numPr>
        <w:rPr>
          <w:rFonts w:ascii="MS PGothic" w:cs="MS PGothic" w:eastAsia="MS PGothic" w:hAnsi="MS PGothic"/>
          <w:sz w:val="21"/>
          <w:szCs w:val="21"/>
          <w:color w:val="auto"/>
        </w:rPr>
      </w:pPr>
      <w:r>
        <w:rPr>
          <w:rFonts w:ascii="Arial" w:cs="Arial" w:eastAsia="Arial" w:hAnsi="Arial"/>
          <w:sz w:val="17"/>
          <w:szCs w:val="17"/>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-151130</wp:posOffset>
            </wp:positionV>
            <wp:extent cx="7133590" cy="484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484505"/>
                    </a:xfrm>
                    <a:prstGeom prst="rect">
                      <a:avLst/>
                    </a:prstGeom>
                    <a:noFill/>
                  </pic:spPr>
                </pic:pic>
              </a:graphicData>
            </a:graphic>
          </wp:anchor>
        </w:drawing>
      </w:r>
    </w:p>
    <w:p>
      <w:pPr>
        <w:spacing w:after="0" w:line="18" w:lineRule="exact"/>
        <w:rPr>
          <w:sz w:val="24"/>
          <w:szCs w:val="24"/>
          <w:color w:val="auto"/>
        </w:rPr>
      </w:pPr>
    </w:p>
    <w:p>
      <w:pPr>
        <w:ind w:left="540" w:hanging="462"/>
        <w:spacing w:after="0"/>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paid previously with preliminary materials</w:t>
      </w:r>
    </w:p>
    <w:p>
      <w:pPr>
        <w:spacing w:after="0" w:line="44" w:lineRule="exact"/>
        <w:rPr>
          <w:rFonts w:ascii="MS PGothic" w:cs="MS PGothic" w:eastAsia="MS PGothic" w:hAnsi="MS PGothic"/>
          <w:sz w:val="21"/>
          <w:szCs w:val="21"/>
          <w:color w:val="auto"/>
        </w:rPr>
      </w:pPr>
    </w:p>
    <w:p>
      <w:pPr>
        <w:ind w:left="540" w:hanging="462"/>
        <w:spacing w:after="0" w:line="232" w:lineRule="auto"/>
        <w:tabs>
          <w:tab w:leader="none" w:pos="540" w:val="left"/>
        </w:tabs>
        <w:numPr>
          <w:ilvl w:val="0"/>
          <w:numId w:val="3"/>
        </w:numPr>
        <w:rPr>
          <w:rFonts w:ascii="MS PGothic" w:cs="MS PGothic" w:eastAsia="MS PGothic" w:hAnsi="MS PGothic"/>
          <w:sz w:val="21"/>
          <w:szCs w:val="21"/>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335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236855</wp:posOffset>
            </wp:positionV>
            <wp:extent cx="715454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960"/>
          </w:cols>
          <w:pgMar w:left="320" w:top="224" w:right="6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wp:posOffset>
            </wp:positionH>
            <wp:positionV relativeFrom="paragraph">
              <wp:posOffset>120650</wp:posOffset>
            </wp:positionV>
            <wp:extent cx="6036945" cy="77368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36945" cy="7736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280"/>
        <w:spacing w:after="0"/>
        <w:rPr>
          <w:sz w:val="20"/>
          <w:szCs w:val="20"/>
          <w:color w:val="auto"/>
        </w:rPr>
      </w:pPr>
      <w:r>
        <w:rPr>
          <w:rFonts w:ascii="Arial" w:cs="Arial" w:eastAsia="Arial" w:hAnsi="Arial"/>
          <w:sz w:val="52"/>
          <w:szCs w:val="52"/>
          <w:b w:val="1"/>
          <w:bCs w:val="1"/>
          <w:color w:val="61666D"/>
        </w:rPr>
        <w:t>Transforming</w:t>
      </w:r>
    </w:p>
    <w:p>
      <w:pPr>
        <w:spacing w:after="0" w:line="48" w:lineRule="exact"/>
        <w:rPr>
          <w:sz w:val="20"/>
          <w:szCs w:val="20"/>
          <w:color w:val="auto"/>
        </w:rPr>
      </w:pPr>
    </w:p>
    <w:p>
      <w:pPr>
        <w:ind w:left="6280"/>
        <w:spacing w:after="0"/>
        <w:rPr>
          <w:sz w:val="20"/>
          <w:szCs w:val="20"/>
          <w:color w:val="auto"/>
        </w:rPr>
      </w:pPr>
      <w:r>
        <w:rPr>
          <w:rFonts w:ascii="Arial" w:cs="Arial" w:eastAsia="Arial" w:hAnsi="Arial"/>
          <w:sz w:val="52"/>
          <w:szCs w:val="52"/>
          <w:b w:val="1"/>
          <w:bCs w:val="1"/>
          <w:color w:val="61666D"/>
        </w:rPr>
        <w:t>our industry for</w:t>
      </w:r>
    </w:p>
    <w:p>
      <w:pPr>
        <w:ind w:left="6280"/>
        <w:spacing w:after="0" w:line="236" w:lineRule="auto"/>
        <w:rPr>
          <w:sz w:val="20"/>
          <w:szCs w:val="20"/>
          <w:color w:val="auto"/>
        </w:rPr>
      </w:pPr>
      <w:r>
        <w:rPr>
          <w:rFonts w:ascii="Arial" w:cs="Arial" w:eastAsia="Arial" w:hAnsi="Arial"/>
          <w:sz w:val="52"/>
          <w:szCs w:val="52"/>
          <w:b w:val="1"/>
          <w:bCs w:val="1"/>
          <w:color w:val="CE0F2D"/>
        </w:rPr>
        <w:t>a safer, more</w:t>
      </w:r>
    </w:p>
    <w:p>
      <w:pPr>
        <w:ind w:left="6280"/>
        <w:spacing w:after="0" w:line="236" w:lineRule="auto"/>
        <w:rPr>
          <w:sz w:val="20"/>
          <w:szCs w:val="20"/>
          <w:color w:val="auto"/>
        </w:rPr>
      </w:pPr>
      <w:r>
        <w:rPr>
          <w:rFonts w:ascii="Arial" w:cs="Arial" w:eastAsia="Arial" w:hAnsi="Arial"/>
          <w:sz w:val="52"/>
          <w:szCs w:val="52"/>
          <w:b w:val="1"/>
          <w:bCs w:val="1"/>
          <w:color w:val="CE0F2D"/>
        </w:rPr>
        <w:t>connected</w:t>
      </w:r>
    </w:p>
    <w:p>
      <w:pPr>
        <w:spacing w:after="0" w:line="2" w:lineRule="exact"/>
        <w:rPr>
          <w:sz w:val="20"/>
          <w:szCs w:val="20"/>
          <w:color w:val="auto"/>
        </w:rPr>
      </w:pPr>
    </w:p>
    <w:p>
      <w:pPr>
        <w:ind w:left="6280"/>
        <w:spacing w:after="0"/>
        <w:rPr>
          <w:sz w:val="20"/>
          <w:szCs w:val="20"/>
          <w:color w:val="auto"/>
        </w:rPr>
      </w:pPr>
      <w:r>
        <w:rPr>
          <w:rFonts w:ascii="Arial" w:cs="Arial" w:eastAsia="Arial" w:hAnsi="Arial"/>
          <w:sz w:val="52"/>
          <w:szCs w:val="52"/>
          <w:b w:val="1"/>
          <w:bCs w:val="1"/>
          <w:color w:val="CE0F2D"/>
        </w:rPr>
        <w:t>world.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280"/>
        <w:spacing w:after="0"/>
        <w:rPr>
          <w:sz w:val="20"/>
          <w:szCs w:val="20"/>
          <w:color w:val="auto"/>
        </w:rPr>
      </w:pPr>
      <w:r>
        <w:rPr>
          <w:rFonts w:ascii="Arial" w:cs="Arial" w:eastAsia="Arial" w:hAnsi="Arial"/>
          <w:sz w:val="21"/>
          <w:szCs w:val="21"/>
          <w:b w:val="1"/>
          <w:bCs w:val="1"/>
          <w:color w:val="243B47"/>
        </w:rPr>
        <w:t>Notice of 2022</w:t>
      </w:r>
    </w:p>
    <w:p>
      <w:pPr>
        <w:spacing w:after="0" w:line="25" w:lineRule="exact"/>
        <w:rPr>
          <w:sz w:val="20"/>
          <w:szCs w:val="20"/>
          <w:color w:val="auto"/>
        </w:rPr>
      </w:pPr>
    </w:p>
    <w:p>
      <w:pPr>
        <w:ind w:left="8280"/>
        <w:spacing w:after="0"/>
        <w:rPr>
          <w:sz w:val="20"/>
          <w:szCs w:val="20"/>
          <w:color w:val="auto"/>
        </w:rPr>
      </w:pPr>
      <w:r>
        <w:rPr>
          <w:rFonts w:ascii="Arial" w:cs="Arial" w:eastAsia="Arial" w:hAnsi="Arial"/>
          <w:sz w:val="21"/>
          <w:szCs w:val="21"/>
          <w:b w:val="1"/>
          <w:bCs w:val="1"/>
          <w:color w:val="243B47"/>
        </w:rPr>
        <w:t>Annual Meeting of</w:t>
      </w:r>
    </w:p>
    <w:p>
      <w:pPr>
        <w:ind w:left="8280"/>
        <w:spacing w:after="0"/>
        <w:rPr>
          <w:sz w:val="20"/>
          <w:szCs w:val="20"/>
          <w:color w:val="auto"/>
        </w:rPr>
      </w:pPr>
      <w:r>
        <w:rPr>
          <w:rFonts w:ascii="Arial" w:cs="Arial" w:eastAsia="Arial" w:hAnsi="Arial"/>
          <w:sz w:val="21"/>
          <w:szCs w:val="21"/>
          <w:b w:val="1"/>
          <w:bCs w:val="1"/>
          <w:color w:val="243B47"/>
        </w:rPr>
        <w:t>Shareowners</w:t>
      </w:r>
    </w:p>
    <w:p>
      <w:pPr>
        <w:ind w:left="8280"/>
        <w:spacing w:after="0"/>
        <w:rPr>
          <w:sz w:val="20"/>
          <w:szCs w:val="20"/>
          <w:color w:val="auto"/>
        </w:rPr>
      </w:pPr>
      <w:r>
        <w:rPr>
          <w:rFonts w:ascii="Arial" w:cs="Arial" w:eastAsia="Arial" w:hAnsi="Arial"/>
          <w:sz w:val="21"/>
          <w:szCs w:val="21"/>
          <w:b w:val="1"/>
          <w:bCs w:val="1"/>
          <w:color w:val="243B47"/>
        </w:rPr>
        <w:t>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715454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420"/>
          </w:cols>
          <w:pgMar w:left="320" w:top="118" w:right="11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96" w:lineRule="exact"/>
        <w:rPr>
          <w:sz w:val="20"/>
          <w:szCs w:val="20"/>
          <w:color w:val="auto"/>
        </w:rPr>
      </w:pPr>
    </w:p>
    <w:p>
      <w:pPr>
        <w:spacing w:after="0"/>
        <w:rPr>
          <w:sz w:val="20"/>
          <w:szCs w:val="20"/>
          <w:color w:val="auto"/>
        </w:rPr>
      </w:pPr>
      <w:r>
        <w:rPr>
          <w:rFonts w:ascii="Arial" w:cs="Arial" w:eastAsia="Arial" w:hAnsi="Arial"/>
          <w:sz w:val="86"/>
          <w:szCs w:val="86"/>
          <w:b w:val="1"/>
          <w:bCs w:val="1"/>
          <w:color w:val="auto"/>
        </w:rPr>
        <w:t>Our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60325</wp:posOffset>
            </wp:positionV>
            <wp:extent cx="2847975" cy="508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47975" cy="50800"/>
                    </a:xfrm>
                    <a:prstGeom prst="rect">
                      <a:avLst/>
                    </a:prstGeom>
                    <a:noFill/>
                  </pic:spPr>
                </pic:pic>
              </a:graphicData>
            </a:graphic>
          </wp:anchor>
        </w:drawing>
      </w:r>
    </w:p>
    <w:p>
      <w:pPr>
        <w:spacing w:after="0" w:line="388" w:lineRule="exact"/>
        <w:rPr>
          <w:sz w:val="20"/>
          <w:szCs w:val="20"/>
          <w:color w:val="auto"/>
        </w:rPr>
      </w:pPr>
    </w:p>
    <w:p>
      <w:pPr>
        <w:ind w:right="3979"/>
        <w:spacing w:after="0" w:line="273" w:lineRule="auto"/>
        <w:rPr>
          <w:sz w:val="20"/>
          <w:szCs w:val="20"/>
          <w:color w:val="auto"/>
        </w:rPr>
      </w:pPr>
      <w:r>
        <w:rPr>
          <w:rFonts w:ascii="Arial" w:cs="Arial" w:eastAsia="Arial" w:hAnsi="Arial"/>
          <w:sz w:val="27"/>
          <w:szCs w:val="27"/>
          <w:b w:val="1"/>
          <w:bCs w:val="1"/>
          <w:color w:val="auto"/>
        </w:rPr>
        <w:t>At Raytheon Technologies, we hold ourselves to the highest standard and live by our values: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auto"/>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3590" cy="501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501650"/>
                    </a:xfrm>
                    <a:prstGeom prst="rect">
                      <a:avLst/>
                    </a:prstGeom>
                    <a:noFill/>
                  </pic:spPr>
                </pic:pic>
              </a:graphicData>
            </a:graphic>
          </wp:anchor>
        </w:drawing>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act with integrity and do the right thing.</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auto"/>
        </w:rPr>
        <w:t>Respect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3590" cy="45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450850"/>
                    </a:xfrm>
                    <a:prstGeom prst="rect">
                      <a:avLst/>
                    </a:prstGeom>
                    <a:noFill/>
                  </pic:spPr>
                </pic:pic>
              </a:graphicData>
            </a:graphic>
          </wp:anchor>
        </w:drawing>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embrace diverse perspectives and treat others the way they want to be treated.</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auto"/>
        </w:rPr>
        <w:t>Accountability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3590" cy="509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3590" cy="509905"/>
                    </a:xfrm>
                    <a:prstGeom prst="rect">
                      <a:avLst/>
                    </a:prstGeom>
                    <a:noFill/>
                  </pic:spPr>
                </pic:pic>
              </a:graphicData>
            </a:graphic>
          </wp:anchor>
        </w:drawing>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honor our commitments, expect excellence and take pride in our work.</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auto"/>
        </w:rPr>
        <w:t>Collaboration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3590" cy="4845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3590" cy="484505"/>
                    </a:xfrm>
                    <a:prstGeom prst="rect">
                      <a:avLst/>
                    </a:prstGeom>
                    <a:noFill/>
                  </pic:spPr>
                </pic:pic>
              </a:graphicData>
            </a:graphic>
          </wp:anchor>
        </w:drawing>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share insights, learn together and act as a team.</w:t>
      </w:r>
    </w:p>
    <w:p>
      <w:pPr>
        <w:spacing w:after="0" w:line="207" w:lineRule="exact"/>
        <w:rPr>
          <w:sz w:val="20"/>
          <w:szCs w:val="20"/>
          <w:color w:val="auto"/>
        </w:rPr>
      </w:pPr>
    </w:p>
    <w:p>
      <w:pPr>
        <w:ind w:left="1080"/>
        <w:spacing w:after="0"/>
        <w:rPr>
          <w:sz w:val="20"/>
          <w:szCs w:val="20"/>
          <w:color w:val="auto"/>
        </w:rPr>
      </w:pPr>
      <w:r>
        <w:rPr>
          <w:rFonts w:ascii="Arial" w:cs="Arial" w:eastAsia="Arial" w:hAnsi="Arial"/>
          <w:sz w:val="43"/>
          <w:szCs w:val="43"/>
          <w:b w:val="1"/>
          <w:bCs w:val="1"/>
          <w:color w:val="auto"/>
        </w:rPr>
        <w:t>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33590" cy="5187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3590" cy="518795"/>
                    </a:xfrm>
                    <a:prstGeom prst="rect">
                      <a:avLst/>
                    </a:prstGeom>
                    <a:noFill/>
                  </pic:spPr>
                </pic:pic>
              </a:graphicData>
            </a:graphic>
          </wp:anchor>
        </w:drawing>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21"/>
          <w:szCs w:val="21"/>
          <w:color w:val="auto"/>
        </w:rPr>
        <w:t>We experiment, design, build and transform with speed and agility.</w:t>
      </w:r>
    </w:p>
    <w:p>
      <w:pPr>
        <w:spacing w:after="0" w:line="158" w:lineRule="exact"/>
        <w:rPr>
          <w:sz w:val="20"/>
          <w:szCs w:val="20"/>
          <w:color w:val="auto"/>
        </w:rPr>
      </w:pPr>
    </w:p>
    <w:p>
      <w:pPr>
        <w:ind w:right="3319"/>
        <w:spacing w:after="0" w:line="293" w:lineRule="auto"/>
        <w:rPr>
          <w:sz w:val="20"/>
          <w:szCs w:val="20"/>
          <w:color w:val="auto"/>
        </w:rPr>
      </w:pPr>
      <w:r>
        <w:rPr>
          <w:rFonts w:ascii="Arial" w:cs="Arial" w:eastAsia="Arial" w:hAnsi="Arial"/>
          <w:sz w:val="26"/>
          <w:szCs w:val="26"/>
          <w:b w:val="1"/>
          <w:bCs w:val="1"/>
          <w:color w:val="auto"/>
        </w:rPr>
        <w:t>These values drive our actions, behaviors and performance to create a safer, more connected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15454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120650</wp:posOffset>
            </wp:positionV>
            <wp:extent cx="1275080" cy="3314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5080" cy="331470"/>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6"/>
          <w:szCs w:val="16"/>
          <w:color w:val="auto"/>
        </w:rPr>
        <w:t>March 14, 2022</w:t>
      </w:r>
    </w:p>
    <w:p>
      <w:pPr>
        <w:spacing w:after="0" w:line="130" w:lineRule="exact"/>
        <w:rPr>
          <w:sz w:val="20"/>
          <w:szCs w:val="20"/>
          <w:color w:val="auto"/>
        </w:rPr>
      </w:pPr>
    </w:p>
    <w:p>
      <w:pPr>
        <w:ind w:right="5460"/>
        <w:spacing w:after="0" w:line="277" w:lineRule="auto"/>
        <w:rPr>
          <w:sz w:val="20"/>
          <w:szCs w:val="20"/>
          <w:color w:val="auto"/>
        </w:rPr>
      </w:pPr>
      <w:r>
        <w:rPr>
          <w:rFonts w:ascii="Arial" w:cs="Arial" w:eastAsia="Arial" w:hAnsi="Arial"/>
          <w:sz w:val="50"/>
          <w:szCs w:val="50"/>
          <w:b w:val="1"/>
          <w:bCs w:val="1"/>
          <w:color w:val="auto"/>
        </w:rPr>
        <w:t>Notice of 2022 Annual Meeting of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24700" cy="2202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4700" cy="22021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24" w:lineRule="exact"/>
        <w:rPr>
          <w:sz w:val="20"/>
          <w:szCs w:val="20"/>
          <w:color w:val="auto"/>
        </w:rPr>
      </w:pPr>
    </w:p>
    <w:p>
      <w:pPr>
        <w:ind w:left="180" w:right="160"/>
        <w:spacing w:after="0" w:line="254" w:lineRule="auto"/>
        <w:rPr>
          <w:sz w:val="20"/>
          <w:szCs w:val="20"/>
          <w:color w:val="auto"/>
        </w:rPr>
      </w:pPr>
      <w:r>
        <w:rPr>
          <w:rFonts w:ascii="Arial" w:cs="Arial" w:eastAsia="Arial" w:hAnsi="Arial"/>
          <w:sz w:val="20"/>
          <w:szCs w:val="20"/>
          <w:b w:val="1"/>
          <w:bCs w:val="1"/>
          <w:color w:val="auto"/>
        </w:rPr>
        <w:t>2022 ANNUAL MEETING OF SHAREOWNERS TO BE HELD VIRTUALLY:</w:t>
      </w:r>
    </w:p>
    <w:p>
      <w:pPr>
        <w:spacing w:after="0" w:line="112" w:lineRule="exact"/>
        <w:rPr>
          <w:sz w:val="20"/>
          <w:szCs w:val="20"/>
          <w:color w:val="auto"/>
        </w:rPr>
      </w:pPr>
    </w:p>
    <w:p>
      <w:pPr>
        <w:ind w:left="180" w:right="60"/>
        <w:spacing w:after="0" w:line="253" w:lineRule="auto"/>
        <w:rPr>
          <w:sz w:val="20"/>
          <w:szCs w:val="20"/>
          <w:color w:val="auto"/>
        </w:rPr>
      </w:pPr>
      <w:r>
        <w:rPr>
          <w:rFonts w:ascii="Arial" w:cs="Arial" w:eastAsia="Arial" w:hAnsi="Arial"/>
          <w:sz w:val="16"/>
          <w:szCs w:val="16"/>
          <w:b w:val="1"/>
          <w:bCs w:val="1"/>
          <w:color w:val="CE0F2D"/>
        </w:rPr>
        <w:t>Due to ongoing health concerns related to the COVID-19 pandemic, our 2022 Annual Meeting will be held solely by remote communication via the internet at:</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u w:val="single" w:color="auto"/>
          <w:color w:val="auto"/>
        </w:rPr>
        <w:t>www.virtualshareholdermeeting.com/RTX2022</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DATE AND TIME:</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CE0F2D"/>
        </w:rPr>
        <w:t>April 25, 2022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8:00 a.m. Eastern time</w:t>
      </w:r>
    </w:p>
    <w:p>
      <w:pPr>
        <w:spacing w:after="0" w:line="144" w:lineRule="exact"/>
        <w:rPr>
          <w:sz w:val="20"/>
          <w:szCs w:val="20"/>
          <w:color w:val="auto"/>
        </w:rPr>
      </w:pPr>
    </w:p>
    <w:p>
      <w:pPr>
        <w:ind w:left="180" w:right="340"/>
        <w:spacing w:after="0" w:line="282" w:lineRule="auto"/>
        <w:rPr>
          <w:sz w:val="20"/>
          <w:szCs w:val="20"/>
          <w:color w:val="auto"/>
        </w:rPr>
      </w:pPr>
      <w:r>
        <w:rPr>
          <w:rFonts w:ascii="Arial" w:cs="Arial" w:eastAsia="Arial" w:hAnsi="Arial"/>
          <w:sz w:val="16"/>
          <w:szCs w:val="16"/>
          <w:b w:val="1"/>
          <w:bCs w:val="1"/>
          <w:color w:val="auto"/>
        </w:rPr>
        <w:t>Your vote is very important. Please submit your proxy card or voting instructions form as soon as possible.</w:t>
      </w:r>
    </w:p>
    <w:p>
      <w:pPr>
        <w:spacing w:after="0" w:line="26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Who may vote:</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If you owned shares of RTX Common Stock at the close of business on March 1, 2022, you are entitled to receive this Notice of the 2022 Annual Meeting and to vote at the meeting, either during the virtual meeting or by proxy.</w:t>
      </w:r>
    </w:p>
    <w:p>
      <w:pPr>
        <w:spacing w:after="0" w:line="11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to attend:</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AGENDA</w:t>
      </w:r>
    </w:p>
    <w:p>
      <w:pPr>
        <w:spacing w:after="0" w:line="166" w:lineRule="exact"/>
        <w:rPr>
          <w:sz w:val="20"/>
          <w:szCs w:val="20"/>
          <w:color w:val="auto"/>
        </w:rPr>
      </w:pPr>
    </w:p>
    <w:p>
      <w:pPr>
        <w:ind w:left="520" w:right="400" w:hanging="518"/>
        <w:spacing w:after="0"/>
        <w:tabs>
          <w:tab w:leader="none" w:pos="520" w:val="left"/>
        </w:tabs>
        <w:numPr>
          <w:ilvl w:val="0"/>
          <w:numId w:val="4"/>
        </w:numPr>
        <w:rPr>
          <w:rFonts w:ascii="Arial" w:cs="Arial" w:eastAsia="Arial" w:hAnsi="Arial"/>
          <w:sz w:val="31"/>
          <w:szCs w:val="31"/>
          <w:b w:val="1"/>
          <w:bCs w:val="1"/>
          <w:color w:val="CE0F2D"/>
        </w:rPr>
      </w:pPr>
      <w:r>
        <w:rPr>
          <w:rFonts w:ascii="Arial" w:cs="Arial" w:eastAsia="Arial" w:hAnsi="Arial"/>
          <w:sz w:val="13"/>
          <w:szCs w:val="13"/>
          <w:color w:val="auto"/>
        </w:rPr>
        <w:t>Election of the Thirteen Director Nominees Listed in this Proxy Statement</w:t>
      </w:r>
    </w:p>
    <w:p>
      <w:pPr>
        <w:spacing w:after="0" w:line="79" w:lineRule="exact"/>
        <w:rPr>
          <w:sz w:val="20"/>
          <w:szCs w:val="20"/>
          <w:color w:val="auto"/>
        </w:rPr>
      </w:pPr>
    </w:p>
    <w:p>
      <w:pPr>
        <w:ind w:left="520" w:hanging="518"/>
        <w:spacing w:after="0"/>
        <w:tabs>
          <w:tab w:leader="none" w:pos="520" w:val="left"/>
        </w:tabs>
        <w:numPr>
          <w:ilvl w:val="0"/>
          <w:numId w:val="5"/>
        </w:numPr>
        <w:rPr>
          <w:rFonts w:ascii="Arial" w:cs="Arial" w:eastAsia="Arial" w:hAnsi="Arial"/>
          <w:sz w:val="43"/>
          <w:szCs w:val="43"/>
          <w:b w:val="1"/>
          <w:bCs w:val="1"/>
          <w:color w:val="CE0F2D"/>
        </w:rPr>
      </w:pPr>
      <w:r>
        <w:rPr>
          <w:rFonts w:ascii="Arial" w:cs="Arial" w:eastAsia="Arial" w:hAnsi="Arial"/>
          <w:sz w:val="16"/>
          <w:szCs w:val="16"/>
          <w:color w:val="auto"/>
        </w:rPr>
        <w:t>Advisory Vote to Approve Executive Compensation</w:t>
      </w:r>
    </w:p>
    <w:p>
      <w:pPr>
        <w:spacing w:after="0" w:line="302" w:lineRule="exact"/>
        <w:rPr>
          <w:sz w:val="20"/>
          <w:szCs w:val="20"/>
          <w:color w:val="auto"/>
        </w:rPr>
      </w:pPr>
    </w:p>
    <w:p>
      <w:pPr>
        <w:ind w:left="520" w:right="300" w:hanging="518"/>
        <w:spacing w:after="0" w:line="180" w:lineRule="auto"/>
        <w:tabs>
          <w:tab w:leader="none" w:pos="520" w:val="left"/>
        </w:tabs>
        <w:numPr>
          <w:ilvl w:val="0"/>
          <w:numId w:val="6"/>
        </w:numPr>
        <w:rPr>
          <w:rFonts w:ascii="Arial" w:cs="Arial" w:eastAsia="Arial" w:hAnsi="Arial"/>
          <w:sz w:val="31"/>
          <w:szCs w:val="31"/>
          <w:b w:val="1"/>
          <w:bCs w:val="1"/>
          <w:color w:val="CE0F2D"/>
        </w:rPr>
      </w:pPr>
      <w:r>
        <w:rPr>
          <w:rFonts w:ascii="Arial" w:cs="Arial" w:eastAsia="Arial" w:hAnsi="Arial"/>
          <w:sz w:val="13"/>
          <w:szCs w:val="13"/>
          <w:color w:val="auto"/>
        </w:rPr>
        <w:t>Appoint PricewaterhouseCoopers LLP to Serve as Independent Auditor for 2022</w:t>
      </w:r>
    </w:p>
    <w:p>
      <w:pPr>
        <w:spacing w:after="0" w:line="236" w:lineRule="exact"/>
        <w:rPr>
          <w:sz w:val="20"/>
          <w:szCs w:val="20"/>
          <w:color w:val="auto"/>
        </w:rPr>
      </w:pPr>
    </w:p>
    <w:p>
      <w:pPr>
        <w:ind w:left="520" w:right="40" w:hanging="515"/>
        <w:spacing w:after="0" w:line="180" w:lineRule="auto"/>
        <w:tabs>
          <w:tab w:leader="none" w:pos="520" w:val="left"/>
        </w:tabs>
        <w:numPr>
          <w:ilvl w:val="0"/>
          <w:numId w:val="7"/>
        </w:numPr>
        <w:rPr>
          <w:rFonts w:ascii="Arial" w:cs="Arial" w:eastAsia="Arial" w:hAnsi="Arial"/>
          <w:sz w:val="31"/>
          <w:szCs w:val="31"/>
          <w:b w:val="1"/>
          <w:bCs w:val="1"/>
          <w:color w:val="CE0F2D"/>
        </w:rPr>
      </w:pPr>
      <w:r>
        <w:rPr>
          <w:rFonts w:ascii="Arial" w:cs="Arial" w:eastAsia="Arial" w:hAnsi="Arial"/>
          <w:sz w:val="13"/>
          <w:szCs w:val="13"/>
          <w:color w:val="auto"/>
        </w:rPr>
        <w:t>Approve an Amendment to the Restated Certificate of Incorporation to Reduce the Voting Threshold Required to Repeal Article Ninth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242570</wp:posOffset>
            </wp:positionV>
            <wp:extent cx="3418205" cy="161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8205" cy="16129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FFFFFF"/>
        </w:rPr>
        <w:t>VOTING METHODS AVAILABLE TO YOU</w:t>
      </w:r>
    </w:p>
    <w:p>
      <w:pPr>
        <w:spacing w:after="0" w:line="266"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CE0F2C"/>
        </w:rPr>
        <w:t>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-104775</wp:posOffset>
            </wp:positionV>
            <wp:extent cx="424815" cy="3486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24815" cy="348615"/>
                    </a:xfrm>
                    <a:prstGeom prst="rect">
                      <a:avLst/>
                    </a:prstGeom>
                    <a:noFill/>
                  </pic:spPr>
                </pic:pic>
              </a:graphicData>
            </a:graphic>
          </wp:anchor>
        </w:drawing>
      </w:r>
    </w:p>
    <w:p>
      <w:pPr>
        <w:spacing w:after="0" w:line="3" w:lineRule="exact"/>
        <w:rPr>
          <w:sz w:val="20"/>
          <w:szCs w:val="20"/>
          <w:color w:val="auto"/>
        </w:rPr>
      </w:pPr>
    </w:p>
    <w:p>
      <w:pPr>
        <w:ind w:left="880" w:right="760"/>
        <w:spacing w:after="0" w:line="256" w:lineRule="auto"/>
        <w:rPr>
          <w:sz w:val="20"/>
          <w:szCs w:val="20"/>
          <w:color w:val="auto"/>
        </w:rPr>
      </w:pPr>
      <w:r>
        <w:rPr>
          <w:rFonts w:ascii="Arial" w:cs="Arial" w:eastAsia="Arial" w:hAnsi="Arial"/>
          <w:sz w:val="16"/>
          <w:szCs w:val="16"/>
          <w:color w:val="auto"/>
        </w:rPr>
        <w:t>Visit the website identified in your proxy card, voting instruction form or electronic communications.</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CE0F2C"/>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-104775</wp:posOffset>
            </wp:positionV>
            <wp:extent cx="255270" cy="433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5270" cy="433705"/>
                    </a:xfrm>
                    <a:prstGeom prst="rect">
                      <a:avLst/>
                    </a:prstGeom>
                    <a:noFill/>
                  </pic:spPr>
                </pic:pic>
              </a:graphicData>
            </a:graphic>
          </wp:anchor>
        </w:drawing>
      </w:r>
    </w:p>
    <w:p>
      <w:pPr>
        <w:spacing w:after="0" w:line="3" w:lineRule="exact"/>
        <w:rPr>
          <w:sz w:val="20"/>
          <w:szCs w:val="20"/>
          <w:color w:val="auto"/>
        </w:rPr>
      </w:pPr>
    </w:p>
    <w:p>
      <w:pPr>
        <w:ind w:left="880" w:right="40"/>
        <w:spacing w:after="0" w:line="256" w:lineRule="auto"/>
        <w:rPr>
          <w:sz w:val="20"/>
          <w:szCs w:val="20"/>
          <w:color w:val="auto"/>
        </w:rPr>
      </w:pPr>
      <w:r>
        <w:rPr>
          <w:rFonts w:ascii="Arial" w:cs="Arial" w:eastAsia="Arial" w:hAnsi="Arial"/>
          <w:sz w:val="16"/>
          <w:szCs w:val="16"/>
          <w:color w:val="auto"/>
        </w:rPr>
        <w:t>Call the telephone number identified in your proxy card, voting instruction form or electronic communications.</w:t>
      </w:r>
    </w:p>
    <w:p>
      <w:pPr>
        <w:spacing w:after="0" w:line="364" w:lineRule="exact"/>
        <w:rPr>
          <w:sz w:val="20"/>
          <w:szCs w:val="20"/>
          <w:color w:val="auto"/>
        </w:rPr>
      </w:pPr>
    </w:p>
    <w:p>
      <w:pPr>
        <w:sectPr>
          <w:pgSz w:w="11900" w:h="16838" w:orient="portrait"/>
          <w:cols w:equalWidth="0" w:num="2">
            <w:col w:w="5220" w:space="680"/>
            <w:col w:w="5340"/>
          </w:cols>
          <w:pgMar w:left="320" w:top="118" w:right="339" w:bottom="1440" w:gutter="0" w:footer="0" w:header="0"/>
          <w:type w:val="continuous"/>
        </w:sectPr>
      </w:pPr>
    </w:p>
    <w:p>
      <w:pPr>
        <w:spacing w:after="0" w:line="86" w:lineRule="exact"/>
        <w:rPr>
          <w:sz w:val="20"/>
          <w:szCs w:val="20"/>
          <w:color w:val="auto"/>
        </w:rPr>
      </w:pPr>
    </w:p>
    <w:p>
      <w:pPr>
        <w:ind w:right="800"/>
        <w:spacing w:after="0" w:line="248" w:lineRule="auto"/>
        <w:rPr>
          <w:sz w:val="20"/>
          <w:szCs w:val="20"/>
          <w:color w:val="auto"/>
        </w:rPr>
      </w:pPr>
      <w:r>
        <w:rPr>
          <w:rFonts w:ascii="Arial" w:cs="Arial" w:eastAsia="Arial" w:hAnsi="Arial"/>
          <w:sz w:val="16"/>
          <w:szCs w:val="16"/>
          <w:color w:val="auto"/>
        </w:rPr>
        <w:t>To be admitted to the 2022 Annual Meeting via the website, enter the 16-digit voting control number found on your proxy card, voting instruction form, notice of internet availability of proxy materials, or email notification. You can find detailed instructions on pages 92-93 of this Proxy Statement.</w:t>
      </w:r>
    </w:p>
    <w:p>
      <w:pPr>
        <w:spacing w:after="0" w:line="130" w:lineRule="exact"/>
        <w:rPr>
          <w:sz w:val="20"/>
          <w:szCs w:val="20"/>
          <w:color w:val="auto"/>
        </w:rPr>
      </w:pPr>
    </w:p>
    <w:p>
      <w:pPr>
        <w:ind w:right="860"/>
        <w:spacing w:after="0" w:line="282" w:lineRule="auto"/>
        <w:rPr>
          <w:sz w:val="20"/>
          <w:szCs w:val="20"/>
          <w:color w:val="auto"/>
        </w:rPr>
      </w:pPr>
      <w:r>
        <w:rPr>
          <w:rFonts w:ascii="Arial" w:cs="Arial" w:eastAsia="Arial" w:hAnsi="Arial"/>
          <w:sz w:val="16"/>
          <w:szCs w:val="16"/>
          <w:b w:val="1"/>
          <w:bCs w:val="1"/>
          <w:color w:val="auto"/>
        </w:rPr>
        <w:t>Please review this Proxy Statement and vote in one of the four ways described here under “Voting Methods Available to You.”</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Dana Ng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Corporate Vice President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356235</wp:posOffset>
            </wp:positionV>
            <wp:extent cx="715454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CE0F2C"/>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-104775</wp:posOffset>
            </wp:positionV>
            <wp:extent cx="424815" cy="2889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4815" cy="288925"/>
                    </a:xfrm>
                    <a:prstGeom prst="rect">
                      <a:avLst/>
                    </a:prstGeom>
                    <a:noFill/>
                  </pic:spPr>
                </pic:pic>
              </a:graphicData>
            </a:graphic>
          </wp:anchor>
        </w:drawing>
      </w:r>
    </w:p>
    <w:p>
      <w:pPr>
        <w:spacing w:after="0" w:line="3"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Sign, date and return your proxy card or voting instruction form in the enclosed envelope.</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CE0F2C"/>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-104775</wp:posOffset>
            </wp:positionV>
            <wp:extent cx="424815" cy="416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4815" cy="416560"/>
                    </a:xfrm>
                    <a:prstGeom prst="rect">
                      <a:avLst/>
                    </a:prstGeom>
                    <a:noFill/>
                  </pic:spPr>
                </pic:pic>
              </a:graphicData>
            </a:graphic>
          </wp:anchor>
        </w:drawing>
      </w:r>
    </w:p>
    <w:p>
      <w:pPr>
        <w:spacing w:after="0" w:line="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Attend the 2022 Annual Meeting online. See pages 92-93 for instructions on how to attend and vote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tabs>
          <w:tab w:leader="none" w:pos="2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2"/>
          <w:szCs w:val="12"/>
          <w:b w:val="1"/>
          <w:bCs w:val="1"/>
          <w:color w:val="auto"/>
        </w:rPr>
        <w:t>i</w:t>
      </w:r>
    </w:p>
    <w:p>
      <w:pPr>
        <w:sectPr>
          <w:pgSz w:w="11900" w:h="16838" w:orient="portrait"/>
          <w:cols w:equalWidth="0" w:num="2">
            <w:col w:w="6060" w:space="720"/>
            <w:col w:w="4460"/>
          </w:cols>
          <w:pgMar w:left="320" w:top="118" w:right="3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266128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61285" cy="50800"/>
                    </a:xfrm>
                    <a:prstGeom prst="rect">
                      <a:avLst/>
                    </a:prstGeom>
                    <a:noFill/>
                  </pic:spPr>
                </pic:pic>
              </a:graphicData>
            </a:graphic>
          </wp:anchor>
        </w:drawing>
      </w:r>
    </w:p>
    <w:p>
      <w:pPr>
        <w:spacing w:after="0" w:line="303" w:lineRule="exact"/>
        <w:rPr>
          <w:sz w:val="20"/>
          <w:szCs w:val="20"/>
          <w:color w:val="auto"/>
        </w:rPr>
      </w:pPr>
    </w:p>
    <w:p>
      <w:pPr>
        <w:spacing w:after="0"/>
        <w:rPr>
          <w:rFonts w:ascii="Arial" w:cs="Arial" w:eastAsia="Arial" w:hAnsi="Arial"/>
          <w:sz w:val="16"/>
          <w:szCs w:val="16"/>
          <w:b w:val="1"/>
          <w:bCs w:val="1"/>
          <w:u w:val="single" w:color="auto"/>
          <w:color w:val="auto"/>
        </w:rPr>
      </w:pPr>
      <w:hyperlink w:anchor="page4">
        <w:r>
          <w:rPr>
            <w:rFonts w:ascii="Arial" w:cs="Arial" w:eastAsia="Arial" w:hAnsi="Arial"/>
            <w:sz w:val="16"/>
            <w:szCs w:val="16"/>
            <w:b w:val="1"/>
            <w:bCs w:val="1"/>
            <w:u w:val="single" w:color="auto"/>
            <w:color w:val="auto"/>
          </w:rPr>
          <w:t>Notice of 2022 Annual Meeting of Shareowners</w:t>
        </w:r>
      </w:hyperlink>
    </w:p>
    <w:p>
      <w:pPr>
        <w:spacing w:after="0" w:line="191" w:lineRule="exact"/>
        <w:rPr>
          <w:sz w:val="20"/>
          <w:szCs w:val="20"/>
          <w:color w:val="auto"/>
        </w:rPr>
      </w:pPr>
    </w:p>
    <w:p>
      <w:pPr>
        <w:spacing w:after="0"/>
        <w:rPr>
          <w:rFonts w:ascii="Arial" w:cs="Arial" w:eastAsia="Arial" w:hAnsi="Arial"/>
          <w:sz w:val="16"/>
          <w:szCs w:val="16"/>
          <w:b w:val="1"/>
          <w:bCs w:val="1"/>
          <w:u w:val="single" w:color="auto"/>
          <w:color w:val="CE0F2D"/>
        </w:rPr>
      </w:pPr>
      <w:hyperlink w:anchor="page6">
        <w:r>
          <w:rPr>
            <w:rFonts w:ascii="Arial" w:cs="Arial" w:eastAsia="Arial" w:hAnsi="Arial"/>
            <w:sz w:val="16"/>
            <w:szCs w:val="16"/>
            <w:b w:val="1"/>
            <w:bCs w:val="1"/>
            <w:u w:val="single" w:color="auto"/>
            <w:color w:val="CE0F2D"/>
          </w:rPr>
          <w:t>Proxy Summary</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CORPORATE GOVERNANCE</w:t>
      </w:r>
    </w:p>
    <w:p>
      <w:pPr>
        <w:spacing w:after="0" w:line="191" w:lineRule="exact"/>
        <w:rPr>
          <w:sz w:val="20"/>
          <w:szCs w:val="20"/>
          <w:color w:val="auto"/>
        </w:rPr>
      </w:pPr>
    </w:p>
    <w:p>
      <w:pPr>
        <w:spacing w:after="0"/>
        <w:rPr>
          <w:rFonts w:ascii="Arial" w:cs="Arial" w:eastAsia="Arial" w:hAnsi="Arial"/>
          <w:sz w:val="16"/>
          <w:szCs w:val="16"/>
          <w:b w:val="1"/>
          <w:bCs w:val="1"/>
          <w:u w:val="single" w:color="auto"/>
          <w:color w:val="CE0F2D"/>
        </w:rPr>
      </w:pPr>
      <w:hyperlink w:anchor="page16">
        <w:r>
          <w:rPr>
            <w:rFonts w:ascii="Arial" w:cs="Arial" w:eastAsia="Arial" w:hAnsi="Arial"/>
            <w:sz w:val="16"/>
            <w:szCs w:val="16"/>
            <w:b w:val="1"/>
            <w:bCs w:val="1"/>
            <w:u w:val="single" w:color="auto"/>
            <w:color w:val="CE0F2D"/>
          </w:rPr>
          <w:t>Proposal 1:</w:t>
        </w:r>
      </w:hyperlink>
    </w:p>
    <w:p>
      <w:pPr>
        <w:spacing w:after="0" w:line="23" w:lineRule="exact"/>
        <w:rPr>
          <w:sz w:val="20"/>
          <w:szCs w:val="20"/>
          <w:color w:val="auto"/>
        </w:rPr>
      </w:pPr>
    </w:p>
    <w:p>
      <w:pPr>
        <w:spacing w:after="0"/>
        <w:rPr>
          <w:rFonts w:ascii="Arial" w:cs="Arial" w:eastAsia="Arial" w:hAnsi="Arial"/>
          <w:sz w:val="16"/>
          <w:szCs w:val="16"/>
          <w:b w:val="1"/>
          <w:bCs w:val="1"/>
          <w:u w:val="single" w:color="auto"/>
          <w:color w:val="auto"/>
        </w:rPr>
      </w:pPr>
      <w:hyperlink w:anchor="page16">
        <w:r>
          <w:rPr>
            <w:rFonts w:ascii="Arial" w:cs="Arial" w:eastAsia="Arial" w:hAnsi="Arial"/>
            <w:sz w:val="16"/>
            <w:szCs w:val="16"/>
            <w:b w:val="1"/>
            <w:bCs w:val="1"/>
            <w:u w:val="single" w:color="auto"/>
            <w:color w:val="auto"/>
          </w:rPr>
          <w:t>Election of Directors</w:t>
        </w:r>
      </w:hyperlink>
    </w:p>
    <w:p>
      <w:pPr>
        <w:spacing w:after="0" w:line="191" w:lineRule="exact"/>
        <w:rPr>
          <w:sz w:val="20"/>
          <w:szCs w:val="20"/>
          <w:color w:val="auto"/>
        </w:rPr>
      </w:pPr>
    </w:p>
    <w:p>
      <w:pPr>
        <w:ind w:left="180"/>
        <w:spacing w:after="0"/>
        <w:rPr>
          <w:rFonts w:ascii="Arial" w:cs="Arial" w:eastAsia="Arial" w:hAnsi="Arial"/>
          <w:sz w:val="16"/>
          <w:szCs w:val="16"/>
          <w:u w:val="single" w:color="auto"/>
          <w:color w:val="auto"/>
        </w:rPr>
      </w:pPr>
      <w:hyperlink w:anchor="page19">
        <w:r>
          <w:rPr>
            <w:rFonts w:ascii="Arial" w:cs="Arial" w:eastAsia="Arial" w:hAnsi="Arial"/>
            <w:sz w:val="16"/>
            <w:szCs w:val="16"/>
            <w:u w:val="single" w:color="auto"/>
            <w:color w:val="auto"/>
          </w:rPr>
          <w:t>Nominees</w:t>
        </w:r>
      </w:hyperlink>
    </w:p>
    <w:p>
      <w:pPr>
        <w:spacing w:after="0" w:line="171" w:lineRule="exact"/>
        <w:rPr>
          <w:sz w:val="20"/>
          <w:szCs w:val="20"/>
          <w:color w:val="auto"/>
        </w:rPr>
      </w:pPr>
    </w:p>
    <w:p>
      <w:pPr>
        <w:spacing w:after="0"/>
        <w:rPr>
          <w:rFonts w:ascii="Arial" w:cs="Arial" w:eastAsia="Arial" w:hAnsi="Arial"/>
          <w:sz w:val="16"/>
          <w:szCs w:val="16"/>
          <w:b w:val="1"/>
          <w:bCs w:val="1"/>
          <w:u w:val="single" w:color="auto"/>
          <w:color w:val="auto"/>
        </w:rPr>
      </w:pPr>
      <w:hyperlink w:anchor="page27">
        <w:r>
          <w:rPr>
            <w:rFonts w:ascii="Arial" w:cs="Arial" w:eastAsia="Arial" w:hAnsi="Arial"/>
            <w:sz w:val="16"/>
            <w:szCs w:val="16"/>
            <w:b w:val="1"/>
            <w:bCs w:val="1"/>
            <w:u w:val="single" w:color="auto"/>
            <w:color w:val="auto"/>
          </w:rPr>
          <w:t>Corporate Governance</w:t>
        </w:r>
      </w:hyperlink>
    </w:p>
    <w:p>
      <w:pPr>
        <w:spacing w:after="0" w:line="191" w:lineRule="exact"/>
        <w:rPr>
          <w:sz w:val="20"/>
          <w:szCs w:val="20"/>
          <w:color w:val="auto"/>
        </w:rPr>
      </w:pPr>
    </w:p>
    <w:p>
      <w:pPr>
        <w:spacing w:after="0"/>
        <w:rPr>
          <w:rFonts w:ascii="Arial" w:cs="Arial" w:eastAsia="Arial" w:hAnsi="Arial"/>
          <w:sz w:val="16"/>
          <w:szCs w:val="16"/>
          <w:b w:val="1"/>
          <w:bCs w:val="1"/>
          <w:u w:val="single" w:color="auto"/>
          <w:color w:val="auto"/>
        </w:rPr>
      </w:pPr>
      <w:hyperlink w:anchor="page38">
        <w:r>
          <w:rPr>
            <w:rFonts w:ascii="Arial" w:cs="Arial" w:eastAsia="Arial" w:hAnsi="Arial"/>
            <w:sz w:val="16"/>
            <w:szCs w:val="16"/>
            <w:b w:val="1"/>
            <w:bCs w:val="1"/>
            <w:u w:val="single" w:color="auto"/>
            <w:color w:val="auto"/>
          </w:rPr>
          <w:t>Compensation of Directors</w:t>
        </w:r>
      </w:hyperlink>
    </w:p>
    <w:p>
      <w:pPr>
        <w:spacing w:after="0" w:line="191" w:lineRule="exact"/>
        <w:rPr>
          <w:sz w:val="20"/>
          <w:szCs w:val="20"/>
          <w:color w:val="auto"/>
        </w:rPr>
      </w:pPr>
    </w:p>
    <w:p>
      <w:pPr>
        <w:spacing w:after="0"/>
        <w:rPr>
          <w:rFonts w:ascii="Arial" w:cs="Arial" w:eastAsia="Arial" w:hAnsi="Arial"/>
          <w:sz w:val="16"/>
          <w:szCs w:val="16"/>
          <w:b w:val="1"/>
          <w:bCs w:val="1"/>
          <w:u w:val="single" w:color="auto"/>
          <w:color w:val="auto"/>
        </w:rPr>
      </w:pPr>
      <w:hyperlink w:anchor="page40">
        <w:r>
          <w:rPr>
            <w:rFonts w:ascii="Arial" w:cs="Arial" w:eastAsia="Arial" w:hAnsi="Arial"/>
            <w:sz w:val="16"/>
            <w:szCs w:val="16"/>
            <w:b w:val="1"/>
            <w:bCs w:val="1"/>
            <w:u w:val="single" w:color="auto"/>
            <w:color w:val="auto"/>
          </w:rPr>
          <w:t>Share Ownership</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EXECUTIVE COMPENSATION</w:t>
      </w:r>
    </w:p>
    <w:p>
      <w:pPr>
        <w:spacing w:after="0" w:line="191" w:lineRule="exact"/>
        <w:rPr>
          <w:sz w:val="20"/>
          <w:szCs w:val="20"/>
          <w:color w:val="auto"/>
        </w:rPr>
      </w:pPr>
    </w:p>
    <w:p>
      <w:pPr>
        <w:spacing w:after="0"/>
        <w:rPr>
          <w:rFonts w:ascii="Arial" w:cs="Arial" w:eastAsia="Arial" w:hAnsi="Arial"/>
          <w:sz w:val="16"/>
          <w:szCs w:val="16"/>
          <w:b w:val="1"/>
          <w:bCs w:val="1"/>
          <w:u w:val="single" w:color="auto"/>
          <w:color w:val="CE0F2D"/>
        </w:rPr>
      </w:pPr>
      <w:hyperlink w:anchor="page42">
        <w:r>
          <w:rPr>
            <w:rFonts w:ascii="Arial" w:cs="Arial" w:eastAsia="Arial" w:hAnsi="Arial"/>
            <w:sz w:val="16"/>
            <w:szCs w:val="16"/>
            <w:b w:val="1"/>
            <w:bCs w:val="1"/>
            <w:u w:val="single" w:color="auto"/>
            <w:color w:val="CE0F2D"/>
          </w:rPr>
          <w:t>Proposal 2:</w:t>
        </w:r>
      </w:hyperlink>
    </w:p>
    <w:p>
      <w:pPr>
        <w:spacing w:after="0" w:line="23" w:lineRule="exact"/>
        <w:rPr>
          <w:sz w:val="20"/>
          <w:szCs w:val="20"/>
          <w:color w:val="auto"/>
        </w:rPr>
      </w:pPr>
    </w:p>
    <w:p>
      <w:pPr>
        <w:spacing w:after="0"/>
        <w:rPr>
          <w:rFonts w:ascii="Arial" w:cs="Arial" w:eastAsia="Arial" w:hAnsi="Arial"/>
          <w:sz w:val="16"/>
          <w:szCs w:val="16"/>
          <w:b w:val="1"/>
          <w:bCs w:val="1"/>
          <w:u w:val="single" w:color="auto"/>
          <w:color w:val="auto"/>
        </w:rPr>
      </w:pPr>
      <w:hyperlink w:anchor="page42">
        <w:r>
          <w:rPr>
            <w:rFonts w:ascii="Arial" w:cs="Arial" w:eastAsia="Arial" w:hAnsi="Arial"/>
            <w:sz w:val="16"/>
            <w:szCs w:val="16"/>
            <w:b w:val="1"/>
            <w:bCs w:val="1"/>
            <w:u w:val="single" w:color="auto"/>
            <w:color w:val="auto"/>
          </w:rPr>
          <w:t>Advisory Vote to Approve Executive Compensation</w:t>
        </w:r>
      </w:hyperlink>
    </w:p>
    <w:p>
      <w:pPr>
        <w:spacing w:after="0" w:line="171" w:lineRule="exact"/>
        <w:rPr>
          <w:sz w:val="20"/>
          <w:szCs w:val="20"/>
          <w:color w:val="auto"/>
        </w:rPr>
      </w:pPr>
    </w:p>
    <w:p>
      <w:pPr>
        <w:spacing w:after="0"/>
        <w:rPr>
          <w:rFonts w:ascii="Arial" w:cs="Arial" w:eastAsia="Arial" w:hAnsi="Arial"/>
          <w:sz w:val="16"/>
          <w:szCs w:val="16"/>
          <w:b w:val="1"/>
          <w:bCs w:val="1"/>
          <w:u w:val="single" w:color="auto"/>
          <w:color w:val="auto"/>
        </w:rPr>
      </w:pPr>
      <w:hyperlink w:anchor="page44">
        <w:r>
          <w:rPr>
            <w:rFonts w:ascii="Arial" w:cs="Arial" w:eastAsia="Arial" w:hAnsi="Arial"/>
            <w:sz w:val="16"/>
            <w:szCs w:val="16"/>
            <w:b w:val="1"/>
            <w:bCs w:val="1"/>
            <w:u w:val="single" w:color="auto"/>
            <w:color w:val="auto"/>
          </w:rPr>
          <w:t>Compensation Discussion and Analysis</w:t>
        </w:r>
      </w:hyperlink>
    </w:p>
    <w:p>
      <w:pPr>
        <w:spacing w:after="0" w:line="211" w:lineRule="exact"/>
        <w:rPr>
          <w:sz w:val="20"/>
          <w:szCs w:val="20"/>
          <w:color w:val="auto"/>
        </w:rPr>
      </w:pPr>
    </w:p>
    <w:p>
      <w:pPr>
        <w:ind w:left="180"/>
        <w:spacing w:after="0"/>
        <w:rPr>
          <w:rFonts w:ascii="Arial" w:cs="Arial" w:eastAsia="Arial" w:hAnsi="Arial"/>
          <w:sz w:val="16"/>
          <w:szCs w:val="16"/>
          <w:u w:val="single" w:color="auto"/>
          <w:color w:val="auto"/>
        </w:rPr>
      </w:pPr>
      <w:hyperlink w:anchor="page45">
        <w:r>
          <w:rPr>
            <w:rFonts w:ascii="Arial" w:cs="Arial" w:eastAsia="Arial" w:hAnsi="Arial"/>
            <w:sz w:val="16"/>
            <w:szCs w:val="16"/>
            <w:u w:val="single" w:color="auto"/>
            <w:color w:val="auto"/>
          </w:rPr>
          <w:t>Executive Summary</w:t>
        </w:r>
      </w:hyperlink>
    </w:p>
    <w:p>
      <w:pPr>
        <w:spacing w:after="0" w:line="191" w:lineRule="exact"/>
        <w:rPr>
          <w:sz w:val="20"/>
          <w:szCs w:val="20"/>
          <w:color w:val="auto"/>
        </w:rPr>
      </w:pPr>
    </w:p>
    <w:p>
      <w:pPr>
        <w:ind w:left="180" w:right="271"/>
        <w:spacing w:after="0" w:line="489" w:lineRule="auto"/>
        <w:rPr>
          <w:rFonts w:ascii="Arial" w:cs="Arial" w:eastAsia="Arial" w:hAnsi="Arial"/>
          <w:sz w:val="16"/>
          <w:szCs w:val="16"/>
          <w:u w:val="single" w:color="auto"/>
          <w:color w:val="auto"/>
        </w:rPr>
      </w:pPr>
      <w:hyperlink w:anchor="page50">
        <w:r>
          <w:rPr>
            <w:rFonts w:ascii="Arial" w:cs="Arial" w:eastAsia="Arial" w:hAnsi="Arial"/>
            <w:sz w:val="16"/>
            <w:szCs w:val="16"/>
            <w:u w:val="single" w:color="auto"/>
            <w:color w:val="auto"/>
          </w:rPr>
          <w:t>How We Make Pay Decisions and Assess Our Programs</w:t>
        </w:r>
      </w:hyperlink>
      <w:r>
        <w:rPr>
          <w:rFonts w:ascii="Arial" w:cs="Arial" w:eastAsia="Arial" w:hAnsi="Arial"/>
          <w:sz w:val="16"/>
          <w:szCs w:val="16"/>
          <w:u w:val="single" w:color="auto"/>
          <w:color w:val="auto"/>
        </w:rPr>
        <w:t xml:space="preserve"> </w:t>
      </w:r>
      <w:hyperlink w:anchor="page52">
        <w:r>
          <w:rPr>
            <w:rFonts w:ascii="Arial" w:cs="Arial" w:eastAsia="Arial" w:hAnsi="Arial"/>
            <w:sz w:val="16"/>
            <w:szCs w:val="16"/>
            <w:u w:val="single" w:color="auto"/>
            <w:color w:val="auto"/>
          </w:rPr>
          <w:t>2021 Principal Elements of Compensation</w:t>
        </w:r>
      </w:hyperlink>
      <w:r>
        <w:rPr>
          <w:rFonts w:ascii="Arial" w:cs="Arial" w:eastAsia="Arial" w:hAnsi="Arial"/>
          <w:sz w:val="16"/>
          <w:szCs w:val="16"/>
          <w:u w:val="single" w:color="auto"/>
          <w:color w:val="auto"/>
        </w:rPr>
        <w:t xml:space="preserve"> </w:t>
      </w:r>
      <w:hyperlink w:anchor="page59">
        <w:r>
          <w:rPr>
            <w:rFonts w:ascii="Arial" w:cs="Arial" w:eastAsia="Arial" w:hAnsi="Arial"/>
            <w:sz w:val="16"/>
            <w:szCs w:val="16"/>
            <w:u w:val="single" w:color="auto"/>
            <w:color w:val="auto"/>
          </w:rPr>
          <w:t>2021 CEO Pay Decisions</w:t>
        </w:r>
      </w:hyperlink>
    </w:p>
    <w:p>
      <w:pPr>
        <w:ind w:left="180"/>
        <w:spacing w:after="0"/>
        <w:rPr>
          <w:rFonts w:ascii="Arial" w:cs="Arial" w:eastAsia="Arial" w:hAnsi="Arial"/>
          <w:sz w:val="16"/>
          <w:szCs w:val="16"/>
          <w:u w:val="single" w:color="auto"/>
          <w:color w:val="auto"/>
        </w:rPr>
      </w:pPr>
      <w:hyperlink w:anchor="page61">
        <w:r>
          <w:rPr>
            <w:rFonts w:ascii="Arial" w:cs="Arial" w:eastAsia="Arial" w:hAnsi="Arial"/>
            <w:sz w:val="16"/>
            <w:szCs w:val="16"/>
            <w:u w:val="single" w:color="auto"/>
            <w:color w:val="auto"/>
          </w:rPr>
          <w:t>2021 Pay Decisions for Other NEOs</w:t>
        </w:r>
      </w:hyperlink>
    </w:p>
    <w:p>
      <w:pPr>
        <w:spacing w:after="0" w:line="191" w:lineRule="exact"/>
        <w:rPr>
          <w:rFonts w:ascii="Arial" w:cs="Arial" w:eastAsia="Arial" w:hAnsi="Arial"/>
          <w:sz w:val="16"/>
          <w:szCs w:val="16"/>
          <w:u w:val="single" w:color="auto"/>
          <w:color w:val="auto"/>
        </w:rPr>
      </w:pPr>
    </w:p>
    <w:p>
      <w:pPr>
        <w:ind w:left="180"/>
        <w:spacing w:after="0"/>
        <w:rPr>
          <w:rFonts w:ascii="Arial" w:cs="Arial" w:eastAsia="Arial" w:hAnsi="Arial"/>
          <w:sz w:val="16"/>
          <w:szCs w:val="16"/>
          <w:u w:val="single" w:color="auto"/>
          <w:color w:val="auto"/>
        </w:rPr>
      </w:pPr>
      <w:hyperlink w:anchor="page65">
        <w:r>
          <w:rPr>
            <w:rFonts w:ascii="Arial" w:cs="Arial" w:eastAsia="Arial" w:hAnsi="Arial"/>
            <w:sz w:val="16"/>
            <w:szCs w:val="16"/>
            <w:u w:val="single" w:color="auto"/>
            <w:color w:val="auto"/>
          </w:rPr>
          <w:t>Other Compensation Elements</w:t>
        </w:r>
      </w:hyperlink>
    </w:p>
    <w:p>
      <w:pPr>
        <w:spacing w:after="0" w:line="191" w:lineRule="exact"/>
        <w:rPr>
          <w:rFonts w:ascii="Arial" w:cs="Arial" w:eastAsia="Arial" w:hAnsi="Arial"/>
          <w:sz w:val="16"/>
          <w:szCs w:val="16"/>
          <w:u w:val="single" w:color="auto"/>
          <w:color w:val="auto"/>
        </w:rPr>
      </w:pPr>
    </w:p>
    <w:p>
      <w:pPr>
        <w:ind w:left="18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Other Executive Compensation Policies and Practices</w:t>
        </w:r>
      </w:hyperlink>
    </w:p>
    <w:p>
      <w:pPr>
        <w:spacing w:after="0" w:line="171" w:lineRule="exact"/>
        <w:rPr>
          <w:rFonts w:ascii="Arial" w:cs="Arial" w:eastAsia="Arial" w:hAnsi="Arial"/>
          <w:sz w:val="16"/>
          <w:szCs w:val="16"/>
          <w:u w:val="single" w:color="auto"/>
          <w:color w:val="auto"/>
        </w:rPr>
      </w:pPr>
    </w:p>
    <w:p>
      <w:pPr>
        <w:spacing w:after="0"/>
        <w:rPr>
          <w:rFonts w:ascii="Arial" w:cs="Arial" w:eastAsia="Arial" w:hAnsi="Arial"/>
          <w:sz w:val="16"/>
          <w:szCs w:val="16"/>
          <w:b w:val="1"/>
          <w:bCs w:val="1"/>
          <w:u w:val="single" w:color="auto"/>
          <w:color w:val="auto"/>
        </w:rPr>
      </w:pPr>
      <w:hyperlink w:anchor="page70">
        <w:r>
          <w:rPr>
            <w:rFonts w:ascii="Arial" w:cs="Arial" w:eastAsia="Arial" w:hAnsi="Arial"/>
            <w:sz w:val="16"/>
            <w:szCs w:val="16"/>
            <w:b w:val="1"/>
            <w:bCs w:val="1"/>
            <w:u w:val="single" w:color="auto"/>
            <w:color w:val="auto"/>
          </w:rPr>
          <w:t>Report of the Human Capital &amp; Compensation Committee</w:t>
        </w:r>
      </w:hyperlink>
    </w:p>
    <w:p>
      <w:pPr>
        <w:spacing w:after="0" w:line="191" w:lineRule="exact"/>
        <w:rPr>
          <w:rFonts w:ascii="Arial" w:cs="Arial" w:eastAsia="Arial" w:hAnsi="Arial"/>
          <w:sz w:val="16"/>
          <w:szCs w:val="16"/>
          <w:u w:val="single" w:color="auto"/>
          <w:color w:val="auto"/>
        </w:rPr>
      </w:pPr>
    </w:p>
    <w:p>
      <w:pPr>
        <w:spacing w:after="0"/>
        <w:rPr>
          <w:rFonts w:ascii="Arial" w:cs="Arial" w:eastAsia="Arial" w:hAnsi="Arial"/>
          <w:sz w:val="16"/>
          <w:szCs w:val="16"/>
          <w:b w:val="1"/>
          <w:bCs w:val="1"/>
          <w:u w:val="single" w:color="auto"/>
          <w:color w:val="auto"/>
        </w:rPr>
      </w:pPr>
      <w:hyperlink w:anchor="page71">
        <w:r>
          <w:rPr>
            <w:rFonts w:ascii="Arial" w:cs="Arial" w:eastAsia="Arial" w:hAnsi="Arial"/>
            <w:sz w:val="16"/>
            <w:szCs w:val="16"/>
            <w:b w:val="1"/>
            <w:bCs w:val="1"/>
            <w:u w:val="single" w:color="auto"/>
            <w:color w:val="auto"/>
          </w:rPr>
          <w:t>Compensation Tables</w:t>
        </w:r>
      </w:hyperlink>
    </w:p>
    <w:p>
      <w:pPr>
        <w:spacing w:after="0" w:line="191" w:lineRule="exact"/>
        <w:rPr>
          <w:rFonts w:ascii="Arial" w:cs="Arial" w:eastAsia="Arial" w:hAnsi="Arial"/>
          <w:sz w:val="16"/>
          <w:szCs w:val="16"/>
          <w:u w:val="single" w:color="auto"/>
          <w:color w:val="auto"/>
        </w:rPr>
      </w:pPr>
    </w:p>
    <w:p>
      <w:pPr>
        <w:spacing w:after="0"/>
        <w:rPr>
          <w:rFonts w:ascii="Arial" w:cs="Arial" w:eastAsia="Arial" w:hAnsi="Arial"/>
          <w:sz w:val="16"/>
          <w:szCs w:val="16"/>
          <w:b w:val="1"/>
          <w:bCs w:val="1"/>
          <w:u w:val="single" w:color="auto"/>
          <w:color w:val="auto"/>
        </w:rPr>
      </w:pPr>
      <w:hyperlink w:anchor="page90">
        <w:r>
          <w:rPr>
            <w:rFonts w:ascii="Arial" w:cs="Arial" w:eastAsia="Arial" w:hAnsi="Arial"/>
            <w:sz w:val="16"/>
            <w:szCs w:val="16"/>
            <w:b w:val="1"/>
            <w:bCs w:val="1"/>
            <w:u w:val="single" w:color="auto"/>
            <w:color w:val="auto"/>
          </w:rPr>
          <w:t>CEO Pay Ratio</w:t>
        </w:r>
      </w:hyperlink>
    </w:p>
    <w:p>
      <w:pPr>
        <w:spacing w:after="0" w:line="20" w:lineRule="exact"/>
        <w:rPr>
          <w:rFonts w:ascii="Arial" w:cs="Arial" w:eastAsia="Arial" w:hAnsi="Arial"/>
          <w:sz w:val="16"/>
          <w:szCs w:val="16"/>
          <w:u w:val="single" w:color="auto"/>
          <w:color w:val="auto"/>
        </w:rPr>
      </w:pPr>
      <w:r>
        <w:rPr>
          <w:rFonts w:ascii="Arial" w:cs="Arial" w:eastAsia="Arial" w:hAnsi="Arial"/>
          <w:sz w:val="16"/>
          <w:szCs w:val="16"/>
          <w:u w:val="single" w:color="auto"/>
          <w:color w:val="auto"/>
        </w:rPr>
        <w:br w:type="column"/>
      </w: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00" w:lineRule="exact"/>
        <w:rPr>
          <w:rFonts w:ascii="Arial" w:cs="Arial" w:eastAsia="Arial" w:hAnsi="Arial"/>
          <w:sz w:val="16"/>
          <w:szCs w:val="16"/>
          <w:u w:val="single" w:color="auto"/>
          <w:color w:val="auto"/>
        </w:rPr>
      </w:pPr>
    </w:p>
    <w:p>
      <w:pPr>
        <w:spacing w:after="0" w:line="216" w:lineRule="exact"/>
        <w:rPr>
          <w:rFonts w:ascii="Arial" w:cs="Arial" w:eastAsia="Arial" w:hAnsi="Arial"/>
          <w:sz w:val="16"/>
          <w:szCs w:val="16"/>
          <w:u w:val="single" w:color="auto"/>
          <w:color w:val="auto"/>
        </w:rPr>
      </w:pPr>
    </w:p>
    <w:p>
      <w:pPr>
        <w:ind w:left="629" w:hanging="495"/>
        <w:spacing w:after="0"/>
        <w:tabs>
          <w:tab w:leader="none" w:pos="629" w:val="left"/>
        </w:tabs>
        <w:numPr>
          <w:ilvl w:val="0"/>
          <w:numId w:val="8"/>
        </w:numPr>
        <w:rPr>
          <w:rFonts w:ascii="Arial" w:cs="Arial" w:eastAsia="Arial" w:hAnsi="Arial"/>
          <w:sz w:val="16"/>
          <w:szCs w:val="16"/>
          <w:b w:val="1"/>
          <w:bCs w:val="1"/>
          <w:u w:val="single" w:color="auto"/>
          <w:color w:val="auto"/>
        </w:rPr>
      </w:pPr>
      <w:r>
        <w:rPr>
          <w:rFonts w:ascii="Arial" w:cs="Arial" w:eastAsia="Arial" w:hAnsi="Arial"/>
          <w:sz w:val="16"/>
          <w:szCs w:val="16"/>
          <w:b w:val="1"/>
          <w:bCs w:val="1"/>
          <w:color w:val="CE0F2D"/>
        </w:rPr>
        <w:t>AUDIT</w:t>
      </w:r>
    </w:p>
    <w:p>
      <w:pPr>
        <w:spacing w:after="0" w:line="186" w:lineRule="exact"/>
        <w:rPr>
          <w:rFonts w:ascii="Arial" w:cs="Arial" w:eastAsia="Arial" w:hAnsi="Arial"/>
          <w:sz w:val="16"/>
          <w:szCs w:val="16"/>
          <w:u w:val="single" w:color="auto"/>
          <w:color w:val="auto"/>
        </w:rPr>
      </w:pPr>
    </w:p>
    <w:tbl>
      <w:tblPr>
        <w:tblLayout w:type="fixed"/>
        <w:tblInd w:w="9" w:type="dxa"/>
        <w:tblCellMar>
          <w:top w:w="0" w:type="dxa"/>
          <w:left w:w="0" w:type="dxa"/>
          <w:bottom w:w="0" w:type="dxa"/>
          <w:right w:w="0" w:type="dxa"/>
        </w:tblCellMar>
      </w:tblPr>
      <w:tr>
        <w:trPr>
          <w:trHeight w:val="184"/>
        </w:trPr>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rFonts w:ascii="Arial" w:cs="Arial" w:eastAsia="Arial" w:hAnsi="Arial"/>
                <w:sz w:val="15"/>
                <w:szCs w:val="15"/>
                <w:b w:val="1"/>
                <w:bCs w:val="1"/>
                <w:color w:val="auto"/>
                <w:w w:val="71"/>
              </w:rPr>
            </w:pPr>
            <w:hyperlink w:anchor="page6">
              <w:r>
                <w:rPr>
                  <w:rFonts w:ascii="Arial" w:cs="Arial" w:eastAsia="Arial" w:hAnsi="Arial"/>
                  <w:sz w:val="15"/>
                  <w:szCs w:val="15"/>
                  <w:b w:val="1"/>
                  <w:bCs w:val="1"/>
                  <w:color w:val="auto"/>
                  <w:w w:val="71"/>
                </w:rPr>
                <w:t>1</w:t>
              </w:r>
            </w:hyperlink>
          </w:p>
        </w:tc>
        <w:tc>
          <w:tcPr>
            <w:tcW w:w="460" w:type="dxa"/>
            <w:vAlign w:val="bottom"/>
          </w:tcPr>
          <w:p>
            <w:pPr>
              <w:spacing w:after="0"/>
              <w:rPr>
                <w:sz w:val="16"/>
                <w:szCs w:val="16"/>
                <w:color w:val="auto"/>
              </w:rPr>
            </w:pPr>
          </w:p>
        </w:tc>
        <w:tc>
          <w:tcPr>
            <w:tcW w:w="1860" w:type="dxa"/>
            <w:vAlign w:val="bottom"/>
            <w:tcBorders>
              <w:bottom w:val="single" w:sz="8" w:color="auto"/>
            </w:tcBorders>
            <w:gridSpan w:val="3"/>
          </w:tcPr>
          <w:p>
            <w:pPr>
              <w:spacing w:after="0"/>
              <w:rPr>
                <w:rFonts w:ascii="Arial" w:cs="Arial" w:eastAsia="Arial" w:hAnsi="Arial"/>
                <w:sz w:val="16"/>
                <w:szCs w:val="16"/>
                <w:b w:val="1"/>
                <w:bCs w:val="1"/>
                <w:color w:val="auto"/>
                <w:w w:val="99"/>
              </w:rPr>
            </w:pPr>
            <w:hyperlink w:anchor="page92">
              <w:r>
                <w:rPr>
                  <w:rFonts w:ascii="Arial" w:cs="Arial" w:eastAsia="Arial" w:hAnsi="Arial"/>
                  <w:sz w:val="16"/>
                  <w:szCs w:val="16"/>
                  <w:b w:val="1"/>
                  <w:bCs w:val="1"/>
                  <w:color w:val="auto"/>
                  <w:w w:val="99"/>
                </w:rPr>
                <w:t>Audit Committee Report</w:t>
              </w:r>
            </w:hyperlink>
          </w:p>
        </w:tc>
        <w:tc>
          <w:tcPr>
            <w:tcW w:w="3360" w:type="dxa"/>
            <w:vAlign w:val="bottom"/>
            <w:gridSpan w:val="2"/>
          </w:tcPr>
          <w:p>
            <w:pPr>
              <w:spacing w:after="0"/>
              <w:rPr>
                <w:sz w:val="16"/>
                <w:szCs w:val="16"/>
                <w:color w:val="auto"/>
              </w:rPr>
            </w:pPr>
          </w:p>
        </w:tc>
        <w:tc>
          <w:tcPr>
            <w:tcW w:w="180" w:type="dxa"/>
            <w:vAlign w:val="bottom"/>
            <w:tcBorders>
              <w:bottom w:val="single" w:sz="8" w:color="auto"/>
            </w:tcBorders>
          </w:tcPr>
          <w:p>
            <w:pPr>
              <w:jc w:val="right"/>
              <w:spacing w:after="0"/>
              <w:rPr>
                <w:rFonts w:ascii="Arial" w:cs="Arial" w:eastAsia="Arial" w:hAnsi="Arial"/>
                <w:sz w:val="16"/>
                <w:szCs w:val="16"/>
                <w:b w:val="1"/>
                <w:bCs w:val="1"/>
                <w:color w:val="auto"/>
                <w:w w:val="89"/>
              </w:rPr>
            </w:pPr>
            <w:hyperlink w:anchor="page92">
              <w:r>
                <w:rPr>
                  <w:rFonts w:ascii="Arial" w:cs="Arial" w:eastAsia="Arial" w:hAnsi="Arial"/>
                  <w:sz w:val="16"/>
                  <w:szCs w:val="16"/>
                  <w:b w:val="1"/>
                  <w:bCs w:val="1"/>
                  <w:color w:val="auto"/>
                  <w:w w:val="89"/>
                </w:rPr>
                <w:t>87</w:t>
              </w:r>
            </w:hyperlink>
          </w:p>
        </w:tc>
        <w:tc>
          <w:tcPr>
            <w:tcW w:w="0" w:type="dxa"/>
            <w:vAlign w:val="bottom"/>
          </w:tcPr>
          <w:p>
            <w:pPr>
              <w:spacing w:after="0"/>
              <w:rPr>
                <w:sz w:val="1"/>
                <w:szCs w:val="1"/>
                <w:color w:val="auto"/>
              </w:rPr>
            </w:pPr>
          </w:p>
        </w:tc>
      </w:tr>
      <w:tr>
        <w:trPr>
          <w:trHeight w:val="355"/>
        </w:trPr>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20" w:type="dxa"/>
            <w:vAlign w:val="bottom"/>
            <w:gridSpan w:val="5"/>
          </w:tcPr>
          <w:p>
            <w:pPr>
              <w:spacing w:after="0"/>
              <w:rPr>
                <w:rFonts w:ascii="Arial" w:cs="Arial" w:eastAsia="Arial" w:hAnsi="Arial"/>
                <w:sz w:val="16"/>
                <w:szCs w:val="16"/>
                <w:b w:val="1"/>
                <w:bCs w:val="1"/>
                <w:color w:val="CE0F2D"/>
              </w:rPr>
            </w:pPr>
            <w:hyperlink w:anchor="page93">
              <w:r>
                <w:rPr>
                  <w:rFonts w:ascii="Arial" w:cs="Arial" w:eastAsia="Arial" w:hAnsi="Arial"/>
                  <w:sz w:val="16"/>
                  <w:szCs w:val="16"/>
                  <w:b w:val="1"/>
                  <w:bCs w:val="1"/>
                  <w:color w:val="CE0F2D"/>
                </w:rPr>
                <w:t>Proposal 3:</w:t>
              </w:r>
            </w:hyperlink>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Borders>
              <w:top w:val="single" w:sz="8" w:color="CE0F2D"/>
            </w:tcBorders>
          </w:tcPr>
          <w:p>
            <w:pPr>
              <w:spacing w:after="0" w:line="168" w:lineRule="exact"/>
              <w:rPr>
                <w:rFonts w:ascii="Arial" w:cs="Arial" w:eastAsia="Arial" w:hAnsi="Arial"/>
                <w:sz w:val="16"/>
                <w:szCs w:val="16"/>
                <w:b w:val="1"/>
                <w:bCs w:val="1"/>
                <w:color w:val="auto"/>
              </w:rPr>
            </w:pPr>
            <w:hyperlink w:anchor="page93">
              <w:r>
                <w:rPr>
                  <w:rFonts w:ascii="Arial" w:cs="Arial" w:eastAsia="Arial" w:hAnsi="Arial"/>
                  <w:sz w:val="16"/>
                  <w:szCs w:val="16"/>
                  <w:b w:val="1"/>
                  <w:bCs w:val="1"/>
                  <w:color w:val="auto"/>
                </w:rPr>
                <w:t>Appoint</w:t>
              </w:r>
            </w:hyperlink>
          </w:p>
        </w:tc>
        <w:tc>
          <w:tcPr>
            <w:tcW w:w="4340" w:type="dxa"/>
            <w:vAlign w:val="bottom"/>
            <w:gridSpan w:val="4"/>
          </w:tcPr>
          <w:p>
            <w:pPr>
              <w:spacing w:after="0" w:line="168" w:lineRule="exact"/>
              <w:rPr>
                <w:rFonts w:ascii="Arial" w:cs="Arial" w:eastAsia="Arial" w:hAnsi="Arial"/>
                <w:sz w:val="16"/>
                <w:szCs w:val="16"/>
                <w:b w:val="1"/>
                <w:bCs w:val="1"/>
                <w:color w:val="auto"/>
              </w:rPr>
            </w:pPr>
            <w:hyperlink w:anchor="page93">
              <w:r>
                <w:rPr>
                  <w:rFonts w:ascii="Arial" w:cs="Arial" w:eastAsia="Arial" w:hAnsi="Arial"/>
                  <w:sz w:val="16"/>
                  <w:szCs w:val="16"/>
                  <w:b w:val="1"/>
                  <w:bCs w:val="1"/>
                  <w:color w:val="auto"/>
                </w:rPr>
                <w:t>PricewaterhouseCoopers LLP to Serve as Independent</w:t>
              </w:r>
            </w:hyperlink>
          </w:p>
        </w:tc>
        <w:tc>
          <w:tcPr>
            <w:tcW w:w="180" w:type="dxa"/>
            <w:vAlign w:val="bottom"/>
            <w:vMerge w:val="restart"/>
          </w:tcPr>
          <w:p>
            <w:pPr>
              <w:jc w:val="right"/>
              <w:spacing w:after="0"/>
              <w:rPr>
                <w:rFonts w:ascii="Arial" w:cs="Arial" w:eastAsia="Arial" w:hAnsi="Arial"/>
                <w:sz w:val="16"/>
                <w:szCs w:val="16"/>
                <w:b w:val="1"/>
                <w:bCs w:val="1"/>
                <w:color w:val="auto"/>
                <w:w w:val="89"/>
              </w:rPr>
            </w:pPr>
            <w:hyperlink w:anchor="page93">
              <w:r>
                <w:rPr>
                  <w:rFonts w:ascii="Arial" w:cs="Arial" w:eastAsia="Arial" w:hAnsi="Arial"/>
                  <w:sz w:val="16"/>
                  <w:szCs w:val="16"/>
                  <w:b w:val="1"/>
                  <w:bCs w:val="1"/>
                  <w:color w:val="auto"/>
                  <w:w w:val="89"/>
                </w:rPr>
                <w:t>88</w:t>
              </w:r>
            </w:hyperlink>
          </w:p>
        </w:tc>
        <w:tc>
          <w:tcPr>
            <w:tcW w:w="0" w:type="dxa"/>
            <w:vAlign w:val="bottom"/>
          </w:tcPr>
          <w:p>
            <w:pPr>
              <w:spacing w:after="0"/>
              <w:rPr>
                <w:sz w:val="1"/>
                <w:szCs w:val="1"/>
                <w:color w:val="auto"/>
              </w:rPr>
            </w:pPr>
          </w:p>
        </w:tc>
      </w:tr>
      <w:tr>
        <w:trPr>
          <w:trHeight w:val="167"/>
        </w:trPr>
        <w:tc>
          <w:tcPr>
            <w:tcW w:w="160" w:type="dxa"/>
            <w:vAlign w:val="bottom"/>
            <w:gridSpan w:val="2"/>
            <w:vMerge w:val="restart"/>
          </w:tcPr>
          <w:p>
            <w:pPr>
              <w:jc w:val="right"/>
              <w:spacing w:after="0"/>
              <w:rPr>
                <w:rFonts w:ascii="Arial" w:cs="Arial" w:eastAsia="Arial" w:hAnsi="Arial"/>
                <w:sz w:val="16"/>
                <w:szCs w:val="16"/>
                <w:b w:val="1"/>
                <w:bCs w:val="1"/>
                <w:color w:val="auto"/>
                <w:w w:val="78"/>
              </w:rPr>
            </w:pPr>
            <w:hyperlink w:anchor="page16">
              <w:r>
                <w:rPr>
                  <w:rFonts w:ascii="Arial" w:cs="Arial" w:eastAsia="Arial" w:hAnsi="Arial"/>
                  <w:sz w:val="16"/>
                  <w:szCs w:val="16"/>
                  <w:b w:val="1"/>
                  <w:bCs w:val="1"/>
                  <w:color w:val="auto"/>
                  <w:w w:val="78"/>
                </w:rPr>
                <w:t>11</w:t>
              </w:r>
            </w:hyperlink>
          </w:p>
        </w:tc>
        <w:tc>
          <w:tcPr>
            <w:tcW w:w="460" w:type="dxa"/>
            <w:vAlign w:val="bottom"/>
          </w:tcPr>
          <w:p>
            <w:pPr>
              <w:spacing w:after="0"/>
              <w:rPr>
                <w:sz w:val="14"/>
                <w:szCs w:val="14"/>
                <w:color w:val="auto"/>
              </w:rPr>
            </w:pPr>
          </w:p>
        </w:tc>
        <w:tc>
          <w:tcPr>
            <w:tcW w:w="4840" w:type="dxa"/>
            <w:vAlign w:val="bottom"/>
            <w:tcBorders>
              <w:top w:val="single" w:sz="8" w:color="auto"/>
            </w:tcBorders>
            <w:gridSpan w:val="4"/>
          </w:tcPr>
          <w:p>
            <w:pPr>
              <w:spacing w:after="0" w:line="168" w:lineRule="exact"/>
              <w:rPr>
                <w:rFonts w:ascii="Arial" w:cs="Arial" w:eastAsia="Arial" w:hAnsi="Arial"/>
                <w:sz w:val="16"/>
                <w:szCs w:val="16"/>
                <w:b w:val="1"/>
                <w:bCs w:val="1"/>
                <w:color w:val="auto"/>
              </w:rPr>
            </w:pPr>
            <w:hyperlink w:anchor="page93">
              <w:r>
                <w:rPr>
                  <w:rFonts w:ascii="Arial" w:cs="Arial" w:eastAsia="Arial" w:hAnsi="Arial"/>
                  <w:sz w:val="16"/>
                  <w:szCs w:val="16"/>
                  <w:b w:val="1"/>
                  <w:bCs w:val="1"/>
                  <w:color w:val="auto"/>
                </w:rPr>
                <w:t>Auditor for 2022</w:t>
              </w:r>
            </w:hyperlink>
          </w:p>
        </w:tc>
        <w:tc>
          <w:tcPr>
            <w:tcW w:w="38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gridSpan w:val="2"/>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160" w:type="dxa"/>
            <w:vAlign w:val="bottom"/>
            <w:tcBorders>
              <w:bottom w:val="single" w:sz="8" w:color="auto"/>
            </w:tcBorders>
            <w:gridSpan w:val="2"/>
            <w:vMerge w:val="continue"/>
          </w:tcPr>
          <w:p>
            <w:pPr>
              <w:spacing w:after="0"/>
              <w:rPr>
                <w:sz w:val="14"/>
                <w:szCs w:val="14"/>
                <w:color w:val="auto"/>
              </w:rPr>
            </w:pPr>
          </w:p>
        </w:tc>
        <w:tc>
          <w:tcPr>
            <w:tcW w:w="460" w:type="dxa"/>
            <w:vAlign w:val="bottom"/>
          </w:tcPr>
          <w:p>
            <w:pPr>
              <w:spacing w:after="0"/>
              <w:rPr>
                <w:sz w:val="14"/>
                <w:szCs w:val="14"/>
                <w:color w:val="auto"/>
              </w:rPr>
            </w:pPr>
          </w:p>
        </w:tc>
        <w:tc>
          <w:tcPr>
            <w:tcW w:w="5220" w:type="dxa"/>
            <w:vAlign w:val="bottom"/>
            <w:gridSpan w:val="5"/>
            <w:vMerge w:val="restart"/>
          </w:tcPr>
          <w:p>
            <w:pPr>
              <w:spacing w:after="0"/>
              <w:rPr>
                <w:sz w:val="20"/>
                <w:szCs w:val="20"/>
                <w:color w:val="auto"/>
              </w:rPr>
            </w:pPr>
            <w:r>
              <w:rPr>
                <w:rFonts w:ascii="Arial" w:cs="Arial" w:eastAsia="Arial" w:hAnsi="Arial"/>
                <w:sz w:val="16"/>
                <w:szCs w:val="16"/>
                <w:b w:val="1"/>
                <w:bCs w:val="1"/>
                <w:color w:val="CE0F2D"/>
              </w:rPr>
              <w:t>OTHER COMPANY PROPOSALS</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2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9"/>
        <w:spacing w:after="0"/>
        <w:rPr>
          <w:rFonts w:ascii="Arial" w:cs="Arial" w:eastAsia="Arial" w:hAnsi="Arial"/>
          <w:sz w:val="16"/>
          <w:szCs w:val="16"/>
          <w:u w:val="single" w:color="auto"/>
          <w:color w:val="auto"/>
        </w:rPr>
      </w:pPr>
      <w:hyperlink w:anchor="page19">
        <w:r>
          <w:rPr>
            <w:rFonts w:ascii="Arial" w:cs="Arial" w:eastAsia="Arial" w:hAnsi="Arial"/>
            <w:sz w:val="16"/>
            <w:szCs w:val="16"/>
            <w:u w:val="single" w:color="auto"/>
            <w:color w:val="auto"/>
          </w:rPr>
          <w:t>14</w:t>
        </w:r>
      </w:hyperlink>
    </w:p>
    <w:p>
      <w:pPr>
        <w:spacing w:after="0" w:line="3" w:lineRule="exact"/>
        <w:rPr>
          <w:sz w:val="20"/>
          <w:szCs w:val="20"/>
          <w:color w:val="auto"/>
        </w:rPr>
      </w:pPr>
    </w:p>
    <w:p>
      <w:pPr>
        <w:ind w:left="629"/>
        <w:spacing w:after="0"/>
        <w:rPr>
          <w:rFonts w:ascii="Arial" w:cs="Arial" w:eastAsia="Arial" w:hAnsi="Arial"/>
          <w:sz w:val="16"/>
          <w:szCs w:val="16"/>
          <w:b w:val="1"/>
          <w:bCs w:val="1"/>
          <w:u w:val="single" w:color="auto"/>
          <w:color w:val="CE0F2D"/>
        </w:rPr>
      </w:pPr>
      <w:hyperlink w:anchor="page95">
        <w:r>
          <w:rPr>
            <w:rFonts w:ascii="Arial" w:cs="Arial" w:eastAsia="Arial" w:hAnsi="Arial"/>
            <w:sz w:val="16"/>
            <w:szCs w:val="16"/>
            <w:b w:val="1"/>
            <w:bCs w:val="1"/>
            <w:u w:val="single" w:color="auto"/>
            <w:color w:val="CE0F2D"/>
          </w:rPr>
          <w:t>Proposal 4:</w:t>
        </w:r>
      </w:hyperlink>
    </w:p>
    <w:p>
      <w:pPr>
        <w:spacing w:after="0" w:line="3" w:lineRule="exact"/>
        <w:rPr>
          <w:sz w:val="20"/>
          <w:szCs w:val="20"/>
          <w:color w:val="auto"/>
        </w:rPr>
      </w:pPr>
    </w:p>
    <w:p>
      <w:pPr>
        <w:ind w:left="629" w:right="380" w:hanging="629"/>
        <w:spacing w:after="0" w:line="244" w:lineRule="auto"/>
        <w:tabs>
          <w:tab w:leader="none" w:pos="629" w:val="left"/>
        </w:tabs>
        <w:numPr>
          <w:ilvl w:val="0"/>
          <w:numId w:val="9"/>
        </w:numPr>
        <w:rPr>
          <w:rFonts w:ascii="Arial" w:cs="Arial" w:eastAsia="Arial" w:hAnsi="Arial"/>
          <w:sz w:val="16"/>
          <w:szCs w:val="16"/>
          <w:b w:val="1"/>
          <w:bCs w:val="1"/>
          <w:u w:val="single" w:color="auto"/>
          <w:color w:val="auto"/>
        </w:rPr>
      </w:pPr>
      <w:hyperlink w:anchor="page95">
        <w:r>
          <w:rPr>
            <w:rFonts w:ascii="Arial" w:cs="Arial" w:eastAsia="Arial" w:hAnsi="Arial"/>
            <w:sz w:val="16"/>
            <w:szCs w:val="16"/>
            <w:b w:val="1"/>
            <w:bCs w:val="1"/>
            <w:u w:val="single" w:color="auto"/>
            <w:color w:val="auto"/>
          </w:rPr>
          <w:t>Approve an Amendment to the Restated Certificate of</w:t>
        </w:r>
      </w:hyperlink>
      <w:r>
        <w:rPr>
          <w:rFonts w:ascii="Arial" w:cs="Arial" w:eastAsia="Arial" w:hAnsi="Arial"/>
          <w:sz w:val="16"/>
          <w:szCs w:val="16"/>
          <w:b w:val="1"/>
          <w:bCs w:val="1"/>
          <w:u w:val="single" w:color="auto"/>
          <w:color w:val="auto"/>
        </w:rPr>
        <w:t xml:space="preserve"> </w:t>
      </w:r>
      <w:hyperlink w:anchor="page95">
        <w:r>
          <w:rPr>
            <w:rFonts w:ascii="Arial" w:cs="Arial" w:eastAsia="Arial" w:hAnsi="Arial"/>
            <w:sz w:val="16"/>
            <w:szCs w:val="16"/>
            <w:b w:val="1"/>
            <w:bCs w:val="1"/>
            <w:u w:val="single" w:color="auto"/>
            <w:color w:val="auto"/>
          </w:rPr>
          <w:t>Incorporation to Reduce the Voting Threshold Required to Repeal</w:t>
        </w:r>
      </w:hyperlink>
    </w:p>
    <w:p>
      <w:pPr>
        <w:spacing w:after="0" w:line="1" w:lineRule="exact"/>
        <w:rPr>
          <w:rFonts w:ascii="Arial" w:cs="Arial" w:eastAsia="Arial" w:hAnsi="Arial"/>
          <w:sz w:val="16"/>
          <w:szCs w:val="16"/>
          <w:b w:val="1"/>
          <w:bCs w:val="1"/>
          <w:u w:val="single" w:color="auto"/>
          <w:color w:val="auto"/>
        </w:rPr>
      </w:pPr>
    </w:p>
    <w:p>
      <w:pPr>
        <w:ind w:left="9"/>
        <w:spacing w:after="0"/>
        <w:tabs>
          <w:tab w:leader="none" w:pos="609" w:val="left"/>
          <w:tab w:leader="none" w:pos="5829" w:val="left"/>
        </w:tabs>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33</w:t>
      </w:r>
      <w:r>
        <w:rPr>
          <w:sz w:val="20"/>
          <w:szCs w:val="20"/>
          <w:color w:val="auto"/>
        </w:rPr>
        <w:tab/>
      </w:r>
      <w:hyperlink w:anchor="page95">
        <w:r>
          <w:rPr>
            <w:rFonts w:ascii="Arial" w:cs="Arial" w:eastAsia="Arial" w:hAnsi="Arial"/>
            <w:sz w:val="16"/>
            <w:szCs w:val="16"/>
            <w:b w:val="1"/>
            <w:bCs w:val="1"/>
            <w:u w:val="single" w:color="auto"/>
            <w:color w:val="auto"/>
          </w:rPr>
          <w:t>Article Ninth</w:t>
        </w:r>
      </w:hyperlink>
      <w:r>
        <w:rPr>
          <w:rFonts w:ascii="Arial" w:cs="Arial" w:eastAsia="Arial" w:hAnsi="Arial"/>
          <w:sz w:val="16"/>
          <w:szCs w:val="16"/>
          <w:b w:val="1"/>
          <w:bCs w:val="1"/>
          <w:u w:val="single" w:color="auto"/>
          <w:color w:val="auto"/>
        </w:rPr>
        <w:tab/>
      </w:r>
      <w:hyperlink w:anchor="page95">
        <w:r>
          <w:rPr>
            <w:rFonts w:ascii="Arial" w:cs="Arial" w:eastAsia="Arial" w:hAnsi="Arial"/>
            <w:sz w:val="16"/>
            <w:szCs w:val="16"/>
            <w:b w:val="1"/>
            <w:bCs w:val="1"/>
            <w:u w:val="single" w:color="auto"/>
            <w:color w:val="auto"/>
          </w:rPr>
          <w:t>90</w:t>
        </w:r>
      </w:hyperlink>
    </w:p>
    <w:p>
      <w:pPr>
        <w:spacing w:after="0" w:line="166" w:lineRule="exact"/>
        <w:rPr>
          <w:sz w:val="20"/>
          <w:szCs w:val="20"/>
          <w:color w:val="auto"/>
        </w:rPr>
      </w:pPr>
    </w:p>
    <w:tbl>
      <w:tblPr>
        <w:tblLayout w:type="fixed"/>
        <w:tblInd w:w="9" w:type="dxa"/>
        <w:tblCellMar>
          <w:top w:w="0" w:type="dxa"/>
          <w:left w:w="0" w:type="dxa"/>
          <w:bottom w:w="0" w:type="dxa"/>
          <w:right w:w="0" w:type="dxa"/>
        </w:tblCellMar>
      </w:tblPr>
      <w:tr>
        <w:trPr>
          <w:trHeight w:val="184"/>
        </w:trPr>
        <w:tc>
          <w:tcPr>
            <w:tcW w:w="160" w:type="dxa"/>
            <w:vAlign w:val="bottom"/>
            <w:tcBorders>
              <w:bottom w:val="single" w:sz="8" w:color="auto"/>
            </w:tcBorders>
          </w:tcPr>
          <w:p>
            <w:pPr>
              <w:jc w:val="right"/>
              <w:spacing w:after="0"/>
              <w:rPr>
                <w:rFonts w:ascii="Arial" w:cs="Arial" w:eastAsia="Arial" w:hAnsi="Arial"/>
                <w:sz w:val="16"/>
                <w:szCs w:val="16"/>
                <w:b w:val="1"/>
                <w:bCs w:val="1"/>
                <w:color w:val="auto"/>
                <w:w w:val="78"/>
              </w:rPr>
            </w:pPr>
            <w:hyperlink w:anchor="page40">
              <w:r>
                <w:rPr>
                  <w:rFonts w:ascii="Arial" w:cs="Arial" w:eastAsia="Arial" w:hAnsi="Arial"/>
                  <w:sz w:val="16"/>
                  <w:szCs w:val="16"/>
                  <w:b w:val="1"/>
                  <w:bCs w:val="1"/>
                  <w:color w:val="auto"/>
                  <w:w w:val="78"/>
                </w:rPr>
                <w:t>35</w:t>
              </w:r>
            </w:hyperlink>
          </w:p>
        </w:tc>
        <w:tc>
          <w:tcPr>
            <w:tcW w:w="460" w:type="dxa"/>
            <w:vAlign w:val="bottom"/>
          </w:tcPr>
          <w:p>
            <w:pPr>
              <w:spacing w:after="0"/>
              <w:rPr>
                <w:sz w:val="16"/>
                <w:szCs w:val="16"/>
                <w:color w:val="auto"/>
              </w:rPr>
            </w:pPr>
          </w:p>
        </w:tc>
        <w:tc>
          <w:tcPr>
            <w:tcW w:w="5220" w:type="dxa"/>
            <w:vAlign w:val="bottom"/>
            <w:gridSpan w:val="3"/>
          </w:tcPr>
          <w:p>
            <w:pPr>
              <w:spacing w:after="0"/>
              <w:rPr>
                <w:sz w:val="20"/>
                <w:szCs w:val="20"/>
                <w:color w:val="auto"/>
              </w:rPr>
            </w:pPr>
            <w:r>
              <w:rPr>
                <w:rFonts w:ascii="Arial" w:cs="Arial" w:eastAsia="Arial" w:hAnsi="Arial"/>
                <w:sz w:val="16"/>
                <w:szCs w:val="16"/>
                <w:b w:val="1"/>
                <w:bCs w:val="1"/>
                <w:color w:val="CE0F2D"/>
              </w:rPr>
              <w:t>OTHER SHAREOWNER INFORMATION</w:t>
            </w:r>
          </w:p>
        </w:tc>
        <w:tc>
          <w:tcPr>
            <w:tcW w:w="180" w:type="dxa"/>
            <w:vAlign w:val="bottom"/>
          </w:tcPr>
          <w:p>
            <w:pPr>
              <w:spacing w:after="0"/>
              <w:rPr>
                <w:sz w:val="16"/>
                <w:szCs w:val="16"/>
                <w:color w:val="auto"/>
              </w:rPr>
            </w:pPr>
          </w:p>
        </w:tc>
      </w:tr>
      <w:tr>
        <w:trPr>
          <w:trHeight w:val="35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20" w:type="dxa"/>
            <w:vAlign w:val="bottom"/>
            <w:gridSpan w:val="3"/>
          </w:tcPr>
          <w:p>
            <w:pPr>
              <w:spacing w:after="0"/>
              <w:rPr>
                <w:rFonts w:ascii="Arial" w:cs="Arial" w:eastAsia="Arial" w:hAnsi="Arial"/>
                <w:sz w:val="16"/>
                <w:szCs w:val="16"/>
                <w:b w:val="1"/>
                <w:bCs w:val="1"/>
                <w:color w:val="auto"/>
              </w:rPr>
            </w:pPr>
            <w:hyperlink w:anchor="page97">
              <w:r>
                <w:rPr>
                  <w:rFonts w:ascii="Arial" w:cs="Arial" w:eastAsia="Arial" w:hAnsi="Arial"/>
                  <w:sz w:val="16"/>
                  <w:szCs w:val="16"/>
                  <w:b w:val="1"/>
                  <w:bCs w:val="1"/>
                  <w:color w:val="auto"/>
                </w:rPr>
                <w:t>Frequently Asked Questions About the Annual Meeting</w:t>
              </w:r>
            </w:hyperlink>
          </w:p>
        </w:tc>
        <w:tc>
          <w:tcPr>
            <w:tcW w:w="180" w:type="dxa"/>
            <w:vAlign w:val="bottom"/>
          </w:tcPr>
          <w:p>
            <w:pPr>
              <w:jc w:val="right"/>
              <w:spacing w:after="0"/>
              <w:rPr>
                <w:rFonts w:ascii="Arial" w:cs="Arial" w:eastAsia="Arial" w:hAnsi="Arial"/>
                <w:sz w:val="16"/>
                <w:szCs w:val="16"/>
                <w:b w:val="1"/>
                <w:bCs w:val="1"/>
                <w:color w:val="auto"/>
                <w:w w:val="89"/>
              </w:rPr>
            </w:pPr>
            <w:hyperlink w:anchor="page97">
              <w:r>
                <w:rPr>
                  <w:rFonts w:ascii="Arial" w:cs="Arial" w:eastAsia="Arial" w:hAnsi="Arial"/>
                  <w:sz w:val="16"/>
                  <w:szCs w:val="16"/>
                  <w:b w:val="1"/>
                  <w:bCs w:val="1"/>
                  <w:color w:val="auto"/>
                  <w:w w:val="89"/>
                </w:rPr>
                <w:t>92</w:t>
              </w:r>
            </w:hyperlink>
          </w:p>
        </w:tc>
      </w:tr>
      <w:tr>
        <w:trPr>
          <w:trHeight w:val="355"/>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60" w:type="dxa"/>
            <w:vAlign w:val="bottom"/>
            <w:tcBorders>
              <w:top w:val="single" w:sz="8" w:color="auto"/>
              <w:bottom w:val="single" w:sz="8" w:color="auto"/>
            </w:tcBorders>
          </w:tcPr>
          <w:p>
            <w:pPr>
              <w:spacing w:after="0"/>
              <w:rPr>
                <w:rFonts w:ascii="Arial" w:cs="Arial" w:eastAsia="Arial" w:hAnsi="Arial"/>
                <w:sz w:val="16"/>
                <w:szCs w:val="16"/>
                <w:b w:val="1"/>
                <w:bCs w:val="1"/>
                <w:color w:val="auto"/>
              </w:rPr>
            </w:pPr>
            <w:hyperlink w:anchor="page103">
              <w:r>
                <w:rPr>
                  <w:rFonts w:ascii="Arial" w:cs="Arial" w:eastAsia="Arial" w:hAnsi="Arial"/>
                  <w:sz w:val="16"/>
                  <w:szCs w:val="16"/>
                  <w:b w:val="1"/>
                  <w:bCs w:val="1"/>
                  <w:color w:val="auto"/>
                </w:rPr>
                <w:t>Other Important Information</w:t>
              </w:r>
            </w:hyperlink>
          </w:p>
        </w:tc>
        <w:tc>
          <w:tcPr>
            <w:tcW w:w="2060" w:type="dxa"/>
            <w:vAlign w:val="bottom"/>
            <w:tcBorders>
              <w:top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rFonts w:ascii="Arial" w:cs="Arial" w:eastAsia="Arial" w:hAnsi="Arial"/>
                <w:sz w:val="16"/>
                <w:szCs w:val="16"/>
                <w:b w:val="1"/>
                <w:bCs w:val="1"/>
                <w:color w:val="auto"/>
                <w:w w:val="89"/>
              </w:rPr>
            </w:pPr>
            <w:hyperlink w:anchor="page103">
              <w:r>
                <w:rPr>
                  <w:rFonts w:ascii="Arial" w:cs="Arial" w:eastAsia="Arial" w:hAnsi="Arial"/>
                  <w:sz w:val="16"/>
                  <w:szCs w:val="16"/>
                  <w:b w:val="1"/>
                  <w:bCs w:val="1"/>
                  <w:color w:val="auto"/>
                  <w:w w:val="89"/>
                </w:rPr>
                <w:t>98</w:t>
              </w:r>
            </w:hyperlink>
          </w:p>
        </w:tc>
      </w:tr>
    </w:tbl>
    <w:p>
      <w:pPr>
        <w:ind w:left="9"/>
        <w:spacing w:after="0"/>
        <w:rPr>
          <w:rFonts w:ascii="Arial" w:cs="Arial" w:eastAsia="Arial" w:hAnsi="Arial"/>
          <w:sz w:val="16"/>
          <w:szCs w:val="16"/>
          <w:b w:val="1"/>
          <w:bCs w:val="1"/>
          <w:u w:val="single" w:color="auto"/>
          <w:color w:val="auto"/>
        </w:rPr>
      </w:pPr>
      <w:hyperlink w:anchor="page42">
        <w:r>
          <w:rPr>
            <w:rFonts w:ascii="Arial" w:cs="Arial" w:eastAsia="Arial" w:hAnsi="Arial"/>
            <w:sz w:val="16"/>
            <w:szCs w:val="16"/>
            <w:b w:val="1"/>
            <w:bCs w:val="1"/>
            <w:u w:val="single" w:color="auto"/>
            <w:color w:val="auto"/>
          </w:rPr>
          <w:t>37</w:t>
        </w:r>
      </w:hyperlink>
    </w:p>
    <w:p>
      <w:pPr>
        <w:spacing w:after="0" w:line="19" w:lineRule="exact"/>
        <w:rPr>
          <w:sz w:val="20"/>
          <w:szCs w:val="20"/>
          <w:color w:val="auto"/>
        </w:rPr>
      </w:pPr>
    </w:p>
    <w:p>
      <w:pPr>
        <w:ind w:left="629"/>
        <w:spacing w:after="0"/>
        <w:rPr>
          <w:sz w:val="20"/>
          <w:szCs w:val="20"/>
          <w:color w:val="auto"/>
        </w:rPr>
      </w:pPr>
      <w:r>
        <w:rPr>
          <w:rFonts w:ascii="Arial" w:cs="Arial" w:eastAsia="Arial" w:hAnsi="Arial"/>
          <w:sz w:val="16"/>
          <w:szCs w:val="16"/>
          <w:b w:val="1"/>
          <w:bCs w:val="1"/>
          <w:color w:val="CE0F2D"/>
        </w:rPr>
        <w:t>APPENDICES</w:t>
      </w:r>
    </w:p>
    <w:p>
      <w:pPr>
        <w:spacing w:after="0" w:line="3" w:lineRule="exact"/>
        <w:rPr>
          <w:sz w:val="20"/>
          <w:szCs w:val="20"/>
          <w:color w:val="auto"/>
        </w:rPr>
      </w:pPr>
    </w:p>
    <w:p>
      <w:pPr>
        <w:ind w:left="9"/>
        <w:spacing w:after="0"/>
        <w:rPr>
          <w:rFonts w:ascii="Arial" w:cs="Arial" w:eastAsia="Arial" w:hAnsi="Arial"/>
          <w:sz w:val="16"/>
          <w:szCs w:val="16"/>
          <w:b w:val="1"/>
          <w:bCs w:val="1"/>
          <w:u w:val="single" w:color="auto"/>
          <w:color w:val="auto"/>
        </w:rPr>
      </w:pPr>
      <w:hyperlink w:anchor="page44">
        <w:r>
          <w:rPr>
            <w:rFonts w:ascii="Arial" w:cs="Arial" w:eastAsia="Arial" w:hAnsi="Arial"/>
            <w:sz w:val="16"/>
            <w:szCs w:val="16"/>
            <w:b w:val="1"/>
            <w:bCs w:val="1"/>
            <w:u w:val="single" w:color="auto"/>
            <w:color w:val="auto"/>
          </w:rPr>
          <w:t>39</w:t>
        </w:r>
      </w:hyperlink>
    </w:p>
    <w:p>
      <w:pPr>
        <w:spacing w:after="0" w:line="3" w:lineRule="exact"/>
        <w:rPr>
          <w:sz w:val="20"/>
          <w:szCs w:val="20"/>
          <w:color w:val="auto"/>
        </w:rPr>
      </w:pPr>
    </w:p>
    <w:p>
      <w:pPr>
        <w:ind w:left="629"/>
        <w:spacing w:after="0"/>
        <w:rPr>
          <w:rFonts w:ascii="Arial" w:cs="Arial" w:eastAsia="Arial" w:hAnsi="Arial"/>
          <w:sz w:val="16"/>
          <w:szCs w:val="16"/>
          <w:b w:val="1"/>
          <w:bCs w:val="1"/>
          <w:u w:val="single" w:color="auto"/>
          <w:color w:val="CE0F2D"/>
        </w:rPr>
      </w:pPr>
      <w:hyperlink w:anchor="page107">
        <w:r>
          <w:rPr>
            <w:rFonts w:ascii="Arial" w:cs="Arial" w:eastAsia="Arial" w:hAnsi="Arial"/>
            <w:sz w:val="16"/>
            <w:szCs w:val="16"/>
            <w:b w:val="1"/>
            <w:bCs w:val="1"/>
            <w:u w:val="single" w:color="auto"/>
            <w:color w:val="CE0F2D"/>
          </w:rPr>
          <w:t>Appendix A:</w:t>
        </w:r>
      </w:hyperlink>
    </w:p>
    <w:p>
      <w:pPr>
        <w:ind w:left="629" w:hanging="629"/>
        <w:spacing w:after="0" w:line="211" w:lineRule="auto"/>
        <w:tabs>
          <w:tab w:leader="none" w:pos="629" w:val="left"/>
        </w:tabs>
        <w:numPr>
          <w:ilvl w:val="0"/>
          <w:numId w:val="10"/>
        </w:numPr>
        <w:rPr>
          <w:rFonts w:ascii="Arial" w:cs="Arial" w:eastAsia="Arial" w:hAnsi="Arial"/>
          <w:sz w:val="16"/>
          <w:szCs w:val="16"/>
          <w:b w:val="1"/>
          <w:bCs w:val="1"/>
          <w:color w:val="auto"/>
        </w:rPr>
      </w:pPr>
      <w:hyperlink w:anchor="page107">
        <w:r>
          <w:rPr>
            <w:rFonts w:ascii="Arial" w:cs="Arial" w:eastAsia="Arial" w:hAnsi="Arial"/>
            <w:sz w:val="16"/>
            <w:szCs w:val="16"/>
            <w:b w:val="1"/>
            <w:bCs w:val="1"/>
            <w:color w:val="auto"/>
          </w:rPr>
          <w:t>Reconciliation of GAAP Measures to Corresponding Non-GAAP</w:t>
        </w:r>
      </w:hyperlink>
    </w:p>
    <w:p>
      <w:pPr>
        <w:spacing w:after="0" w:line="1" w:lineRule="exact"/>
        <w:rPr>
          <w:sz w:val="20"/>
          <w:szCs w:val="20"/>
          <w:color w:val="auto"/>
        </w:rPr>
      </w:pPr>
    </w:p>
    <w:tbl>
      <w:tblPr>
        <w:tblLayout w:type="fixed"/>
        <w:tblInd w:w="629" w:type="dxa"/>
        <w:tblCellMar>
          <w:top w:w="0" w:type="dxa"/>
          <w:left w:w="0" w:type="dxa"/>
          <w:bottom w:w="0" w:type="dxa"/>
          <w:right w:w="0" w:type="dxa"/>
        </w:tblCellMar>
      </w:tblPr>
      <w:tr>
        <w:trPr>
          <w:trHeight w:val="167"/>
        </w:trPr>
        <w:tc>
          <w:tcPr>
            <w:tcW w:w="4860" w:type="dxa"/>
            <w:vAlign w:val="bottom"/>
            <w:tcBorders>
              <w:top w:val="single" w:sz="8" w:color="auto"/>
            </w:tcBorders>
            <w:gridSpan w:val="2"/>
          </w:tcPr>
          <w:p>
            <w:pPr>
              <w:spacing w:after="0" w:line="168" w:lineRule="exact"/>
              <w:rPr>
                <w:rFonts w:ascii="Arial" w:cs="Arial" w:eastAsia="Arial" w:hAnsi="Arial"/>
                <w:sz w:val="16"/>
                <w:szCs w:val="16"/>
                <w:b w:val="1"/>
                <w:bCs w:val="1"/>
                <w:color w:val="auto"/>
              </w:rPr>
            </w:pPr>
            <w:hyperlink w:anchor="page107">
              <w:r>
                <w:rPr>
                  <w:rFonts w:ascii="Arial" w:cs="Arial" w:eastAsia="Arial" w:hAnsi="Arial"/>
                  <w:sz w:val="16"/>
                  <w:szCs w:val="16"/>
                  <w:b w:val="1"/>
                  <w:bCs w:val="1"/>
                  <w:color w:val="auto"/>
                </w:rPr>
                <w:t>Measures</w:t>
              </w:r>
            </w:hyperlink>
          </w:p>
        </w:tc>
        <w:tc>
          <w:tcPr>
            <w:tcW w:w="540" w:type="dxa"/>
            <w:vAlign w:val="bottom"/>
            <w:gridSpan w:val="2"/>
          </w:tcPr>
          <w:p>
            <w:pPr>
              <w:jc w:val="right"/>
              <w:spacing w:after="0" w:line="168" w:lineRule="exact"/>
              <w:rPr>
                <w:rFonts w:ascii="Arial" w:cs="Arial" w:eastAsia="Arial" w:hAnsi="Arial"/>
                <w:sz w:val="16"/>
                <w:szCs w:val="16"/>
                <w:b w:val="1"/>
                <w:bCs w:val="1"/>
                <w:color w:val="auto"/>
              </w:rPr>
            </w:pPr>
            <w:hyperlink w:anchor="page107">
              <w:r>
                <w:rPr>
                  <w:rFonts w:ascii="Arial" w:cs="Arial" w:eastAsia="Arial" w:hAnsi="Arial"/>
                  <w:sz w:val="16"/>
                  <w:szCs w:val="16"/>
                  <w:b w:val="1"/>
                  <w:bCs w:val="1"/>
                  <w:color w:val="auto"/>
                </w:rPr>
                <w:t>102</w:t>
              </w:r>
            </w:hyperlink>
          </w:p>
        </w:tc>
      </w:tr>
      <w:tr>
        <w:trPr>
          <w:trHeight w:val="20"/>
        </w:trPr>
        <w:tc>
          <w:tcPr>
            <w:tcW w:w="7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15" w:lineRule="exact"/>
        <w:rPr>
          <w:sz w:val="20"/>
          <w:szCs w:val="20"/>
          <w:color w:val="auto"/>
        </w:rPr>
      </w:pPr>
    </w:p>
    <w:p>
      <w:pPr>
        <w:ind w:left="9"/>
        <w:spacing w:after="0"/>
        <w:rPr>
          <w:rFonts w:ascii="Arial" w:cs="Arial" w:eastAsia="Arial" w:hAnsi="Arial"/>
          <w:sz w:val="16"/>
          <w:szCs w:val="16"/>
          <w:u w:val="single" w:color="auto"/>
          <w:color w:val="auto"/>
        </w:rPr>
      </w:pPr>
      <w:hyperlink w:anchor="page50">
        <w:r>
          <w:rPr>
            <w:rFonts w:ascii="Arial" w:cs="Arial" w:eastAsia="Arial" w:hAnsi="Arial"/>
            <w:sz w:val="16"/>
            <w:szCs w:val="16"/>
            <w:u w:val="single" w:color="auto"/>
            <w:color w:val="auto"/>
          </w:rPr>
          <w:t>45</w:t>
        </w:r>
      </w:hyperlink>
    </w:p>
    <w:p>
      <w:pPr>
        <w:spacing w:after="0" w:line="3" w:lineRule="exact"/>
        <w:rPr>
          <w:sz w:val="20"/>
          <w:szCs w:val="20"/>
          <w:color w:val="auto"/>
        </w:rPr>
      </w:pPr>
    </w:p>
    <w:p>
      <w:pPr>
        <w:ind w:left="629"/>
        <w:spacing w:after="0"/>
        <w:rPr>
          <w:rFonts w:ascii="Arial" w:cs="Arial" w:eastAsia="Arial" w:hAnsi="Arial"/>
          <w:sz w:val="16"/>
          <w:szCs w:val="16"/>
          <w:b w:val="1"/>
          <w:bCs w:val="1"/>
          <w:u w:val="single" w:color="auto"/>
          <w:color w:val="CE0F2D"/>
        </w:rPr>
      </w:pPr>
      <w:hyperlink w:anchor="page109">
        <w:r>
          <w:rPr>
            <w:rFonts w:ascii="Arial" w:cs="Arial" w:eastAsia="Arial" w:hAnsi="Arial"/>
            <w:sz w:val="16"/>
            <w:szCs w:val="16"/>
            <w:b w:val="1"/>
            <w:bCs w:val="1"/>
            <w:u w:val="single" w:color="auto"/>
            <w:color w:val="CE0F2D"/>
          </w:rPr>
          <w:t>Appendix B:</w:t>
        </w:r>
      </w:hyperlink>
    </w:p>
    <w:p>
      <w:pPr>
        <w:ind w:left="629" w:hanging="629"/>
        <w:spacing w:after="0" w:line="211" w:lineRule="auto"/>
        <w:tabs>
          <w:tab w:leader="none" w:pos="629" w:val="left"/>
        </w:tabs>
        <w:numPr>
          <w:ilvl w:val="0"/>
          <w:numId w:val="11"/>
        </w:numPr>
        <w:rPr>
          <w:rFonts w:ascii="Arial" w:cs="Arial" w:eastAsia="Arial" w:hAnsi="Arial"/>
          <w:sz w:val="16"/>
          <w:szCs w:val="16"/>
          <w:b w:val="1"/>
          <w:bCs w:val="1"/>
          <w:color w:val="auto"/>
        </w:rPr>
      </w:pPr>
      <w:hyperlink w:anchor="page109">
        <w:r>
          <w:rPr>
            <w:rFonts w:ascii="Arial" w:cs="Arial" w:eastAsia="Arial" w:hAnsi="Arial"/>
            <w:sz w:val="16"/>
            <w:szCs w:val="16"/>
            <w:b w:val="1"/>
            <w:bCs w:val="1"/>
            <w:color w:val="auto"/>
          </w:rPr>
          <w:t>Financial Performance Metrics Used in Incentive Compensation</w:t>
        </w:r>
      </w:hyperlink>
    </w:p>
    <w:p>
      <w:pPr>
        <w:spacing w:after="0" w:line="1" w:lineRule="exact"/>
        <w:rPr>
          <w:sz w:val="20"/>
          <w:szCs w:val="20"/>
          <w:color w:val="auto"/>
        </w:rPr>
      </w:pPr>
    </w:p>
    <w:tbl>
      <w:tblPr>
        <w:tblLayout w:type="fixed"/>
        <w:tblInd w:w="629" w:type="dxa"/>
        <w:tblCellMar>
          <w:top w:w="0" w:type="dxa"/>
          <w:left w:w="0" w:type="dxa"/>
          <w:bottom w:w="0" w:type="dxa"/>
          <w:right w:w="0" w:type="dxa"/>
        </w:tblCellMar>
      </w:tblPr>
      <w:tr>
        <w:trPr>
          <w:trHeight w:val="167"/>
        </w:trPr>
        <w:tc>
          <w:tcPr>
            <w:tcW w:w="440" w:type="dxa"/>
            <w:vAlign w:val="bottom"/>
            <w:tcBorders>
              <w:top w:val="single" w:sz="8" w:color="auto"/>
              <w:bottom w:val="single" w:sz="8" w:color="auto"/>
            </w:tcBorders>
          </w:tcPr>
          <w:p>
            <w:pPr>
              <w:spacing w:after="0" w:line="168" w:lineRule="exact"/>
              <w:rPr>
                <w:rFonts w:ascii="Arial" w:cs="Arial" w:eastAsia="Arial" w:hAnsi="Arial"/>
                <w:sz w:val="16"/>
                <w:szCs w:val="16"/>
                <w:b w:val="1"/>
                <w:bCs w:val="1"/>
                <w:color w:val="auto"/>
                <w:w w:val="98"/>
              </w:rPr>
            </w:pPr>
            <w:hyperlink w:anchor="page109">
              <w:r>
                <w:rPr>
                  <w:rFonts w:ascii="Arial" w:cs="Arial" w:eastAsia="Arial" w:hAnsi="Arial"/>
                  <w:sz w:val="16"/>
                  <w:szCs w:val="16"/>
                  <w:b w:val="1"/>
                  <w:bCs w:val="1"/>
                  <w:color w:val="auto"/>
                  <w:w w:val="98"/>
                </w:rPr>
                <w:t>Plans</w:t>
              </w:r>
            </w:hyperlink>
          </w:p>
        </w:tc>
        <w:tc>
          <w:tcPr>
            <w:tcW w:w="4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Borders>
              <w:bottom w:val="single" w:sz="8" w:color="auto"/>
            </w:tcBorders>
          </w:tcPr>
          <w:p>
            <w:pPr>
              <w:jc w:val="right"/>
              <w:spacing w:after="0" w:line="168" w:lineRule="exact"/>
              <w:rPr>
                <w:rFonts w:ascii="Arial" w:cs="Arial" w:eastAsia="Arial" w:hAnsi="Arial"/>
                <w:sz w:val="16"/>
                <w:szCs w:val="16"/>
                <w:b w:val="1"/>
                <w:bCs w:val="1"/>
                <w:color w:val="auto"/>
                <w:w w:val="97"/>
              </w:rPr>
            </w:pPr>
            <w:hyperlink w:anchor="page109">
              <w:r>
                <w:rPr>
                  <w:rFonts w:ascii="Arial" w:cs="Arial" w:eastAsia="Arial" w:hAnsi="Arial"/>
                  <w:sz w:val="16"/>
                  <w:szCs w:val="16"/>
                  <w:b w:val="1"/>
                  <w:bCs w:val="1"/>
                  <w:color w:val="auto"/>
                  <w:w w:val="97"/>
                </w:rPr>
                <w:t>104</w:t>
              </w:r>
            </w:hyperlink>
          </w:p>
        </w:tc>
      </w:tr>
    </w:tbl>
    <w:p>
      <w:pPr>
        <w:spacing w:after="0" w:line="15" w:lineRule="exact"/>
        <w:rPr>
          <w:sz w:val="20"/>
          <w:szCs w:val="20"/>
          <w:color w:val="auto"/>
        </w:rPr>
      </w:pPr>
    </w:p>
    <w:p>
      <w:pPr>
        <w:ind w:left="9"/>
        <w:spacing w:after="0"/>
        <w:rPr>
          <w:rFonts w:ascii="Arial" w:cs="Arial" w:eastAsia="Arial" w:hAnsi="Arial"/>
          <w:sz w:val="16"/>
          <w:szCs w:val="16"/>
          <w:u w:val="single" w:color="auto"/>
          <w:color w:val="auto"/>
        </w:rPr>
      </w:pPr>
      <w:hyperlink w:anchor="page59">
        <w:r>
          <w:rPr>
            <w:rFonts w:ascii="Arial" w:cs="Arial" w:eastAsia="Arial" w:hAnsi="Arial"/>
            <w:sz w:val="16"/>
            <w:szCs w:val="16"/>
            <w:u w:val="single" w:color="auto"/>
            <w:color w:val="auto"/>
          </w:rPr>
          <w:t>54</w:t>
        </w:r>
      </w:hyperlink>
    </w:p>
    <w:p>
      <w:pPr>
        <w:spacing w:after="0" w:line="3" w:lineRule="exact"/>
        <w:rPr>
          <w:sz w:val="20"/>
          <w:szCs w:val="20"/>
          <w:color w:val="auto"/>
        </w:rPr>
      </w:pPr>
    </w:p>
    <w:p>
      <w:pPr>
        <w:ind w:left="629"/>
        <w:spacing w:after="0"/>
        <w:rPr>
          <w:rFonts w:ascii="Arial" w:cs="Arial" w:eastAsia="Arial" w:hAnsi="Arial"/>
          <w:sz w:val="16"/>
          <w:szCs w:val="16"/>
          <w:b w:val="1"/>
          <w:bCs w:val="1"/>
          <w:u w:val="single" w:color="auto"/>
          <w:color w:val="CE0F2D"/>
        </w:rPr>
      </w:pPr>
      <w:hyperlink w:anchor="page110">
        <w:r>
          <w:rPr>
            <w:rFonts w:ascii="Arial" w:cs="Arial" w:eastAsia="Arial" w:hAnsi="Arial"/>
            <w:sz w:val="16"/>
            <w:szCs w:val="16"/>
            <w:b w:val="1"/>
            <w:bCs w:val="1"/>
            <w:u w:val="single" w:color="auto"/>
            <w:color w:val="CE0F2D"/>
          </w:rPr>
          <w:t>Appendix C:</w:t>
        </w:r>
      </w:hyperlink>
    </w:p>
    <w:p>
      <w:pPr>
        <w:ind w:left="629" w:hanging="629"/>
        <w:spacing w:after="0" w:line="211" w:lineRule="auto"/>
        <w:tabs>
          <w:tab w:leader="none" w:pos="629" w:val="left"/>
        </w:tabs>
        <w:numPr>
          <w:ilvl w:val="0"/>
          <w:numId w:val="12"/>
        </w:numPr>
        <w:rPr>
          <w:rFonts w:ascii="Arial" w:cs="Arial" w:eastAsia="Arial" w:hAnsi="Arial"/>
          <w:sz w:val="16"/>
          <w:szCs w:val="16"/>
          <w:b w:val="1"/>
          <w:bCs w:val="1"/>
          <w:color w:val="auto"/>
        </w:rPr>
      </w:pPr>
      <w:hyperlink w:anchor="page110">
        <w:r>
          <w:rPr>
            <w:rFonts w:ascii="Arial" w:cs="Arial" w:eastAsia="Arial" w:hAnsi="Arial"/>
            <w:sz w:val="16"/>
            <w:szCs w:val="16"/>
            <w:b w:val="1"/>
            <w:bCs w:val="1"/>
            <w:color w:val="auto"/>
          </w:rPr>
          <w:t>Proposed Amendment to the Corporation’s Restated Certificate of</w:t>
        </w:r>
      </w:hyperlink>
    </w:p>
    <w:p>
      <w:pPr>
        <w:spacing w:after="0" w:line="1" w:lineRule="exact"/>
        <w:rPr>
          <w:sz w:val="20"/>
          <w:szCs w:val="20"/>
          <w:color w:val="auto"/>
        </w:rPr>
      </w:pPr>
    </w:p>
    <w:tbl>
      <w:tblPr>
        <w:tblLayout w:type="fixed"/>
        <w:tblInd w:w="629" w:type="dxa"/>
        <w:tblCellMar>
          <w:top w:w="0" w:type="dxa"/>
          <w:left w:w="0" w:type="dxa"/>
          <w:bottom w:w="0" w:type="dxa"/>
          <w:right w:w="0" w:type="dxa"/>
        </w:tblCellMar>
      </w:tblPr>
      <w:tr>
        <w:trPr>
          <w:trHeight w:val="167"/>
        </w:trPr>
        <w:tc>
          <w:tcPr>
            <w:tcW w:w="5040" w:type="dxa"/>
            <w:vAlign w:val="bottom"/>
            <w:tcBorders>
              <w:top w:val="single" w:sz="8" w:color="auto"/>
            </w:tcBorders>
            <w:gridSpan w:val="2"/>
          </w:tcPr>
          <w:p>
            <w:pPr>
              <w:spacing w:after="0" w:line="168" w:lineRule="exact"/>
              <w:rPr>
                <w:rFonts w:ascii="Arial" w:cs="Arial" w:eastAsia="Arial" w:hAnsi="Arial"/>
                <w:sz w:val="16"/>
                <w:szCs w:val="16"/>
                <w:b w:val="1"/>
                <w:bCs w:val="1"/>
                <w:color w:val="auto"/>
              </w:rPr>
            </w:pPr>
            <w:hyperlink w:anchor="page110">
              <w:r>
                <w:rPr>
                  <w:rFonts w:ascii="Arial" w:cs="Arial" w:eastAsia="Arial" w:hAnsi="Arial"/>
                  <w:sz w:val="16"/>
                  <w:szCs w:val="16"/>
                  <w:b w:val="1"/>
                  <w:bCs w:val="1"/>
                  <w:color w:val="auto"/>
                </w:rPr>
                <w:t>Incorporation</w:t>
              </w:r>
            </w:hyperlink>
          </w:p>
        </w:tc>
        <w:tc>
          <w:tcPr>
            <w:tcW w:w="360" w:type="dxa"/>
            <w:vAlign w:val="bottom"/>
            <w:gridSpan w:val="2"/>
          </w:tcPr>
          <w:p>
            <w:pPr>
              <w:jc w:val="right"/>
              <w:spacing w:after="0" w:line="168" w:lineRule="exact"/>
              <w:rPr>
                <w:rFonts w:ascii="Arial" w:cs="Arial" w:eastAsia="Arial" w:hAnsi="Arial"/>
                <w:sz w:val="16"/>
                <w:szCs w:val="16"/>
                <w:b w:val="1"/>
                <w:bCs w:val="1"/>
                <w:color w:val="auto"/>
              </w:rPr>
            </w:pPr>
            <w:hyperlink w:anchor="page110">
              <w:r>
                <w:rPr>
                  <w:rFonts w:ascii="Arial" w:cs="Arial" w:eastAsia="Arial" w:hAnsi="Arial"/>
                  <w:sz w:val="16"/>
                  <w:szCs w:val="16"/>
                  <w:b w:val="1"/>
                  <w:bCs w:val="1"/>
                  <w:color w:val="auto"/>
                </w:rPr>
                <w:t>105</w:t>
              </w:r>
            </w:hyperlink>
          </w:p>
        </w:tc>
      </w:tr>
      <w:tr>
        <w:trPr>
          <w:trHeight w:val="20"/>
        </w:trPr>
        <w:tc>
          <w:tcPr>
            <w:tcW w:w="104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r>
    </w:tbl>
    <w:p>
      <w:pPr>
        <w:spacing w:after="0" w:line="15" w:lineRule="exact"/>
        <w:rPr>
          <w:sz w:val="20"/>
          <w:szCs w:val="20"/>
          <w:color w:val="auto"/>
        </w:rPr>
      </w:pPr>
    </w:p>
    <w:p>
      <w:pPr>
        <w:ind w:left="9"/>
        <w:spacing w:after="0"/>
        <w:rPr>
          <w:rFonts w:ascii="Arial" w:cs="Arial" w:eastAsia="Arial" w:hAnsi="Arial"/>
          <w:sz w:val="16"/>
          <w:szCs w:val="16"/>
          <w:u w:val="single" w:color="auto"/>
          <w:color w:val="auto"/>
        </w:rPr>
      </w:pPr>
      <w:hyperlink w:anchor="page65">
        <w:r>
          <w:rPr>
            <w:rFonts w:ascii="Arial" w:cs="Arial" w:eastAsia="Arial" w:hAnsi="Arial"/>
            <w:sz w:val="16"/>
            <w:szCs w:val="16"/>
            <w:u w:val="single" w:color="auto"/>
            <w:color w:val="auto"/>
          </w:rPr>
          <w:t>60</w:t>
        </w:r>
      </w:hyperlink>
    </w:p>
    <w:p>
      <w:pPr>
        <w:spacing w:after="0" w:line="191" w:lineRule="exact"/>
        <w:rPr>
          <w:sz w:val="20"/>
          <w:szCs w:val="20"/>
          <w:color w:val="auto"/>
        </w:rPr>
      </w:pPr>
    </w:p>
    <w:p>
      <w:pPr>
        <w:ind w:left="9"/>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171" w:lineRule="exact"/>
        <w:rPr>
          <w:sz w:val="20"/>
          <w:szCs w:val="20"/>
          <w:color w:val="auto"/>
        </w:rPr>
      </w:pPr>
    </w:p>
    <w:p>
      <w:pPr>
        <w:ind w:left="9"/>
        <w:spacing w:after="0"/>
        <w:rPr>
          <w:rFonts w:ascii="Arial" w:cs="Arial" w:eastAsia="Arial" w:hAnsi="Arial"/>
          <w:sz w:val="16"/>
          <w:szCs w:val="16"/>
          <w:b w:val="1"/>
          <w:bCs w:val="1"/>
          <w:u w:val="single" w:color="auto"/>
          <w:color w:val="auto"/>
        </w:rPr>
      </w:pPr>
      <w:hyperlink w:anchor="page70">
        <w:r>
          <w:rPr>
            <w:rFonts w:ascii="Arial" w:cs="Arial" w:eastAsia="Arial" w:hAnsi="Arial"/>
            <w:sz w:val="16"/>
            <w:szCs w:val="16"/>
            <w:b w:val="1"/>
            <w:bCs w:val="1"/>
            <w:u w:val="single" w:color="auto"/>
            <w:color w:val="auto"/>
          </w:rPr>
          <w:t>65</w:t>
        </w:r>
      </w:hyperlink>
    </w:p>
    <w:p>
      <w:pPr>
        <w:spacing w:after="0" w:line="191" w:lineRule="exact"/>
        <w:rPr>
          <w:sz w:val="20"/>
          <w:szCs w:val="20"/>
          <w:color w:val="auto"/>
        </w:rPr>
      </w:pPr>
    </w:p>
    <w:p>
      <w:pPr>
        <w:ind w:left="9"/>
        <w:spacing w:after="0"/>
        <w:rPr>
          <w:rFonts w:ascii="Arial" w:cs="Arial" w:eastAsia="Arial" w:hAnsi="Arial"/>
          <w:sz w:val="16"/>
          <w:szCs w:val="16"/>
          <w:b w:val="1"/>
          <w:bCs w:val="1"/>
          <w:u w:val="single" w:color="auto"/>
          <w:color w:val="auto"/>
        </w:rPr>
      </w:pPr>
      <w:hyperlink w:anchor="page71">
        <w:r>
          <w:rPr>
            <w:rFonts w:ascii="Arial" w:cs="Arial" w:eastAsia="Arial" w:hAnsi="Arial"/>
            <w:sz w:val="16"/>
            <w:szCs w:val="16"/>
            <w:b w:val="1"/>
            <w:bCs w:val="1"/>
            <w:u w:val="single" w:color="auto"/>
            <w:color w:val="auto"/>
          </w:rPr>
          <w:t>66</w:t>
        </w:r>
      </w:hyperlink>
    </w:p>
    <w:p>
      <w:pPr>
        <w:spacing w:after="0" w:line="191" w:lineRule="exact"/>
        <w:rPr>
          <w:sz w:val="20"/>
          <w:szCs w:val="20"/>
          <w:color w:val="auto"/>
        </w:rPr>
      </w:pPr>
    </w:p>
    <w:p>
      <w:pPr>
        <w:ind w:left="9"/>
        <w:spacing w:after="0"/>
        <w:rPr>
          <w:rFonts w:ascii="Arial" w:cs="Arial" w:eastAsia="Arial" w:hAnsi="Arial"/>
          <w:sz w:val="16"/>
          <w:szCs w:val="16"/>
          <w:b w:val="1"/>
          <w:bCs w:val="1"/>
          <w:u w:val="single" w:color="auto"/>
          <w:color w:val="auto"/>
        </w:rPr>
      </w:pPr>
      <w:hyperlink w:anchor="page90">
        <w:r>
          <w:rPr>
            <w:rFonts w:ascii="Arial" w:cs="Arial" w:eastAsia="Arial" w:hAnsi="Arial"/>
            <w:sz w:val="16"/>
            <w:szCs w:val="16"/>
            <w:b w:val="1"/>
            <w:bCs w:val="1"/>
            <w:u w:val="single" w:color="auto"/>
            <w:color w:val="auto"/>
          </w:rPr>
          <w:t>85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-3303905</wp:posOffset>
            </wp:positionH>
            <wp:positionV relativeFrom="paragraph">
              <wp:posOffset>234950</wp:posOffset>
            </wp:positionV>
            <wp:extent cx="713359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91" w:space="720"/>
            <w:col w:w="6029"/>
          </w:cols>
          <w:pgMar w:left="320" w:top="118" w:right="339" w:bottom="1440" w:gutter="0" w:footer="0" w:header="0"/>
        </w:sectPr>
      </w:pPr>
    </w:p>
    <w:p>
      <w:pPr>
        <w:spacing w:after="0" w:line="35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Important Notice Regarding the Availability of Proxy Materials for the Annual Meeting of Shareowners to be held on April 25, 2022</w:t>
      </w:r>
      <w:r>
        <w:rPr>
          <w:rFonts w:ascii="Arial" w:cs="Arial" w:eastAsia="Arial" w:hAnsi="Arial"/>
          <w:sz w:val="16"/>
          <w:szCs w:val="16"/>
          <w:color w:val="auto"/>
        </w:rPr>
        <w:t>. This Notice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2022 Annual Meeting of Shareowners and Proxy Statement, as well as RTX’s 2021 Annual Report are available free of charge at </w:t>
      </w:r>
      <w:r>
        <w:rPr>
          <w:rFonts w:ascii="Arial" w:cs="Arial" w:eastAsia="Arial" w:hAnsi="Arial"/>
          <w:sz w:val="16"/>
          <w:szCs w:val="16"/>
          <w:u w:val="single" w:color="auto"/>
          <w:color w:val="CE0F2D"/>
        </w:rPr>
        <w:t>www.proxyvote.com</w:t>
      </w:r>
      <w:r>
        <w:rPr>
          <w:rFonts w:ascii="Arial" w:cs="Arial" w:eastAsia="Arial" w:hAnsi="Arial"/>
          <w:sz w:val="16"/>
          <w:szCs w:val="16"/>
          <w:color w:val="auto"/>
        </w:rPr>
        <w:t xml:space="preserve"> or at </w:t>
      </w:r>
      <w:r>
        <w:rPr>
          <w:rFonts w:ascii="Arial" w:cs="Arial" w:eastAsia="Arial" w:hAnsi="Arial"/>
          <w:sz w:val="16"/>
          <w:szCs w:val="16"/>
          <w:u w:val="single" w:color="auto"/>
          <w:color w:val="CE0F2D"/>
        </w:rPr>
        <w:t>www.rtx.com/proxy</w:t>
      </w:r>
      <w:r>
        <w:rPr>
          <w:rFonts w:ascii="Arial" w:cs="Arial" w:eastAsia="Arial" w:hAnsi="Arial"/>
          <w:sz w:val="16"/>
          <w:szCs w:val="16"/>
          <w:color w:val="000000"/>
        </w:rPr>
        <w:t>. References in either document to our website are for the convenience of readers, and information available at or through our website is</w:t>
      </w:r>
      <w:r>
        <w:rPr>
          <w:rFonts w:ascii="Arial" w:cs="Arial" w:eastAsia="Arial" w:hAnsi="Arial"/>
          <w:sz w:val="16"/>
          <w:szCs w:val="16"/>
          <w:color w:val="CE0F2D"/>
        </w:rPr>
        <w:t xml:space="preserve"> </w:t>
      </w:r>
      <w:r>
        <w:rPr>
          <w:rFonts w:ascii="Arial" w:cs="Arial" w:eastAsia="Arial" w:hAnsi="Arial"/>
          <w:sz w:val="16"/>
          <w:szCs w:val="16"/>
          <w:color w:val="000000"/>
        </w:rPr>
        <w:t>not a part of, nor is it incorporated by reference in, the Proxy Statement or Annual Report.</w:t>
      </w:r>
    </w:p>
    <w:p>
      <w:pPr>
        <w:spacing w:after="0" w:line="14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Board of Directors of Raytheon Technologies Corporation (“RTX,” the “Company” or the “Corporation”) is soliciting proxies to be voted at our 2022 Annual Meeting of Shareowners on April 25, 2022, and at any postponed or reconvened meeting. We expect that the Proxy materials or a notice of internet availability will be mailed and made available to shareowners beginning on or about March 14, 2022. At the meeting, votes will be taken on the matters listed in the Notice of 2022 Annual Meeting of Shareowners.</w:t>
      </w:r>
    </w:p>
    <w:p>
      <w:pPr>
        <w:spacing w:after="0" w:line="150" w:lineRule="exact"/>
        <w:rPr>
          <w:sz w:val="20"/>
          <w:szCs w:val="20"/>
          <w:color w:val="auto"/>
        </w:rPr>
      </w:pPr>
    </w:p>
    <w:p>
      <w:pPr>
        <w:ind w:left="200" w:hanging="193"/>
        <w:spacing w:after="0"/>
        <w:tabs>
          <w:tab w:leader="none" w:pos="200" w:val="left"/>
        </w:tabs>
        <w:numPr>
          <w:ilvl w:val="0"/>
          <w:numId w:val="13"/>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1675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167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86"/>
          <w:szCs w:val="86"/>
          <w:b w:val="1"/>
          <w:bCs w:val="1"/>
          <w:color w:val="FFFFFF"/>
        </w:rPr>
        <w:t>Proxy Summary</w:t>
      </w:r>
    </w:p>
    <w:p>
      <w:pPr>
        <w:spacing w:after="0" w:line="362" w:lineRule="exact"/>
        <w:rPr>
          <w:sz w:val="20"/>
          <w:szCs w:val="20"/>
          <w:color w:val="auto"/>
        </w:rPr>
      </w:pPr>
    </w:p>
    <w:p>
      <w:pPr>
        <w:jc w:val="both"/>
        <w:ind w:left="2260" w:right="2480"/>
        <w:spacing w:after="0" w:line="239" w:lineRule="auto"/>
        <w:rPr>
          <w:sz w:val="20"/>
          <w:szCs w:val="20"/>
          <w:color w:val="auto"/>
        </w:rPr>
      </w:pPr>
      <w:r>
        <w:rPr>
          <w:rFonts w:ascii="Arial" w:cs="Arial" w:eastAsia="Arial" w:hAnsi="Arial"/>
          <w:sz w:val="20"/>
          <w:szCs w:val="20"/>
          <w:b w:val="1"/>
          <w:bCs w:val="1"/>
          <w:color w:val="FFFFFF"/>
        </w:rPr>
        <w:t>This section highlights selected information in this Proxy Statement. Please review the entire Proxy Statement and our 2021 Annual Report before voting your shares.</w:t>
      </w:r>
    </w:p>
    <w:p>
      <w:pPr>
        <w:spacing w:after="0" w:line="287" w:lineRule="exact"/>
        <w:rPr>
          <w:sz w:val="20"/>
          <w:szCs w:val="20"/>
          <w:color w:val="auto"/>
        </w:rPr>
      </w:pPr>
    </w:p>
    <w:p>
      <w:pPr>
        <w:ind w:left="1900"/>
        <w:spacing w:after="0"/>
        <w:rPr>
          <w:sz w:val="20"/>
          <w:szCs w:val="20"/>
          <w:color w:val="auto"/>
        </w:rPr>
      </w:pPr>
      <w:r>
        <w:rPr>
          <w:rFonts w:ascii="Arial" w:cs="Arial" w:eastAsia="Arial" w:hAnsi="Arial"/>
          <w:sz w:val="30"/>
          <w:szCs w:val="30"/>
          <w:b w:val="1"/>
          <w:bCs w:val="1"/>
          <w:color w:val="auto"/>
        </w:rPr>
        <w:t>Annual Meeting Agenda</w:t>
      </w:r>
    </w:p>
    <w:p>
      <w:pPr>
        <w:spacing w:after="0" w:line="122" w:lineRule="exact"/>
        <w:rPr>
          <w:sz w:val="20"/>
          <w:szCs w:val="20"/>
          <w:color w:val="auto"/>
        </w:rPr>
      </w:pPr>
    </w:p>
    <w:tbl>
      <w:tblPr>
        <w:tblLayout w:type="fixed"/>
        <w:tblInd w:w="1900" w:type="dxa"/>
        <w:tblCellMar>
          <w:top w:w="0" w:type="dxa"/>
          <w:left w:w="0" w:type="dxa"/>
          <w:bottom w:w="0" w:type="dxa"/>
          <w:right w:w="0" w:type="dxa"/>
        </w:tblCellMar>
      </w:tblPr>
      <w:tr>
        <w:trPr>
          <w:trHeight w:val="201"/>
        </w:trPr>
        <w:tc>
          <w:tcPr>
            <w:tcW w:w="1100" w:type="dxa"/>
            <w:vAlign w:val="bottom"/>
            <w:tcBorders>
              <w:bottom w:val="single" w:sz="8" w:color="CE0F2D"/>
            </w:tcBorders>
          </w:tcPr>
          <w:p>
            <w:pPr>
              <w:spacing w:after="0"/>
              <w:rPr>
                <w:sz w:val="17"/>
                <w:szCs w:val="17"/>
                <w:color w:val="auto"/>
              </w:rPr>
            </w:pPr>
          </w:p>
        </w:tc>
        <w:tc>
          <w:tcPr>
            <w:tcW w:w="3780" w:type="dxa"/>
            <w:vAlign w:val="bottom"/>
            <w:tcBorders>
              <w:bottom w:val="single" w:sz="8" w:color="CE0F2D"/>
            </w:tcBorders>
          </w:tcPr>
          <w:p>
            <w:pPr>
              <w:spacing w:after="0"/>
              <w:rPr>
                <w:sz w:val="17"/>
                <w:szCs w:val="17"/>
                <w:color w:val="auto"/>
              </w:rPr>
            </w:pPr>
          </w:p>
        </w:tc>
        <w:tc>
          <w:tcPr>
            <w:tcW w:w="2880" w:type="dxa"/>
            <w:vAlign w:val="bottom"/>
            <w:tcBorders>
              <w:bottom w:val="single" w:sz="8" w:color="CE0F2D"/>
            </w:tcBorders>
          </w:tcPr>
          <w:p>
            <w:pPr>
              <w:ind w:left="180"/>
              <w:spacing w:after="0"/>
              <w:rPr>
                <w:sz w:val="20"/>
                <w:szCs w:val="20"/>
                <w:color w:val="auto"/>
              </w:rPr>
            </w:pPr>
            <w:r>
              <w:rPr>
                <w:rFonts w:ascii="Arial" w:cs="Arial" w:eastAsia="Arial" w:hAnsi="Arial"/>
                <w:sz w:val="12"/>
                <w:szCs w:val="12"/>
                <w:b w:val="1"/>
                <w:bCs w:val="1"/>
                <w:color w:val="404040"/>
              </w:rPr>
              <w:t>Board recommendation</w:t>
            </w:r>
          </w:p>
        </w:tc>
        <w:tc>
          <w:tcPr>
            <w:tcW w:w="1580" w:type="dxa"/>
            <w:vAlign w:val="bottom"/>
            <w:tcBorders>
              <w:bottom w:val="single" w:sz="8" w:color="CE0F2D"/>
            </w:tcBorders>
          </w:tcPr>
          <w:p>
            <w:pPr>
              <w:jc w:val="right"/>
              <w:spacing w:after="0"/>
              <w:rPr>
                <w:sz w:val="20"/>
                <w:szCs w:val="20"/>
                <w:color w:val="auto"/>
              </w:rPr>
            </w:pPr>
            <w:r>
              <w:rPr>
                <w:rFonts w:ascii="Arial" w:cs="Arial" w:eastAsia="Arial" w:hAnsi="Arial"/>
                <w:sz w:val="12"/>
                <w:szCs w:val="12"/>
                <w:b w:val="1"/>
                <w:bCs w:val="1"/>
                <w:color w:val="404040"/>
              </w:rPr>
              <w:t>Page numbers</w:t>
            </w:r>
          </w:p>
        </w:tc>
      </w:tr>
      <w:tr>
        <w:trPr>
          <w:trHeight w:val="234"/>
        </w:trPr>
        <w:tc>
          <w:tcPr>
            <w:tcW w:w="110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D"/>
              </w:rPr>
              <w:t>Proposal 1:</w:t>
            </w:r>
          </w:p>
        </w:tc>
        <w:tc>
          <w:tcPr>
            <w:tcW w:w="3780" w:type="dxa"/>
            <w:vAlign w:val="bottom"/>
            <w:tcBorders>
              <w:bottom w:val="single" w:sz="8" w:color="636466"/>
            </w:tcBorders>
          </w:tcPr>
          <w:p>
            <w:pPr>
              <w:ind w:left="240"/>
              <w:spacing w:after="0"/>
              <w:rPr>
                <w:sz w:val="20"/>
                <w:szCs w:val="20"/>
                <w:color w:val="auto"/>
              </w:rPr>
            </w:pPr>
            <w:r>
              <w:rPr>
                <w:rFonts w:ascii="Arial" w:cs="Arial" w:eastAsia="Arial" w:hAnsi="Arial"/>
                <w:sz w:val="16"/>
                <w:szCs w:val="16"/>
                <w:b w:val="1"/>
                <w:bCs w:val="1"/>
                <w:color w:val="auto"/>
              </w:rPr>
              <w:t>Election of Directors</w:t>
            </w:r>
          </w:p>
        </w:tc>
        <w:tc>
          <w:tcPr>
            <w:tcW w:w="2880" w:type="dxa"/>
            <w:vAlign w:val="bottom"/>
            <w:tcBorders>
              <w:bottom w:val="single" w:sz="8" w:color="636466"/>
            </w:tcBorders>
          </w:tcPr>
          <w:p>
            <w:pPr>
              <w:ind w:left="180"/>
              <w:spacing w:after="0"/>
              <w:rPr>
                <w:sz w:val="20"/>
                <w:szCs w:val="20"/>
                <w:color w:val="auto"/>
              </w:rPr>
            </w:pPr>
            <w:r>
              <w:rPr>
                <w:rFonts w:ascii="Arial" w:cs="Arial" w:eastAsia="Arial" w:hAnsi="Arial"/>
                <w:sz w:val="16"/>
                <w:szCs w:val="16"/>
                <w:b w:val="1"/>
                <w:bCs w:val="1"/>
                <w:color w:val="CE0F2D"/>
              </w:rPr>
              <w:t xml:space="preserve">FOR </w:t>
            </w:r>
            <w:r>
              <w:rPr>
                <w:rFonts w:ascii="Arial" w:cs="Arial" w:eastAsia="Arial" w:hAnsi="Arial"/>
                <w:sz w:val="16"/>
                <w:szCs w:val="16"/>
                <w:color w:val="000000"/>
              </w:rPr>
              <w:t>each director nominee</w:t>
            </w:r>
          </w:p>
        </w:tc>
        <w:tc>
          <w:tcPr>
            <w:tcW w:w="158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11-21</w:t>
            </w:r>
          </w:p>
        </w:tc>
      </w:tr>
      <w:tr>
        <w:trPr>
          <w:trHeight w:val="196"/>
        </w:trPr>
        <w:tc>
          <w:tcPr>
            <w:tcW w:w="1100" w:type="dxa"/>
            <w:vAlign w:val="bottom"/>
          </w:tcPr>
          <w:p>
            <w:pPr>
              <w:spacing w:after="0"/>
              <w:rPr>
                <w:sz w:val="20"/>
                <w:szCs w:val="20"/>
                <w:color w:val="auto"/>
              </w:rPr>
            </w:pPr>
            <w:r>
              <w:rPr>
                <w:rFonts w:ascii="Arial" w:cs="Arial" w:eastAsia="Arial" w:hAnsi="Arial"/>
                <w:sz w:val="16"/>
                <w:szCs w:val="16"/>
                <w:b w:val="1"/>
                <w:bCs w:val="1"/>
                <w:color w:val="CE0F2D"/>
              </w:rPr>
              <w:t>Proposal 2:</w:t>
            </w:r>
          </w:p>
        </w:tc>
        <w:tc>
          <w:tcPr>
            <w:tcW w:w="3780" w:type="dxa"/>
            <w:vAlign w:val="bottom"/>
          </w:tcPr>
          <w:p>
            <w:pPr>
              <w:ind w:left="240"/>
              <w:spacing w:after="0"/>
              <w:rPr>
                <w:sz w:val="20"/>
                <w:szCs w:val="20"/>
                <w:color w:val="auto"/>
              </w:rPr>
            </w:pPr>
            <w:r>
              <w:rPr>
                <w:rFonts w:ascii="Arial" w:cs="Arial" w:eastAsia="Arial" w:hAnsi="Arial"/>
                <w:sz w:val="16"/>
                <w:szCs w:val="16"/>
                <w:b w:val="1"/>
                <w:bCs w:val="1"/>
                <w:color w:val="auto"/>
              </w:rPr>
              <w:t>Advisory Vote to Approve Executive</w:t>
            </w:r>
          </w:p>
        </w:tc>
        <w:tc>
          <w:tcPr>
            <w:tcW w:w="2880" w:type="dxa"/>
            <w:vAlign w:val="bottom"/>
          </w:tcPr>
          <w:p>
            <w:pPr>
              <w:ind w:left="180"/>
              <w:spacing w:after="0"/>
              <w:rPr>
                <w:sz w:val="20"/>
                <w:szCs w:val="20"/>
                <w:color w:val="auto"/>
              </w:rPr>
            </w:pPr>
            <w:r>
              <w:rPr>
                <w:rFonts w:ascii="Arial" w:cs="Arial" w:eastAsia="Arial" w:hAnsi="Arial"/>
                <w:sz w:val="16"/>
                <w:szCs w:val="16"/>
                <w:b w:val="1"/>
                <w:bCs w:val="1"/>
                <w:color w:val="CE0F2D"/>
              </w:rPr>
              <w:t>FOR</w:t>
            </w:r>
          </w:p>
        </w:tc>
        <w:tc>
          <w:tcPr>
            <w:tcW w:w="1580" w:type="dxa"/>
            <w:vAlign w:val="bottom"/>
          </w:tcPr>
          <w:p>
            <w:pPr>
              <w:jc w:val="right"/>
              <w:spacing w:after="0"/>
              <w:rPr>
                <w:sz w:val="20"/>
                <w:szCs w:val="20"/>
                <w:color w:val="auto"/>
              </w:rPr>
            </w:pPr>
            <w:r>
              <w:rPr>
                <w:rFonts w:ascii="Arial" w:cs="Arial" w:eastAsia="Arial" w:hAnsi="Arial"/>
                <w:sz w:val="16"/>
                <w:szCs w:val="16"/>
                <w:color w:val="auto"/>
              </w:rPr>
              <w:t>37-38</w:t>
            </w:r>
          </w:p>
        </w:tc>
      </w:tr>
      <w:tr>
        <w:trPr>
          <w:trHeight w:val="226"/>
        </w:trPr>
        <w:tc>
          <w:tcPr>
            <w:tcW w:w="1100" w:type="dxa"/>
            <w:vAlign w:val="bottom"/>
            <w:tcBorders>
              <w:bottom w:val="single" w:sz="8" w:color="636466"/>
            </w:tcBorders>
          </w:tcPr>
          <w:p>
            <w:pPr>
              <w:spacing w:after="0"/>
              <w:rPr>
                <w:sz w:val="19"/>
                <w:szCs w:val="19"/>
                <w:color w:val="auto"/>
              </w:rPr>
            </w:pPr>
          </w:p>
        </w:tc>
        <w:tc>
          <w:tcPr>
            <w:tcW w:w="3780" w:type="dxa"/>
            <w:vAlign w:val="bottom"/>
            <w:tcBorders>
              <w:bottom w:val="single" w:sz="8" w:color="636466"/>
            </w:tcBorders>
          </w:tcPr>
          <w:p>
            <w:pPr>
              <w:ind w:left="240"/>
              <w:spacing w:after="0"/>
              <w:rPr>
                <w:sz w:val="20"/>
                <w:szCs w:val="20"/>
                <w:color w:val="auto"/>
              </w:rPr>
            </w:pPr>
            <w:r>
              <w:rPr>
                <w:rFonts w:ascii="Arial" w:cs="Arial" w:eastAsia="Arial" w:hAnsi="Arial"/>
                <w:sz w:val="16"/>
                <w:szCs w:val="16"/>
                <w:b w:val="1"/>
                <w:bCs w:val="1"/>
                <w:color w:val="auto"/>
              </w:rPr>
              <w:t>Compensation</w:t>
            </w:r>
          </w:p>
        </w:tc>
        <w:tc>
          <w:tcPr>
            <w:tcW w:w="2880" w:type="dxa"/>
            <w:vAlign w:val="bottom"/>
            <w:tcBorders>
              <w:bottom w:val="single" w:sz="8" w:color="636466"/>
            </w:tcBorders>
          </w:tcPr>
          <w:p>
            <w:pPr>
              <w:spacing w:after="0"/>
              <w:rPr>
                <w:sz w:val="19"/>
                <w:szCs w:val="19"/>
                <w:color w:val="auto"/>
              </w:rPr>
            </w:pPr>
          </w:p>
        </w:tc>
        <w:tc>
          <w:tcPr>
            <w:tcW w:w="1580" w:type="dxa"/>
            <w:vAlign w:val="bottom"/>
            <w:tcBorders>
              <w:bottom w:val="single" w:sz="8" w:color="636466"/>
            </w:tcBorders>
          </w:tcPr>
          <w:p>
            <w:pPr>
              <w:spacing w:after="0"/>
              <w:rPr>
                <w:sz w:val="19"/>
                <w:szCs w:val="19"/>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6"/>
                <w:szCs w:val="16"/>
                <w:b w:val="1"/>
                <w:bCs w:val="1"/>
                <w:color w:val="CE0F2D"/>
              </w:rPr>
              <w:t>Proposal 3:</w:t>
            </w:r>
          </w:p>
        </w:tc>
        <w:tc>
          <w:tcPr>
            <w:tcW w:w="3780" w:type="dxa"/>
            <w:vAlign w:val="bottom"/>
          </w:tcPr>
          <w:p>
            <w:pPr>
              <w:ind w:left="240"/>
              <w:spacing w:after="0"/>
              <w:rPr>
                <w:sz w:val="20"/>
                <w:szCs w:val="20"/>
                <w:color w:val="auto"/>
              </w:rPr>
            </w:pPr>
            <w:r>
              <w:rPr>
                <w:rFonts w:ascii="Arial" w:cs="Arial" w:eastAsia="Arial" w:hAnsi="Arial"/>
                <w:sz w:val="16"/>
                <w:szCs w:val="16"/>
                <w:b w:val="1"/>
                <w:bCs w:val="1"/>
                <w:color w:val="auto"/>
              </w:rPr>
              <w:t>Appoint PricewaterhouseCoopers LLP to</w:t>
            </w:r>
          </w:p>
        </w:tc>
        <w:tc>
          <w:tcPr>
            <w:tcW w:w="2880" w:type="dxa"/>
            <w:vAlign w:val="bottom"/>
          </w:tcPr>
          <w:p>
            <w:pPr>
              <w:ind w:left="180"/>
              <w:spacing w:after="0"/>
              <w:rPr>
                <w:sz w:val="20"/>
                <w:szCs w:val="20"/>
                <w:color w:val="auto"/>
              </w:rPr>
            </w:pPr>
            <w:r>
              <w:rPr>
                <w:rFonts w:ascii="Arial" w:cs="Arial" w:eastAsia="Arial" w:hAnsi="Arial"/>
                <w:sz w:val="16"/>
                <w:szCs w:val="16"/>
                <w:b w:val="1"/>
                <w:bCs w:val="1"/>
                <w:color w:val="CE0F2D"/>
              </w:rPr>
              <w:t>FOR</w:t>
            </w:r>
          </w:p>
        </w:tc>
        <w:tc>
          <w:tcPr>
            <w:tcW w:w="1580" w:type="dxa"/>
            <w:vAlign w:val="bottom"/>
          </w:tcPr>
          <w:p>
            <w:pPr>
              <w:jc w:val="right"/>
              <w:spacing w:after="0"/>
              <w:rPr>
                <w:sz w:val="20"/>
                <w:szCs w:val="20"/>
                <w:color w:val="auto"/>
              </w:rPr>
            </w:pPr>
            <w:r>
              <w:rPr>
                <w:rFonts w:ascii="Arial" w:cs="Arial" w:eastAsia="Arial" w:hAnsi="Arial"/>
                <w:sz w:val="16"/>
                <w:szCs w:val="16"/>
                <w:color w:val="auto"/>
              </w:rPr>
              <w:t>88-89</w:t>
            </w:r>
          </w:p>
        </w:tc>
      </w:tr>
      <w:tr>
        <w:trPr>
          <w:trHeight w:val="226"/>
        </w:trPr>
        <w:tc>
          <w:tcPr>
            <w:tcW w:w="1100" w:type="dxa"/>
            <w:vAlign w:val="bottom"/>
            <w:tcBorders>
              <w:bottom w:val="single" w:sz="8" w:color="636466"/>
            </w:tcBorders>
          </w:tcPr>
          <w:p>
            <w:pPr>
              <w:spacing w:after="0"/>
              <w:rPr>
                <w:sz w:val="19"/>
                <w:szCs w:val="19"/>
                <w:color w:val="auto"/>
              </w:rPr>
            </w:pPr>
          </w:p>
        </w:tc>
        <w:tc>
          <w:tcPr>
            <w:tcW w:w="3780" w:type="dxa"/>
            <w:vAlign w:val="bottom"/>
            <w:tcBorders>
              <w:bottom w:val="single" w:sz="8" w:color="636466"/>
            </w:tcBorders>
          </w:tcPr>
          <w:p>
            <w:pPr>
              <w:ind w:left="240"/>
              <w:spacing w:after="0"/>
              <w:rPr>
                <w:sz w:val="20"/>
                <w:szCs w:val="20"/>
                <w:color w:val="auto"/>
              </w:rPr>
            </w:pPr>
            <w:r>
              <w:rPr>
                <w:rFonts w:ascii="Arial" w:cs="Arial" w:eastAsia="Arial" w:hAnsi="Arial"/>
                <w:sz w:val="16"/>
                <w:szCs w:val="16"/>
                <w:b w:val="1"/>
                <w:bCs w:val="1"/>
                <w:color w:val="auto"/>
              </w:rPr>
              <w:t>Serve as Independent Auditor for 2022</w:t>
            </w:r>
          </w:p>
        </w:tc>
        <w:tc>
          <w:tcPr>
            <w:tcW w:w="2880" w:type="dxa"/>
            <w:vAlign w:val="bottom"/>
            <w:tcBorders>
              <w:bottom w:val="single" w:sz="8" w:color="636466"/>
            </w:tcBorders>
          </w:tcPr>
          <w:p>
            <w:pPr>
              <w:spacing w:after="0"/>
              <w:rPr>
                <w:sz w:val="19"/>
                <w:szCs w:val="19"/>
                <w:color w:val="auto"/>
              </w:rPr>
            </w:pPr>
          </w:p>
        </w:tc>
        <w:tc>
          <w:tcPr>
            <w:tcW w:w="1580" w:type="dxa"/>
            <w:vAlign w:val="bottom"/>
            <w:tcBorders>
              <w:bottom w:val="single" w:sz="8" w:color="636466"/>
            </w:tcBorders>
          </w:tcPr>
          <w:p>
            <w:pPr>
              <w:spacing w:after="0"/>
              <w:rPr>
                <w:sz w:val="19"/>
                <w:szCs w:val="19"/>
                <w:color w:val="auto"/>
              </w:rPr>
            </w:pPr>
          </w:p>
        </w:tc>
      </w:tr>
      <w:tr>
        <w:trPr>
          <w:trHeight w:val="196"/>
        </w:trPr>
        <w:tc>
          <w:tcPr>
            <w:tcW w:w="1100" w:type="dxa"/>
            <w:vAlign w:val="bottom"/>
          </w:tcPr>
          <w:p>
            <w:pPr>
              <w:spacing w:after="0"/>
              <w:rPr>
                <w:sz w:val="20"/>
                <w:szCs w:val="20"/>
                <w:color w:val="auto"/>
              </w:rPr>
            </w:pPr>
            <w:r>
              <w:rPr>
                <w:rFonts w:ascii="Arial" w:cs="Arial" w:eastAsia="Arial" w:hAnsi="Arial"/>
                <w:sz w:val="16"/>
                <w:szCs w:val="16"/>
                <w:b w:val="1"/>
                <w:bCs w:val="1"/>
                <w:color w:val="CE0F2D"/>
              </w:rPr>
              <w:t>Proposal 4:</w:t>
            </w:r>
          </w:p>
        </w:tc>
        <w:tc>
          <w:tcPr>
            <w:tcW w:w="3780" w:type="dxa"/>
            <w:vAlign w:val="bottom"/>
          </w:tcPr>
          <w:p>
            <w:pPr>
              <w:ind w:left="240"/>
              <w:spacing w:after="0"/>
              <w:rPr>
                <w:sz w:val="20"/>
                <w:szCs w:val="20"/>
                <w:color w:val="auto"/>
              </w:rPr>
            </w:pPr>
            <w:r>
              <w:rPr>
                <w:rFonts w:ascii="Arial" w:cs="Arial" w:eastAsia="Arial" w:hAnsi="Arial"/>
                <w:sz w:val="16"/>
                <w:szCs w:val="16"/>
                <w:b w:val="1"/>
                <w:bCs w:val="1"/>
                <w:color w:val="auto"/>
              </w:rPr>
              <w:t>Approve an Amendment to the Restated</w:t>
            </w:r>
          </w:p>
        </w:tc>
        <w:tc>
          <w:tcPr>
            <w:tcW w:w="2880" w:type="dxa"/>
            <w:vAlign w:val="bottom"/>
          </w:tcPr>
          <w:p>
            <w:pPr>
              <w:ind w:left="180"/>
              <w:spacing w:after="0"/>
              <w:rPr>
                <w:sz w:val="20"/>
                <w:szCs w:val="20"/>
                <w:color w:val="auto"/>
              </w:rPr>
            </w:pPr>
            <w:r>
              <w:rPr>
                <w:rFonts w:ascii="Arial" w:cs="Arial" w:eastAsia="Arial" w:hAnsi="Arial"/>
                <w:sz w:val="16"/>
                <w:szCs w:val="16"/>
                <w:b w:val="1"/>
                <w:bCs w:val="1"/>
                <w:color w:val="CE0F2D"/>
              </w:rPr>
              <w:t>FOR</w:t>
            </w:r>
          </w:p>
        </w:tc>
        <w:tc>
          <w:tcPr>
            <w:tcW w:w="1580" w:type="dxa"/>
            <w:vAlign w:val="bottom"/>
          </w:tcPr>
          <w:p>
            <w:pPr>
              <w:jc w:val="right"/>
              <w:spacing w:after="0"/>
              <w:rPr>
                <w:sz w:val="20"/>
                <w:szCs w:val="20"/>
                <w:color w:val="auto"/>
              </w:rPr>
            </w:pPr>
            <w:r>
              <w:rPr>
                <w:rFonts w:ascii="Arial" w:cs="Arial" w:eastAsia="Arial" w:hAnsi="Arial"/>
                <w:sz w:val="16"/>
                <w:szCs w:val="16"/>
                <w:color w:val="auto"/>
              </w:rPr>
              <w:t>90-91</w:t>
            </w:r>
          </w:p>
        </w:tc>
      </w:tr>
      <w:tr>
        <w:trPr>
          <w:trHeight w:val="187"/>
        </w:trPr>
        <w:tc>
          <w:tcPr>
            <w:tcW w:w="1100" w:type="dxa"/>
            <w:vAlign w:val="bottom"/>
          </w:tcPr>
          <w:p>
            <w:pPr>
              <w:spacing w:after="0"/>
              <w:rPr>
                <w:sz w:val="16"/>
                <w:szCs w:val="16"/>
                <w:color w:val="auto"/>
              </w:rPr>
            </w:pPr>
          </w:p>
        </w:tc>
        <w:tc>
          <w:tcPr>
            <w:tcW w:w="3780" w:type="dxa"/>
            <w:vAlign w:val="bottom"/>
          </w:tcPr>
          <w:p>
            <w:pPr>
              <w:ind w:left="240"/>
              <w:spacing w:after="0"/>
              <w:rPr>
                <w:sz w:val="20"/>
                <w:szCs w:val="20"/>
                <w:color w:val="auto"/>
              </w:rPr>
            </w:pPr>
            <w:r>
              <w:rPr>
                <w:rFonts w:ascii="Arial" w:cs="Arial" w:eastAsia="Arial" w:hAnsi="Arial"/>
                <w:sz w:val="16"/>
                <w:szCs w:val="16"/>
                <w:b w:val="1"/>
                <w:bCs w:val="1"/>
                <w:color w:val="auto"/>
              </w:rPr>
              <w:t>Certificate of Incorporation to Reduce the</w:t>
            </w:r>
          </w:p>
        </w:tc>
        <w:tc>
          <w:tcPr>
            <w:tcW w:w="28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7"/>
        </w:trPr>
        <w:tc>
          <w:tcPr>
            <w:tcW w:w="1100" w:type="dxa"/>
            <w:vAlign w:val="bottom"/>
          </w:tcPr>
          <w:p>
            <w:pPr>
              <w:spacing w:after="0"/>
              <w:rPr>
                <w:sz w:val="16"/>
                <w:szCs w:val="16"/>
                <w:color w:val="auto"/>
              </w:rPr>
            </w:pPr>
          </w:p>
        </w:tc>
        <w:tc>
          <w:tcPr>
            <w:tcW w:w="3780" w:type="dxa"/>
            <w:vAlign w:val="bottom"/>
          </w:tcPr>
          <w:p>
            <w:pPr>
              <w:ind w:left="240"/>
              <w:spacing w:after="0"/>
              <w:rPr>
                <w:sz w:val="20"/>
                <w:szCs w:val="20"/>
                <w:color w:val="auto"/>
              </w:rPr>
            </w:pPr>
            <w:r>
              <w:rPr>
                <w:rFonts w:ascii="Arial" w:cs="Arial" w:eastAsia="Arial" w:hAnsi="Arial"/>
                <w:sz w:val="16"/>
                <w:szCs w:val="16"/>
                <w:b w:val="1"/>
                <w:bCs w:val="1"/>
                <w:color w:val="auto"/>
              </w:rPr>
              <w:t>Voting Threshold Required to Repeal Article</w:t>
            </w:r>
          </w:p>
        </w:tc>
        <w:tc>
          <w:tcPr>
            <w:tcW w:w="28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6"/>
        </w:trPr>
        <w:tc>
          <w:tcPr>
            <w:tcW w:w="1100" w:type="dxa"/>
            <w:vAlign w:val="bottom"/>
            <w:tcBorders>
              <w:bottom w:val="single" w:sz="8" w:color="636466"/>
            </w:tcBorders>
          </w:tcPr>
          <w:p>
            <w:pPr>
              <w:spacing w:after="0"/>
              <w:rPr>
                <w:sz w:val="19"/>
                <w:szCs w:val="19"/>
                <w:color w:val="auto"/>
              </w:rPr>
            </w:pPr>
          </w:p>
        </w:tc>
        <w:tc>
          <w:tcPr>
            <w:tcW w:w="3780" w:type="dxa"/>
            <w:vAlign w:val="bottom"/>
            <w:tcBorders>
              <w:bottom w:val="single" w:sz="8" w:color="636466"/>
            </w:tcBorders>
          </w:tcPr>
          <w:p>
            <w:pPr>
              <w:ind w:left="240"/>
              <w:spacing w:after="0"/>
              <w:rPr>
                <w:sz w:val="20"/>
                <w:szCs w:val="20"/>
                <w:color w:val="auto"/>
              </w:rPr>
            </w:pPr>
            <w:r>
              <w:rPr>
                <w:rFonts w:ascii="Arial" w:cs="Arial" w:eastAsia="Arial" w:hAnsi="Arial"/>
                <w:sz w:val="16"/>
                <w:szCs w:val="16"/>
                <w:b w:val="1"/>
                <w:bCs w:val="1"/>
                <w:color w:val="auto"/>
              </w:rPr>
              <w:t>Ninth</w:t>
            </w:r>
          </w:p>
        </w:tc>
        <w:tc>
          <w:tcPr>
            <w:tcW w:w="2880" w:type="dxa"/>
            <w:vAlign w:val="bottom"/>
            <w:tcBorders>
              <w:bottom w:val="single" w:sz="8" w:color="636466"/>
            </w:tcBorders>
          </w:tcPr>
          <w:p>
            <w:pPr>
              <w:spacing w:after="0"/>
              <w:rPr>
                <w:sz w:val="19"/>
                <w:szCs w:val="19"/>
                <w:color w:val="auto"/>
              </w:rPr>
            </w:pPr>
          </w:p>
        </w:tc>
        <w:tc>
          <w:tcPr>
            <w:tcW w:w="1580" w:type="dxa"/>
            <w:vAlign w:val="bottom"/>
            <w:tcBorders>
              <w:bottom w:val="single" w:sz="8" w:color="636466"/>
            </w:tcBorders>
          </w:tcPr>
          <w:p>
            <w:pPr>
              <w:spacing w:after="0"/>
              <w:rPr>
                <w:sz w:val="19"/>
                <w:szCs w:val="19"/>
                <w:color w:val="auto"/>
              </w:rPr>
            </w:pPr>
          </w:p>
        </w:tc>
      </w:tr>
    </w:tbl>
    <w:p>
      <w:pPr>
        <w:spacing w:after="0" w:line="156" w:lineRule="exact"/>
        <w:rPr>
          <w:sz w:val="20"/>
          <w:szCs w:val="20"/>
          <w:color w:val="auto"/>
        </w:rPr>
      </w:pPr>
    </w:p>
    <w:p>
      <w:pPr>
        <w:ind w:left="1900"/>
        <w:spacing w:after="0"/>
        <w:rPr>
          <w:sz w:val="20"/>
          <w:szCs w:val="20"/>
          <w:color w:val="auto"/>
        </w:rPr>
      </w:pPr>
      <w:r>
        <w:rPr>
          <w:rFonts w:ascii="Arial" w:cs="Arial" w:eastAsia="Arial" w:hAnsi="Arial"/>
          <w:sz w:val="30"/>
          <w:szCs w:val="30"/>
          <w:b w:val="1"/>
          <w:bCs w:val="1"/>
          <w:color w:val="auto"/>
        </w:rPr>
        <w:t>2021 Performance Highlights</w:t>
      </w:r>
    </w:p>
    <w:p>
      <w:pPr>
        <w:spacing w:after="0" w:line="259" w:lineRule="exact"/>
        <w:rPr>
          <w:sz w:val="20"/>
          <w:szCs w:val="20"/>
          <w:color w:val="auto"/>
        </w:rPr>
      </w:pPr>
    </w:p>
    <w:p>
      <w:pPr>
        <w:ind w:left="1900" w:right="140"/>
        <w:spacing w:after="0" w:line="227" w:lineRule="auto"/>
        <w:rPr>
          <w:sz w:val="20"/>
          <w:szCs w:val="20"/>
          <w:color w:val="auto"/>
        </w:rPr>
      </w:pPr>
      <w:r>
        <w:rPr>
          <w:rFonts w:ascii="Arial" w:cs="Arial" w:eastAsia="Arial" w:hAnsi="Arial"/>
          <w:sz w:val="20"/>
          <w:szCs w:val="20"/>
          <w:color w:val="auto"/>
        </w:rPr>
        <w:t>2021 marked our first full year as Raytheon Technologies (“RTX”). Our performance confirms the merits of the merger between United Technologies Corporation (“UTC”) and Raytheon Company (the “Merger”) and our ability to transform our organization, to lead our industry and solve our customer’s most difficult challenges. We continued to navigate through a challenging operating environment due to the COVID-19 pandemic and related factors, while capitalizing on the commercial aerospace recovery and the continued strength of our defense businesses.</w:t>
      </w:r>
    </w:p>
    <w:p>
      <w:pPr>
        <w:spacing w:after="0" w:line="191"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“Our 2021 performance demonstrated the strength,</w:t>
      </w:r>
    </w:p>
    <w:p>
      <w:pPr>
        <w:ind w:left="5640"/>
        <w:spacing w:after="0"/>
        <w:rPr>
          <w:sz w:val="20"/>
          <w:szCs w:val="20"/>
          <w:color w:val="auto"/>
        </w:rPr>
      </w:pPr>
      <w:r>
        <w:rPr>
          <w:rFonts w:ascii="Arial" w:cs="Arial" w:eastAsia="Arial" w:hAnsi="Arial"/>
          <w:sz w:val="21"/>
          <w:szCs w:val="21"/>
          <w:color w:val="auto"/>
        </w:rPr>
        <w:t>balance and resiliency of our portfolio, the breadth of our</w:t>
      </w:r>
    </w:p>
    <w:p>
      <w:pPr>
        <w:ind w:left="5640"/>
        <w:spacing w:after="0"/>
        <w:rPr>
          <w:sz w:val="20"/>
          <w:szCs w:val="20"/>
          <w:color w:val="auto"/>
        </w:rPr>
      </w:pPr>
      <w:r>
        <w:rPr>
          <w:rFonts w:ascii="Arial" w:cs="Arial" w:eastAsia="Arial" w:hAnsi="Arial"/>
          <w:sz w:val="21"/>
          <w:szCs w:val="21"/>
          <w:color w:val="auto"/>
        </w:rPr>
        <w:t>advanced technologies, the talents and dedication of our</w:t>
      </w:r>
    </w:p>
    <w:p>
      <w:pPr>
        <w:ind w:left="5640"/>
        <w:spacing w:after="0"/>
        <w:rPr>
          <w:sz w:val="20"/>
          <w:szCs w:val="20"/>
          <w:color w:val="auto"/>
        </w:rPr>
      </w:pPr>
      <w:r>
        <w:rPr>
          <w:rFonts w:ascii="Arial" w:cs="Arial" w:eastAsia="Arial" w:hAnsi="Arial"/>
          <w:sz w:val="21"/>
          <w:szCs w:val="21"/>
          <w:color w:val="auto"/>
        </w:rPr>
        <w:t>workforce, and our commitment to changing the world for</w:t>
      </w:r>
    </w:p>
    <w:p>
      <w:pPr>
        <w:ind w:left="5640"/>
        <w:spacing w:after="0"/>
        <w:rPr>
          <w:sz w:val="20"/>
          <w:szCs w:val="20"/>
          <w:color w:val="auto"/>
        </w:rPr>
      </w:pPr>
      <w:r>
        <w:rPr>
          <w:rFonts w:ascii="Arial" w:cs="Arial" w:eastAsia="Arial" w:hAnsi="Arial"/>
          <w:sz w:val="21"/>
          <w:szCs w:val="21"/>
          <w:color w:val="auto"/>
        </w:rPr>
        <w:t>the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54610</wp:posOffset>
            </wp:positionV>
            <wp:extent cx="35623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2350" cy="25400"/>
                    </a:xfrm>
                    <a:prstGeom prst="rect">
                      <a:avLst/>
                    </a:prstGeom>
                    <a:noFill/>
                  </pic:spPr>
                </pic:pic>
              </a:graphicData>
            </a:graphic>
          </wp:anchor>
        </w:drawing>
      </w:r>
    </w:p>
    <w:p>
      <w:pPr>
        <w:spacing w:after="0" w:line="200"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Gregory J. Hayes, Chairman &amp; Chief Executive Officer</w:t>
      </w:r>
    </w:p>
    <w:p>
      <w:pPr>
        <w:spacing w:after="0" w:line="12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2021 PERFORMANCE HIGHLIGHTS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PERFORMANCE</w:t>
      </w:r>
      <w:r>
        <w:rPr>
          <w:rFonts w:ascii="Arial" w:cs="Arial" w:eastAsia="Arial" w:hAnsi="Arial"/>
          <w:sz w:val="32"/>
          <w:szCs w:val="32"/>
          <w:b w:val="1"/>
          <w:bCs w:val="1"/>
          <w:color w:val="auto"/>
          <w:vertAlign w:val="superscript"/>
        </w:rPr>
        <w:t>(1)</w:t>
      </w:r>
    </w:p>
    <w:p>
      <w:pPr>
        <w:spacing w:after="0" w:line="103" w:lineRule="exact"/>
        <w:rPr>
          <w:sz w:val="20"/>
          <w:szCs w:val="20"/>
          <w:color w:val="auto"/>
        </w:rPr>
      </w:pPr>
    </w:p>
    <w:p>
      <w:pPr>
        <w:ind w:right="360"/>
        <w:spacing w:after="0" w:line="282" w:lineRule="auto"/>
        <w:rPr>
          <w:sz w:val="20"/>
          <w:szCs w:val="20"/>
          <w:color w:val="auto"/>
        </w:rPr>
      </w:pPr>
      <w:r>
        <w:rPr>
          <w:rFonts w:ascii="Arial" w:cs="Arial" w:eastAsia="Arial" w:hAnsi="Arial"/>
          <w:sz w:val="16"/>
          <w:szCs w:val="16"/>
          <w:b w:val="1"/>
          <w:bCs w:val="1"/>
          <w:color w:val="CE0F2D"/>
        </w:rPr>
        <w:t>In 2021, we delivered solid financial results, and we remain well positioned to deliver on the 2020-2025 organic sales growth, adjusted margin expansion and free cash flow goals that we communicated during our Investor Day in May 2021.</w:t>
      </w:r>
    </w:p>
    <w:p>
      <w:pPr>
        <w:sectPr>
          <w:pgSz w:w="11900" w:h="16838" w:orient="portrait"/>
          <w:cols w:equalWidth="0" w:num="1">
            <w:col w:w="11140"/>
          </w:cols>
          <w:pgMar w:left="320" w:top="118" w:right="439" w:bottom="1440" w:gutter="0" w:footer="0" w:header="0"/>
        </w:sectPr>
      </w:pP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20"/>
                <w:szCs w:val="20"/>
                <w:b w:val="1"/>
                <w:bCs w:val="1"/>
                <w:color w:val="auto"/>
              </w:rPr>
              <w:t>Made progress toward</w:t>
            </w:r>
          </w:p>
        </w:tc>
      </w:tr>
      <w:tr>
        <w:trPr>
          <w:trHeight w:val="262"/>
        </w:trPr>
        <w:tc>
          <w:tcPr>
            <w:tcW w:w="3600" w:type="dxa"/>
            <w:vAlign w:val="bottom"/>
            <w:tcBorders>
              <w:bottom w:val="single" w:sz="8" w:color="CE0F2D"/>
            </w:tcBorders>
          </w:tcPr>
          <w:p>
            <w:pPr>
              <w:spacing w:after="0"/>
              <w:rPr>
                <w:sz w:val="20"/>
                <w:szCs w:val="20"/>
                <w:color w:val="auto"/>
              </w:rPr>
            </w:pPr>
            <w:r>
              <w:rPr>
                <w:rFonts w:ascii="Arial" w:cs="Arial" w:eastAsia="Arial" w:hAnsi="Arial"/>
                <w:sz w:val="20"/>
                <w:szCs w:val="20"/>
                <w:b w:val="1"/>
                <w:bCs w:val="1"/>
                <w:color w:val="auto"/>
              </w:rPr>
              <w:t>Grew our business</w:t>
            </w:r>
          </w:p>
        </w:tc>
        <w:tc>
          <w:tcPr>
            <w:tcW w:w="220" w:type="dxa"/>
            <w:vAlign w:val="bottom"/>
          </w:tcPr>
          <w:p>
            <w:pPr>
              <w:spacing w:after="0"/>
              <w:rPr>
                <w:sz w:val="22"/>
                <w:szCs w:val="22"/>
                <w:color w:val="auto"/>
              </w:rPr>
            </w:pPr>
          </w:p>
        </w:tc>
        <w:tc>
          <w:tcPr>
            <w:tcW w:w="3600" w:type="dxa"/>
            <w:vAlign w:val="bottom"/>
            <w:tcBorders>
              <w:bottom w:val="single" w:sz="8" w:color="CE0F2D"/>
            </w:tcBorders>
          </w:tcPr>
          <w:p>
            <w:pPr>
              <w:spacing w:after="0"/>
              <w:rPr>
                <w:sz w:val="20"/>
                <w:szCs w:val="20"/>
                <w:color w:val="auto"/>
              </w:rPr>
            </w:pPr>
            <w:r>
              <w:rPr>
                <w:rFonts w:ascii="Arial" w:cs="Arial" w:eastAsia="Arial" w:hAnsi="Arial"/>
                <w:sz w:val="20"/>
                <w:szCs w:val="20"/>
                <w:b w:val="1"/>
                <w:bCs w:val="1"/>
                <w:color w:val="auto"/>
              </w:rPr>
              <w:t>our long-term goals</w:t>
            </w:r>
          </w:p>
        </w:tc>
      </w:tr>
    </w:tbl>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Achieved cost synergies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227838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78380" cy="25400"/>
                    </a:xfrm>
                    <a:prstGeom prst="rect">
                      <a:avLst/>
                    </a:prstGeom>
                    <a:noFill/>
                  </pic:spPr>
                </pic:pic>
              </a:graphicData>
            </a:graphic>
          </wp:anchor>
        </w:drawing>
      </w:r>
    </w:p>
    <w:p>
      <w:pPr>
        <w:spacing w:after="0" w:line="252" w:lineRule="exact"/>
        <w:rPr>
          <w:sz w:val="20"/>
          <w:szCs w:val="20"/>
          <w:color w:val="auto"/>
        </w:rPr>
      </w:pPr>
    </w:p>
    <w:p>
      <w:pPr>
        <w:sectPr>
          <w:pgSz w:w="11900" w:h="16838" w:orient="portrait"/>
          <w:cols w:equalWidth="0" w:num="2">
            <w:col w:w="7420" w:space="220"/>
            <w:col w:w="3500"/>
          </w:cols>
          <w:pgMar w:left="320" w:top="118" w:right="439" w:bottom="1440" w:gutter="0" w:footer="0" w:header="0"/>
          <w:type w:val="continuous"/>
        </w:sectPr>
      </w:pPr>
    </w:p>
    <w:p>
      <w:pPr>
        <w:ind w:left="240" w:hanging="233"/>
        <w:spacing w:after="0" w:line="248" w:lineRule="auto"/>
        <w:tabs>
          <w:tab w:leader="none" w:pos="240" w:val="left"/>
        </w:tabs>
        <w:numPr>
          <w:ilvl w:val="0"/>
          <w:numId w:val="14"/>
        </w:numPr>
        <w:rPr>
          <w:rFonts w:ascii="Arial" w:cs="Arial" w:eastAsia="Arial" w:hAnsi="Arial"/>
          <w:sz w:val="16"/>
          <w:szCs w:val="16"/>
          <w:color w:val="CE0F2D"/>
        </w:rPr>
      </w:pPr>
      <w:r>
        <w:rPr>
          <w:rFonts w:ascii="Arial" w:cs="Arial" w:eastAsia="Arial" w:hAnsi="Arial"/>
          <w:sz w:val="16"/>
          <w:szCs w:val="16"/>
          <w:color w:val="auto"/>
        </w:rPr>
        <w:t>Exceeded the adjusted earnings per share and free cash flow goals we communicated to investors in January 2021, with earnings growth across all four of our businesses</w:t>
      </w:r>
    </w:p>
    <w:p>
      <w:pPr>
        <w:spacing w:after="0" w:line="69" w:lineRule="exact"/>
        <w:rPr>
          <w:rFonts w:ascii="Arial" w:cs="Arial" w:eastAsia="Arial" w:hAnsi="Arial"/>
          <w:sz w:val="16"/>
          <w:szCs w:val="16"/>
          <w:color w:val="CE0F2D"/>
        </w:rPr>
      </w:pPr>
    </w:p>
    <w:p>
      <w:pPr>
        <w:ind w:left="240" w:right="460" w:hanging="233"/>
        <w:spacing w:after="0" w:line="256" w:lineRule="auto"/>
        <w:tabs>
          <w:tab w:leader="none" w:pos="240" w:val="left"/>
        </w:tabs>
        <w:numPr>
          <w:ilvl w:val="0"/>
          <w:numId w:val="14"/>
        </w:numPr>
        <w:rPr>
          <w:rFonts w:ascii="Arial" w:cs="Arial" w:eastAsia="Arial" w:hAnsi="Arial"/>
          <w:sz w:val="16"/>
          <w:szCs w:val="16"/>
          <w:color w:val="CE0F2D"/>
        </w:rPr>
      </w:pPr>
      <w:r>
        <w:rPr>
          <w:rFonts w:ascii="Arial" w:cs="Arial" w:eastAsia="Arial" w:hAnsi="Arial"/>
          <w:sz w:val="16"/>
          <w:szCs w:val="16"/>
          <w:color w:val="auto"/>
        </w:rPr>
        <w:t>Increased deliveries of large commercial engines</w:t>
      </w:r>
    </w:p>
    <w:p>
      <w:pPr>
        <w:spacing w:after="0" w:line="62" w:lineRule="exact"/>
        <w:rPr>
          <w:rFonts w:ascii="Arial" w:cs="Arial" w:eastAsia="Arial" w:hAnsi="Arial"/>
          <w:sz w:val="16"/>
          <w:szCs w:val="16"/>
          <w:color w:val="CE0F2D"/>
        </w:rPr>
      </w:pPr>
    </w:p>
    <w:p>
      <w:pPr>
        <w:ind w:left="240" w:right="760" w:hanging="233"/>
        <w:spacing w:after="0" w:line="256" w:lineRule="auto"/>
        <w:tabs>
          <w:tab w:leader="none" w:pos="240" w:val="left"/>
        </w:tabs>
        <w:numPr>
          <w:ilvl w:val="0"/>
          <w:numId w:val="14"/>
        </w:numPr>
        <w:rPr>
          <w:rFonts w:ascii="Arial" w:cs="Arial" w:eastAsia="Arial" w:hAnsi="Arial"/>
          <w:sz w:val="16"/>
          <w:szCs w:val="16"/>
          <w:color w:val="CE0F2D"/>
        </w:rPr>
      </w:pPr>
      <w:r>
        <w:rPr>
          <w:rFonts w:ascii="Arial" w:cs="Arial" w:eastAsia="Arial" w:hAnsi="Arial"/>
          <w:sz w:val="16"/>
          <w:szCs w:val="16"/>
          <w:color w:val="auto"/>
        </w:rPr>
        <w:t>Aftermarket sales at our commercial businesses grew by 9%</w:t>
      </w:r>
    </w:p>
    <w:p>
      <w:pPr>
        <w:spacing w:after="0" w:line="62" w:lineRule="exact"/>
        <w:rPr>
          <w:rFonts w:ascii="Arial" w:cs="Arial" w:eastAsia="Arial" w:hAnsi="Arial"/>
          <w:sz w:val="16"/>
          <w:szCs w:val="16"/>
          <w:color w:val="CE0F2D"/>
        </w:rPr>
      </w:pPr>
    </w:p>
    <w:p>
      <w:pPr>
        <w:ind w:left="240" w:right="80" w:hanging="233"/>
        <w:spacing w:after="0" w:line="248" w:lineRule="auto"/>
        <w:tabs>
          <w:tab w:leader="none" w:pos="240" w:val="left"/>
        </w:tabs>
        <w:numPr>
          <w:ilvl w:val="0"/>
          <w:numId w:val="14"/>
        </w:numPr>
        <w:rPr>
          <w:rFonts w:ascii="Arial" w:cs="Arial" w:eastAsia="Arial" w:hAnsi="Arial"/>
          <w:sz w:val="16"/>
          <w:szCs w:val="16"/>
          <w:color w:val="CE0F2D"/>
        </w:rPr>
      </w:pPr>
      <w:r>
        <w:rPr>
          <w:rFonts w:ascii="Arial" w:cs="Arial" w:eastAsia="Arial" w:hAnsi="Arial"/>
          <w:sz w:val="16"/>
          <w:szCs w:val="16"/>
          <w:color w:val="auto"/>
        </w:rPr>
        <w:t>Continued earnings growth at our defense businesses driven by the breadth of our technologies and our successful execution on key programs</w:t>
      </w:r>
    </w:p>
    <w:p>
      <w:pPr>
        <w:spacing w:after="0" w:line="20" w:lineRule="exact"/>
        <w:rPr>
          <w:sz w:val="20"/>
          <w:szCs w:val="20"/>
          <w:color w:val="auto"/>
        </w:rPr>
      </w:pPr>
      <w:r>
        <w:rPr>
          <w:sz w:val="20"/>
          <w:szCs w:val="20"/>
          <w:color w:val="auto"/>
        </w:rPr>
        <w:br w:type="column"/>
      </w:r>
    </w:p>
    <w:p>
      <w:pPr>
        <w:ind w:left="234" w:right="180" w:hanging="234"/>
        <w:spacing w:after="0" w:line="250" w:lineRule="auto"/>
        <w:tabs>
          <w:tab w:leader="none" w:pos="234" w:val="left"/>
        </w:tabs>
        <w:numPr>
          <w:ilvl w:val="0"/>
          <w:numId w:val="15"/>
        </w:numPr>
        <w:rPr>
          <w:rFonts w:ascii="Arial" w:cs="Arial" w:eastAsia="Arial" w:hAnsi="Arial"/>
          <w:sz w:val="16"/>
          <w:szCs w:val="16"/>
          <w:color w:val="CE0F2D"/>
        </w:rPr>
      </w:pPr>
      <w:r>
        <w:rPr>
          <w:rFonts w:ascii="Arial" w:cs="Arial" w:eastAsia="Arial" w:hAnsi="Arial"/>
          <w:sz w:val="16"/>
          <w:szCs w:val="16"/>
          <w:color w:val="auto"/>
        </w:rPr>
        <w:t>Ended the year with our commercial aerospace backlog growing by 12% to $93 billion</w:t>
      </w:r>
    </w:p>
    <w:p>
      <w:pPr>
        <w:spacing w:after="0" w:line="67" w:lineRule="exact"/>
        <w:rPr>
          <w:rFonts w:ascii="Arial" w:cs="Arial" w:eastAsia="Arial" w:hAnsi="Arial"/>
          <w:sz w:val="16"/>
          <w:szCs w:val="16"/>
          <w:color w:val="CE0F2D"/>
        </w:rPr>
      </w:pPr>
    </w:p>
    <w:p>
      <w:pPr>
        <w:ind w:left="234" w:hanging="234"/>
        <w:spacing w:after="0" w:line="250" w:lineRule="auto"/>
        <w:tabs>
          <w:tab w:leader="none" w:pos="234" w:val="left"/>
        </w:tabs>
        <w:numPr>
          <w:ilvl w:val="0"/>
          <w:numId w:val="15"/>
        </w:numPr>
        <w:rPr>
          <w:rFonts w:ascii="Arial" w:cs="Arial" w:eastAsia="Arial" w:hAnsi="Arial"/>
          <w:sz w:val="16"/>
          <w:szCs w:val="16"/>
          <w:color w:val="CE0F2D"/>
        </w:rPr>
      </w:pPr>
      <w:r>
        <w:rPr>
          <w:rFonts w:ascii="Arial" w:cs="Arial" w:eastAsia="Arial" w:hAnsi="Arial"/>
          <w:sz w:val="16"/>
          <w:szCs w:val="16"/>
          <w:color w:val="auto"/>
        </w:rPr>
        <w:t>Developed and matured our pipeline of revenue synergies from the Merger, including $10 billion of future potential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-2424430</wp:posOffset>
            </wp:positionH>
            <wp:positionV relativeFrom="paragraph">
              <wp:posOffset>1028065</wp:posOffset>
            </wp:positionV>
            <wp:extent cx="5798820" cy="2440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8820" cy="2440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234" w:right="40" w:hanging="234"/>
        <w:spacing w:after="0" w:line="250" w:lineRule="auto"/>
        <w:tabs>
          <w:tab w:leader="none" w:pos="234" w:val="left"/>
        </w:tabs>
        <w:numPr>
          <w:ilvl w:val="0"/>
          <w:numId w:val="16"/>
        </w:numPr>
        <w:rPr>
          <w:rFonts w:ascii="Arial" w:cs="Arial" w:eastAsia="Arial" w:hAnsi="Arial"/>
          <w:sz w:val="16"/>
          <w:szCs w:val="16"/>
          <w:color w:val="CE0F2D"/>
        </w:rPr>
      </w:pPr>
      <w:r>
        <w:rPr>
          <w:rFonts w:ascii="Arial" w:cs="Arial" w:eastAsia="Arial" w:hAnsi="Arial"/>
          <w:sz w:val="16"/>
          <w:szCs w:val="16"/>
          <w:color w:val="auto"/>
        </w:rPr>
        <w:t>Achieved a total of $760 million in gross cost synergies during the year and $1 billion since completing the Merger</w:t>
      </w:r>
    </w:p>
    <w:p>
      <w:pPr>
        <w:spacing w:after="0" w:line="67" w:lineRule="exact"/>
        <w:rPr>
          <w:rFonts w:ascii="Arial" w:cs="Arial" w:eastAsia="Arial" w:hAnsi="Arial"/>
          <w:sz w:val="16"/>
          <w:szCs w:val="16"/>
          <w:color w:val="CE0F2D"/>
        </w:rPr>
      </w:pPr>
    </w:p>
    <w:p>
      <w:pPr>
        <w:ind w:left="234" w:hanging="234"/>
        <w:spacing w:after="0" w:line="248" w:lineRule="auto"/>
        <w:tabs>
          <w:tab w:leader="none" w:pos="234" w:val="left"/>
        </w:tabs>
        <w:numPr>
          <w:ilvl w:val="0"/>
          <w:numId w:val="16"/>
        </w:numPr>
        <w:rPr>
          <w:rFonts w:ascii="Arial" w:cs="Arial" w:eastAsia="Arial" w:hAnsi="Arial"/>
          <w:sz w:val="16"/>
          <w:szCs w:val="16"/>
          <w:color w:val="CE0F2D"/>
        </w:rPr>
      </w:pPr>
      <w:r>
        <w:rPr>
          <w:rFonts w:ascii="Arial" w:cs="Arial" w:eastAsia="Arial" w:hAnsi="Arial"/>
          <w:sz w:val="16"/>
          <w:szCs w:val="16"/>
          <w:color w:val="auto"/>
        </w:rPr>
        <w:t>Increased our annual gross run-rate cost synergies goal within four years of the Merger from $1.0 billion to $1.5 billion and we are on track to exceed that goal</w:t>
      </w:r>
    </w:p>
    <w:p>
      <w:pPr>
        <w:spacing w:after="0" w:line="69" w:lineRule="exact"/>
        <w:rPr>
          <w:rFonts w:ascii="Arial" w:cs="Arial" w:eastAsia="Arial" w:hAnsi="Arial"/>
          <w:sz w:val="16"/>
          <w:szCs w:val="16"/>
          <w:color w:val="CE0F2D"/>
        </w:rPr>
      </w:pPr>
    </w:p>
    <w:p>
      <w:pPr>
        <w:ind w:left="234" w:right="440" w:hanging="234"/>
        <w:spacing w:after="0" w:line="244" w:lineRule="auto"/>
        <w:tabs>
          <w:tab w:leader="none" w:pos="234" w:val="left"/>
        </w:tabs>
        <w:numPr>
          <w:ilvl w:val="0"/>
          <w:numId w:val="16"/>
        </w:numPr>
        <w:rPr>
          <w:rFonts w:ascii="Arial" w:cs="Arial" w:eastAsia="Arial" w:hAnsi="Arial"/>
          <w:sz w:val="16"/>
          <w:szCs w:val="16"/>
          <w:color w:val="CE0F2D"/>
        </w:rPr>
      </w:pPr>
      <w:r>
        <w:rPr>
          <w:rFonts w:ascii="Arial" w:cs="Arial" w:eastAsia="Arial" w:hAnsi="Arial"/>
          <w:sz w:val="16"/>
          <w:szCs w:val="16"/>
          <w:color w:val="auto"/>
        </w:rPr>
        <w:t>Realized more than $600 million of cost synergies from the Rockwell</w:t>
      </w:r>
    </w:p>
    <w:p>
      <w:pPr>
        <w:ind w:left="234" w:right="200"/>
        <w:spacing w:after="0" w:line="256" w:lineRule="auto"/>
        <w:rPr>
          <w:rFonts w:ascii="Arial" w:cs="Arial" w:eastAsia="Arial" w:hAnsi="Arial"/>
          <w:sz w:val="16"/>
          <w:szCs w:val="16"/>
          <w:color w:val="CE0F2D"/>
        </w:rPr>
      </w:pPr>
      <w:r>
        <w:rPr>
          <w:rFonts w:ascii="Arial" w:cs="Arial" w:eastAsia="Arial" w:hAnsi="Arial"/>
          <w:sz w:val="16"/>
          <w:szCs w:val="16"/>
          <w:color w:val="auto"/>
        </w:rPr>
        <w:t>Collins acquisition, meeting the Company’s commitment a year ahead of plan</w:t>
      </w:r>
    </w:p>
    <w:p>
      <w:pPr>
        <w:spacing w:after="0" w:line="460" w:lineRule="exact"/>
        <w:rPr>
          <w:sz w:val="20"/>
          <w:szCs w:val="20"/>
          <w:color w:val="auto"/>
        </w:rPr>
      </w:pPr>
    </w:p>
    <w:p>
      <w:pPr>
        <w:sectPr>
          <w:pgSz w:w="11900" w:h="16838" w:orient="portrait"/>
          <w:cols w:equalWidth="0" w:num="3">
            <w:col w:w="3580" w:space="246"/>
            <w:col w:w="3454" w:space="366"/>
            <w:col w:w="3494"/>
          </w:cols>
          <w:pgMar w:left="320" w:top="118"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320" w:hanging="313"/>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See Appendix A on pages 102-103 for more information regarding non-GAAP financial measures.</w:t>
      </w:r>
    </w:p>
    <w:p>
      <w:pPr>
        <w:spacing w:after="0" w:line="49" w:lineRule="exact"/>
        <w:rPr>
          <w:rFonts w:ascii="Arial" w:cs="Arial" w:eastAsia="Arial" w:hAnsi="Arial"/>
          <w:sz w:val="12"/>
          <w:szCs w:val="12"/>
          <w:color w:val="auto"/>
        </w:rPr>
      </w:pPr>
    </w:p>
    <w:p>
      <w:pPr>
        <w:ind w:left="320" w:hanging="313"/>
        <w:spacing w:after="0"/>
        <w:tabs>
          <w:tab w:leader="none" w:pos="3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GAAP cash flow is cash flow from operating activities of continuing operations, while non-GAAP cash flow is free cash flow from continuing operations.</w:t>
      </w:r>
    </w:p>
    <w:p>
      <w:pPr>
        <w:spacing w:after="0" w:line="111" w:lineRule="exact"/>
        <w:rPr>
          <w:sz w:val="20"/>
          <w:szCs w:val="20"/>
          <w:color w:val="auto"/>
        </w:rPr>
      </w:pPr>
    </w:p>
    <w:p>
      <w:pPr>
        <w:ind w:left="200" w:hanging="193"/>
        <w:spacing w:after="0"/>
        <w:tabs>
          <w:tab w:leader="none" w:pos="200" w:val="left"/>
        </w:tabs>
        <w:numPr>
          <w:ilvl w:val="0"/>
          <w:numId w:val="18"/>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2021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4017645</wp:posOffset>
            </wp:positionH>
            <wp:positionV relativeFrom="paragraph">
              <wp:posOffset>146050</wp:posOffset>
            </wp:positionV>
            <wp:extent cx="2057400" cy="13773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0" cy="137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RETURNED TO INVESTORS</w:t>
      </w:r>
    </w:p>
    <w:p>
      <w:pPr>
        <w:spacing w:after="0" w:line="154" w:lineRule="exact"/>
        <w:rPr>
          <w:sz w:val="20"/>
          <w:szCs w:val="20"/>
          <w:color w:val="auto"/>
        </w:rPr>
      </w:pPr>
    </w:p>
    <w:p>
      <w:pPr>
        <w:ind w:right="5140"/>
        <w:spacing w:after="0" w:line="282" w:lineRule="auto"/>
        <w:rPr>
          <w:sz w:val="20"/>
          <w:szCs w:val="20"/>
          <w:color w:val="auto"/>
        </w:rPr>
      </w:pPr>
      <w:r>
        <w:rPr>
          <w:rFonts w:ascii="Arial" w:cs="Arial" w:eastAsia="Arial" w:hAnsi="Arial"/>
          <w:sz w:val="16"/>
          <w:szCs w:val="16"/>
          <w:b w:val="1"/>
          <w:bCs w:val="1"/>
          <w:color w:val="CE0F2D"/>
        </w:rPr>
        <w:t>Our financial strength gave us the confidence to increase our commitment to return over $20 billion of capital to shareowners within four years of the Merger.</w:t>
      </w:r>
    </w:p>
    <w:p>
      <w:pPr>
        <w:spacing w:after="0" w:line="123" w:lineRule="exact"/>
        <w:rPr>
          <w:sz w:val="20"/>
          <w:szCs w:val="20"/>
          <w:color w:val="auto"/>
        </w:rPr>
      </w:pPr>
    </w:p>
    <w:p>
      <w:pPr>
        <w:ind w:right="5280"/>
        <w:spacing w:after="0" w:line="242" w:lineRule="auto"/>
        <w:rPr>
          <w:sz w:val="20"/>
          <w:szCs w:val="20"/>
          <w:color w:val="auto"/>
        </w:rPr>
      </w:pPr>
      <w:r>
        <w:rPr>
          <w:rFonts w:ascii="Arial" w:cs="Arial" w:eastAsia="Arial" w:hAnsi="Arial"/>
          <w:sz w:val="16"/>
          <w:szCs w:val="16"/>
          <w:color w:val="auto"/>
        </w:rPr>
        <w:t>During 2021, our investors saw total shareowner return (“TSR”) of 23.3%, outpacing both the Dow Jones Industrial Average and our core aerospace and defense peers</w:t>
      </w:r>
    </w:p>
    <w:p>
      <w:pPr>
        <w:spacing w:after="0" w:line="1" w:lineRule="exact"/>
        <w:rPr>
          <w:sz w:val="20"/>
          <w:szCs w:val="20"/>
          <w:color w:val="auto"/>
        </w:rPr>
      </w:pPr>
    </w:p>
    <w:p>
      <w:pPr>
        <w:ind w:right="5400"/>
        <w:spacing w:after="0" w:line="228" w:lineRule="auto"/>
        <w:rPr>
          <w:sz w:val="20"/>
          <w:szCs w:val="20"/>
          <w:color w:val="auto"/>
        </w:rPr>
      </w:pPr>
      <w:r>
        <w:rPr>
          <w:rFonts w:ascii="Arial" w:cs="Arial" w:eastAsia="Arial" w:hAnsi="Arial"/>
          <w:sz w:val="16"/>
          <w:szCs w:val="16"/>
          <w:color w:val="auto"/>
        </w:rPr>
        <w:t>(“Core A&amp;D Peers”).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We returned $5.3 billion to investors through dividends and share repurchases, including a 7.4% increase</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in our dividend per share.</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EXECUTION ON KEY PRIORITIES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In 2021, we continued to execute on the key priorities that underpin our business strategy.</w:t>
      </w:r>
    </w:p>
    <w:p>
      <w:pPr>
        <w:sectPr>
          <w:pgSz w:w="11900" w:h="16838" w:orient="portrait"/>
          <w:cols w:equalWidth="0" w:num="1">
            <w:col w:w="11240"/>
          </w:cols>
          <w:pgMar w:left="320" w:top="118" w:right="339" w:bottom="1440" w:gutter="0" w:footer="0" w:header="0"/>
        </w:sectPr>
      </w:pPr>
    </w:p>
    <w:p>
      <w:pPr>
        <w:spacing w:after="0" w:line="155" w:lineRule="exact"/>
        <w:rPr>
          <w:sz w:val="20"/>
          <w:szCs w:val="20"/>
          <w:color w:val="auto"/>
        </w:rPr>
      </w:pPr>
    </w:p>
    <w:p>
      <w:pPr>
        <w:ind w:right="1600"/>
        <w:spacing w:after="0" w:line="254" w:lineRule="auto"/>
        <w:rPr>
          <w:sz w:val="20"/>
          <w:szCs w:val="20"/>
          <w:color w:val="auto"/>
        </w:rPr>
      </w:pPr>
      <w:r>
        <w:rPr>
          <w:rFonts w:ascii="Arial" w:cs="Arial" w:eastAsia="Arial" w:hAnsi="Arial"/>
          <w:sz w:val="20"/>
          <w:szCs w:val="20"/>
          <w:b w:val="1"/>
          <w:bCs w:val="1"/>
          <w:color w:val="auto"/>
        </w:rPr>
        <w:t>Continuing our proactive response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49440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94405" cy="25400"/>
                    </a:xfrm>
                    <a:prstGeom prst="rect">
                      <a:avLst/>
                    </a:prstGeom>
                    <a:noFill/>
                  </pic:spPr>
                </pic:pic>
              </a:graphicData>
            </a:graphic>
          </wp:anchor>
        </w:drawing>
      </w:r>
    </w:p>
    <w:p>
      <w:pPr>
        <w:spacing w:after="0" w:line="132"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b w:val="1"/>
          <w:bCs w:val="1"/>
          <w:color w:val="auto"/>
        </w:rPr>
        <w:t>We are focused on protecting and supporting the health and safety of our employees, suppliers and communities.</w:t>
      </w:r>
    </w:p>
    <w:p>
      <w:pPr>
        <w:spacing w:after="0" w:line="123" w:lineRule="exact"/>
        <w:rPr>
          <w:sz w:val="20"/>
          <w:szCs w:val="20"/>
          <w:color w:val="auto"/>
        </w:rPr>
      </w:pPr>
    </w:p>
    <w:p>
      <w:pPr>
        <w:ind w:left="240" w:right="300" w:hanging="233"/>
        <w:spacing w:after="0" w:line="256" w:lineRule="auto"/>
        <w:tabs>
          <w:tab w:leader="none" w:pos="240" w:val="left"/>
        </w:tabs>
        <w:numPr>
          <w:ilvl w:val="0"/>
          <w:numId w:val="19"/>
        </w:numPr>
        <w:rPr>
          <w:rFonts w:ascii="Arial" w:cs="Arial" w:eastAsia="Arial" w:hAnsi="Arial"/>
          <w:sz w:val="16"/>
          <w:szCs w:val="16"/>
          <w:color w:val="CE0F2D"/>
        </w:rPr>
      </w:pPr>
      <w:r>
        <w:rPr>
          <w:rFonts w:ascii="Arial" w:cs="Arial" w:eastAsia="Arial" w:hAnsi="Arial"/>
          <w:sz w:val="16"/>
          <w:szCs w:val="16"/>
          <w:color w:val="auto"/>
        </w:rPr>
        <w:t>Facilitated vaccination clinics that resulted in more than 28,000 of our employees being vaccinated globally</w:t>
      </w:r>
    </w:p>
    <w:p>
      <w:pPr>
        <w:spacing w:after="0" w:line="62" w:lineRule="exact"/>
        <w:rPr>
          <w:rFonts w:ascii="Arial" w:cs="Arial" w:eastAsia="Arial" w:hAnsi="Arial"/>
          <w:sz w:val="16"/>
          <w:szCs w:val="16"/>
          <w:color w:val="CE0F2D"/>
        </w:rPr>
      </w:pPr>
    </w:p>
    <w:p>
      <w:pPr>
        <w:ind w:left="240" w:hanging="233"/>
        <w:spacing w:after="0" w:line="256" w:lineRule="auto"/>
        <w:tabs>
          <w:tab w:leader="none" w:pos="240" w:val="left"/>
        </w:tabs>
        <w:numPr>
          <w:ilvl w:val="0"/>
          <w:numId w:val="19"/>
        </w:numPr>
        <w:rPr>
          <w:rFonts w:ascii="Arial" w:cs="Arial" w:eastAsia="Arial" w:hAnsi="Arial"/>
          <w:sz w:val="16"/>
          <w:szCs w:val="16"/>
          <w:color w:val="CE0F2D"/>
        </w:rPr>
      </w:pPr>
      <w:r>
        <w:rPr>
          <w:rFonts w:ascii="Arial" w:cs="Arial" w:eastAsia="Arial" w:hAnsi="Arial"/>
          <w:sz w:val="16"/>
          <w:szCs w:val="16"/>
          <w:color w:val="auto"/>
        </w:rPr>
        <w:t>Flowed through more than $3 billion in accelerated payments to our small and diverse suppliers and partners</w:t>
      </w:r>
    </w:p>
    <w:p>
      <w:pPr>
        <w:spacing w:after="0" w:line="62" w:lineRule="exact"/>
        <w:rPr>
          <w:rFonts w:ascii="Arial" w:cs="Arial" w:eastAsia="Arial" w:hAnsi="Arial"/>
          <w:sz w:val="16"/>
          <w:szCs w:val="16"/>
          <w:color w:val="CE0F2D"/>
        </w:rPr>
      </w:pPr>
    </w:p>
    <w:p>
      <w:pPr>
        <w:ind w:left="240" w:right="120" w:hanging="233"/>
        <w:spacing w:after="0" w:line="256" w:lineRule="auto"/>
        <w:tabs>
          <w:tab w:leader="none" w:pos="240" w:val="left"/>
        </w:tabs>
        <w:numPr>
          <w:ilvl w:val="0"/>
          <w:numId w:val="19"/>
        </w:numPr>
        <w:rPr>
          <w:rFonts w:ascii="Arial" w:cs="Arial" w:eastAsia="Arial" w:hAnsi="Arial"/>
          <w:sz w:val="16"/>
          <w:szCs w:val="16"/>
          <w:color w:val="CE0F2D"/>
        </w:rPr>
      </w:pPr>
      <w:r>
        <w:rPr>
          <w:rFonts w:ascii="Arial" w:cs="Arial" w:eastAsia="Arial" w:hAnsi="Arial"/>
          <w:sz w:val="16"/>
          <w:szCs w:val="16"/>
          <w:color w:val="auto"/>
        </w:rPr>
        <w:t>Delivered oxygen trucks to the Indian Red Cross Society for use in rural and semi-urban areas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Driving operational excellence</w:t>
      </w:r>
    </w:p>
    <w:p>
      <w:pPr>
        <w:spacing w:after="0" w:line="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and continuous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-6985</wp:posOffset>
            </wp:positionV>
            <wp:extent cx="349440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94405" cy="25400"/>
                    </a:xfrm>
                    <a:prstGeom prst="rect">
                      <a:avLst/>
                    </a:prstGeom>
                    <a:noFill/>
                  </pic:spPr>
                </pic:pic>
              </a:graphicData>
            </a:graphic>
          </wp:anchor>
        </w:drawing>
      </w:r>
    </w:p>
    <w:p>
      <w:pPr>
        <w:spacing w:after="0" w:line="151" w:lineRule="exact"/>
        <w:rPr>
          <w:sz w:val="20"/>
          <w:szCs w:val="20"/>
          <w:color w:val="auto"/>
        </w:rPr>
      </w:pPr>
    </w:p>
    <w:p>
      <w:pPr>
        <w:ind w:left="4" w:right="20"/>
        <w:spacing w:after="0" w:line="263" w:lineRule="auto"/>
        <w:rPr>
          <w:sz w:val="20"/>
          <w:szCs w:val="20"/>
          <w:color w:val="auto"/>
        </w:rPr>
      </w:pPr>
      <w:r>
        <w:rPr>
          <w:rFonts w:ascii="Arial" w:cs="Arial" w:eastAsia="Arial" w:hAnsi="Arial"/>
          <w:sz w:val="16"/>
          <w:szCs w:val="16"/>
          <w:b w:val="1"/>
          <w:bCs w:val="1"/>
          <w:color w:val="auto"/>
        </w:rPr>
        <w:t>We are achieving efficiencies across all our businesses, transforming the way we provide our products and services to customers and creating value for our shareowners, customers, and other stakeholders.</w:t>
      </w:r>
    </w:p>
    <w:p>
      <w:pPr>
        <w:spacing w:after="0" w:line="138" w:lineRule="exact"/>
        <w:rPr>
          <w:sz w:val="20"/>
          <w:szCs w:val="20"/>
          <w:color w:val="auto"/>
        </w:rPr>
      </w:pPr>
    </w:p>
    <w:p>
      <w:pPr>
        <w:ind w:left="244" w:hanging="244"/>
        <w:spacing w:after="0"/>
        <w:tabs>
          <w:tab w:leader="none" w:pos="244" w:val="left"/>
        </w:tabs>
        <w:numPr>
          <w:ilvl w:val="0"/>
          <w:numId w:val="20"/>
        </w:numPr>
        <w:rPr>
          <w:rFonts w:ascii="Arial" w:cs="Arial" w:eastAsia="Arial" w:hAnsi="Arial"/>
          <w:sz w:val="16"/>
          <w:szCs w:val="16"/>
          <w:color w:val="CE0F2D"/>
        </w:rPr>
      </w:pPr>
      <w:r>
        <w:rPr>
          <w:rFonts w:ascii="Arial" w:cs="Arial" w:eastAsia="Arial" w:hAnsi="Arial"/>
          <w:sz w:val="16"/>
          <w:szCs w:val="16"/>
          <w:color w:val="auto"/>
        </w:rPr>
        <w:t>Began implementation of our new CORE operating system</w:t>
      </w:r>
    </w:p>
    <w:p>
      <w:pPr>
        <w:spacing w:after="0" w:line="83" w:lineRule="exact"/>
        <w:rPr>
          <w:rFonts w:ascii="Arial" w:cs="Arial" w:eastAsia="Arial" w:hAnsi="Arial"/>
          <w:sz w:val="16"/>
          <w:szCs w:val="16"/>
          <w:color w:val="CE0F2D"/>
        </w:rPr>
      </w:pPr>
    </w:p>
    <w:p>
      <w:pPr>
        <w:ind w:left="244" w:hanging="244"/>
        <w:spacing w:after="0"/>
        <w:tabs>
          <w:tab w:leader="none" w:pos="244" w:val="left"/>
        </w:tabs>
        <w:numPr>
          <w:ilvl w:val="0"/>
          <w:numId w:val="20"/>
        </w:numPr>
        <w:rPr>
          <w:rFonts w:ascii="Arial" w:cs="Arial" w:eastAsia="Arial" w:hAnsi="Arial"/>
          <w:sz w:val="16"/>
          <w:szCs w:val="16"/>
          <w:color w:val="CE0F2D"/>
        </w:rPr>
      </w:pPr>
      <w:r>
        <w:rPr>
          <w:rFonts w:ascii="Arial" w:cs="Arial" w:eastAsia="Arial" w:hAnsi="Arial"/>
          <w:sz w:val="16"/>
          <w:szCs w:val="16"/>
          <w:color w:val="auto"/>
        </w:rPr>
        <w:t>Made significant investments in digital technologies across the enterprise</w:t>
      </w:r>
    </w:p>
    <w:p>
      <w:pPr>
        <w:spacing w:after="0" w:line="83" w:lineRule="exact"/>
        <w:rPr>
          <w:rFonts w:ascii="Arial" w:cs="Arial" w:eastAsia="Arial" w:hAnsi="Arial"/>
          <w:sz w:val="16"/>
          <w:szCs w:val="16"/>
          <w:color w:val="CE0F2D"/>
        </w:rPr>
      </w:pPr>
    </w:p>
    <w:p>
      <w:pPr>
        <w:ind w:left="244" w:hanging="244"/>
        <w:spacing w:after="0"/>
        <w:tabs>
          <w:tab w:leader="none" w:pos="244" w:val="left"/>
        </w:tabs>
        <w:numPr>
          <w:ilvl w:val="0"/>
          <w:numId w:val="20"/>
        </w:numPr>
        <w:rPr>
          <w:rFonts w:ascii="Arial" w:cs="Arial" w:eastAsia="Arial" w:hAnsi="Arial"/>
          <w:sz w:val="16"/>
          <w:szCs w:val="16"/>
          <w:color w:val="CE0F2D"/>
        </w:rPr>
      </w:pPr>
      <w:r>
        <w:rPr>
          <w:rFonts w:ascii="Arial" w:cs="Arial" w:eastAsia="Arial" w:hAnsi="Arial"/>
          <w:sz w:val="16"/>
          <w:szCs w:val="16"/>
          <w:color w:val="auto"/>
        </w:rPr>
        <w:t>Executed on our structural cost reduction initiatives</w:t>
      </w:r>
    </w:p>
    <w:p>
      <w:pPr>
        <w:spacing w:after="0" w:line="509" w:lineRule="exact"/>
        <w:rPr>
          <w:sz w:val="20"/>
          <w:szCs w:val="20"/>
          <w:color w:val="auto"/>
        </w:rPr>
      </w:pPr>
    </w:p>
    <w:p>
      <w:pPr>
        <w:sectPr>
          <w:pgSz w:w="11900" w:h="16838" w:orient="portrait"/>
          <w:cols w:equalWidth="0" w:num="2">
            <w:col w:w="5460" w:space="276"/>
            <w:col w:w="5504"/>
          </w:cols>
          <w:pgMar w:left="320" w:top="118" w:right="339" w:bottom="1440" w:gutter="0" w:footer="0" w:header="0"/>
          <w:type w:val="continuous"/>
        </w:sectPr>
      </w:pPr>
    </w:p>
    <w:p>
      <w:pPr>
        <w:ind w:right="2460"/>
        <w:spacing w:after="0" w:line="254" w:lineRule="auto"/>
        <w:rPr>
          <w:sz w:val="20"/>
          <w:szCs w:val="20"/>
          <w:color w:val="auto"/>
        </w:rPr>
      </w:pPr>
      <w:r>
        <w:rPr>
          <w:rFonts w:ascii="Arial" w:cs="Arial" w:eastAsia="Arial" w:hAnsi="Arial"/>
          <w:sz w:val="20"/>
          <w:szCs w:val="20"/>
          <w:b w:val="1"/>
          <w:bCs w:val="1"/>
          <w:color w:val="auto"/>
        </w:rPr>
        <w:t>Making strategic investments in technology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-19050</wp:posOffset>
            </wp:positionV>
            <wp:extent cx="349440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94405" cy="25400"/>
                    </a:xfrm>
                    <a:prstGeom prst="rect">
                      <a:avLst/>
                    </a:prstGeom>
                    <a:noFill/>
                  </pic:spPr>
                </pic:pic>
              </a:graphicData>
            </a:graphic>
          </wp:anchor>
        </w:drawing>
      </w:r>
    </w:p>
    <w:p>
      <w:pPr>
        <w:spacing w:after="0" w:line="132" w:lineRule="exact"/>
        <w:rPr>
          <w:sz w:val="20"/>
          <w:szCs w:val="20"/>
          <w:color w:val="auto"/>
        </w:rPr>
      </w:pPr>
    </w:p>
    <w:p>
      <w:pPr>
        <w:jc w:val="both"/>
        <w:ind w:right="420"/>
        <w:spacing w:after="0" w:line="263" w:lineRule="auto"/>
        <w:rPr>
          <w:sz w:val="20"/>
          <w:szCs w:val="20"/>
          <w:color w:val="auto"/>
        </w:rPr>
      </w:pPr>
      <w:r>
        <w:rPr>
          <w:rFonts w:ascii="Arial" w:cs="Arial" w:eastAsia="Arial" w:hAnsi="Arial"/>
          <w:sz w:val="16"/>
          <w:szCs w:val="16"/>
          <w:b w:val="1"/>
          <w:bCs w:val="1"/>
          <w:color w:val="auto"/>
        </w:rPr>
        <w:t>We are identifying technology and revenue synergy opportunities across our businesses to solve our customers’ most challenging problems and drive long-term growth.</w:t>
      </w:r>
    </w:p>
    <w:p>
      <w:pPr>
        <w:spacing w:after="0" w:line="138" w:lineRule="exact"/>
        <w:rPr>
          <w:sz w:val="20"/>
          <w:szCs w:val="20"/>
          <w:color w:val="auto"/>
        </w:rPr>
      </w:pPr>
    </w:p>
    <w:p>
      <w:pPr>
        <w:ind w:left="240" w:right="240" w:hanging="233"/>
        <w:spacing w:after="0" w:line="256" w:lineRule="auto"/>
        <w:tabs>
          <w:tab w:leader="none" w:pos="240" w:val="left"/>
        </w:tabs>
        <w:numPr>
          <w:ilvl w:val="0"/>
          <w:numId w:val="21"/>
        </w:numPr>
        <w:rPr>
          <w:rFonts w:ascii="Arial" w:cs="Arial" w:eastAsia="Arial" w:hAnsi="Arial"/>
          <w:sz w:val="16"/>
          <w:szCs w:val="16"/>
          <w:color w:val="CE0F2D"/>
        </w:rPr>
      </w:pPr>
      <w:r>
        <w:rPr>
          <w:rFonts w:ascii="Arial" w:cs="Arial" w:eastAsia="Arial" w:hAnsi="Arial"/>
          <w:sz w:val="16"/>
          <w:szCs w:val="16"/>
          <w:color w:val="auto"/>
        </w:rPr>
        <w:t>Invested nearly $9.4 billion in capital expenditures and Company- and customer-funded research and development during 2021</w:t>
      </w:r>
    </w:p>
    <w:p>
      <w:pPr>
        <w:spacing w:after="0" w:line="62" w:lineRule="exact"/>
        <w:rPr>
          <w:rFonts w:ascii="Arial" w:cs="Arial" w:eastAsia="Arial" w:hAnsi="Arial"/>
          <w:sz w:val="16"/>
          <w:szCs w:val="16"/>
          <w:color w:val="CE0F2D"/>
        </w:rPr>
      </w:pPr>
    </w:p>
    <w:p>
      <w:pPr>
        <w:ind w:left="240" w:hanging="233"/>
        <w:spacing w:after="0" w:line="256" w:lineRule="auto"/>
        <w:tabs>
          <w:tab w:leader="none" w:pos="240" w:val="left"/>
        </w:tabs>
        <w:numPr>
          <w:ilvl w:val="0"/>
          <w:numId w:val="21"/>
        </w:numPr>
        <w:rPr>
          <w:rFonts w:ascii="Arial" w:cs="Arial" w:eastAsia="Arial" w:hAnsi="Arial"/>
          <w:sz w:val="16"/>
          <w:szCs w:val="16"/>
          <w:color w:val="CE0F2D"/>
        </w:rPr>
      </w:pPr>
      <w:r>
        <w:rPr>
          <w:rFonts w:ascii="Arial" w:cs="Arial" w:eastAsia="Arial" w:hAnsi="Arial"/>
          <w:sz w:val="16"/>
          <w:szCs w:val="16"/>
          <w:color w:val="auto"/>
        </w:rPr>
        <w:t>Achieved the successful first flight test of a scramjet-powered Hypersonic Air-breathing Weapon Concept (HAWC)</w:t>
      </w:r>
    </w:p>
    <w:p>
      <w:pPr>
        <w:spacing w:after="0" w:line="62" w:lineRule="exact"/>
        <w:rPr>
          <w:rFonts w:ascii="Arial" w:cs="Arial" w:eastAsia="Arial" w:hAnsi="Arial"/>
          <w:sz w:val="16"/>
          <w:szCs w:val="16"/>
          <w:color w:val="CE0F2D"/>
        </w:rPr>
      </w:pPr>
    </w:p>
    <w:p>
      <w:pPr>
        <w:ind w:left="240" w:right="220" w:hanging="233"/>
        <w:spacing w:after="0" w:line="250" w:lineRule="auto"/>
        <w:tabs>
          <w:tab w:leader="none" w:pos="240" w:val="left"/>
        </w:tabs>
        <w:numPr>
          <w:ilvl w:val="0"/>
          <w:numId w:val="21"/>
        </w:numPr>
        <w:rPr>
          <w:rFonts w:ascii="Arial" w:cs="Arial" w:eastAsia="Arial" w:hAnsi="Arial"/>
          <w:sz w:val="16"/>
          <w:szCs w:val="16"/>
          <w:color w:val="CE0F2D"/>
        </w:rPr>
      </w:pPr>
      <w:r>
        <w:rPr>
          <w:rFonts w:ascii="Arial" w:cs="Arial" w:eastAsia="Arial" w:hAnsi="Arial"/>
          <w:sz w:val="16"/>
          <w:szCs w:val="16"/>
          <w:color w:val="auto"/>
        </w:rPr>
        <w:t>Launched a strategic partnership with IBM to collaborate on advanced artificial intelligence, cryptographic and quantum solutions for the aerospace, defense and intelligence industries</w:t>
      </w:r>
    </w:p>
    <w:p>
      <w:pPr>
        <w:spacing w:after="0" w:line="67" w:lineRule="exact"/>
        <w:rPr>
          <w:rFonts w:ascii="Arial" w:cs="Arial" w:eastAsia="Arial" w:hAnsi="Arial"/>
          <w:sz w:val="16"/>
          <w:szCs w:val="16"/>
          <w:color w:val="CE0F2D"/>
        </w:rPr>
      </w:pPr>
    </w:p>
    <w:p>
      <w:pPr>
        <w:ind w:left="240" w:right="80" w:hanging="233"/>
        <w:spacing w:after="0" w:line="227" w:lineRule="auto"/>
        <w:tabs>
          <w:tab w:leader="none" w:pos="240" w:val="left"/>
        </w:tabs>
        <w:numPr>
          <w:ilvl w:val="0"/>
          <w:numId w:val="21"/>
        </w:numPr>
        <w:rPr>
          <w:rFonts w:ascii="Arial" w:cs="Arial" w:eastAsia="Arial" w:hAnsi="Arial"/>
          <w:sz w:val="16"/>
          <w:szCs w:val="16"/>
          <w:color w:val="CE0F2D"/>
        </w:rPr>
      </w:pPr>
      <w:r>
        <w:rPr>
          <w:rFonts w:ascii="Arial" w:cs="Arial" w:eastAsia="Arial" w:hAnsi="Arial"/>
          <w:sz w:val="16"/>
          <w:szCs w:val="16"/>
          <w:color w:val="auto"/>
        </w:rPr>
        <w:t>Introduced the Pratt &amp; Whitney Geared TurboFan (“GTF”) Advantage engine, which reduces fuel burn and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by 17%, compared to prior generations of engines, extending the GTF’s lead as the most efficient engine for the Airbus A320neo family. The engine will also be compatible with 100% sustainable aviation fuels, supporting the aviation industry’s goal to significantly reduce emissions in the coming decades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Actively managing our business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7620</wp:posOffset>
            </wp:positionV>
            <wp:extent cx="349440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94405" cy="25400"/>
                    </a:xfrm>
                    <a:prstGeom prst="rect">
                      <a:avLst/>
                    </a:prstGeom>
                    <a:noFill/>
                  </pic:spPr>
                </pic:pic>
              </a:graphicData>
            </a:graphic>
          </wp:anchor>
        </w:drawing>
      </w:r>
    </w:p>
    <w:p>
      <w:pPr>
        <w:spacing w:after="0" w:line="175" w:lineRule="exact"/>
        <w:rPr>
          <w:sz w:val="20"/>
          <w:szCs w:val="20"/>
          <w:color w:val="auto"/>
        </w:rPr>
      </w:pPr>
    </w:p>
    <w:p>
      <w:pPr>
        <w:jc w:val="both"/>
        <w:ind w:left="4" w:right="40"/>
        <w:spacing w:after="0" w:line="263" w:lineRule="auto"/>
        <w:rPr>
          <w:sz w:val="20"/>
          <w:szCs w:val="20"/>
          <w:color w:val="auto"/>
        </w:rPr>
      </w:pPr>
      <w:r>
        <w:rPr>
          <w:rFonts w:ascii="Arial" w:cs="Arial" w:eastAsia="Arial" w:hAnsi="Arial"/>
          <w:sz w:val="16"/>
          <w:szCs w:val="16"/>
          <w:b w:val="1"/>
          <w:bCs w:val="1"/>
          <w:color w:val="auto"/>
        </w:rPr>
        <w:t>We are adding strategic capabilities and divesting non-core businesses to ensure our portfolio is balanced with strong businesses and market leading franchises.</w:t>
      </w:r>
    </w:p>
    <w:p>
      <w:pPr>
        <w:spacing w:after="0" w:line="138" w:lineRule="exact"/>
        <w:rPr>
          <w:sz w:val="20"/>
          <w:szCs w:val="20"/>
          <w:color w:val="auto"/>
        </w:rPr>
      </w:pPr>
    </w:p>
    <w:p>
      <w:pPr>
        <w:ind w:left="304" w:right="200" w:hanging="304"/>
        <w:spacing w:after="0" w:line="250" w:lineRule="auto"/>
        <w:tabs>
          <w:tab w:leader="none" w:pos="304" w:val="left"/>
        </w:tabs>
        <w:numPr>
          <w:ilvl w:val="0"/>
          <w:numId w:val="22"/>
        </w:numPr>
        <w:rPr>
          <w:rFonts w:ascii="Arial" w:cs="Arial" w:eastAsia="Arial" w:hAnsi="Arial"/>
          <w:sz w:val="16"/>
          <w:szCs w:val="16"/>
          <w:color w:val="CE0F2D"/>
        </w:rPr>
      </w:pPr>
      <w:r>
        <w:rPr>
          <w:rFonts w:ascii="Arial" w:cs="Arial" w:eastAsia="Arial" w:hAnsi="Arial"/>
          <w:sz w:val="16"/>
          <w:szCs w:val="16"/>
          <w:color w:val="auto"/>
        </w:rPr>
        <w:t>Acquired FlightAware, to accelerate Collins Aerospace’s Connected Ecosystem strategy to transform the aftermarket with more connected, data-driven solutions</w:t>
      </w:r>
    </w:p>
    <w:p>
      <w:pPr>
        <w:spacing w:after="0" w:line="67" w:lineRule="exact"/>
        <w:rPr>
          <w:rFonts w:ascii="Arial" w:cs="Arial" w:eastAsia="Arial" w:hAnsi="Arial"/>
          <w:sz w:val="16"/>
          <w:szCs w:val="16"/>
          <w:color w:val="CE0F2D"/>
        </w:rPr>
      </w:pPr>
    </w:p>
    <w:p>
      <w:pPr>
        <w:ind w:left="304" w:right="20" w:hanging="304"/>
        <w:spacing w:after="0" w:line="256" w:lineRule="auto"/>
        <w:tabs>
          <w:tab w:leader="none" w:pos="304" w:val="left"/>
        </w:tabs>
        <w:numPr>
          <w:ilvl w:val="0"/>
          <w:numId w:val="22"/>
        </w:numPr>
        <w:rPr>
          <w:rFonts w:ascii="Arial" w:cs="Arial" w:eastAsia="Arial" w:hAnsi="Arial"/>
          <w:sz w:val="16"/>
          <w:szCs w:val="16"/>
          <w:color w:val="CE0F2D"/>
        </w:rPr>
      </w:pPr>
      <w:r>
        <w:rPr>
          <w:rFonts w:ascii="Arial" w:cs="Arial" w:eastAsia="Arial" w:hAnsi="Arial"/>
          <w:sz w:val="16"/>
          <w:szCs w:val="16"/>
          <w:color w:val="auto"/>
        </w:rPr>
        <w:t>Acquired SEAKR Engineering to strengthen the space-based capabilities of Raytheon Intelligence &amp; Space (“RI&amp;S”)</w:t>
      </w:r>
    </w:p>
    <w:p>
      <w:pPr>
        <w:spacing w:after="0" w:line="62" w:lineRule="exact"/>
        <w:rPr>
          <w:rFonts w:ascii="Arial" w:cs="Arial" w:eastAsia="Arial" w:hAnsi="Arial"/>
          <w:sz w:val="16"/>
          <w:szCs w:val="16"/>
          <w:color w:val="CE0F2D"/>
        </w:rPr>
      </w:pPr>
    </w:p>
    <w:p>
      <w:pPr>
        <w:ind w:left="304" w:hanging="304"/>
        <w:spacing w:after="0"/>
        <w:tabs>
          <w:tab w:leader="none" w:pos="304" w:val="left"/>
        </w:tabs>
        <w:numPr>
          <w:ilvl w:val="0"/>
          <w:numId w:val="22"/>
        </w:numPr>
        <w:rPr>
          <w:rFonts w:ascii="Arial" w:cs="Arial" w:eastAsia="Arial" w:hAnsi="Arial"/>
          <w:sz w:val="16"/>
          <w:szCs w:val="16"/>
          <w:color w:val="CE0F2D"/>
        </w:rPr>
      </w:pPr>
      <w:r>
        <w:rPr>
          <w:rFonts w:ascii="Arial" w:cs="Arial" w:eastAsia="Arial" w:hAnsi="Arial"/>
          <w:sz w:val="16"/>
          <w:szCs w:val="16"/>
          <w:color w:val="auto"/>
        </w:rPr>
        <w:t>Divested RI&amp;S’ Global Training &amp; Services business</w:t>
      </w:r>
    </w:p>
    <w:p>
      <w:pPr>
        <w:spacing w:after="0" w:line="83" w:lineRule="exact"/>
        <w:rPr>
          <w:rFonts w:ascii="Arial" w:cs="Arial" w:eastAsia="Arial" w:hAnsi="Arial"/>
          <w:sz w:val="16"/>
          <w:szCs w:val="16"/>
          <w:color w:val="CE0F2D"/>
        </w:rPr>
      </w:pPr>
    </w:p>
    <w:p>
      <w:pPr>
        <w:ind w:left="304" w:right="140" w:hanging="304"/>
        <w:spacing w:after="0" w:line="250" w:lineRule="auto"/>
        <w:tabs>
          <w:tab w:leader="none" w:pos="304" w:val="left"/>
        </w:tabs>
        <w:numPr>
          <w:ilvl w:val="0"/>
          <w:numId w:val="22"/>
        </w:numPr>
        <w:rPr>
          <w:rFonts w:ascii="Arial" w:cs="Arial" w:eastAsia="Arial" w:hAnsi="Arial"/>
          <w:sz w:val="16"/>
          <w:szCs w:val="16"/>
          <w:color w:val="CE0F2D"/>
        </w:rPr>
      </w:pPr>
      <w:r>
        <w:rPr>
          <w:rFonts w:ascii="Arial" w:cs="Arial" w:eastAsia="Arial" w:hAnsi="Arial"/>
          <w:sz w:val="16"/>
          <w:szCs w:val="16"/>
          <w:color w:val="auto"/>
        </w:rPr>
        <w:t>Acquired Dutch Thermoplastic Components, which will enhance Collins Aerospace’s ability to provide customers lighter, more cost-efficient, sustainable aircraft structures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04" w:right="220" w:hanging="304"/>
        <w:spacing w:after="0" w:line="252" w:lineRule="auto"/>
        <w:tabs>
          <w:tab w:leader="none" w:pos="304" w:val="left"/>
        </w:tabs>
        <w:numPr>
          <w:ilvl w:val="0"/>
          <w:numId w:val="23"/>
        </w:numPr>
        <w:rPr>
          <w:rFonts w:ascii="Arial" w:cs="Arial" w:eastAsia="Arial" w:hAnsi="Arial"/>
          <w:sz w:val="12"/>
          <w:szCs w:val="12"/>
          <w:color w:val="auto"/>
        </w:rPr>
      </w:pPr>
      <w:r>
        <w:rPr>
          <w:rFonts w:ascii="Arial" w:cs="Arial" w:eastAsia="Arial" w:hAnsi="Arial"/>
          <w:sz w:val="12"/>
          <w:szCs w:val="12"/>
          <w:color w:val="auto"/>
        </w:rPr>
        <w:t>Core A&amp;D Peers include: Airbus, Boeing, General Electric, General Dynamics, Honeywell, L3Harris, Lockheed Martin, Northrop Grumman and Safran.</w:t>
      </w:r>
    </w:p>
    <w:p>
      <w:pPr>
        <w:spacing w:after="0" w:line="138" w:lineRule="exact"/>
        <w:rPr>
          <w:rFonts w:ascii="Arial" w:cs="Arial" w:eastAsia="Arial" w:hAnsi="Arial"/>
          <w:sz w:val="12"/>
          <w:szCs w:val="12"/>
          <w:color w:val="auto"/>
        </w:rPr>
      </w:pPr>
    </w:p>
    <w:p>
      <w:pPr>
        <w:ind w:left="304" w:right="120" w:hanging="304"/>
        <w:spacing w:after="0" w:line="252" w:lineRule="auto"/>
        <w:tabs>
          <w:tab w:leader="none" w:pos="304"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 the second quarter of 2021, we increased our quarterly dividend from $0.475 per share to $0.51 per share.</w:t>
      </w:r>
    </w:p>
    <w:p>
      <w:pPr>
        <w:spacing w:after="0" w:line="133"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71120</wp:posOffset>
            </wp:positionV>
            <wp:extent cx="715454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440" w:space="296"/>
            <w:col w:w="5504"/>
          </w:cols>
          <w:pgMar w:left="320" w:top="118" w:right="3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EXECUTIVE COMPENSATION OVERVIEW</w:t>
      </w:r>
    </w:p>
    <w:p>
      <w:pPr>
        <w:spacing w:after="0" w:line="19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Executive Compensation Overview</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WE ALIGN PAY WITH PERFORMANCE</w:t>
      </w:r>
    </w:p>
    <w:p>
      <w:pPr>
        <w:spacing w:after="0" w:line="195"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b w:val="1"/>
          <w:bCs w:val="1"/>
          <w:color w:val="CE0F2D"/>
        </w:rPr>
        <w:t>Our executive compensation program is structured to advance our fundamental objective: aligning our executives’ compensation with the long-term interests of our shareowners.</w:t>
      </w:r>
    </w:p>
    <w:p>
      <w:pPr>
        <w:spacing w:after="0" w:line="12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Since the Merger, our Human Capital &amp; Compensation Committee (the “Committee”) has undertaken an extensive review of our legacy companies’ programs. In its ongoing efforts to fully integrate our programs, the Committee’s primary goal has been to design a program that rewards financial and operating performance, effective strategic leadership, and advances our commitment to corporate social responsibility—all key elements in building sustainable shareowner value. This pay-for-performance philosophy is embedded into our Guiding Principles (see page 43) that underpin how the Committee has approached the program design integration since the Merger.</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our executive compensation program align pay with performance?</w:t>
      </w:r>
    </w:p>
    <w:p>
      <w:pPr>
        <w:spacing w:after="0" w:line="184" w:lineRule="exact"/>
        <w:rPr>
          <w:sz w:val="20"/>
          <w:szCs w:val="20"/>
          <w:color w:val="auto"/>
        </w:rPr>
      </w:pPr>
    </w:p>
    <w:p>
      <w:pPr>
        <w:ind w:left="240" w:right="260" w:hanging="233"/>
        <w:spacing w:after="0" w:line="256" w:lineRule="auto"/>
        <w:tabs>
          <w:tab w:leader="none" w:pos="240" w:val="left"/>
        </w:tabs>
        <w:numPr>
          <w:ilvl w:val="0"/>
          <w:numId w:val="24"/>
        </w:numPr>
        <w:rPr>
          <w:rFonts w:ascii="Arial" w:cs="Arial" w:eastAsia="Arial" w:hAnsi="Arial"/>
          <w:sz w:val="16"/>
          <w:szCs w:val="16"/>
          <w:color w:val="CE0F2D"/>
        </w:rPr>
      </w:pPr>
      <w:r>
        <w:rPr>
          <w:rFonts w:ascii="Arial" w:cs="Arial" w:eastAsia="Arial" w:hAnsi="Arial"/>
          <w:sz w:val="16"/>
          <w:szCs w:val="16"/>
          <w:color w:val="auto"/>
        </w:rPr>
        <w:t>We use performance metrics and objectives that recognize and reward performance contributions that drive strategy into action, maximize performance and deliver results.</w:t>
      </w:r>
    </w:p>
    <w:p>
      <w:pPr>
        <w:spacing w:after="0" w:line="62" w:lineRule="exact"/>
        <w:rPr>
          <w:rFonts w:ascii="Arial" w:cs="Arial" w:eastAsia="Arial" w:hAnsi="Arial"/>
          <w:sz w:val="16"/>
          <w:szCs w:val="16"/>
          <w:color w:val="CE0F2D"/>
        </w:rPr>
      </w:pPr>
    </w:p>
    <w:p>
      <w:pPr>
        <w:ind w:left="240" w:right="20" w:hanging="233"/>
        <w:spacing w:after="0" w:line="256" w:lineRule="auto"/>
        <w:tabs>
          <w:tab w:leader="none" w:pos="240" w:val="left"/>
        </w:tabs>
        <w:numPr>
          <w:ilvl w:val="0"/>
          <w:numId w:val="24"/>
        </w:numPr>
        <w:rPr>
          <w:rFonts w:ascii="Arial" w:cs="Arial" w:eastAsia="Arial" w:hAnsi="Arial"/>
          <w:sz w:val="16"/>
          <w:szCs w:val="16"/>
          <w:color w:val="CE0F2D"/>
        </w:rPr>
      </w:pPr>
      <w:r>
        <w:rPr>
          <w:rFonts w:ascii="Arial" w:cs="Arial" w:eastAsia="Arial" w:hAnsi="Arial"/>
          <w:sz w:val="16"/>
          <w:szCs w:val="16"/>
          <w:color w:val="auto"/>
        </w:rPr>
        <w:t>The largest portion of compensation for our Named Executive Officers (“NEOs”) is “at-risk” compensation—annual and long-term incentive awards that are contingent on Company performance in our key metrics and objectives, in addition to our stock price performance.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2021 Pay Decisions</w:t>
      </w:r>
    </w:p>
    <w:p>
      <w:pPr>
        <w:spacing w:after="0" w:line="181"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In making annual pay decisions, the Committee employs a measure called “total direct compensation,” which includes our three principal elements of executive compensation: base salary, annual incentives and long-term incentives (“LTI”). See pages 47-53 for details.</w:t>
      </w:r>
    </w:p>
    <w:p>
      <w:pPr>
        <w:spacing w:after="0" w:line="14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Total direct compensation reflects how an executive’s pay relates to the Committee’s assessment of Company, business unit and individual performance for the year. For this reason, 2021 total direct compensation includes the LTI grant values approved by the Committee in February 2022 (which were based on its assessment of 2021 performance) rather than the February 2021 LTI award grant date fair values shown in the Summary Compensation Table on page 66 (which were based on the Committee’s assessment of 2020 performance and the accounting value at the time of grant). For more details on total direct compensation, see page 55.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below table shows the total direct compensation for our NEOs who were employed by the Company through the end of the year.</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PAY DECISIONS AND PAY MIX</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600" w:type="dxa"/>
            <w:vAlign w:val="bottom"/>
          </w:tcPr>
          <w:p>
            <w:pPr>
              <w:jc w:val="right"/>
              <w:ind w:right="3"/>
              <w:spacing w:after="0"/>
              <w:rPr>
                <w:sz w:val="20"/>
                <w:szCs w:val="20"/>
                <w:color w:val="auto"/>
              </w:rPr>
            </w:pPr>
            <w:r>
              <w:rPr>
                <w:rFonts w:ascii="Arial" w:cs="Arial" w:eastAsia="Arial" w:hAnsi="Arial"/>
                <w:sz w:val="14"/>
                <w:szCs w:val="14"/>
                <w:color w:val="404040"/>
              </w:rPr>
              <w:t>Base Salary</w:t>
            </w:r>
          </w:p>
        </w:tc>
        <w:tc>
          <w:tcPr>
            <w:tcW w:w="1380" w:type="dxa"/>
            <w:vAlign w:val="bottom"/>
          </w:tcPr>
          <w:p>
            <w:pPr>
              <w:jc w:val="right"/>
              <w:ind w:right="162"/>
              <w:spacing w:after="0"/>
              <w:rPr>
                <w:sz w:val="20"/>
                <w:szCs w:val="20"/>
                <w:color w:val="auto"/>
              </w:rPr>
            </w:pPr>
            <w:r>
              <w:rPr>
                <w:rFonts w:ascii="Arial" w:cs="Arial" w:eastAsia="Arial" w:hAnsi="Arial"/>
                <w:sz w:val="14"/>
                <w:szCs w:val="14"/>
                <w:color w:val="404040"/>
              </w:rPr>
              <w:t>Annual Incentive</w:t>
            </w:r>
          </w:p>
        </w:tc>
        <w:tc>
          <w:tcPr>
            <w:tcW w:w="1080" w:type="dxa"/>
            <w:vAlign w:val="bottom"/>
          </w:tcPr>
          <w:p>
            <w:pPr>
              <w:jc w:val="right"/>
              <w:ind w:right="163"/>
              <w:spacing w:after="0"/>
              <w:rPr>
                <w:sz w:val="20"/>
                <w:szCs w:val="20"/>
                <w:color w:val="auto"/>
              </w:rPr>
            </w:pPr>
            <w:r>
              <w:rPr>
                <w:rFonts w:ascii="Arial" w:cs="Arial" w:eastAsia="Arial" w:hAnsi="Arial"/>
                <w:sz w:val="14"/>
                <w:szCs w:val="14"/>
                <w:color w:val="404040"/>
              </w:rPr>
              <w:t>LTI</w:t>
            </w:r>
          </w:p>
        </w:tc>
        <w:tc>
          <w:tcPr>
            <w:tcW w:w="840" w:type="dxa"/>
            <w:vAlign w:val="bottom"/>
          </w:tcPr>
          <w:p>
            <w:pPr>
              <w:jc w:val="right"/>
              <w:spacing w:after="0"/>
              <w:rPr>
                <w:sz w:val="20"/>
                <w:szCs w:val="20"/>
                <w:color w:val="auto"/>
              </w:rPr>
            </w:pPr>
            <w:r>
              <w:rPr>
                <w:rFonts w:ascii="Arial" w:cs="Arial" w:eastAsia="Arial" w:hAnsi="Arial"/>
                <w:sz w:val="14"/>
                <w:szCs w:val="14"/>
                <w:color w:val="404040"/>
              </w:rPr>
              <w:t>Total</w:t>
            </w:r>
          </w:p>
        </w:tc>
      </w:tr>
      <w:tr>
        <w:trPr>
          <w:trHeight w:val="194"/>
        </w:trPr>
        <w:tc>
          <w:tcPr>
            <w:tcW w:w="4340" w:type="dxa"/>
            <w:vAlign w:val="bottom"/>
            <w:tcBorders>
              <w:bottom w:val="single" w:sz="8" w:color="CE0F2D"/>
            </w:tcBorders>
          </w:tcPr>
          <w:p>
            <w:pPr>
              <w:spacing w:after="0"/>
              <w:rPr>
                <w:sz w:val="16"/>
                <w:szCs w:val="16"/>
                <w:color w:val="auto"/>
              </w:rPr>
            </w:pPr>
          </w:p>
        </w:tc>
        <w:tc>
          <w:tcPr>
            <w:tcW w:w="3600" w:type="dxa"/>
            <w:vAlign w:val="bottom"/>
            <w:tcBorders>
              <w:bottom w:val="single" w:sz="8" w:color="CE0F2D"/>
            </w:tcBorders>
          </w:tcPr>
          <w:p>
            <w:pPr>
              <w:jc w:val="right"/>
              <w:ind w:right="3"/>
              <w:spacing w:after="0" w:line="188" w:lineRule="exact"/>
              <w:rPr>
                <w:sz w:val="20"/>
                <w:szCs w:val="20"/>
                <w:color w:val="auto"/>
              </w:rPr>
            </w:pPr>
            <w:r>
              <w:rPr>
                <w:rFonts w:ascii="Arial" w:cs="Arial" w:eastAsia="Arial" w:hAnsi="Arial"/>
                <w:sz w:val="13"/>
                <w:szCs w:val="13"/>
                <w:color w:val="404040"/>
              </w:rPr>
              <w:t>($K)</w:t>
            </w:r>
            <w:r>
              <w:rPr>
                <w:rFonts w:ascii="Arial" w:cs="Arial" w:eastAsia="Arial" w:hAnsi="Arial"/>
                <w:sz w:val="21"/>
                <w:szCs w:val="21"/>
                <w:color w:val="404040"/>
                <w:vertAlign w:val="superscript"/>
              </w:rPr>
              <w:t>(1)</w:t>
            </w:r>
          </w:p>
        </w:tc>
        <w:tc>
          <w:tcPr>
            <w:tcW w:w="1380" w:type="dxa"/>
            <w:vAlign w:val="bottom"/>
            <w:tcBorders>
              <w:bottom w:val="single" w:sz="8" w:color="CE0F2D"/>
            </w:tcBorders>
          </w:tcPr>
          <w:p>
            <w:pPr>
              <w:jc w:val="right"/>
              <w:ind w:right="162"/>
              <w:spacing w:after="0"/>
              <w:rPr>
                <w:sz w:val="20"/>
                <w:szCs w:val="20"/>
                <w:color w:val="auto"/>
              </w:rPr>
            </w:pPr>
            <w:r>
              <w:rPr>
                <w:rFonts w:ascii="Arial" w:cs="Arial" w:eastAsia="Arial" w:hAnsi="Arial"/>
                <w:sz w:val="14"/>
                <w:szCs w:val="14"/>
                <w:color w:val="404040"/>
              </w:rPr>
              <w:t>($K)</w:t>
            </w:r>
          </w:p>
        </w:tc>
        <w:tc>
          <w:tcPr>
            <w:tcW w:w="1080" w:type="dxa"/>
            <w:vAlign w:val="bottom"/>
            <w:tcBorders>
              <w:bottom w:val="single" w:sz="8" w:color="CE0F2D"/>
            </w:tcBorders>
          </w:tcPr>
          <w:p>
            <w:pPr>
              <w:jc w:val="right"/>
              <w:ind w:right="163"/>
              <w:spacing w:after="0" w:line="188" w:lineRule="exact"/>
              <w:rPr>
                <w:sz w:val="20"/>
                <w:szCs w:val="20"/>
                <w:color w:val="auto"/>
              </w:rPr>
            </w:pPr>
            <w:r>
              <w:rPr>
                <w:rFonts w:ascii="Arial" w:cs="Arial" w:eastAsia="Arial" w:hAnsi="Arial"/>
                <w:sz w:val="13"/>
                <w:szCs w:val="13"/>
                <w:color w:val="404040"/>
              </w:rPr>
              <w:t>($K)</w:t>
            </w:r>
            <w:r>
              <w:rPr>
                <w:rFonts w:ascii="Arial" w:cs="Arial" w:eastAsia="Arial" w:hAnsi="Arial"/>
                <w:sz w:val="21"/>
                <w:szCs w:val="21"/>
                <w:color w:val="404040"/>
                <w:vertAlign w:val="superscript"/>
              </w:rPr>
              <w:t>(2)</w:t>
            </w:r>
          </w:p>
        </w:tc>
        <w:tc>
          <w:tcPr>
            <w:tcW w:w="84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404040"/>
              </w:rPr>
              <w:t>($K)</w:t>
            </w:r>
          </w:p>
        </w:tc>
      </w:tr>
      <w:tr>
        <w:trPr>
          <w:trHeight w:val="249"/>
        </w:trPr>
        <w:tc>
          <w:tcPr>
            <w:tcW w:w="4340" w:type="dxa"/>
            <w:vAlign w:val="bottom"/>
          </w:tcPr>
          <w:p>
            <w:pPr>
              <w:spacing w:after="0"/>
              <w:rPr>
                <w:sz w:val="20"/>
                <w:szCs w:val="20"/>
                <w:color w:val="auto"/>
              </w:rPr>
            </w:pPr>
            <w:r>
              <w:rPr>
                <w:rFonts w:ascii="Arial" w:cs="Arial" w:eastAsia="Arial" w:hAnsi="Arial"/>
                <w:sz w:val="16"/>
                <w:szCs w:val="16"/>
                <w:b w:val="1"/>
                <w:bCs w:val="1"/>
                <w:color w:val="CE0F2D"/>
              </w:rPr>
              <w:t>Gregory J. Hayes</w:t>
            </w:r>
          </w:p>
        </w:tc>
        <w:tc>
          <w:tcPr>
            <w:tcW w:w="3600" w:type="dxa"/>
            <w:vAlign w:val="bottom"/>
          </w:tcPr>
          <w:p>
            <w:pPr>
              <w:jc w:val="right"/>
              <w:ind w:right="3"/>
              <w:spacing w:after="0"/>
              <w:rPr>
                <w:sz w:val="20"/>
                <w:szCs w:val="20"/>
                <w:color w:val="auto"/>
              </w:rPr>
            </w:pPr>
            <w:r>
              <w:rPr>
                <w:rFonts w:ascii="Arial" w:cs="Arial" w:eastAsia="Arial" w:hAnsi="Arial"/>
                <w:sz w:val="16"/>
                <w:szCs w:val="16"/>
                <w:color w:val="auto"/>
              </w:rPr>
              <w:t>$1,600</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$4,992</w:t>
            </w: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$15,250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$21,842</w:t>
            </w:r>
          </w:p>
        </w:tc>
      </w:tr>
      <w:tr>
        <w:trPr>
          <w:trHeight w:val="46"/>
        </w:trPr>
        <w:tc>
          <w:tcPr>
            <w:tcW w:w="4340" w:type="dxa"/>
            <w:vAlign w:val="bottom"/>
            <w:tcBorders>
              <w:bottom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6"/>
                <w:szCs w:val="16"/>
                <w:b w:val="1"/>
                <w:bCs w:val="1"/>
                <w:color w:val="CE0F2D"/>
              </w:rPr>
              <w:t>Neil G. Mitchill, Jr.</w:t>
            </w:r>
          </w:p>
        </w:tc>
        <w:tc>
          <w:tcPr>
            <w:tcW w:w="3600" w:type="dxa"/>
            <w:vAlign w:val="bottom"/>
          </w:tcPr>
          <w:p>
            <w:pPr>
              <w:jc w:val="right"/>
              <w:ind w:right="3"/>
              <w:spacing w:after="0"/>
              <w:rPr>
                <w:sz w:val="20"/>
                <w:szCs w:val="20"/>
                <w:color w:val="auto"/>
              </w:rPr>
            </w:pPr>
            <w:r>
              <w:rPr>
                <w:rFonts w:ascii="Arial" w:cs="Arial" w:eastAsia="Arial" w:hAnsi="Arial"/>
                <w:sz w:val="16"/>
                <w:szCs w:val="16"/>
                <w:color w:val="auto"/>
              </w:rPr>
              <w:t>$800</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$1,200</w:t>
            </w: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$4,000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$6,000</w:t>
            </w:r>
          </w:p>
        </w:tc>
      </w:tr>
      <w:tr>
        <w:trPr>
          <w:trHeight w:val="32"/>
        </w:trPr>
        <w:tc>
          <w:tcPr>
            <w:tcW w:w="434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42"/>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Michael R. Dumais</w:t>
            </w:r>
            <w:r>
              <w:rPr>
                <w:rFonts w:ascii="Arial" w:cs="Arial" w:eastAsia="Arial" w:hAnsi="Arial"/>
                <w:sz w:val="26"/>
                <w:szCs w:val="26"/>
                <w:b w:val="1"/>
                <w:bCs w:val="1"/>
                <w:color w:val="CE0F2D"/>
                <w:vertAlign w:val="superscript"/>
              </w:rPr>
              <w:t>(3)</w:t>
            </w:r>
          </w:p>
        </w:tc>
        <w:tc>
          <w:tcPr>
            <w:tcW w:w="3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$880</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$1,200</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$2,080</w:t>
            </w:r>
          </w:p>
        </w:tc>
      </w:tr>
      <w:tr>
        <w:trPr>
          <w:trHeight w:val="207"/>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Christopher T. Calio</w:t>
            </w:r>
          </w:p>
        </w:tc>
        <w:tc>
          <w:tcPr>
            <w:tcW w:w="36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$750</w:t>
            </w:r>
          </w:p>
        </w:tc>
        <w:tc>
          <w:tcPr>
            <w:tcW w:w="138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$1,200</w:t>
            </w: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6"/>
                <w:szCs w:val="16"/>
                <w:color w:val="auto"/>
              </w:rPr>
              <w:t>$7,000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$8,950</w:t>
            </w:r>
          </w:p>
        </w:tc>
      </w:tr>
      <w:tr>
        <w:trPr>
          <w:trHeight w:val="229"/>
        </w:trPr>
        <w:tc>
          <w:tcPr>
            <w:tcW w:w="4340" w:type="dxa"/>
            <w:vAlign w:val="bottom"/>
          </w:tcPr>
          <w:p>
            <w:pPr>
              <w:spacing w:after="0"/>
              <w:rPr>
                <w:sz w:val="20"/>
                <w:szCs w:val="20"/>
                <w:color w:val="auto"/>
              </w:rPr>
            </w:pPr>
            <w:r>
              <w:rPr>
                <w:rFonts w:ascii="Arial" w:cs="Arial" w:eastAsia="Arial" w:hAnsi="Arial"/>
                <w:sz w:val="16"/>
                <w:szCs w:val="16"/>
                <w:b w:val="1"/>
                <w:bCs w:val="1"/>
                <w:color w:val="CE0F2D"/>
              </w:rPr>
              <w:t>Stephen J. Timm</w:t>
            </w:r>
          </w:p>
        </w:tc>
        <w:tc>
          <w:tcPr>
            <w:tcW w:w="3600" w:type="dxa"/>
            <w:vAlign w:val="bottom"/>
          </w:tcPr>
          <w:p>
            <w:pPr>
              <w:jc w:val="right"/>
              <w:ind w:right="3"/>
              <w:spacing w:after="0"/>
              <w:rPr>
                <w:sz w:val="20"/>
                <w:szCs w:val="20"/>
                <w:color w:val="auto"/>
              </w:rPr>
            </w:pPr>
            <w:r>
              <w:rPr>
                <w:rFonts w:ascii="Arial" w:cs="Arial" w:eastAsia="Arial" w:hAnsi="Arial"/>
                <w:sz w:val="16"/>
                <w:szCs w:val="16"/>
                <w:color w:val="auto"/>
              </w:rPr>
              <w:t>$750</w:t>
            </w:r>
          </w:p>
        </w:tc>
        <w:tc>
          <w:tcPr>
            <w:tcW w:w="1380" w:type="dxa"/>
            <w:vAlign w:val="bottom"/>
          </w:tcPr>
          <w:p>
            <w:pPr>
              <w:jc w:val="right"/>
              <w:ind w:right="162"/>
              <w:spacing w:after="0"/>
              <w:rPr>
                <w:sz w:val="20"/>
                <w:szCs w:val="20"/>
                <w:color w:val="auto"/>
              </w:rPr>
            </w:pPr>
            <w:r>
              <w:rPr>
                <w:rFonts w:ascii="Arial" w:cs="Arial" w:eastAsia="Arial" w:hAnsi="Arial"/>
                <w:sz w:val="16"/>
                <w:szCs w:val="16"/>
                <w:color w:val="auto"/>
              </w:rPr>
              <w:t>$1,200</w:t>
            </w:r>
          </w:p>
        </w:tc>
        <w:tc>
          <w:tcPr>
            <w:tcW w:w="1080" w:type="dxa"/>
            <w:vAlign w:val="bottom"/>
          </w:tcPr>
          <w:p>
            <w:pPr>
              <w:jc w:val="right"/>
              <w:ind w:right="163"/>
              <w:spacing w:after="0"/>
              <w:rPr>
                <w:sz w:val="20"/>
                <w:szCs w:val="20"/>
                <w:color w:val="auto"/>
              </w:rPr>
            </w:pPr>
            <w:r>
              <w:rPr>
                <w:rFonts w:ascii="Arial" w:cs="Arial" w:eastAsia="Arial" w:hAnsi="Arial"/>
                <w:sz w:val="16"/>
                <w:szCs w:val="16"/>
                <w:color w:val="auto"/>
              </w:rPr>
              <w:t>$5,000</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$6,950</w:t>
            </w:r>
          </w:p>
        </w:tc>
      </w:tr>
      <w:tr>
        <w:trPr>
          <w:trHeight w:val="39"/>
        </w:trPr>
        <w:tc>
          <w:tcPr>
            <w:tcW w:w="4340" w:type="dxa"/>
            <w:vAlign w:val="bottom"/>
            <w:tcBorders>
              <w:bottom w:val="single" w:sz="8" w:color="636466"/>
            </w:tcBorders>
          </w:tcPr>
          <w:p>
            <w:pPr>
              <w:spacing w:after="0"/>
              <w:rPr>
                <w:sz w:val="3"/>
                <w:szCs w:val="3"/>
                <w:color w:val="auto"/>
              </w:rPr>
            </w:pPr>
          </w:p>
        </w:tc>
        <w:tc>
          <w:tcPr>
            <w:tcW w:w="3600" w:type="dxa"/>
            <w:vAlign w:val="bottom"/>
            <w:tcBorders>
              <w:bottom w:val="single" w:sz="8" w:color="636466"/>
            </w:tcBorders>
          </w:tcPr>
          <w:p>
            <w:pPr>
              <w:spacing w:after="0"/>
              <w:rPr>
                <w:sz w:val="3"/>
                <w:szCs w:val="3"/>
                <w:color w:val="auto"/>
              </w:rPr>
            </w:pPr>
          </w:p>
        </w:tc>
        <w:tc>
          <w:tcPr>
            <w:tcW w:w="1380" w:type="dxa"/>
            <w:vAlign w:val="bottom"/>
            <w:tcBorders>
              <w:bottom w:val="single" w:sz="8" w:color="636466"/>
            </w:tcBorders>
          </w:tcPr>
          <w:p>
            <w:pPr>
              <w:spacing w:after="0"/>
              <w:rPr>
                <w:sz w:val="3"/>
                <w:szCs w:val="3"/>
                <w:color w:val="auto"/>
              </w:rPr>
            </w:pPr>
          </w:p>
        </w:tc>
        <w:tc>
          <w:tcPr>
            <w:tcW w:w="1080" w:type="dxa"/>
            <w:vAlign w:val="bottom"/>
            <w:tcBorders>
              <w:bottom w:val="single" w:sz="8" w:color="636466"/>
            </w:tcBorders>
          </w:tcPr>
          <w:p>
            <w:pPr>
              <w:spacing w:after="0"/>
              <w:rPr>
                <w:sz w:val="3"/>
                <w:szCs w:val="3"/>
                <w:color w:val="auto"/>
              </w:rPr>
            </w:pPr>
          </w:p>
        </w:tc>
        <w:tc>
          <w:tcPr>
            <w:tcW w:w="840" w:type="dxa"/>
            <w:vAlign w:val="bottom"/>
            <w:tcBorders>
              <w:bottom w:val="single" w:sz="8" w:color="636466"/>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-1078865</wp:posOffset>
            </wp:positionV>
            <wp:extent cx="2703830" cy="1249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703830" cy="1249680"/>
                    </a:xfrm>
                    <a:prstGeom prst="rect">
                      <a:avLst/>
                    </a:prstGeom>
                    <a:noFill/>
                  </pic:spPr>
                </pic:pic>
              </a:graphicData>
            </a:graphic>
          </wp:anchor>
        </w:drawing>
      </w:r>
    </w:p>
    <w:p>
      <w:pPr>
        <w:spacing w:after="0" w:line="322" w:lineRule="exact"/>
        <w:rPr>
          <w:sz w:val="20"/>
          <w:szCs w:val="20"/>
          <w:color w:val="auto"/>
        </w:rPr>
      </w:pPr>
    </w:p>
    <w:p>
      <w:pPr>
        <w:ind w:left="320" w:right="260" w:hanging="313"/>
        <w:spacing w:after="0" w:line="252" w:lineRule="auto"/>
        <w:tabs>
          <w:tab w:leader="none" w:pos="3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Reflects the base salary in effect for each NEO as of December 31, 2021. Values above differ from those in the Summary Compensation Table on page 66, since they do not reflect the impact of salary adjustments (if any) made during the year and reductions from furloughs at Pratt &amp; Whitney and Collins Aerospace for Messrs. Calio and Timm, respectively.</w:t>
      </w:r>
    </w:p>
    <w:p>
      <w:pPr>
        <w:spacing w:after="0" w:line="31" w:lineRule="exact"/>
        <w:rPr>
          <w:rFonts w:ascii="Arial" w:cs="Arial" w:eastAsia="Arial" w:hAnsi="Arial"/>
          <w:sz w:val="12"/>
          <w:szCs w:val="12"/>
          <w:color w:val="auto"/>
        </w:rPr>
      </w:pPr>
    </w:p>
    <w:p>
      <w:pPr>
        <w:ind w:left="320" w:right="160" w:hanging="313"/>
        <w:spacing w:after="0" w:line="252" w:lineRule="auto"/>
        <w:tabs>
          <w:tab w:leader="none" w:pos="3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Reflects values approved by the Committee for the LTI award granted on February 15, 2022. These values differ from the values that will be reported in the Summary Compensation Table in 2023, which will be calculated in accordance with Financial Accounting Standards Board (FASB) Accounting Standards Codification (ASC) Topic 718, Compensation—Stock Compensation.</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Mr. Dumais did not receive an LTI award on February 15, 2022, since he will transition into a consulting role later in the year.</w:t>
      </w:r>
    </w:p>
    <w:p>
      <w:pPr>
        <w:spacing w:after="0" w:line="111" w:lineRule="exact"/>
        <w:rPr>
          <w:sz w:val="20"/>
          <w:szCs w:val="20"/>
          <w:color w:val="auto"/>
        </w:rPr>
      </w:pPr>
    </w:p>
    <w:p>
      <w:pPr>
        <w:ind w:left="200" w:hanging="193"/>
        <w:spacing w:after="0"/>
        <w:tabs>
          <w:tab w:leader="none" w:pos="200" w:val="left"/>
        </w:tabs>
        <w:numPr>
          <w:ilvl w:val="0"/>
          <w:numId w:val="2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EXECUTIVE COMPENSATION 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2021 Performance Metrics</w:t>
      </w:r>
    </w:p>
    <w:p>
      <w:pPr>
        <w:spacing w:after="0" w:line="194"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The Committee believes that the metrics used for our annual and long-term incentive plans are essential indicators of the long-term health of our Company, and therefore, serve the fundamental objective of our executive compensation program.</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Why these metrics? </w:t>
      </w:r>
      <w:r>
        <w:rPr>
          <w:rFonts w:ascii="Arial" w:cs="Arial" w:eastAsia="Arial" w:hAnsi="Arial"/>
          <w:sz w:val="16"/>
          <w:szCs w:val="16"/>
          <w:color w:val="000000"/>
        </w:rPr>
        <w:t>Each of these metrics measures a particularly salient aspect of Company performance.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Metrics for Annual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335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METRICS:</w:t>
      </w:r>
    </w:p>
    <w:p>
      <w:pPr>
        <w:spacing w:after="0" w:line="164"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CE0F2D"/>
        </w:rPr>
        <w:t xml:space="preserve">Earnings </w:t>
      </w:r>
      <w:r>
        <w:rPr>
          <w:rFonts w:ascii="Arial" w:cs="Arial" w:eastAsia="Arial" w:hAnsi="Arial"/>
          <w:sz w:val="16"/>
          <w:szCs w:val="16"/>
          <w:color w:val="000000"/>
        </w:rPr>
        <w:t>measure the immediate impact of operating decisions on the</w:t>
      </w:r>
      <w:r>
        <w:rPr>
          <w:rFonts w:ascii="Arial" w:cs="Arial" w:eastAsia="Arial" w:hAnsi="Arial"/>
          <w:sz w:val="16"/>
          <w:szCs w:val="16"/>
          <w:b w:val="1"/>
          <w:bCs w:val="1"/>
          <w:color w:val="CE0F2D"/>
        </w:rPr>
        <w:t xml:space="preserve"> </w:t>
      </w:r>
      <w:r>
        <w:rPr>
          <w:rFonts w:ascii="Arial" w:cs="Arial" w:eastAsia="Arial" w:hAnsi="Arial"/>
          <w:sz w:val="16"/>
          <w:szCs w:val="16"/>
          <w:color w:val="000000"/>
        </w:rPr>
        <w:t>Company’s annual performance. For our Corporate executives, we use net income as our RTX-wide earnings metric and for our business units, we use operating income.</w:t>
      </w:r>
    </w:p>
    <w:p>
      <w:pPr>
        <w:spacing w:after="0" w:line="122"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CE0F2D"/>
        </w:rPr>
        <w:t xml:space="preserve">Free Cash Flow (“FCF”) </w:t>
      </w:r>
      <w:r>
        <w:rPr>
          <w:rFonts w:ascii="Arial" w:cs="Arial" w:eastAsia="Arial" w:hAnsi="Arial"/>
          <w:sz w:val="16"/>
          <w:szCs w:val="16"/>
          <w:color w:val="000000"/>
        </w:rPr>
        <w:t>measures our ability to generate cash to fund our</w:t>
      </w:r>
      <w:r>
        <w:rPr>
          <w:rFonts w:ascii="Arial" w:cs="Arial" w:eastAsia="Arial" w:hAnsi="Arial"/>
          <w:sz w:val="16"/>
          <w:szCs w:val="16"/>
          <w:b w:val="1"/>
          <w:bCs w:val="1"/>
          <w:color w:val="CE0F2D"/>
        </w:rPr>
        <w:t xml:space="preserve"> </w:t>
      </w:r>
      <w:r>
        <w:rPr>
          <w:rFonts w:ascii="Arial" w:cs="Arial" w:eastAsia="Arial" w:hAnsi="Arial"/>
          <w:sz w:val="16"/>
          <w:szCs w:val="16"/>
          <w:color w:val="000000"/>
        </w:rPr>
        <w:t>operations and key business investments—whether that means funding critical research and development, strategic acquisitions, paying down debt or distributing earnings to our shareowners.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RESPONSIBILITY SCORECARD (“CRS”):</w:t>
      </w:r>
    </w:p>
    <w:p>
      <w:pPr>
        <w:spacing w:after="0" w:line="164" w:lineRule="exact"/>
        <w:rPr>
          <w:sz w:val="20"/>
          <w:szCs w:val="20"/>
          <w:color w:val="auto"/>
        </w:rPr>
      </w:pPr>
    </w:p>
    <w:p>
      <w:pPr>
        <w:ind w:right="340"/>
        <w:spacing w:after="0" w:line="282" w:lineRule="auto"/>
        <w:rPr>
          <w:sz w:val="20"/>
          <w:szCs w:val="20"/>
          <w:color w:val="auto"/>
        </w:rPr>
      </w:pPr>
      <w:r>
        <w:rPr>
          <w:rFonts w:ascii="Arial" w:cs="Arial" w:eastAsia="Arial" w:hAnsi="Arial"/>
          <w:sz w:val="16"/>
          <w:szCs w:val="16"/>
          <w:b w:val="1"/>
          <w:bCs w:val="1"/>
          <w:color w:val="CE0F2D"/>
        </w:rPr>
        <w:t xml:space="preserve">People &amp; Culture (“P&amp;C”) </w:t>
      </w:r>
      <w:r>
        <w:rPr>
          <w:rFonts w:ascii="Arial" w:cs="Arial" w:eastAsia="Arial" w:hAnsi="Arial"/>
          <w:sz w:val="16"/>
          <w:szCs w:val="16"/>
          <w:color w:val="000000"/>
        </w:rPr>
        <w:t>measures our progress toward our long-term</w:t>
      </w:r>
      <w:r>
        <w:rPr>
          <w:rFonts w:ascii="Arial" w:cs="Arial" w:eastAsia="Arial" w:hAnsi="Arial"/>
          <w:sz w:val="16"/>
          <w:szCs w:val="16"/>
          <w:b w:val="1"/>
          <w:bCs w:val="1"/>
          <w:color w:val="CE0F2D"/>
        </w:rPr>
        <w:t xml:space="preserve"> </w:t>
      </w:r>
      <w:r>
        <w:rPr>
          <w:rFonts w:ascii="Arial" w:cs="Arial" w:eastAsia="Arial" w:hAnsi="Arial"/>
          <w:sz w:val="16"/>
          <w:szCs w:val="16"/>
          <w:color w:val="000000"/>
        </w:rPr>
        <w:t>diversity, equity and inclusion and talent objectives.</w:t>
      </w:r>
    </w:p>
    <w:p>
      <w:pPr>
        <w:spacing w:after="0" w:line="103"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b w:val="1"/>
          <w:bCs w:val="1"/>
          <w:color w:val="CE0F2D"/>
        </w:rPr>
        <w:t xml:space="preserve">Sustainability &amp; Safety (“S&amp;S”) </w:t>
      </w:r>
      <w:r>
        <w:rPr>
          <w:rFonts w:ascii="Arial" w:cs="Arial" w:eastAsia="Arial" w:hAnsi="Arial"/>
          <w:sz w:val="16"/>
          <w:szCs w:val="16"/>
          <w:color w:val="000000"/>
        </w:rPr>
        <w:t>measures our progress toward our long-term objectives for environmental sustainability and employee health and safety.</w:t>
      </w:r>
    </w:p>
    <w:p>
      <w:pPr>
        <w:spacing w:after="0" w:line="698" w:lineRule="exact"/>
        <w:rPr>
          <w:sz w:val="20"/>
          <w:szCs w:val="20"/>
          <w:color w:val="auto"/>
        </w:rPr>
      </w:pPr>
    </w:p>
    <w:p>
      <w:pPr>
        <w:sectPr>
          <w:pgSz w:w="11900" w:h="16838" w:orient="portrait"/>
          <w:cols w:equalWidth="0" w:num="2">
            <w:col w:w="5380" w:space="360"/>
            <w:col w:w="5500"/>
          </w:cols>
          <w:pgMar w:left="320" w:top="118" w:right="3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Metrics for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71335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93" w:lineRule="exact"/>
        <w:rPr>
          <w:sz w:val="20"/>
          <w:szCs w:val="20"/>
          <w:color w:val="auto"/>
        </w:rPr>
      </w:pPr>
    </w:p>
    <w:p>
      <w:pPr>
        <w:jc w:val="both"/>
        <w:ind w:right="100"/>
        <w:spacing w:after="0" w:line="263" w:lineRule="auto"/>
        <w:rPr>
          <w:sz w:val="20"/>
          <w:szCs w:val="20"/>
          <w:color w:val="auto"/>
        </w:rPr>
      </w:pPr>
      <w:r>
        <w:rPr>
          <w:rFonts w:ascii="Arial" w:cs="Arial" w:eastAsia="Arial" w:hAnsi="Arial"/>
          <w:sz w:val="16"/>
          <w:szCs w:val="16"/>
          <w:b w:val="1"/>
          <w:bCs w:val="1"/>
          <w:color w:val="CE0F2D"/>
        </w:rPr>
        <w:t xml:space="preserve">Earnings Per Share (“EPS”) </w:t>
      </w:r>
      <w:r>
        <w:rPr>
          <w:rFonts w:ascii="Arial" w:cs="Arial" w:eastAsia="Arial" w:hAnsi="Arial"/>
          <w:sz w:val="16"/>
          <w:szCs w:val="16"/>
          <w:color w:val="000000"/>
        </w:rPr>
        <w:t>measures the Company’s ability to create</w:t>
      </w:r>
      <w:r>
        <w:rPr>
          <w:rFonts w:ascii="Arial" w:cs="Arial" w:eastAsia="Arial" w:hAnsi="Arial"/>
          <w:sz w:val="16"/>
          <w:szCs w:val="16"/>
          <w:b w:val="1"/>
          <w:bCs w:val="1"/>
          <w:color w:val="CE0F2D"/>
        </w:rPr>
        <w:t xml:space="preserve"> </w:t>
      </w:r>
      <w:r>
        <w:rPr>
          <w:rFonts w:ascii="Arial" w:cs="Arial" w:eastAsia="Arial" w:hAnsi="Arial"/>
          <w:sz w:val="16"/>
          <w:szCs w:val="16"/>
          <w:color w:val="000000"/>
        </w:rPr>
        <w:t>long-term, sustainable earnings that will ultimately drive total shareowner return.</w:t>
      </w:r>
    </w:p>
    <w:p>
      <w:pPr>
        <w:spacing w:after="0" w:line="118"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CE0F2D"/>
        </w:rPr>
        <w:t xml:space="preserve">Return on Invested Capital (“ROIC”) </w:t>
      </w:r>
      <w:r>
        <w:rPr>
          <w:rFonts w:ascii="Arial" w:cs="Arial" w:eastAsia="Arial" w:hAnsi="Arial"/>
          <w:sz w:val="16"/>
          <w:szCs w:val="16"/>
          <w:color w:val="000000"/>
        </w:rPr>
        <w:t>measures the efficiency with which</w:t>
      </w:r>
      <w:r>
        <w:rPr>
          <w:rFonts w:ascii="Arial" w:cs="Arial" w:eastAsia="Arial" w:hAnsi="Arial"/>
          <w:sz w:val="16"/>
          <w:szCs w:val="16"/>
          <w:b w:val="1"/>
          <w:bCs w:val="1"/>
          <w:color w:val="CE0F2D"/>
        </w:rPr>
        <w:t xml:space="preserve"> </w:t>
      </w:r>
      <w:r>
        <w:rPr>
          <w:rFonts w:ascii="Arial" w:cs="Arial" w:eastAsia="Arial" w:hAnsi="Arial"/>
          <w:sz w:val="16"/>
          <w:szCs w:val="16"/>
          <w:color w:val="000000"/>
        </w:rPr>
        <w:t>we allocate capital resources, taking into account not just the quantity of earnings, but also the quality of earnings and investments that drive sustainable growth.</w:t>
      </w:r>
    </w:p>
    <w:p>
      <w:pPr>
        <w:spacing w:after="0" w:line="135" w:lineRule="exact"/>
        <w:rPr>
          <w:sz w:val="20"/>
          <w:szCs w:val="20"/>
          <w:color w:val="auto"/>
        </w:rPr>
      </w:pPr>
    </w:p>
    <w:p>
      <w:pPr>
        <w:ind w:left="200" w:hanging="193"/>
        <w:spacing w:after="0"/>
        <w:tabs>
          <w:tab w:leader="none" w:pos="2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See Appendix B on page 104 for definitions of the financial metrics referenced in this chart.</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b w:val="1"/>
          <w:bCs w:val="1"/>
          <w:color w:val="CE0F2D"/>
        </w:rPr>
        <w:t xml:space="preserve">Relative Total Shareowner Return (“TSR”) </w:t>
      </w:r>
      <w:r>
        <w:rPr>
          <w:rFonts w:ascii="Arial" w:cs="Arial" w:eastAsia="Arial" w:hAnsi="Arial"/>
          <w:sz w:val="16"/>
          <w:szCs w:val="16"/>
          <w:color w:val="000000"/>
        </w:rPr>
        <w:t>measures our ability to return</w:t>
      </w:r>
      <w:r>
        <w:rPr>
          <w:rFonts w:ascii="Arial" w:cs="Arial" w:eastAsia="Arial" w:hAnsi="Arial"/>
          <w:sz w:val="16"/>
          <w:szCs w:val="16"/>
          <w:b w:val="1"/>
          <w:bCs w:val="1"/>
          <w:color w:val="CE0F2D"/>
        </w:rPr>
        <w:t xml:space="preserve"> </w:t>
      </w:r>
      <w:r>
        <w:rPr>
          <w:rFonts w:ascii="Arial" w:cs="Arial" w:eastAsia="Arial" w:hAnsi="Arial"/>
          <w:sz w:val="16"/>
          <w:szCs w:val="16"/>
          <w:color w:val="000000"/>
        </w:rPr>
        <w:t>value to our shareowners compared to competing investment opportunities like the S&amp;P 500 and our Core A&amp;D Peers and reinforces our pay-for-performance objectives.</w:t>
      </w:r>
    </w:p>
    <w:p>
      <w:pPr>
        <w:spacing w:after="0" w:line="1131" w:lineRule="exact"/>
        <w:rPr>
          <w:sz w:val="20"/>
          <w:szCs w:val="20"/>
          <w:color w:val="auto"/>
        </w:rPr>
      </w:pPr>
    </w:p>
    <w:p>
      <w:pPr>
        <w:sectPr>
          <w:pgSz w:w="11900" w:h="16838" w:orient="portrait"/>
          <w:cols w:equalWidth="0" w:num="2">
            <w:col w:w="5280" w:space="460"/>
            <w:col w:w="5500"/>
          </w:cols>
          <w:pgMar w:left="320" w:top="118" w:right="339" w:bottom="1440" w:gutter="0" w:footer="0" w:header="0"/>
          <w:type w:val="continuous"/>
        </w:sectPr>
      </w:pPr>
    </w:p>
    <w:p>
      <w:pPr>
        <w:spacing w:after="0"/>
        <w:rPr>
          <w:sz w:val="20"/>
          <w:szCs w:val="20"/>
          <w:color w:val="auto"/>
        </w:rPr>
      </w:pPr>
      <w:r>
        <w:rPr>
          <w:rFonts w:ascii="Arial" w:cs="Arial" w:eastAsia="Arial" w:hAnsi="Arial"/>
          <w:sz w:val="17"/>
          <w:szCs w:val="17"/>
          <w:b w:val="1"/>
          <w:bCs w:val="1"/>
          <w:color w:val="CE0F2D"/>
        </w:rPr>
        <w:t>How 2021 Performance Affected Annual Incentive Payouts</w:t>
      </w:r>
    </w:p>
    <w:p>
      <w:pPr>
        <w:spacing w:after="0" w:line="181"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In 2021, the Committee set performance goals for the key financial metrics noted above and established objectives for our new Corporate Responsibility Scorecard, as discussed in more detail on pages 48-51. The following chart shows the financial goals set for annual incentive purposes, RTX’s 2021 performance relative to these goals, the Committee’s assessment of CRS performance, and how these results translated into the 2021 RTX performance factor.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404040"/>
              </w:rPr>
              <w:t>Performance</w:t>
            </w:r>
          </w:p>
        </w:tc>
      </w:tr>
      <w:tr>
        <w:trPr>
          <w:trHeight w:val="208"/>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color w:val="404040"/>
              </w:rPr>
              <w:t>Metric*</w:t>
            </w:r>
          </w:p>
        </w:tc>
        <w:tc>
          <w:tcPr>
            <w:tcW w:w="22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color w:val="404040"/>
              </w:rPr>
              <w:t>Weight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404040"/>
              </w:rPr>
              <w:t>Threshold</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404040"/>
              </w:rPr>
              <w:t>Target</w:t>
            </w: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404040"/>
              </w:rPr>
              <w:t>Maximum</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4"/>
                <w:szCs w:val="14"/>
                <w:color w:val="404040"/>
              </w:rPr>
              <w:t>Actual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04040"/>
              </w:rPr>
              <w:t>Factor</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RTX Earnings—net income ($M)</w:t>
            </w:r>
          </w:p>
        </w:tc>
        <w:tc>
          <w:tcPr>
            <w:tcW w:w="2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$4,775</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$5,600</w:t>
            </w: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$6,460</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$6,465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RTX Free Cash Flow ($M)</w:t>
            </w:r>
          </w:p>
        </w:tc>
        <w:tc>
          <w:tcPr>
            <w:tcW w:w="2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$3,500</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$4,500</w:t>
            </w:r>
          </w:p>
        </w:tc>
        <w:tc>
          <w:tcPr>
            <w:tcW w:w="1080" w:type="dxa"/>
            <w:vAlign w:val="bottom"/>
            <w:tcBorders>
              <w:bottom w:val="single" w:sz="8" w:color="auto"/>
            </w:tcBorders>
          </w:tcPr>
          <w:p>
            <w:pPr>
              <w:jc w:val="right"/>
              <w:ind w:right="183"/>
              <w:spacing w:after="0"/>
              <w:rPr>
                <w:sz w:val="20"/>
                <w:szCs w:val="20"/>
                <w:color w:val="auto"/>
              </w:rPr>
            </w:pPr>
            <w:r>
              <w:rPr>
                <w:rFonts w:ascii="Arial" w:cs="Arial" w:eastAsia="Arial" w:hAnsi="Arial"/>
                <w:sz w:val="16"/>
                <w:szCs w:val="16"/>
                <w:color w:val="auto"/>
              </w:rPr>
              <w:t>$6,100</w:t>
            </w: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$5,105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138%</w:t>
            </w:r>
          </w:p>
        </w:tc>
      </w:tr>
      <w:tr>
        <w:trPr>
          <w:trHeight w:val="234"/>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RTX People &amp; Culture</w:t>
            </w:r>
          </w:p>
        </w:tc>
        <w:tc>
          <w:tcPr>
            <w:tcW w:w="2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w:t>
            </w:r>
          </w:p>
        </w:tc>
        <w:tc>
          <w:tcPr>
            <w:tcW w:w="7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6"/>
                <w:szCs w:val="16"/>
                <w:color w:val="auto"/>
                <w:w w:val="99"/>
              </w:rPr>
              <w:t>Performance evaluated by the Committee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w:t>
            </w:r>
          </w:p>
        </w:tc>
      </w:tr>
      <w:tr>
        <w:trPr>
          <w:trHeight w:val="248"/>
        </w:trPr>
        <w:tc>
          <w:tcPr>
            <w:tcW w:w="410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auto"/>
              </w:rPr>
              <w:t>RTX Sustainability &amp; Safety</w:t>
            </w:r>
          </w:p>
        </w:tc>
        <w:tc>
          <w:tcPr>
            <w:tcW w:w="2220" w:type="dxa"/>
            <w:vAlign w:val="bottom"/>
            <w:tcBorders>
              <w:bottom w:val="single" w:sz="8" w:color="636466"/>
            </w:tcBorders>
          </w:tcPr>
          <w:p>
            <w:pPr>
              <w:jc w:val="right"/>
              <w:ind w:right="41"/>
              <w:spacing w:after="0"/>
              <w:rPr>
                <w:sz w:val="20"/>
                <w:szCs w:val="20"/>
                <w:color w:val="auto"/>
              </w:rPr>
            </w:pPr>
            <w:r>
              <w:rPr>
                <w:rFonts w:ascii="Arial" w:cs="Arial" w:eastAsia="Arial" w:hAnsi="Arial"/>
                <w:sz w:val="16"/>
                <w:szCs w:val="16"/>
                <w:color w:val="auto"/>
              </w:rPr>
              <w:t>10%</w:t>
            </w:r>
          </w:p>
        </w:tc>
        <w:tc>
          <w:tcPr>
            <w:tcW w:w="740" w:type="dxa"/>
            <w:vAlign w:val="bottom"/>
            <w:tcBorders>
              <w:bottom w:val="single" w:sz="8" w:color="636466"/>
            </w:tcBorders>
          </w:tcPr>
          <w:p>
            <w:pPr>
              <w:spacing w:after="0"/>
              <w:rPr>
                <w:sz w:val="21"/>
                <w:szCs w:val="21"/>
                <w:color w:val="auto"/>
              </w:rPr>
            </w:pPr>
          </w:p>
        </w:tc>
        <w:tc>
          <w:tcPr>
            <w:tcW w:w="3140" w:type="dxa"/>
            <w:vAlign w:val="bottom"/>
            <w:tcBorders>
              <w:bottom w:val="single" w:sz="8" w:color="636466"/>
            </w:tcBorders>
            <w:gridSpan w:val="3"/>
          </w:tcPr>
          <w:p>
            <w:pPr>
              <w:jc w:val="right"/>
              <w:ind w:right="103"/>
              <w:spacing w:after="0"/>
              <w:rPr>
                <w:sz w:val="20"/>
                <w:szCs w:val="20"/>
                <w:color w:val="auto"/>
              </w:rPr>
            </w:pPr>
            <w:r>
              <w:rPr>
                <w:rFonts w:ascii="Arial" w:cs="Arial" w:eastAsia="Arial" w:hAnsi="Arial"/>
                <w:sz w:val="16"/>
                <w:szCs w:val="16"/>
                <w:color w:val="auto"/>
                <w:w w:val="99"/>
              </w:rPr>
              <w:t>Performance evaluated by the Committee</w:t>
            </w:r>
          </w:p>
        </w:tc>
        <w:tc>
          <w:tcPr>
            <w:tcW w:w="104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110%</w:t>
            </w:r>
          </w:p>
        </w:tc>
      </w:tr>
      <w:tr>
        <w:trPr>
          <w:trHeight w:val="248"/>
        </w:trPr>
        <w:tc>
          <w:tcPr>
            <w:tcW w:w="410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D"/>
              </w:rPr>
              <w:t>RTX Performance Factor</w:t>
            </w:r>
          </w:p>
        </w:tc>
        <w:tc>
          <w:tcPr>
            <w:tcW w:w="2220" w:type="dxa"/>
            <w:vAlign w:val="bottom"/>
            <w:tcBorders>
              <w:bottom w:val="single" w:sz="8" w:color="636466"/>
            </w:tcBorders>
          </w:tcPr>
          <w:p>
            <w:pPr>
              <w:spacing w:after="0"/>
              <w:rPr>
                <w:sz w:val="21"/>
                <w:szCs w:val="21"/>
                <w:color w:val="auto"/>
              </w:rPr>
            </w:pPr>
          </w:p>
        </w:tc>
        <w:tc>
          <w:tcPr>
            <w:tcW w:w="740" w:type="dxa"/>
            <w:vAlign w:val="bottom"/>
            <w:tcBorders>
              <w:bottom w:val="single" w:sz="8" w:color="636466"/>
            </w:tcBorders>
          </w:tcPr>
          <w:p>
            <w:pPr>
              <w:spacing w:after="0"/>
              <w:rPr>
                <w:sz w:val="21"/>
                <w:szCs w:val="21"/>
                <w:color w:val="auto"/>
              </w:rPr>
            </w:pPr>
          </w:p>
        </w:tc>
        <w:tc>
          <w:tcPr>
            <w:tcW w:w="1200" w:type="dxa"/>
            <w:vAlign w:val="bottom"/>
            <w:tcBorders>
              <w:bottom w:val="single" w:sz="8" w:color="636466"/>
            </w:tcBorders>
          </w:tcPr>
          <w:p>
            <w:pPr>
              <w:spacing w:after="0"/>
              <w:rPr>
                <w:sz w:val="21"/>
                <w:szCs w:val="21"/>
                <w:color w:val="auto"/>
              </w:rPr>
            </w:pPr>
          </w:p>
        </w:tc>
        <w:tc>
          <w:tcPr>
            <w:tcW w:w="1080" w:type="dxa"/>
            <w:vAlign w:val="bottom"/>
            <w:tcBorders>
              <w:bottom w:val="single" w:sz="8" w:color="636466"/>
            </w:tcBorders>
          </w:tcPr>
          <w:p>
            <w:pPr>
              <w:spacing w:after="0"/>
              <w:rPr>
                <w:sz w:val="21"/>
                <w:szCs w:val="21"/>
                <w:color w:val="auto"/>
              </w:rPr>
            </w:pPr>
          </w:p>
        </w:tc>
        <w:tc>
          <w:tcPr>
            <w:tcW w:w="860" w:type="dxa"/>
            <w:vAlign w:val="bottom"/>
            <w:tcBorders>
              <w:bottom w:val="single" w:sz="8" w:color="636466"/>
            </w:tcBorders>
          </w:tcPr>
          <w:p>
            <w:pPr>
              <w:spacing w:after="0"/>
              <w:rPr>
                <w:sz w:val="21"/>
                <w:szCs w:val="21"/>
                <w:color w:val="auto"/>
              </w:rPr>
            </w:pPr>
          </w:p>
        </w:tc>
        <w:tc>
          <w:tcPr>
            <w:tcW w:w="104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CE0F2D"/>
              </w:rPr>
              <w:t>156%</w:t>
            </w:r>
          </w:p>
        </w:tc>
      </w:tr>
    </w:tbl>
    <w:p>
      <w:pPr>
        <w:spacing w:after="0" w:line="74" w:lineRule="exact"/>
        <w:rPr>
          <w:sz w:val="20"/>
          <w:szCs w:val="20"/>
          <w:color w:val="auto"/>
        </w:rPr>
      </w:pPr>
    </w:p>
    <w:p>
      <w:pPr>
        <w:ind w:left="200" w:right="20" w:hanging="193"/>
        <w:spacing w:after="0" w:line="252" w:lineRule="auto"/>
        <w:tabs>
          <w:tab w:leader="none" w:pos="20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Results for our business units differ from the above (see page 50 for details). Annual incentive financial goals and results are based on non-GAAP financial measures. See Appendix B on page 104 for definitions of the financial metrics referenced in this chart.</w:t>
      </w:r>
    </w:p>
    <w:p>
      <w:pPr>
        <w:spacing w:after="0" w:line="93" w:lineRule="exact"/>
        <w:rPr>
          <w:sz w:val="20"/>
          <w:szCs w:val="20"/>
          <w:color w:val="auto"/>
        </w:rPr>
      </w:pPr>
    </w:p>
    <w:p>
      <w:pPr>
        <w:ind w:left="8020"/>
        <w:spacing w:after="0"/>
        <w:tabs>
          <w:tab w:leader="none" w:pos="1116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EXECUTIVE COMPENSATION OVERVIEW</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DESIGN FOR 2022 AND BEYOND</w:t>
      </w:r>
    </w:p>
    <w:p>
      <w:pPr>
        <w:spacing w:after="0" w:line="21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Throughout the course of 2021, the Committee has continued to evaluate the design of the legacy companies’ plans and programs and has made important modifications, as detailed below. We expect, however, that full integration of our programs will take multiple years, and some NEOs will continue to participate in legacy company programs until the integration is complete.</w:t>
      </w:r>
    </w:p>
    <w:p>
      <w:pPr>
        <w:spacing w:after="0" w:line="141" w:lineRule="exact"/>
        <w:rPr>
          <w:sz w:val="20"/>
          <w:szCs w:val="20"/>
          <w:color w:val="auto"/>
        </w:rPr>
      </w:pPr>
    </w:p>
    <w:p>
      <w:pPr>
        <w:spacing w:after="0"/>
        <w:tabs>
          <w:tab w:leader="none" w:pos="6020" w:val="left"/>
        </w:tabs>
        <w:rPr>
          <w:sz w:val="20"/>
          <w:szCs w:val="20"/>
          <w:color w:val="auto"/>
        </w:rPr>
      </w:pPr>
      <w:r>
        <w:rPr>
          <w:rFonts w:ascii="Arial" w:cs="Arial" w:eastAsia="Arial" w:hAnsi="Arial"/>
          <w:sz w:val="21"/>
          <w:szCs w:val="21"/>
          <w:b w:val="1"/>
          <w:bCs w:val="1"/>
          <w:color w:val="CE0F2D"/>
        </w:rPr>
        <w:t>What we changed</w:t>
      </w:r>
      <w:r>
        <w:rPr>
          <w:sz w:val="20"/>
          <w:szCs w:val="20"/>
          <w:color w:val="auto"/>
        </w:rPr>
        <w:tab/>
      </w:r>
      <w:r>
        <w:rPr>
          <w:rFonts w:ascii="Arial" w:cs="Arial" w:eastAsia="Arial" w:hAnsi="Arial"/>
          <w:sz w:val="21"/>
          <w:szCs w:val="21"/>
          <w:b w:val="1"/>
          <w:bCs w:val="1"/>
          <w:color w:val="auto"/>
        </w:rPr>
        <w:t>Why we changed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335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27305</wp:posOffset>
            </wp:positionV>
            <wp:extent cx="71335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70"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color w:val="CE0F2D"/>
        </w:rPr>
        <w:t>We increased the role of Stock Appreciation Rights (“SARs”) and eliminated Restricted Stock Units (“RSUs”) for our senior executives.</w:t>
      </w:r>
    </w:p>
    <w:p>
      <w:pPr>
        <w:spacing w:after="0" w:line="96" w:lineRule="exact"/>
        <w:rPr>
          <w:sz w:val="20"/>
          <w:szCs w:val="20"/>
          <w:color w:val="auto"/>
        </w:rPr>
      </w:pPr>
    </w:p>
    <w:p>
      <w:pPr>
        <w:ind w:right="160"/>
        <w:spacing w:after="0" w:line="244" w:lineRule="auto"/>
        <w:rPr>
          <w:sz w:val="20"/>
          <w:szCs w:val="20"/>
          <w:color w:val="auto"/>
        </w:rPr>
      </w:pPr>
      <w:r>
        <w:rPr>
          <w:rFonts w:ascii="Arial" w:cs="Arial" w:eastAsia="Arial" w:hAnsi="Arial"/>
          <w:sz w:val="14"/>
          <w:szCs w:val="14"/>
          <w:color w:val="auto"/>
        </w:rPr>
        <w:t>Beginning with the 2022 grants, LTI awards for our most senior leaders are composed solely of Performance Share Units (60%), and SARs (40%). For our 2021 grants, the mix had included 20% SARs, 20% RSUs, and 60% Performance Share Units (“PSUs”).</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The Committee believes that for our most senior executives, SARs are a stronger pay-for-performance vehicle than RSUs because SARs have no value if the stock price does not increase from the price on the grant date. Further, the Committee believes that the 10-year term of SARs motivates prudent long-term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-417830</wp:posOffset>
            </wp:positionV>
            <wp:extent cx="170180" cy="2978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0180" cy="297815"/>
                    </a:xfrm>
                    <a:prstGeom prst="rect">
                      <a:avLst/>
                    </a:prstGeom>
                    <a:noFill/>
                  </pic:spPr>
                </pic:pic>
              </a:graphicData>
            </a:graphic>
          </wp:anchor>
        </w:drawing>
      </w:r>
    </w:p>
    <w:p>
      <w:pPr>
        <w:spacing w:after="0" w:line="494" w:lineRule="exact"/>
        <w:rPr>
          <w:sz w:val="20"/>
          <w:szCs w:val="20"/>
          <w:color w:val="auto"/>
        </w:rPr>
      </w:pPr>
    </w:p>
    <w:p>
      <w:pPr>
        <w:sectPr>
          <w:pgSz w:w="11900" w:h="16838" w:orient="portrait"/>
          <w:cols w:equalWidth="0" w:num="2">
            <w:col w:w="5320" w:space="720"/>
            <w:col w:w="5140"/>
          </w:cols>
          <w:pgMar w:left="320" w:top="118" w:right="39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Arial" w:cs="Arial" w:eastAsia="Arial" w:hAnsi="Arial"/>
          <w:sz w:val="15"/>
          <w:szCs w:val="15"/>
          <w:color w:val="auto"/>
        </w:rPr>
        <w:t>LTI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892810</wp:posOffset>
            </wp:positionV>
            <wp:extent cx="713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42545</wp:posOffset>
            </wp:positionV>
            <wp:extent cx="2806065" cy="6972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06065" cy="69723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color w:val="CE0F2D"/>
        </w:rPr>
        <w:t>We reverted back to a more standard PSU design for 2022.</w:t>
      </w:r>
    </w:p>
    <w:p>
      <w:pPr>
        <w:spacing w:after="0" w:line="160"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b w:val="1"/>
          <w:bCs w:val="1"/>
          <w:color w:val="auto"/>
        </w:rPr>
        <w:t xml:space="preserve">2021 PSU design: </w:t>
      </w:r>
      <w:r>
        <w:rPr>
          <w:rFonts w:ascii="Arial" w:cs="Arial" w:eastAsia="Arial" w:hAnsi="Arial"/>
          <w:sz w:val="14"/>
          <w:szCs w:val="14"/>
          <w:color w:val="auto"/>
        </w:rPr>
        <w:t>Due to the pandemic, we replaced our usual three-year PSU</w:t>
      </w:r>
      <w:r>
        <w:rPr>
          <w:rFonts w:ascii="Arial" w:cs="Arial" w:eastAsia="Arial" w:hAnsi="Arial"/>
          <w:sz w:val="14"/>
          <w:szCs w:val="14"/>
          <w:b w:val="1"/>
          <w:bCs w:val="1"/>
          <w:color w:val="auto"/>
        </w:rPr>
        <w:t xml:space="preserve"> </w:t>
      </w:r>
      <w:r>
        <w:rPr>
          <w:rFonts w:ascii="Arial" w:cs="Arial" w:eastAsia="Arial" w:hAnsi="Arial"/>
          <w:sz w:val="14"/>
          <w:szCs w:val="14"/>
          <w:color w:val="auto"/>
        </w:rPr>
        <w:t>goals with one-year EPS and ROIC goals followed by a two-year, time-based vesting period. To balance these one-year EPS and ROIC goals, we also increased the weighting of our 3-year relative TSR metrics from 30% to 50%.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60"/>
        <w:spacing w:after="0" w:line="247" w:lineRule="auto"/>
        <w:rPr>
          <w:sz w:val="20"/>
          <w:szCs w:val="20"/>
          <w:color w:val="auto"/>
        </w:rPr>
      </w:pPr>
      <w:r>
        <w:rPr>
          <w:rFonts w:ascii="Arial" w:cs="Arial" w:eastAsia="Arial" w:hAnsi="Arial"/>
          <w:sz w:val="14"/>
          <w:szCs w:val="14"/>
          <w:color w:val="auto"/>
        </w:rPr>
        <w:t>The economic environment caused by the COVID-19 pandemic made setting long-term financial performance goals in early 2021 challenging, especially given the pandemic’s impact on both the aerospace industry and commercial 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-344170</wp:posOffset>
            </wp:positionH>
            <wp:positionV relativeFrom="paragraph">
              <wp:posOffset>-215900</wp:posOffset>
            </wp:positionV>
            <wp:extent cx="170180" cy="2978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0180" cy="297815"/>
                    </a:xfrm>
                    <a:prstGeom prst="rect">
                      <a:avLst/>
                    </a:prstGeom>
                    <a:noFill/>
                  </pic:spPr>
                </pic:pic>
              </a:graphicData>
            </a:graphic>
          </wp:anchor>
        </w:drawing>
      </w:r>
    </w:p>
    <w:p>
      <w:pPr>
        <w:spacing w:after="0" w:line="685" w:lineRule="exact"/>
        <w:rPr>
          <w:sz w:val="20"/>
          <w:szCs w:val="20"/>
          <w:color w:val="auto"/>
        </w:rPr>
      </w:pPr>
    </w:p>
    <w:p>
      <w:pPr>
        <w:sectPr>
          <w:pgSz w:w="11900" w:h="16838" w:orient="portrait"/>
          <w:cols w:equalWidth="0" w:num="2">
            <w:col w:w="5320" w:space="720"/>
            <w:col w:w="5140"/>
          </w:cols>
          <w:pgMar w:left="320" w:top="118" w:right="39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PSU WEIGHTINGS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wp:posOffset>
            </wp:positionV>
            <wp:extent cx="2806065" cy="7054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06065" cy="705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80"/>
        <w:spacing w:after="0" w:line="250" w:lineRule="auto"/>
        <w:rPr>
          <w:sz w:val="20"/>
          <w:szCs w:val="20"/>
          <w:color w:val="auto"/>
        </w:rPr>
      </w:pPr>
      <w:r>
        <w:rPr>
          <w:rFonts w:ascii="Arial" w:cs="Arial" w:eastAsia="Arial" w:hAnsi="Arial"/>
          <w:sz w:val="14"/>
          <w:szCs w:val="14"/>
          <w:b w:val="1"/>
          <w:bCs w:val="1"/>
          <w:color w:val="auto"/>
        </w:rPr>
        <w:t xml:space="preserve">2022 PSU design: </w:t>
      </w:r>
      <w:r>
        <w:rPr>
          <w:rFonts w:ascii="Arial" w:cs="Arial" w:eastAsia="Arial" w:hAnsi="Arial"/>
          <w:sz w:val="14"/>
          <w:szCs w:val="14"/>
          <w:color w:val="auto"/>
        </w:rPr>
        <w:t>We returned to three-year goals for both our EPS and ROIC</w:t>
      </w:r>
      <w:r>
        <w:rPr>
          <w:rFonts w:ascii="Arial" w:cs="Arial" w:eastAsia="Arial" w:hAnsi="Arial"/>
          <w:sz w:val="14"/>
          <w:szCs w:val="14"/>
          <w:b w:val="1"/>
          <w:bCs w:val="1"/>
          <w:color w:val="auto"/>
        </w:rPr>
        <w:t xml:space="preserve"> </w:t>
      </w:r>
      <w:r>
        <w:rPr>
          <w:rFonts w:ascii="Arial" w:cs="Arial" w:eastAsia="Arial" w:hAnsi="Arial"/>
          <w:sz w:val="14"/>
          <w:szCs w:val="14"/>
          <w:color w:val="auto"/>
        </w:rPr>
        <w:t>metrics and a 30% weighting for our relative TSR metrics, with EPS and ROIC each weighted at 35%. This PSU weighting is consistent with the PSU design at legacy UTC before the pandemic and the 2020 Merger of UTC and Raytheon Company (“RTN”).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00"/>
        <w:spacing w:after="0" w:line="244" w:lineRule="auto"/>
        <w:rPr>
          <w:sz w:val="20"/>
          <w:szCs w:val="20"/>
          <w:color w:val="auto"/>
        </w:rPr>
      </w:pPr>
      <w:r>
        <w:rPr>
          <w:rFonts w:ascii="Arial" w:cs="Arial" w:eastAsia="Arial" w:hAnsi="Arial"/>
          <w:sz w:val="14"/>
          <w:szCs w:val="14"/>
          <w:color w:val="auto"/>
        </w:rPr>
        <w:t>As we have seen the uncertainty of the COVID-19 pandemic subside over the course of 2021, the Committee determined that for the 2022 PSUs we should return to three-year financial performance goals and our prior metric weightings, thus ensuring that our PSUs align with our long-term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108585</wp:posOffset>
            </wp:positionV>
            <wp:extent cx="71335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-316230</wp:posOffset>
            </wp:positionV>
            <wp:extent cx="170180" cy="2978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0180" cy="29781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5320" w:space="720"/>
            <w:col w:w="5140"/>
          </w:cols>
          <w:pgMar w:left="320" w:top="118" w:right="399" w:bottom="1440" w:gutter="0" w:footer="0" w:header="0"/>
          <w:type w:val="continuous"/>
        </w:sectPr>
      </w:pPr>
    </w:p>
    <w:p>
      <w:pPr>
        <w:ind w:left="200" w:hanging="193"/>
        <w:spacing w:after="0"/>
        <w:tabs>
          <w:tab w:leader="none" w:pos="200" w:val="left"/>
        </w:tabs>
        <w:numPr>
          <w:ilvl w:val="0"/>
          <w:numId w:val="29"/>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5454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1" w:name="page12"/>
    <w:bookmarkEnd w:id="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ind w:righ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FOCUS ON ESG</w:t>
      </w:r>
    </w:p>
    <w:p>
      <w:pPr>
        <w:spacing w:after="0" w:line="198" w:lineRule="exact"/>
        <w:rPr>
          <w:sz w:val="20"/>
          <w:szCs w:val="20"/>
          <w:color w:val="auto"/>
        </w:rPr>
      </w:pPr>
    </w:p>
    <w:p>
      <w:pPr>
        <w:spacing w:after="0"/>
        <w:tabs>
          <w:tab w:leader="none" w:pos="6020" w:val="left"/>
        </w:tabs>
        <w:rPr>
          <w:sz w:val="20"/>
          <w:szCs w:val="20"/>
          <w:color w:val="auto"/>
        </w:rPr>
      </w:pPr>
      <w:r>
        <w:rPr>
          <w:rFonts w:ascii="Arial" w:cs="Arial" w:eastAsia="Arial" w:hAnsi="Arial"/>
          <w:sz w:val="21"/>
          <w:szCs w:val="21"/>
          <w:b w:val="1"/>
          <w:bCs w:val="1"/>
          <w:color w:val="CE0F2D"/>
        </w:rPr>
        <w:t>What we changed</w:t>
      </w:r>
      <w:r>
        <w:rPr>
          <w:sz w:val="20"/>
          <w:szCs w:val="20"/>
          <w:color w:val="auto"/>
        </w:rPr>
        <w:tab/>
      </w:r>
      <w:r>
        <w:rPr>
          <w:rFonts w:ascii="Arial" w:cs="Arial" w:eastAsia="Arial" w:hAnsi="Arial"/>
          <w:sz w:val="21"/>
          <w:szCs w:val="21"/>
          <w:b w:val="1"/>
          <w:bCs w:val="1"/>
          <w:color w:val="auto"/>
        </w:rPr>
        <w:t>Why we changed 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PLANS AND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6350</wp:posOffset>
            </wp:positionV>
            <wp:extent cx="713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71" w:lineRule="exact"/>
        <w:rPr>
          <w:sz w:val="20"/>
          <w:szCs w:val="20"/>
          <w:color w:val="auto"/>
        </w:rPr>
      </w:pPr>
    </w:p>
    <w:p>
      <w:pPr>
        <w:ind w:right="820"/>
        <w:spacing w:after="0" w:line="281" w:lineRule="auto"/>
        <w:rPr>
          <w:sz w:val="20"/>
          <w:szCs w:val="20"/>
          <w:color w:val="auto"/>
        </w:rPr>
      </w:pPr>
      <w:r>
        <w:rPr>
          <w:rFonts w:ascii="Arial" w:cs="Arial" w:eastAsia="Arial" w:hAnsi="Arial"/>
          <w:sz w:val="14"/>
          <w:szCs w:val="14"/>
          <w:b w:val="1"/>
          <w:bCs w:val="1"/>
          <w:color w:val="CE0F2D"/>
        </w:rPr>
        <w:t>We set a timetable for integrating the legacy UTC and RTN defined contribution and deferred compensation plans.</w:t>
      </w:r>
    </w:p>
    <w:p>
      <w:pPr>
        <w:spacing w:after="0" w:line="110" w:lineRule="exact"/>
        <w:rPr>
          <w:sz w:val="20"/>
          <w:szCs w:val="20"/>
          <w:color w:val="auto"/>
        </w:rPr>
      </w:pPr>
    </w:p>
    <w:p>
      <w:pPr>
        <w:ind w:right="240"/>
        <w:spacing w:after="0" w:line="247" w:lineRule="auto"/>
        <w:rPr>
          <w:sz w:val="20"/>
          <w:szCs w:val="20"/>
          <w:color w:val="auto"/>
        </w:rPr>
      </w:pPr>
      <w:r>
        <w:rPr>
          <w:rFonts w:ascii="Arial" w:cs="Arial" w:eastAsia="Arial" w:hAnsi="Arial"/>
          <w:sz w:val="14"/>
          <w:szCs w:val="14"/>
          <w:color w:val="auto"/>
        </w:rPr>
        <w:t>Beginning in 2023, all RTX employees will be eligible to participate in the same defined contribution and deferred compensation plans, regardless of their legacy company.</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As we continue the integration of two world-class companies following the Merger, we believe we must continue to deliver highly competitive retirement benefits to our employees to ensure we continue to recruit and retain the best 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387350</wp:posOffset>
            </wp:positionV>
            <wp:extent cx="7133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-215900</wp:posOffset>
            </wp:positionV>
            <wp:extent cx="170180" cy="2978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0180" cy="297815"/>
                    </a:xfrm>
                    <a:prstGeom prst="rect">
                      <a:avLst/>
                    </a:prstGeom>
                    <a:noFill/>
                  </pic:spPr>
                </pic:pic>
              </a:graphicData>
            </a:graphic>
          </wp:anchor>
        </w:drawing>
      </w:r>
    </w:p>
    <w:p>
      <w:pPr>
        <w:spacing w:after="0" w:line="668" w:lineRule="exact"/>
        <w:rPr>
          <w:sz w:val="20"/>
          <w:szCs w:val="20"/>
          <w:color w:val="auto"/>
        </w:rPr>
      </w:pPr>
    </w:p>
    <w:p>
      <w:pPr>
        <w:sectPr>
          <w:pgSz w:w="11900" w:h="16838" w:orient="portrait"/>
          <w:cols w:equalWidth="0" w:num="2">
            <w:col w:w="5320" w:space="720"/>
            <w:col w:w="5200"/>
          </w:cols>
          <w:pgMar w:left="320" w:top="118" w:right="339" w:bottom="1440" w:gutter="0" w:footer="0" w:header="0"/>
          <w:type w:val="continuous"/>
        </w:sectPr>
      </w:pP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CE0F2D"/>
        </w:rPr>
        <w:t>We are harmonizing and modernizing our executive perquisites.</w:t>
      </w:r>
    </w:p>
    <w:p>
      <w:pPr>
        <w:spacing w:after="0" w:line="165" w:lineRule="exact"/>
        <w:rPr>
          <w:sz w:val="20"/>
          <w:szCs w:val="20"/>
          <w:color w:val="auto"/>
        </w:rPr>
      </w:pPr>
    </w:p>
    <w:p>
      <w:pPr>
        <w:ind w:right="140"/>
        <w:spacing w:after="0" w:line="244" w:lineRule="auto"/>
        <w:rPr>
          <w:sz w:val="20"/>
          <w:szCs w:val="20"/>
          <w:color w:val="auto"/>
        </w:rPr>
      </w:pPr>
      <w:r>
        <w:rPr>
          <w:rFonts w:ascii="Arial" w:cs="Arial" w:eastAsia="Arial" w:hAnsi="Arial"/>
          <w:sz w:val="14"/>
          <w:szCs w:val="14"/>
          <w:color w:val="auto"/>
        </w:rPr>
        <w:t>We announced a re-design of our executive perquisites, including a phase-out of the legacy UTC executive leased vehicle program and the legacy RTN excess liability insurance, and closure of legacy RTN’s split dollar life insurance policies to new participants.</w:t>
      </w:r>
    </w:p>
    <w:p>
      <w:pPr>
        <w:spacing w:after="0" w:line="135" w:lineRule="exact"/>
        <w:rPr>
          <w:sz w:val="20"/>
          <w:szCs w:val="20"/>
          <w:color w:val="auto"/>
        </w:rPr>
      </w:pPr>
    </w:p>
    <w:p>
      <w:pPr>
        <w:ind w:right="200"/>
        <w:spacing w:after="0" w:line="242" w:lineRule="auto"/>
        <w:rPr>
          <w:sz w:val="20"/>
          <w:szCs w:val="20"/>
          <w:color w:val="auto"/>
        </w:rPr>
      </w:pPr>
      <w:r>
        <w:rPr>
          <w:rFonts w:ascii="Arial" w:cs="Arial" w:eastAsia="Arial" w:hAnsi="Arial"/>
          <w:sz w:val="14"/>
          <w:szCs w:val="14"/>
          <w:color w:val="auto"/>
        </w:rPr>
        <w:t>Starting in 2022, perquisites for RTX executives will be limited to enhanced basic life and long-term disability insurance, an executive physical and a financial planning allowance. Our CEO has three additional benefits for security purposes: use of corporate aircraft, company-provided car and driver and home security monitoring. In exceptional circumstances, other NEOs may use the aircraft for purposes that may have a personal element. See page 61 for additional details.</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right="40"/>
        <w:spacing w:after="0" w:line="247" w:lineRule="auto"/>
        <w:rPr>
          <w:sz w:val="20"/>
          <w:szCs w:val="20"/>
          <w:color w:val="auto"/>
        </w:rPr>
      </w:pPr>
      <w:r>
        <w:rPr>
          <w:rFonts w:ascii="Arial" w:cs="Arial" w:eastAsia="Arial" w:hAnsi="Arial"/>
          <w:sz w:val="14"/>
          <w:szCs w:val="14"/>
          <w:color w:val="auto"/>
        </w:rPr>
        <w:t>Our approach to executive perquisites reflects the Committee’s belief that the continued health and financial well-being of our senior leaders is of vital interest to the Company and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-3830320</wp:posOffset>
            </wp:positionH>
            <wp:positionV relativeFrom="paragraph">
              <wp:posOffset>1007745</wp:posOffset>
            </wp:positionV>
            <wp:extent cx="71335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-344170</wp:posOffset>
            </wp:positionH>
            <wp:positionV relativeFrom="paragraph">
              <wp:posOffset>-215900</wp:posOffset>
            </wp:positionV>
            <wp:extent cx="170180" cy="2978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0180" cy="297815"/>
                    </a:xfrm>
                    <a:prstGeom prst="rect">
                      <a:avLst/>
                    </a:prstGeom>
                    <a:noFill/>
                  </pic:spPr>
                </pic:pic>
              </a:graphicData>
            </a:graphic>
          </wp:anchor>
        </w:drawing>
      </w:r>
    </w:p>
    <w:p>
      <w:pPr>
        <w:spacing w:after="0" w:line="1742" w:lineRule="exact"/>
        <w:rPr>
          <w:sz w:val="20"/>
          <w:szCs w:val="20"/>
          <w:color w:val="auto"/>
        </w:rPr>
      </w:pPr>
    </w:p>
    <w:p>
      <w:pPr>
        <w:sectPr>
          <w:pgSz w:w="11900" w:h="16838" w:orient="portrait"/>
          <w:cols w:equalWidth="0" w:num="2">
            <w:col w:w="5320" w:space="720"/>
            <w:col w:w="5200"/>
          </w:cols>
          <w:pgMar w:left="320" w:top="118" w:right="339" w:bottom="1440" w:gutter="0" w:footer="0" w:header="0"/>
          <w:type w:val="continuous"/>
        </w:sectPr>
      </w:pPr>
    </w:p>
    <w:p>
      <w:pPr>
        <w:spacing w:after="0"/>
        <w:rPr>
          <w:sz w:val="20"/>
          <w:szCs w:val="20"/>
          <w:color w:val="auto"/>
        </w:rPr>
      </w:pPr>
      <w:r>
        <w:rPr>
          <w:rFonts w:ascii="Arial" w:cs="Arial" w:eastAsia="Arial" w:hAnsi="Arial"/>
          <w:sz w:val="30"/>
          <w:szCs w:val="30"/>
          <w:b w:val="1"/>
          <w:bCs w:val="1"/>
          <w:color w:val="auto"/>
        </w:rPr>
        <w:t>Focus on ESG</w:t>
      </w:r>
    </w:p>
    <w:p>
      <w:pPr>
        <w:spacing w:after="0" w:line="190" w:lineRule="exact"/>
        <w:rPr>
          <w:sz w:val="20"/>
          <w:szCs w:val="20"/>
          <w:color w:val="auto"/>
        </w:rPr>
      </w:pPr>
    </w:p>
    <w:p>
      <w:pPr>
        <w:ind w:right="340"/>
        <w:spacing w:after="0" w:line="282" w:lineRule="auto"/>
        <w:rPr>
          <w:sz w:val="20"/>
          <w:szCs w:val="20"/>
          <w:color w:val="auto"/>
        </w:rPr>
      </w:pPr>
      <w:r>
        <w:rPr>
          <w:rFonts w:ascii="Arial" w:cs="Arial" w:eastAsia="Arial" w:hAnsi="Arial"/>
          <w:sz w:val="16"/>
          <w:szCs w:val="16"/>
          <w:b w:val="1"/>
          <w:bCs w:val="1"/>
          <w:color w:val="CE0F2D"/>
        </w:rPr>
        <w:t>We view environmental, social, and governance (“ESG”) as integral to our long-term strategy, our business operations, our values and how we engage with our stakeholders.</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After the Merger, we embarked on a significant effort to integrate and build upon the ESG approaches of our legacy companies and enhance transparency. By the end of 2021:</w:t>
      </w:r>
    </w:p>
    <w:p>
      <w:pPr>
        <w:spacing w:after="0" w:line="143" w:lineRule="exact"/>
        <w:rPr>
          <w:sz w:val="20"/>
          <w:szCs w:val="20"/>
          <w:color w:val="auto"/>
        </w:rPr>
      </w:pPr>
    </w:p>
    <w:p>
      <w:pPr>
        <w:ind w:left="240" w:right="160" w:hanging="233"/>
        <w:spacing w:after="0" w:line="256" w:lineRule="auto"/>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released our 2021 Diversity, Equity &amp; Inclusion (“DE&amp;I”) Report, in which we provide workforce diversity data, (including our EEO-1 data) and explain how we are working to drive progress through our pillars of action: public policy, workforce diversity, community engagement and supplier diversity.</w:t>
      </w:r>
    </w:p>
    <w:p>
      <w:pPr>
        <w:spacing w:after="0" w:line="62" w:lineRule="exact"/>
        <w:rPr>
          <w:rFonts w:ascii="Arial" w:cs="Arial" w:eastAsia="Arial" w:hAnsi="Arial"/>
          <w:sz w:val="16"/>
          <w:szCs w:val="16"/>
          <w:color w:val="CE0F2D"/>
        </w:rPr>
      </w:pPr>
    </w:p>
    <w:p>
      <w:pPr>
        <w:ind w:left="240" w:hanging="233"/>
        <w:spacing w:after="0" w:line="256" w:lineRule="auto"/>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formed a Global Diversity, Equity &amp; Inclusion Advisory Board, whereby leaders across RTX will come together to support equality of opportunity, inspire action and drive accountability for our DE&amp;I efforts.</w:t>
      </w:r>
    </w:p>
    <w:p>
      <w:pPr>
        <w:spacing w:after="0" w:line="62" w:lineRule="exact"/>
        <w:rPr>
          <w:rFonts w:ascii="Arial" w:cs="Arial" w:eastAsia="Arial" w:hAnsi="Arial"/>
          <w:sz w:val="16"/>
          <w:szCs w:val="16"/>
          <w:color w:val="CE0F2D"/>
        </w:rPr>
      </w:pPr>
    </w:p>
    <w:p>
      <w:pPr>
        <w:ind w:left="240" w:right="20" w:hanging="233"/>
        <w:spacing w:after="0" w:line="256" w:lineRule="auto"/>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issued our first sustainability performance disclosures against the Sustainability Accounting Standards Board (“SASB”) reporting framework to promote greater transparency and comparability across the aerospace and defense industry.</w:t>
      </w:r>
    </w:p>
    <w:p>
      <w:pPr>
        <w:spacing w:after="0" w:line="62" w:lineRule="exact"/>
        <w:rPr>
          <w:rFonts w:ascii="Arial" w:cs="Arial" w:eastAsia="Arial" w:hAnsi="Arial"/>
          <w:sz w:val="16"/>
          <w:szCs w:val="16"/>
          <w:color w:val="CE0F2D"/>
        </w:rPr>
      </w:pPr>
    </w:p>
    <w:p>
      <w:pPr>
        <w:ind w:left="240" w:right="120" w:hanging="233"/>
        <w:spacing w:after="0" w:line="256" w:lineRule="auto"/>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responded to the Carbon Disclosure Project’s (“CDP”) annual climate change questionnaire, which addresses many of the disclosure elements set by the Task Force on Climate-Related Financial Disclosure established by the G20.</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added a Corporate Responsibility Scorecard to our annual incentive plan to drive management accountability and focus.</w:t>
      </w:r>
    </w:p>
    <w:p>
      <w:pPr>
        <w:spacing w:after="0" w:line="83" w:lineRule="exact"/>
        <w:rPr>
          <w:rFonts w:ascii="Arial" w:cs="Arial" w:eastAsia="Arial" w:hAnsi="Arial"/>
          <w:sz w:val="16"/>
          <w:szCs w:val="16"/>
          <w:color w:val="CE0F2D"/>
        </w:rPr>
      </w:pPr>
    </w:p>
    <w:p>
      <w:pPr>
        <w:ind w:left="240" w:right="400" w:hanging="233"/>
        <w:spacing w:after="0" w:line="256" w:lineRule="auto"/>
        <w:tabs>
          <w:tab w:leader="none" w:pos="240" w:val="left"/>
        </w:tabs>
        <w:numPr>
          <w:ilvl w:val="0"/>
          <w:numId w:val="30"/>
        </w:numPr>
        <w:rPr>
          <w:rFonts w:ascii="Arial" w:cs="Arial" w:eastAsia="Arial" w:hAnsi="Arial"/>
          <w:sz w:val="16"/>
          <w:szCs w:val="16"/>
          <w:color w:val="CE0F2D"/>
        </w:rPr>
      </w:pPr>
      <w:r>
        <w:rPr>
          <w:rFonts w:ascii="Arial" w:cs="Arial" w:eastAsia="Arial" w:hAnsi="Arial"/>
          <w:sz w:val="16"/>
          <w:szCs w:val="16"/>
          <w:color w:val="auto"/>
        </w:rPr>
        <w:t>We launched our new social responsibility initiative, ConnectUp, where we will invest $500 million over 10 years to advance equitable opportunities in STEM education, career development and community well-being.</w:t>
      </w:r>
    </w:p>
    <w:p>
      <w:pPr>
        <w:spacing w:after="0" w:line="14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We are proud of these accomplishments but realize we have much more to do. To further drive our ESG performance and enhance transparency, during 2021 we also engaged in a comprehensive ESG prioritization assessment to identify and prioritize ESG topics that are most important to our stakeholders and to achieving our business objectives. Through this effort, we developed our ESG vision and strategy, as well as an ESG roadmap with significant initiatives relating to goal setting and disclosure. We will provide more detail on our ESG strategy and goals in our first annual ESG Report that we plan to issue in the second quarter of 2022.</w:t>
      </w:r>
    </w:p>
    <w:p>
      <w:pPr>
        <w:spacing w:after="0" w:line="117" w:lineRule="exact"/>
        <w:rPr>
          <w:sz w:val="20"/>
          <w:szCs w:val="20"/>
          <w:color w:val="auto"/>
        </w:rPr>
      </w:pPr>
    </w:p>
    <w:p>
      <w:pPr>
        <w:ind w:left="4700" w:right="2900"/>
        <w:spacing w:after="0" w:line="281" w:lineRule="auto"/>
        <w:rPr>
          <w:sz w:val="20"/>
          <w:szCs w:val="20"/>
          <w:color w:val="auto"/>
        </w:rPr>
      </w:pPr>
      <w:r>
        <w:rPr>
          <w:rFonts w:ascii="Arial" w:cs="Arial" w:eastAsia="Arial" w:hAnsi="Arial"/>
          <w:sz w:val="21"/>
          <w:szCs w:val="21"/>
          <w:b w:val="1"/>
          <w:bCs w:val="1"/>
          <w:color w:val="auto"/>
        </w:rPr>
        <w:t>Best Companies for Environmental, Social and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-329565</wp:posOffset>
            </wp:positionV>
            <wp:extent cx="4642485" cy="45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42485" cy="450850"/>
                    </a:xfrm>
                    <a:prstGeom prst="rect">
                      <a:avLst/>
                    </a:prstGeom>
                    <a:noFill/>
                  </pic:spPr>
                </pic:pic>
              </a:graphicData>
            </a:graphic>
          </wp:anchor>
        </w:drawing>
      </w:r>
    </w:p>
    <w:p>
      <w:pPr>
        <w:spacing w:after="0" w:line="13" w:lineRule="exact"/>
        <w:rPr>
          <w:sz w:val="20"/>
          <w:szCs w:val="20"/>
          <w:color w:val="auto"/>
        </w:rPr>
      </w:pPr>
    </w:p>
    <w:p>
      <w:pPr>
        <w:ind w:left="4700"/>
        <w:spacing w:after="0"/>
        <w:rPr>
          <w:sz w:val="20"/>
          <w:szCs w:val="20"/>
          <w:color w:val="auto"/>
        </w:rPr>
      </w:pPr>
      <w:r>
        <w:rPr>
          <w:rFonts w:ascii="Arial" w:cs="Arial" w:eastAsia="Arial" w:hAnsi="Arial"/>
          <w:sz w:val="14"/>
          <w:szCs w:val="14"/>
          <w:i w:val="1"/>
          <w:iCs w:val="1"/>
          <w:color w:val="auto"/>
        </w:rPr>
        <w:t>Institutional Investor Magazine—All-American Executive Team</w:t>
      </w:r>
    </w:p>
    <w:p>
      <w:pPr>
        <w:spacing w:after="0" w:line="118"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GOVERNANCE AND BOARD OVERVIEW</w:t>
      </w:r>
    </w:p>
    <w:p>
      <w:pPr>
        <w:spacing w:after="0" w:line="25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Governance and Board Overview</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NOMINEES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Borders>
              <w:bottom w:val="single" w:sz="8" w:color="CE0F2C"/>
            </w:tcBorders>
            <w:shd w:val="clear" w:color="auto" w:fill="ECEDEF"/>
          </w:tcPr>
          <w:p>
            <w:pPr>
              <w:spacing w:after="0"/>
              <w:rPr>
                <w:sz w:val="15"/>
                <w:szCs w:val="15"/>
                <w:color w:val="auto"/>
              </w:rPr>
            </w:pPr>
          </w:p>
        </w:tc>
        <w:tc>
          <w:tcPr>
            <w:tcW w:w="3540" w:type="dxa"/>
            <w:vAlign w:val="bottom"/>
            <w:tcBorders>
              <w:bottom w:val="single" w:sz="8" w:color="CE0F2C"/>
            </w:tcBorders>
            <w:gridSpan w:val="5"/>
            <w:shd w:val="clear" w:color="auto" w:fill="ECEDEF"/>
          </w:tcPr>
          <w:p>
            <w:pPr>
              <w:ind w:left="1720"/>
              <w:spacing w:after="0"/>
              <w:rPr>
                <w:sz w:val="20"/>
                <w:szCs w:val="20"/>
                <w:color w:val="auto"/>
              </w:rPr>
            </w:pPr>
            <w:r>
              <w:rPr>
                <w:rFonts w:ascii="Arial" w:cs="Arial" w:eastAsia="Arial" w:hAnsi="Arial"/>
                <w:sz w:val="12"/>
                <w:szCs w:val="12"/>
                <w:b w:val="1"/>
                <w:bCs w:val="1"/>
                <w:color w:val="404040"/>
              </w:rPr>
              <w:t>Skills and Expertise</w:t>
            </w:r>
          </w:p>
        </w:tc>
        <w:tc>
          <w:tcPr>
            <w:tcW w:w="160" w:type="dxa"/>
            <w:vAlign w:val="bottom"/>
            <w:tcBorders>
              <w:bottom w:val="single" w:sz="8" w:color="CE0F2C"/>
            </w:tcBorders>
            <w:shd w:val="clear" w:color="auto" w:fill="ECEDEF"/>
          </w:tcPr>
          <w:p>
            <w:pPr>
              <w:spacing w:after="0"/>
              <w:rPr>
                <w:sz w:val="15"/>
                <w:szCs w:val="15"/>
                <w:color w:val="auto"/>
              </w:rPr>
            </w:pPr>
          </w:p>
        </w:tc>
        <w:tc>
          <w:tcPr>
            <w:tcW w:w="660" w:type="dxa"/>
            <w:vAlign w:val="bottom"/>
            <w:tcBorders>
              <w:bottom w:val="single" w:sz="8" w:color="CE0F2C"/>
            </w:tcBorders>
            <w:shd w:val="clear" w:color="auto" w:fill="ECEDEF"/>
          </w:tcPr>
          <w:p>
            <w:pPr>
              <w:spacing w:after="0"/>
              <w:rPr>
                <w:sz w:val="15"/>
                <w:szCs w:val="15"/>
                <w:color w:val="auto"/>
              </w:rPr>
            </w:pPr>
          </w:p>
        </w:tc>
        <w:tc>
          <w:tcPr>
            <w:tcW w:w="160" w:type="dxa"/>
            <w:vAlign w:val="bottom"/>
            <w:tcBorders>
              <w:bottom w:val="single" w:sz="8" w:color="CE0F2C"/>
            </w:tcBorders>
            <w:shd w:val="clear" w:color="auto" w:fill="ECEDEF"/>
          </w:tcPr>
          <w:p>
            <w:pPr>
              <w:spacing w:after="0"/>
              <w:rPr>
                <w:sz w:val="15"/>
                <w:szCs w:val="15"/>
                <w:color w:val="auto"/>
              </w:rPr>
            </w:pPr>
          </w:p>
        </w:tc>
        <w:tc>
          <w:tcPr>
            <w:tcW w:w="740" w:type="dxa"/>
            <w:vAlign w:val="bottom"/>
            <w:tcBorders>
              <w:bottom w:val="single" w:sz="8" w:color="CE0F2C"/>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780" w:type="dxa"/>
            <w:vAlign w:val="bottom"/>
          </w:tcPr>
          <w:p>
            <w:pPr>
              <w:spacing w:after="0"/>
              <w:rPr>
                <w:sz w:val="11"/>
                <w:szCs w:val="11"/>
                <w:color w:val="auto"/>
              </w:rPr>
            </w:pPr>
          </w:p>
        </w:tc>
        <w:tc>
          <w:tcPr>
            <w:tcW w:w="740" w:type="dxa"/>
            <w:vAlign w:val="bottom"/>
            <w:vMerge w:val="restart"/>
          </w:tcPr>
          <w:p>
            <w:pPr>
              <w:jc w:val="right"/>
              <w:ind w:right="69"/>
              <w:spacing w:after="0"/>
              <w:rPr>
                <w:sz w:val="20"/>
                <w:szCs w:val="20"/>
                <w:color w:val="auto"/>
              </w:rPr>
            </w:pPr>
            <w:r>
              <w:rPr>
                <w:rFonts w:ascii="Arial" w:cs="Arial" w:eastAsia="Arial" w:hAnsi="Arial"/>
                <w:sz w:val="12"/>
                <w:szCs w:val="12"/>
                <w:b w:val="1"/>
                <w:bCs w:val="1"/>
                <w:color w:val="404040"/>
              </w:rPr>
              <w:t>Director</w:t>
            </w:r>
          </w:p>
        </w:tc>
        <w:tc>
          <w:tcPr>
            <w:tcW w:w="800" w:type="dxa"/>
            <w:vAlign w:val="bottom"/>
          </w:tcPr>
          <w:p>
            <w:pPr>
              <w:jc w:val="center"/>
              <w:ind w:right="10"/>
              <w:spacing w:after="0" w:line="132" w:lineRule="exact"/>
              <w:rPr>
                <w:sz w:val="20"/>
                <w:szCs w:val="20"/>
                <w:color w:val="auto"/>
              </w:rPr>
            </w:pPr>
            <w:r>
              <w:rPr>
                <w:rFonts w:ascii="Arial" w:cs="Arial" w:eastAsia="Arial" w:hAnsi="Arial"/>
                <w:sz w:val="12"/>
                <w:szCs w:val="12"/>
                <w:b w:val="1"/>
                <w:bCs w:val="1"/>
                <w:color w:val="404040"/>
                <w:w w:val="99"/>
              </w:rPr>
              <w:t>Other</w:t>
            </w:r>
          </w:p>
        </w:tc>
        <w:tc>
          <w:tcPr>
            <w:tcW w:w="660" w:type="dxa"/>
            <w:vAlign w:val="bottom"/>
            <w:shd w:val="clear" w:color="auto" w:fill="ECEDEF"/>
          </w:tcPr>
          <w:p>
            <w:pPr>
              <w:spacing w:after="0"/>
              <w:rPr>
                <w:sz w:val="11"/>
                <w:szCs w:val="11"/>
                <w:color w:val="auto"/>
              </w:rPr>
            </w:pPr>
          </w:p>
        </w:tc>
        <w:tc>
          <w:tcPr>
            <w:tcW w:w="1780" w:type="dxa"/>
            <w:vAlign w:val="bottom"/>
            <w:shd w:val="clear" w:color="auto" w:fill="ECEDEF"/>
          </w:tcPr>
          <w:p>
            <w:pPr>
              <w:spacing w:after="0"/>
              <w:rPr>
                <w:sz w:val="11"/>
                <w:szCs w:val="11"/>
                <w:color w:val="auto"/>
              </w:rPr>
            </w:pPr>
          </w:p>
        </w:tc>
        <w:tc>
          <w:tcPr>
            <w:tcW w:w="140" w:type="dxa"/>
            <w:vAlign w:val="bottom"/>
            <w:shd w:val="clear" w:color="auto" w:fill="ECEDEF"/>
          </w:tcPr>
          <w:p>
            <w:pPr>
              <w:spacing w:after="0"/>
              <w:rPr>
                <w:sz w:val="11"/>
                <w:szCs w:val="11"/>
                <w:color w:val="auto"/>
              </w:rPr>
            </w:pPr>
          </w:p>
        </w:tc>
        <w:tc>
          <w:tcPr>
            <w:tcW w:w="680" w:type="dxa"/>
            <w:vAlign w:val="bottom"/>
            <w:shd w:val="clear" w:color="auto" w:fill="ECEDEF"/>
          </w:tcPr>
          <w:p>
            <w:pPr>
              <w:jc w:val="center"/>
              <w:spacing w:after="0" w:line="132" w:lineRule="exact"/>
              <w:rPr>
                <w:sz w:val="20"/>
                <w:szCs w:val="20"/>
                <w:color w:val="auto"/>
              </w:rPr>
            </w:pPr>
            <w:r>
              <w:rPr>
                <w:rFonts w:ascii="Arial" w:cs="Arial" w:eastAsia="Arial" w:hAnsi="Arial"/>
                <w:sz w:val="12"/>
                <w:szCs w:val="12"/>
                <w:b w:val="1"/>
                <w:bCs w:val="1"/>
                <w:color w:val="404040"/>
              </w:rPr>
              <w:t>Experience</w:t>
            </w:r>
          </w:p>
        </w:tc>
        <w:tc>
          <w:tcPr>
            <w:tcW w:w="140" w:type="dxa"/>
            <w:vAlign w:val="bottom"/>
            <w:shd w:val="clear" w:color="auto" w:fill="ECEDEF"/>
          </w:tcPr>
          <w:p>
            <w:pPr>
              <w:spacing w:after="0"/>
              <w:rPr>
                <w:sz w:val="11"/>
                <w:szCs w:val="11"/>
                <w:color w:val="auto"/>
              </w:rPr>
            </w:pPr>
          </w:p>
        </w:tc>
        <w:tc>
          <w:tcPr>
            <w:tcW w:w="800" w:type="dxa"/>
            <w:vAlign w:val="bottom"/>
            <w:shd w:val="clear" w:color="auto" w:fill="ECEDEF"/>
          </w:tcPr>
          <w:p>
            <w:pPr>
              <w:jc w:val="center"/>
              <w:spacing w:after="0" w:line="132" w:lineRule="exact"/>
              <w:rPr>
                <w:sz w:val="20"/>
                <w:szCs w:val="20"/>
                <w:color w:val="auto"/>
              </w:rPr>
            </w:pPr>
            <w:r>
              <w:rPr>
                <w:rFonts w:ascii="Arial" w:cs="Arial" w:eastAsia="Arial" w:hAnsi="Arial"/>
                <w:sz w:val="12"/>
                <w:szCs w:val="12"/>
                <w:b w:val="1"/>
                <w:bCs w:val="1"/>
                <w:color w:val="404040"/>
              </w:rPr>
              <w:t>Risk</w:t>
            </w:r>
          </w:p>
        </w:tc>
        <w:tc>
          <w:tcPr>
            <w:tcW w:w="160" w:type="dxa"/>
            <w:vAlign w:val="bottom"/>
            <w:shd w:val="clear" w:color="auto" w:fill="ECEDEF"/>
          </w:tcPr>
          <w:p>
            <w:pPr>
              <w:spacing w:after="0"/>
              <w:rPr>
                <w:sz w:val="11"/>
                <w:szCs w:val="11"/>
                <w:color w:val="auto"/>
              </w:rPr>
            </w:pPr>
          </w:p>
        </w:tc>
        <w:tc>
          <w:tcPr>
            <w:tcW w:w="660" w:type="dxa"/>
            <w:vAlign w:val="bottom"/>
            <w:vMerge w:val="restart"/>
            <w:shd w:val="clear" w:color="auto" w:fill="ECEDEF"/>
          </w:tcPr>
          <w:p>
            <w:pPr>
              <w:jc w:val="center"/>
              <w:spacing w:after="0"/>
              <w:rPr>
                <w:sz w:val="20"/>
                <w:szCs w:val="20"/>
                <w:color w:val="auto"/>
              </w:rPr>
            </w:pPr>
            <w:r>
              <w:rPr>
                <w:rFonts w:ascii="Arial" w:cs="Arial" w:eastAsia="Arial" w:hAnsi="Arial"/>
                <w:sz w:val="12"/>
                <w:szCs w:val="12"/>
                <w:b w:val="1"/>
                <w:bCs w:val="1"/>
                <w:color w:val="404040"/>
              </w:rPr>
              <w:t>Senior</w:t>
            </w:r>
          </w:p>
        </w:tc>
        <w:tc>
          <w:tcPr>
            <w:tcW w:w="160" w:type="dxa"/>
            <w:vAlign w:val="bottom"/>
            <w:shd w:val="clear" w:color="auto" w:fill="ECEDEF"/>
          </w:tcPr>
          <w:p>
            <w:pPr>
              <w:spacing w:after="0"/>
              <w:rPr>
                <w:sz w:val="11"/>
                <w:szCs w:val="11"/>
                <w:color w:val="auto"/>
              </w:rPr>
            </w:pPr>
          </w:p>
        </w:tc>
        <w:tc>
          <w:tcPr>
            <w:tcW w:w="740" w:type="dxa"/>
            <w:vAlign w:val="bottom"/>
            <w:shd w:val="clear" w:color="auto" w:fill="ECEDEF"/>
          </w:tcPr>
          <w:p>
            <w:pPr>
              <w:jc w:val="center"/>
              <w:spacing w:after="0" w:line="132" w:lineRule="exact"/>
              <w:rPr>
                <w:sz w:val="20"/>
                <w:szCs w:val="20"/>
                <w:color w:val="auto"/>
              </w:rPr>
            </w:pPr>
            <w:r>
              <w:rPr>
                <w:rFonts w:ascii="Arial" w:cs="Arial" w:eastAsia="Arial" w:hAnsi="Arial"/>
                <w:sz w:val="12"/>
                <w:szCs w:val="12"/>
                <w:b w:val="1"/>
                <w:bCs w:val="1"/>
                <w:color w:val="404040"/>
              </w:rPr>
              <w:t>Technology</w:t>
            </w: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800" w:type="dxa"/>
            <w:vAlign w:val="bottom"/>
            <w:vMerge w:val="restart"/>
          </w:tcPr>
          <w:p>
            <w:pPr>
              <w:jc w:val="center"/>
              <w:ind w:right="10"/>
              <w:spacing w:after="0" w:line="134" w:lineRule="exact"/>
              <w:rPr>
                <w:sz w:val="20"/>
                <w:szCs w:val="20"/>
                <w:color w:val="auto"/>
              </w:rPr>
            </w:pPr>
            <w:r>
              <w:rPr>
                <w:rFonts w:ascii="Arial" w:cs="Arial" w:eastAsia="Arial" w:hAnsi="Arial"/>
                <w:sz w:val="12"/>
                <w:szCs w:val="12"/>
                <w:b w:val="1"/>
                <w:bCs w:val="1"/>
                <w:color w:val="404040"/>
                <w:w w:val="99"/>
              </w:rPr>
              <w:t>Public</w:t>
            </w:r>
          </w:p>
        </w:tc>
        <w:tc>
          <w:tcPr>
            <w:tcW w:w="660" w:type="dxa"/>
            <w:vAlign w:val="bottom"/>
            <w:vMerge w:val="restart"/>
            <w:shd w:val="clear" w:color="auto" w:fill="ECEDEF"/>
          </w:tcPr>
          <w:p>
            <w:pPr>
              <w:ind w:left="80"/>
              <w:spacing w:after="0" w:line="134" w:lineRule="exact"/>
              <w:rPr>
                <w:sz w:val="20"/>
                <w:szCs w:val="20"/>
                <w:color w:val="auto"/>
              </w:rPr>
            </w:pPr>
            <w:r>
              <w:rPr>
                <w:rFonts w:ascii="Arial" w:cs="Arial" w:eastAsia="Arial" w:hAnsi="Arial"/>
                <w:sz w:val="12"/>
                <w:szCs w:val="12"/>
                <w:b w:val="1"/>
                <w:bCs w:val="1"/>
                <w:color w:val="404040"/>
              </w:rPr>
              <w:t>Financial</w:t>
            </w:r>
          </w:p>
        </w:tc>
        <w:tc>
          <w:tcPr>
            <w:tcW w:w="1780" w:type="dxa"/>
            <w:vAlign w:val="bottom"/>
            <w:vMerge w:val="restart"/>
            <w:shd w:val="clear" w:color="auto" w:fill="ECEDEF"/>
          </w:tcPr>
          <w:p>
            <w:pPr>
              <w:ind w:left="140"/>
              <w:spacing w:after="0" w:line="134" w:lineRule="exact"/>
              <w:rPr>
                <w:sz w:val="20"/>
                <w:szCs w:val="20"/>
                <w:color w:val="auto"/>
              </w:rPr>
            </w:pPr>
            <w:r>
              <w:rPr>
                <w:rFonts w:ascii="Arial" w:cs="Arial" w:eastAsia="Arial" w:hAnsi="Arial"/>
                <w:sz w:val="12"/>
                <w:szCs w:val="12"/>
                <w:b w:val="1"/>
                <w:bCs w:val="1"/>
                <w:color w:val="404040"/>
              </w:rPr>
              <w:t>Government  International</w:t>
            </w:r>
          </w:p>
        </w:tc>
        <w:tc>
          <w:tcPr>
            <w:tcW w:w="140" w:type="dxa"/>
            <w:vAlign w:val="bottom"/>
            <w:shd w:val="clear" w:color="auto" w:fill="ECEDEF"/>
          </w:tcPr>
          <w:p>
            <w:pPr>
              <w:spacing w:after="0"/>
              <w:rPr>
                <w:sz w:val="5"/>
                <w:szCs w:val="5"/>
                <w:color w:val="auto"/>
              </w:rPr>
            </w:pPr>
          </w:p>
        </w:tc>
        <w:tc>
          <w:tcPr>
            <w:tcW w:w="680" w:type="dxa"/>
            <w:vAlign w:val="bottom"/>
            <w:vMerge w:val="restart"/>
            <w:shd w:val="clear" w:color="auto" w:fill="ECEDEF"/>
          </w:tcPr>
          <w:p>
            <w:pPr>
              <w:jc w:val="center"/>
              <w:spacing w:after="0" w:line="134" w:lineRule="exact"/>
              <w:rPr>
                <w:sz w:val="20"/>
                <w:szCs w:val="20"/>
                <w:color w:val="auto"/>
              </w:rPr>
            </w:pPr>
            <w:r>
              <w:rPr>
                <w:rFonts w:ascii="Arial" w:cs="Arial" w:eastAsia="Arial" w:hAnsi="Arial"/>
                <w:sz w:val="12"/>
                <w:szCs w:val="12"/>
                <w:b w:val="1"/>
                <w:bCs w:val="1"/>
                <w:color w:val="404040"/>
              </w:rPr>
              <w:t>in</w:t>
            </w:r>
          </w:p>
        </w:tc>
        <w:tc>
          <w:tcPr>
            <w:tcW w:w="140" w:type="dxa"/>
            <w:vAlign w:val="bottom"/>
            <w:shd w:val="clear" w:color="auto" w:fill="ECEDEF"/>
          </w:tcPr>
          <w:p>
            <w:pPr>
              <w:spacing w:after="0"/>
              <w:rPr>
                <w:sz w:val="5"/>
                <w:szCs w:val="5"/>
                <w:color w:val="auto"/>
              </w:rPr>
            </w:pPr>
          </w:p>
        </w:tc>
        <w:tc>
          <w:tcPr>
            <w:tcW w:w="800" w:type="dxa"/>
            <w:vAlign w:val="bottom"/>
            <w:vMerge w:val="restart"/>
            <w:shd w:val="clear" w:color="auto" w:fill="ECEDEF"/>
          </w:tcPr>
          <w:p>
            <w:pPr>
              <w:jc w:val="center"/>
              <w:spacing w:after="0" w:line="134" w:lineRule="exact"/>
              <w:rPr>
                <w:sz w:val="20"/>
                <w:szCs w:val="20"/>
                <w:color w:val="auto"/>
              </w:rPr>
            </w:pPr>
            <w:r>
              <w:rPr>
                <w:rFonts w:ascii="Arial" w:cs="Arial" w:eastAsia="Arial" w:hAnsi="Arial"/>
                <w:sz w:val="12"/>
                <w:szCs w:val="12"/>
                <w:b w:val="1"/>
                <w:bCs w:val="1"/>
                <w:color w:val="404040"/>
              </w:rPr>
              <w:t>Management/</w:t>
            </w:r>
          </w:p>
        </w:tc>
        <w:tc>
          <w:tcPr>
            <w:tcW w:w="160" w:type="dxa"/>
            <w:vAlign w:val="bottom"/>
            <w:shd w:val="clear" w:color="auto" w:fill="ECEDEF"/>
          </w:tcPr>
          <w:p>
            <w:pPr>
              <w:spacing w:after="0"/>
              <w:rPr>
                <w:sz w:val="5"/>
                <w:szCs w:val="5"/>
                <w:color w:val="auto"/>
              </w:rPr>
            </w:pPr>
          </w:p>
        </w:tc>
        <w:tc>
          <w:tcPr>
            <w:tcW w:w="660" w:type="dxa"/>
            <w:vAlign w:val="bottom"/>
            <w:vMerge w:val="continue"/>
            <w:shd w:val="clear" w:color="auto" w:fill="ECEDEF"/>
          </w:tcPr>
          <w:p>
            <w:pPr>
              <w:spacing w:after="0"/>
              <w:rPr>
                <w:sz w:val="5"/>
                <w:szCs w:val="5"/>
                <w:color w:val="auto"/>
              </w:rPr>
            </w:pPr>
          </w:p>
        </w:tc>
        <w:tc>
          <w:tcPr>
            <w:tcW w:w="160" w:type="dxa"/>
            <w:vAlign w:val="bottom"/>
            <w:shd w:val="clear" w:color="auto" w:fill="ECEDEF"/>
          </w:tcPr>
          <w:p>
            <w:pPr>
              <w:spacing w:after="0"/>
              <w:rPr>
                <w:sz w:val="5"/>
                <w:szCs w:val="5"/>
                <w:color w:val="auto"/>
              </w:rPr>
            </w:pPr>
          </w:p>
        </w:tc>
        <w:tc>
          <w:tcPr>
            <w:tcW w:w="740" w:type="dxa"/>
            <w:vAlign w:val="bottom"/>
            <w:vMerge w:val="restart"/>
            <w:shd w:val="clear" w:color="auto" w:fill="ECEDEF"/>
          </w:tcPr>
          <w:p>
            <w:pPr>
              <w:jc w:val="center"/>
              <w:spacing w:after="0" w:line="134" w:lineRule="exact"/>
              <w:rPr>
                <w:sz w:val="20"/>
                <w:szCs w:val="20"/>
                <w:color w:val="auto"/>
              </w:rPr>
            </w:pPr>
            <w:r>
              <w:rPr>
                <w:rFonts w:ascii="Arial" w:cs="Arial" w:eastAsia="Arial" w:hAnsi="Arial"/>
                <w:sz w:val="12"/>
                <w:szCs w:val="12"/>
                <w:b w:val="1"/>
                <w:bCs w:val="1"/>
                <w:color w:val="404040"/>
              </w:rPr>
              <w:t>and</w:t>
            </w:r>
          </w:p>
        </w:tc>
        <w:tc>
          <w:tcPr>
            <w:tcW w:w="0" w:type="dxa"/>
            <w:vAlign w:val="bottom"/>
          </w:tcPr>
          <w:p>
            <w:pPr>
              <w:spacing w:after="0"/>
              <w:rPr>
                <w:sz w:val="1"/>
                <w:szCs w:val="1"/>
                <w:color w:val="auto"/>
              </w:rPr>
            </w:pPr>
          </w:p>
        </w:tc>
      </w:tr>
      <w:tr>
        <w:trPr>
          <w:trHeight w:val="67"/>
        </w:trPr>
        <w:tc>
          <w:tcPr>
            <w:tcW w:w="3780" w:type="dxa"/>
            <w:vAlign w:val="bottom"/>
          </w:tcPr>
          <w:p>
            <w:pPr>
              <w:spacing w:after="0"/>
              <w:rPr>
                <w:sz w:val="5"/>
                <w:szCs w:val="5"/>
                <w:color w:val="auto"/>
              </w:rPr>
            </w:pPr>
          </w:p>
        </w:tc>
        <w:tc>
          <w:tcPr>
            <w:tcW w:w="740" w:type="dxa"/>
            <w:vAlign w:val="bottom"/>
            <w:vMerge w:val="restart"/>
          </w:tcPr>
          <w:p>
            <w:pPr>
              <w:jc w:val="right"/>
              <w:ind w:right="129"/>
              <w:spacing w:after="0"/>
              <w:rPr>
                <w:sz w:val="20"/>
                <w:szCs w:val="20"/>
                <w:color w:val="auto"/>
              </w:rPr>
            </w:pPr>
            <w:r>
              <w:rPr>
                <w:rFonts w:ascii="Arial" w:cs="Arial" w:eastAsia="Arial" w:hAnsi="Arial"/>
                <w:sz w:val="12"/>
                <w:szCs w:val="12"/>
                <w:b w:val="1"/>
                <w:bCs w:val="1"/>
                <w:color w:val="404040"/>
              </w:rPr>
              <w:t>Since*</w:t>
            </w:r>
          </w:p>
        </w:tc>
        <w:tc>
          <w:tcPr>
            <w:tcW w:w="800" w:type="dxa"/>
            <w:vAlign w:val="bottom"/>
            <w:vMerge w:val="continue"/>
          </w:tcPr>
          <w:p>
            <w:pPr>
              <w:spacing w:after="0"/>
              <w:rPr>
                <w:sz w:val="5"/>
                <w:szCs w:val="5"/>
                <w:color w:val="auto"/>
              </w:rPr>
            </w:pPr>
          </w:p>
        </w:tc>
        <w:tc>
          <w:tcPr>
            <w:tcW w:w="660" w:type="dxa"/>
            <w:vAlign w:val="bottom"/>
            <w:vMerge w:val="continue"/>
            <w:shd w:val="clear" w:color="auto" w:fill="ECEDEF"/>
          </w:tcPr>
          <w:p>
            <w:pPr>
              <w:spacing w:after="0"/>
              <w:rPr>
                <w:sz w:val="5"/>
                <w:szCs w:val="5"/>
                <w:color w:val="auto"/>
              </w:rPr>
            </w:pPr>
          </w:p>
        </w:tc>
        <w:tc>
          <w:tcPr>
            <w:tcW w:w="1780" w:type="dxa"/>
            <w:vAlign w:val="bottom"/>
            <w:vMerge w:val="continue"/>
            <w:shd w:val="clear" w:color="auto" w:fill="ECEDEF"/>
          </w:tcPr>
          <w:p>
            <w:pPr>
              <w:spacing w:after="0"/>
              <w:rPr>
                <w:sz w:val="5"/>
                <w:szCs w:val="5"/>
                <w:color w:val="auto"/>
              </w:rPr>
            </w:pPr>
          </w:p>
        </w:tc>
        <w:tc>
          <w:tcPr>
            <w:tcW w:w="140" w:type="dxa"/>
            <w:vAlign w:val="bottom"/>
            <w:shd w:val="clear" w:color="auto" w:fill="ECEDEF"/>
          </w:tcPr>
          <w:p>
            <w:pPr>
              <w:spacing w:after="0"/>
              <w:rPr>
                <w:sz w:val="5"/>
                <w:szCs w:val="5"/>
                <w:color w:val="auto"/>
              </w:rPr>
            </w:pPr>
          </w:p>
        </w:tc>
        <w:tc>
          <w:tcPr>
            <w:tcW w:w="680" w:type="dxa"/>
            <w:vAlign w:val="bottom"/>
            <w:vMerge w:val="continue"/>
            <w:shd w:val="clear" w:color="auto" w:fill="ECEDEF"/>
          </w:tcPr>
          <w:p>
            <w:pPr>
              <w:spacing w:after="0"/>
              <w:rPr>
                <w:sz w:val="5"/>
                <w:szCs w:val="5"/>
                <w:color w:val="auto"/>
              </w:rPr>
            </w:pPr>
          </w:p>
        </w:tc>
        <w:tc>
          <w:tcPr>
            <w:tcW w:w="140" w:type="dxa"/>
            <w:vAlign w:val="bottom"/>
            <w:shd w:val="clear" w:color="auto" w:fill="ECEDEF"/>
          </w:tcPr>
          <w:p>
            <w:pPr>
              <w:spacing w:after="0"/>
              <w:rPr>
                <w:sz w:val="5"/>
                <w:szCs w:val="5"/>
                <w:color w:val="auto"/>
              </w:rPr>
            </w:pPr>
          </w:p>
        </w:tc>
        <w:tc>
          <w:tcPr>
            <w:tcW w:w="800" w:type="dxa"/>
            <w:vAlign w:val="bottom"/>
            <w:vMerge w:val="continue"/>
            <w:shd w:val="clear" w:color="auto" w:fill="ECEDEF"/>
          </w:tcPr>
          <w:p>
            <w:pPr>
              <w:spacing w:after="0"/>
              <w:rPr>
                <w:sz w:val="5"/>
                <w:szCs w:val="5"/>
                <w:color w:val="auto"/>
              </w:rPr>
            </w:pPr>
          </w:p>
        </w:tc>
        <w:tc>
          <w:tcPr>
            <w:tcW w:w="160" w:type="dxa"/>
            <w:vAlign w:val="bottom"/>
            <w:shd w:val="clear" w:color="auto" w:fill="ECEDEF"/>
          </w:tcPr>
          <w:p>
            <w:pPr>
              <w:spacing w:after="0"/>
              <w:rPr>
                <w:sz w:val="5"/>
                <w:szCs w:val="5"/>
                <w:color w:val="auto"/>
              </w:rPr>
            </w:pPr>
          </w:p>
        </w:tc>
        <w:tc>
          <w:tcPr>
            <w:tcW w:w="660" w:type="dxa"/>
            <w:vAlign w:val="bottom"/>
            <w:vMerge w:val="restart"/>
            <w:shd w:val="clear" w:color="auto" w:fill="ECEDEF"/>
          </w:tcPr>
          <w:p>
            <w:pPr>
              <w:jc w:val="center"/>
              <w:spacing w:after="0"/>
              <w:rPr>
                <w:sz w:val="20"/>
                <w:szCs w:val="20"/>
                <w:color w:val="auto"/>
              </w:rPr>
            </w:pPr>
            <w:r>
              <w:rPr>
                <w:rFonts w:ascii="Arial" w:cs="Arial" w:eastAsia="Arial" w:hAnsi="Arial"/>
                <w:sz w:val="12"/>
                <w:szCs w:val="12"/>
                <w:b w:val="1"/>
                <w:bCs w:val="1"/>
                <w:color w:val="404040"/>
              </w:rPr>
              <w:t>Leadership</w:t>
            </w:r>
          </w:p>
        </w:tc>
        <w:tc>
          <w:tcPr>
            <w:tcW w:w="160" w:type="dxa"/>
            <w:vAlign w:val="bottom"/>
            <w:shd w:val="clear" w:color="auto" w:fill="ECEDEF"/>
          </w:tcPr>
          <w:p>
            <w:pPr>
              <w:spacing w:after="0"/>
              <w:rPr>
                <w:sz w:val="5"/>
                <w:szCs w:val="5"/>
                <w:color w:val="auto"/>
              </w:rPr>
            </w:pPr>
          </w:p>
        </w:tc>
        <w:tc>
          <w:tcPr>
            <w:tcW w:w="740" w:type="dxa"/>
            <w:vAlign w:val="bottom"/>
            <w:vMerge w:val="continue"/>
            <w:shd w:val="clear" w:color="auto" w:fill="ECEDEF"/>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3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00" w:type="dxa"/>
            <w:vAlign w:val="bottom"/>
            <w:vMerge w:val="restart"/>
          </w:tcPr>
          <w:p>
            <w:pPr>
              <w:jc w:val="center"/>
              <w:ind w:right="10"/>
              <w:spacing w:after="0"/>
              <w:rPr>
                <w:sz w:val="20"/>
                <w:szCs w:val="20"/>
                <w:color w:val="auto"/>
              </w:rPr>
            </w:pPr>
            <w:r>
              <w:rPr>
                <w:rFonts w:ascii="Arial" w:cs="Arial" w:eastAsia="Arial" w:hAnsi="Arial"/>
                <w:sz w:val="12"/>
                <w:szCs w:val="12"/>
                <w:b w:val="1"/>
                <w:bCs w:val="1"/>
                <w:color w:val="404040"/>
              </w:rPr>
              <w:t>Boards</w:t>
            </w:r>
          </w:p>
        </w:tc>
        <w:tc>
          <w:tcPr>
            <w:tcW w:w="660" w:type="dxa"/>
            <w:vAlign w:val="bottom"/>
            <w:shd w:val="clear" w:color="auto" w:fill="ECEDEF"/>
          </w:tcPr>
          <w:p>
            <w:pPr>
              <w:spacing w:after="0"/>
              <w:rPr>
                <w:sz w:val="8"/>
                <w:szCs w:val="8"/>
                <w:color w:val="auto"/>
              </w:rPr>
            </w:pPr>
          </w:p>
        </w:tc>
        <w:tc>
          <w:tcPr>
            <w:tcW w:w="1780" w:type="dxa"/>
            <w:vAlign w:val="bottom"/>
            <w:shd w:val="clear" w:color="auto" w:fill="ECEDEF"/>
          </w:tcPr>
          <w:p>
            <w:pPr>
              <w:spacing w:after="0"/>
              <w:rPr>
                <w:sz w:val="8"/>
                <w:szCs w:val="8"/>
                <w:color w:val="auto"/>
              </w:rPr>
            </w:pPr>
          </w:p>
        </w:tc>
        <w:tc>
          <w:tcPr>
            <w:tcW w:w="140" w:type="dxa"/>
            <w:vAlign w:val="bottom"/>
            <w:shd w:val="clear" w:color="auto" w:fill="ECEDEF"/>
          </w:tcPr>
          <w:p>
            <w:pPr>
              <w:spacing w:after="0"/>
              <w:rPr>
                <w:sz w:val="8"/>
                <w:szCs w:val="8"/>
                <w:color w:val="auto"/>
              </w:rPr>
            </w:pPr>
          </w:p>
        </w:tc>
        <w:tc>
          <w:tcPr>
            <w:tcW w:w="680" w:type="dxa"/>
            <w:vAlign w:val="bottom"/>
            <w:vMerge w:val="restart"/>
            <w:shd w:val="clear" w:color="auto" w:fill="ECEDEF"/>
          </w:tcPr>
          <w:p>
            <w:pPr>
              <w:jc w:val="center"/>
              <w:spacing w:after="0"/>
              <w:rPr>
                <w:sz w:val="20"/>
                <w:szCs w:val="20"/>
                <w:color w:val="auto"/>
              </w:rPr>
            </w:pPr>
            <w:r>
              <w:rPr>
                <w:rFonts w:ascii="Arial" w:cs="Arial" w:eastAsia="Arial" w:hAnsi="Arial"/>
                <w:sz w:val="12"/>
                <w:szCs w:val="12"/>
                <w:b w:val="1"/>
                <w:bCs w:val="1"/>
                <w:color w:val="404040"/>
              </w:rPr>
              <w:t>Industry</w:t>
            </w:r>
          </w:p>
        </w:tc>
        <w:tc>
          <w:tcPr>
            <w:tcW w:w="140" w:type="dxa"/>
            <w:vAlign w:val="bottom"/>
            <w:shd w:val="clear" w:color="auto" w:fill="ECEDEF"/>
          </w:tcPr>
          <w:p>
            <w:pPr>
              <w:spacing w:after="0"/>
              <w:rPr>
                <w:sz w:val="8"/>
                <w:szCs w:val="8"/>
                <w:color w:val="auto"/>
              </w:rPr>
            </w:pPr>
          </w:p>
        </w:tc>
        <w:tc>
          <w:tcPr>
            <w:tcW w:w="800" w:type="dxa"/>
            <w:vAlign w:val="bottom"/>
            <w:vMerge w:val="restart"/>
            <w:shd w:val="clear" w:color="auto" w:fill="ECEDEF"/>
          </w:tcPr>
          <w:p>
            <w:pPr>
              <w:jc w:val="center"/>
              <w:spacing w:after="0"/>
              <w:rPr>
                <w:sz w:val="20"/>
                <w:szCs w:val="20"/>
                <w:color w:val="auto"/>
              </w:rPr>
            </w:pPr>
            <w:r>
              <w:rPr>
                <w:rFonts w:ascii="Arial" w:cs="Arial" w:eastAsia="Arial" w:hAnsi="Arial"/>
                <w:sz w:val="12"/>
                <w:szCs w:val="12"/>
                <w:b w:val="1"/>
                <w:bCs w:val="1"/>
                <w:color w:val="404040"/>
              </w:rPr>
              <w:t>Oversight</w:t>
            </w:r>
          </w:p>
        </w:tc>
        <w:tc>
          <w:tcPr>
            <w:tcW w:w="160" w:type="dxa"/>
            <w:vAlign w:val="bottom"/>
            <w:shd w:val="clear" w:color="auto" w:fill="ECEDEF"/>
          </w:tcPr>
          <w:p>
            <w:pPr>
              <w:spacing w:after="0"/>
              <w:rPr>
                <w:sz w:val="8"/>
                <w:szCs w:val="8"/>
                <w:color w:val="auto"/>
              </w:rPr>
            </w:pPr>
          </w:p>
        </w:tc>
        <w:tc>
          <w:tcPr>
            <w:tcW w:w="660" w:type="dxa"/>
            <w:vAlign w:val="bottom"/>
            <w:vMerge w:val="continue"/>
            <w:shd w:val="clear" w:color="auto" w:fill="ECEDEF"/>
          </w:tcPr>
          <w:p>
            <w:pPr>
              <w:spacing w:after="0"/>
              <w:rPr>
                <w:sz w:val="8"/>
                <w:szCs w:val="8"/>
                <w:color w:val="auto"/>
              </w:rPr>
            </w:pPr>
          </w:p>
        </w:tc>
        <w:tc>
          <w:tcPr>
            <w:tcW w:w="160" w:type="dxa"/>
            <w:vAlign w:val="bottom"/>
            <w:shd w:val="clear" w:color="auto" w:fill="ECEDEF"/>
          </w:tcPr>
          <w:p>
            <w:pPr>
              <w:spacing w:after="0"/>
              <w:rPr>
                <w:sz w:val="8"/>
                <w:szCs w:val="8"/>
                <w:color w:val="auto"/>
              </w:rPr>
            </w:pPr>
          </w:p>
        </w:tc>
        <w:tc>
          <w:tcPr>
            <w:tcW w:w="740" w:type="dxa"/>
            <w:vAlign w:val="bottom"/>
            <w:vMerge w:val="restart"/>
            <w:shd w:val="clear" w:color="auto" w:fill="ECEDEF"/>
          </w:tcPr>
          <w:p>
            <w:pPr>
              <w:jc w:val="center"/>
              <w:spacing w:after="0"/>
              <w:rPr>
                <w:sz w:val="20"/>
                <w:szCs w:val="20"/>
                <w:color w:val="auto"/>
              </w:rPr>
            </w:pPr>
            <w:r>
              <w:rPr>
                <w:rFonts w:ascii="Arial" w:cs="Arial" w:eastAsia="Arial" w:hAnsi="Arial"/>
                <w:sz w:val="12"/>
                <w:szCs w:val="12"/>
                <w:b w:val="1"/>
                <w:bCs w:val="1"/>
                <w:color w:val="404040"/>
              </w:rPr>
              <w:t>Innovation</w:t>
            </w:r>
          </w:p>
        </w:tc>
        <w:tc>
          <w:tcPr>
            <w:tcW w:w="0" w:type="dxa"/>
            <w:vAlign w:val="bottom"/>
          </w:tcPr>
          <w:p>
            <w:pPr>
              <w:spacing w:after="0"/>
              <w:rPr>
                <w:sz w:val="1"/>
                <w:szCs w:val="1"/>
                <w:color w:val="auto"/>
              </w:rPr>
            </w:pPr>
          </w:p>
        </w:tc>
      </w:tr>
      <w:tr>
        <w:trPr>
          <w:trHeight w:val="91"/>
        </w:trPr>
        <w:tc>
          <w:tcPr>
            <w:tcW w:w="3780" w:type="dxa"/>
            <w:vAlign w:val="bottom"/>
            <w:tcBorders>
              <w:bottom w:val="single" w:sz="8" w:color="CE0F2C"/>
            </w:tcBorders>
          </w:tcPr>
          <w:p>
            <w:pPr>
              <w:spacing w:after="0"/>
              <w:rPr>
                <w:sz w:val="7"/>
                <w:szCs w:val="7"/>
                <w:color w:val="auto"/>
              </w:rPr>
            </w:pPr>
          </w:p>
        </w:tc>
        <w:tc>
          <w:tcPr>
            <w:tcW w:w="740" w:type="dxa"/>
            <w:vAlign w:val="bottom"/>
            <w:tcBorders>
              <w:bottom w:val="single" w:sz="8" w:color="CE0F2C"/>
            </w:tcBorders>
          </w:tcPr>
          <w:p>
            <w:pPr>
              <w:spacing w:after="0"/>
              <w:rPr>
                <w:sz w:val="7"/>
                <w:szCs w:val="7"/>
                <w:color w:val="auto"/>
              </w:rPr>
            </w:pPr>
          </w:p>
        </w:tc>
        <w:tc>
          <w:tcPr>
            <w:tcW w:w="800" w:type="dxa"/>
            <w:vAlign w:val="bottom"/>
            <w:tcBorders>
              <w:bottom w:val="single" w:sz="8" w:color="CE0F2C"/>
            </w:tcBorders>
            <w:vMerge w:val="continue"/>
          </w:tcPr>
          <w:p>
            <w:pPr>
              <w:spacing w:after="0"/>
              <w:rPr>
                <w:sz w:val="7"/>
                <w:szCs w:val="7"/>
                <w:color w:val="auto"/>
              </w:rPr>
            </w:pPr>
          </w:p>
        </w:tc>
        <w:tc>
          <w:tcPr>
            <w:tcW w:w="660" w:type="dxa"/>
            <w:vAlign w:val="bottom"/>
            <w:tcBorders>
              <w:bottom w:val="single" w:sz="8" w:color="CE0F2C"/>
            </w:tcBorders>
            <w:shd w:val="clear" w:color="auto" w:fill="ECEDEF"/>
          </w:tcPr>
          <w:p>
            <w:pPr>
              <w:spacing w:after="0"/>
              <w:rPr>
                <w:sz w:val="7"/>
                <w:szCs w:val="7"/>
                <w:color w:val="auto"/>
              </w:rPr>
            </w:pPr>
          </w:p>
        </w:tc>
        <w:tc>
          <w:tcPr>
            <w:tcW w:w="1780" w:type="dxa"/>
            <w:vAlign w:val="bottom"/>
            <w:tcBorders>
              <w:bottom w:val="single" w:sz="8" w:color="CE0F2C"/>
            </w:tcBorders>
            <w:shd w:val="clear" w:color="auto" w:fill="ECEDEF"/>
          </w:tcPr>
          <w:p>
            <w:pPr>
              <w:spacing w:after="0"/>
              <w:rPr>
                <w:sz w:val="7"/>
                <w:szCs w:val="7"/>
                <w:color w:val="auto"/>
              </w:rPr>
            </w:pPr>
          </w:p>
        </w:tc>
        <w:tc>
          <w:tcPr>
            <w:tcW w:w="140" w:type="dxa"/>
            <w:vAlign w:val="bottom"/>
            <w:tcBorders>
              <w:bottom w:val="single" w:sz="8" w:color="CE0F2C"/>
            </w:tcBorders>
            <w:shd w:val="clear" w:color="auto" w:fill="ECEDEF"/>
          </w:tcPr>
          <w:p>
            <w:pPr>
              <w:spacing w:after="0"/>
              <w:rPr>
                <w:sz w:val="7"/>
                <w:szCs w:val="7"/>
                <w:color w:val="auto"/>
              </w:rPr>
            </w:pPr>
          </w:p>
        </w:tc>
        <w:tc>
          <w:tcPr>
            <w:tcW w:w="680" w:type="dxa"/>
            <w:vAlign w:val="bottom"/>
            <w:tcBorders>
              <w:bottom w:val="single" w:sz="8" w:color="CE0F2C"/>
            </w:tcBorders>
            <w:vMerge w:val="continue"/>
            <w:shd w:val="clear" w:color="auto" w:fill="ECEDEF"/>
          </w:tcPr>
          <w:p>
            <w:pPr>
              <w:spacing w:after="0"/>
              <w:rPr>
                <w:sz w:val="7"/>
                <w:szCs w:val="7"/>
                <w:color w:val="auto"/>
              </w:rPr>
            </w:pPr>
          </w:p>
        </w:tc>
        <w:tc>
          <w:tcPr>
            <w:tcW w:w="140" w:type="dxa"/>
            <w:vAlign w:val="bottom"/>
            <w:tcBorders>
              <w:bottom w:val="single" w:sz="8" w:color="CE0F2C"/>
            </w:tcBorders>
            <w:shd w:val="clear" w:color="auto" w:fill="ECEDEF"/>
          </w:tcPr>
          <w:p>
            <w:pPr>
              <w:spacing w:after="0"/>
              <w:rPr>
                <w:sz w:val="7"/>
                <w:szCs w:val="7"/>
                <w:color w:val="auto"/>
              </w:rPr>
            </w:pPr>
          </w:p>
        </w:tc>
        <w:tc>
          <w:tcPr>
            <w:tcW w:w="800" w:type="dxa"/>
            <w:vAlign w:val="bottom"/>
            <w:tcBorders>
              <w:bottom w:val="single" w:sz="8" w:color="CE0F2C"/>
            </w:tcBorders>
            <w:vMerge w:val="continue"/>
            <w:shd w:val="clear" w:color="auto" w:fill="ECEDEF"/>
          </w:tcPr>
          <w:p>
            <w:pPr>
              <w:spacing w:after="0"/>
              <w:rPr>
                <w:sz w:val="7"/>
                <w:szCs w:val="7"/>
                <w:color w:val="auto"/>
              </w:rPr>
            </w:pPr>
          </w:p>
        </w:tc>
        <w:tc>
          <w:tcPr>
            <w:tcW w:w="160" w:type="dxa"/>
            <w:vAlign w:val="bottom"/>
            <w:tcBorders>
              <w:bottom w:val="single" w:sz="8" w:color="CE0F2C"/>
            </w:tcBorders>
            <w:shd w:val="clear" w:color="auto" w:fill="ECEDEF"/>
          </w:tcPr>
          <w:p>
            <w:pPr>
              <w:spacing w:after="0"/>
              <w:rPr>
                <w:sz w:val="7"/>
                <w:szCs w:val="7"/>
                <w:color w:val="auto"/>
              </w:rPr>
            </w:pPr>
          </w:p>
        </w:tc>
        <w:tc>
          <w:tcPr>
            <w:tcW w:w="660" w:type="dxa"/>
            <w:vAlign w:val="bottom"/>
            <w:tcBorders>
              <w:bottom w:val="single" w:sz="8" w:color="CE0F2C"/>
            </w:tcBorders>
            <w:shd w:val="clear" w:color="auto" w:fill="ECEDEF"/>
          </w:tcPr>
          <w:p>
            <w:pPr>
              <w:spacing w:after="0"/>
              <w:rPr>
                <w:sz w:val="7"/>
                <w:szCs w:val="7"/>
                <w:color w:val="auto"/>
              </w:rPr>
            </w:pPr>
          </w:p>
        </w:tc>
        <w:tc>
          <w:tcPr>
            <w:tcW w:w="160" w:type="dxa"/>
            <w:vAlign w:val="bottom"/>
            <w:tcBorders>
              <w:bottom w:val="single" w:sz="8" w:color="CE0F2C"/>
            </w:tcBorders>
            <w:shd w:val="clear" w:color="auto" w:fill="ECEDEF"/>
          </w:tcPr>
          <w:p>
            <w:pPr>
              <w:spacing w:after="0"/>
              <w:rPr>
                <w:sz w:val="7"/>
                <w:szCs w:val="7"/>
                <w:color w:val="auto"/>
              </w:rPr>
            </w:pPr>
          </w:p>
        </w:tc>
        <w:tc>
          <w:tcPr>
            <w:tcW w:w="740" w:type="dxa"/>
            <w:vAlign w:val="bottom"/>
            <w:tcBorders>
              <w:bottom w:val="single" w:sz="8" w:color="CE0F2C"/>
            </w:tcBorders>
            <w:vMerge w:val="continue"/>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TRACY A. ATKINSON</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Retired Executive Vice President &amp; Chief</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Administrative Officer, State Street</w:t>
            </w: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(2014)</w:t>
            </w:r>
          </w:p>
        </w:tc>
        <w:tc>
          <w:tcPr>
            <w:tcW w:w="800" w:type="dxa"/>
            <w:vAlign w:val="bottom"/>
            <w:vMerge w:val="continue"/>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7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3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Corporation</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7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BERNARD A. HARRIS, JR.</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Chief Executive Officer and Managing Partner</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2021</w:t>
            </w:r>
          </w:p>
        </w:tc>
        <w:tc>
          <w:tcPr>
            <w:tcW w:w="800" w:type="dxa"/>
            <w:vAlign w:val="bottom"/>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Vesalius Ventures, Inc.</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7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GREGORY J. HAYES</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Chairman &amp; Chief Executive Officer, Raytheon</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2014</w:t>
            </w:r>
          </w:p>
        </w:tc>
        <w:tc>
          <w:tcPr>
            <w:tcW w:w="800" w:type="dxa"/>
            <w:vAlign w:val="bottom"/>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Technologies Corporation</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7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GEORGE R. OLIVER</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Chairman &amp; Chief Executive Officer, Johnson</w:t>
            </w:r>
          </w:p>
        </w:tc>
        <w:tc>
          <w:tcPr>
            <w:tcW w:w="740" w:type="dxa"/>
            <w:vAlign w:val="bottom"/>
            <w:vMerge w:val="continue"/>
          </w:tcPr>
          <w:p>
            <w:pPr>
              <w:spacing w:after="0"/>
              <w:rPr>
                <w:sz w:val="9"/>
                <w:szCs w:val="9"/>
                <w:color w:val="auto"/>
              </w:rPr>
            </w:pP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9"/>
                <w:szCs w:val="9"/>
                <w:color w:val="auto"/>
              </w:rPr>
            </w:pPr>
          </w:p>
        </w:tc>
        <w:tc>
          <w:tcPr>
            <w:tcW w:w="1780" w:type="dxa"/>
            <w:vAlign w:val="bottom"/>
            <w:shd w:val="clear" w:color="auto" w:fill="ECEDEF"/>
          </w:tcPr>
          <w:p>
            <w:pPr>
              <w:spacing w:after="0"/>
              <w:rPr>
                <w:sz w:val="9"/>
                <w:szCs w:val="9"/>
                <w:color w:val="auto"/>
              </w:rPr>
            </w:pPr>
          </w:p>
        </w:tc>
        <w:tc>
          <w:tcPr>
            <w:tcW w:w="140" w:type="dxa"/>
            <w:vAlign w:val="bottom"/>
            <w:shd w:val="clear" w:color="auto" w:fill="ECEDEF"/>
          </w:tcPr>
          <w:p>
            <w:pPr>
              <w:spacing w:after="0"/>
              <w:rPr>
                <w:sz w:val="9"/>
                <w:szCs w:val="9"/>
                <w:color w:val="auto"/>
              </w:rPr>
            </w:pPr>
          </w:p>
        </w:tc>
        <w:tc>
          <w:tcPr>
            <w:tcW w:w="680" w:type="dxa"/>
            <w:vAlign w:val="bottom"/>
            <w:shd w:val="clear" w:color="auto" w:fill="ECEDEF"/>
          </w:tcPr>
          <w:p>
            <w:pPr>
              <w:spacing w:after="0"/>
              <w:rPr>
                <w:sz w:val="9"/>
                <w:szCs w:val="9"/>
                <w:color w:val="auto"/>
              </w:rPr>
            </w:pPr>
          </w:p>
        </w:tc>
        <w:tc>
          <w:tcPr>
            <w:tcW w:w="140" w:type="dxa"/>
            <w:vAlign w:val="bottom"/>
            <w:shd w:val="clear" w:color="auto" w:fill="ECEDEF"/>
          </w:tcPr>
          <w:p>
            <w:pPr>
              <w:spacing w:after="0"/>
              <w:rPr>
                <w:sz w:val="9"/>
                <w:szCs w:val="9"/>
                <w:color w:val="auto"/>
              </w:rPr>
            </w:pPr>
          </w:p>
        </w:tc>
        <w:tc>
          <w:tcPr>
            <w:tcW w:w="800" w:type="dxa"/>
            <w:vAlign w:val="bottom"/>
            <w:shd w:val="clear" w:color="auto" w:fill="ECEDEF"/>
          </w:tcPr>
          <w:p>
            <w:pPr>
              <w:spacing w:after="0"/>
              <w:rPr>
                <w:sz w:val="9"/>
                <w:szCs w:val="9"/>
                <w:color w:val="auto"/>
              </w:rPr>
            </w:pPr>
          </w:p>
        </w:tc>
        <w:tc>
          <w:tcPr>
            <w:tcW w:w="160" w:type="dxa"/>
            <w:vAlign w:val="bottom"/>
            <w:shd w:val="clear" w:color="auto" w:fill="ECEDEF"/>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6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3780" w:type="dxa"/>
            <w:vAlign w:val="bottom"/>
            <w:vMerge w:val="continue"/>
          </w:tcPr>
          <w:p>
            <w:pPr>
              <w:spacing w:after="0"/>
              <w:rPr>
                <w:sz w:val="4"/>
                <w:szCs w:val="4"/>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(2013)</w:t>
            </w:r>
          </w:p>
        </w:tc>
        <w:tc>
          <w:tcPr>
            <w:tcW w:w="800" w:type="dxa"/>
            <w:vAlign w:val="bottom"/>
            <w:vMerge w:val="continue"/>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780" w:type="dxa"/>
            <w:vAlign w:val="bottom"/>
            <w:shd w:val="clear" w:color="auto" w:fill="ECEDEF"/>
          </w:tcPr>
          <w:p>
            <w:pPr>
              <w:spacing w:after="0"/>
              <w:rPr>
                <w:sz w:val="4"/>
                <w:szCs w:val="4"/>
                <w:color w:val="auto"/>
              </w:rPr>
            </w:pPr>
          </w:p>
        </w:tc>
        <w:tc>
          <w:tcPr>
            <w:tcW w:w="140" w:type="dxa"/>
            <w:vAlign w:val="bottom"/>
            <w:shd w:val="clear" w:color="auto" w:fill="ECEDEF"/>
          </w:tcPr>
          <w:p>
            <w:pPr>
              <w:spacing w:after="0"/>
              <w:rPr>
                <w:sz w:val="4"/>
                <w:szCs w:val="4"/>
                <w:color w:val="auto"/>
              </w:rPr>
            </w:pPr>
          </w:p>
        </w:tc>
        <w:tc>
          <w:tcPr>
            <w:tcW w:w="680" w:type="dxa"/>
            <w:vAlign w:val="bottom"/>
            <w:shd w:val="clear" w:color="auto" w:fill="ECEDEF"/>
          </w:tcPr>
          <w:p>
            <w:pPr>
              <w:spacing w:after="0"/>
              <w:rPr>
                <w:sz w:val="4"/>
                <w:szCs w:val="4"/>
                <w:color w:val="auto"/>
              </w:rPr>
            </w:pPr>
          </w:p>
        </w:tc>
        <w:tc>
          <w:tcPr>
            <w:tcW w:w="140" w:type="dxa"/>
            <w:vAlign w:val="bottom"/>
            <w:shd w:val="clear" w:color="auto" w:fill="ECEDEF"/>
          </w:tcPr>
          <w:p>
            <w:pPr>
              <w:spacing w:after="0"/>
              <w:rPr>
                <w:sz w:val="4"/>
                <w:szCs w:val="4"/>
                <w:color w:val="auto"/>
              </w:rPr>
            </w:pPr>
          </w:p>
        </w:tc>
        <w:tc>
          <w:tcPr>
            <w:tcW w:w="800" w:type="dxa"/>
            <w:vAlign w:val="bottom"/>
            <w:shd w:val="clear" w:color="auto" w:fill="ECEDEF"/>
          </w:tcPr>
          <w:p>
            <w:pPr>
              <w:spacing w:after="0"/>
              <w:rPr>
                <w:sz w:val="4"/>
                <w:szCs w:val="4"/>
                <w:color w:val="auto"/>
              </w:rPr>
            </w:pPr>
          </w:p>
        </w:tc>
        <w:tc>
          <w:tcPr>
            <w:tcW w:w="160" w:type="dxa"/>
            <w:vAlign w:val="bottom"/>
            <w:shd w:val="clear" w:color="auto" w:fill="ECEDEF"/>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60" w:type="dxa"/>
            <w:vAlign w:val="bottom"/>
            <w:shd w:val="clear" w:color="auto" w:fill="ECEDEF"/>
          </w:tcPr>
          <w:p>
            <w:pPr>
              <w:spacing w:after="0"/>
              <w:rPr>
                <w:sz w:val="4"/>
                <w:szCs w:val="4"/>
                <w:color w:val="auto"/>
              </w:rPr>
            </w:pPr>
          </w:p>
        </w:tc>
        <w:tc>
          <w:tcPr>
            <w:tcW w:w="740" w:type="dxa"/>
            <w:vAlign w:val="bottom"/>
            <w:shd w:val="clear" w:color="auto" w:fill="ECEDEF"/>
          </w:tcPr>
          <w:p>
            <w:pPr>
              <w:spacing w:after="0"/>
              <w:rPr>
                <w:sz w:val="4"/>
                <w:szCs w:val="4"/>
                <w:color w:val="auto"/>
              </w:rPr>
            </w:pPr>
          </w:p>
        </w:tc>
        <w:tc>
          <w:tcPr>
            <w:tcW w:w="0" w:type="dxa"/>
            <w:vAlign w:val="bottom"/>
          </w:tcPr>
          <w:p>
            <w:pPr>
              <w:spacing w:after="0"/>
              <w:rPr>
                <w:sz w:val="1"/>
                <w:szCs w:val="1"/>
                <w:color w:val="auto"/>
              </w:rPr>
            </w:pPr>
          </w:p>
        </w:tc>
      </w:tr>
      <w:tr>
        <w:trPr>
          <w:trHeight w:val="118"/>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Controls International plc</w:t>
            </w:r>
          </w:p>
        </w:tc>
        <w:tc>
          <w:tcPr>
            <w:tcW w:w="740" w:type="dxa"/>
            <w:vAlign w:val="bottom"/>
            <w:vMerge w:val="continue"/>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shd w:val="clear" w:color="auto" w:fill="ECEDEF"/>
          </w:tcPr>
          <w:p>
            <w:pPr>
              <w:spacing w:after="0"/>
              <w:rPr>
                <w:sz w:val="10"/>
                <w:szCs w:val="10"/>
                <w:color w:val="auto"/>
              </w:rPr>
            </w:pPr>
          </w:p>
        </w:tc>
        <w:tc>
          <w:tcPr>
            <w:tcW w:w="1780" w:type="dxa"/>
            <w:vAlign w:val="bottom"/>
            <w:shd w:val="clear" w:color="auto" w:fill="ECEDEF"/>
          </w:tcPr>
          <w:p>
            <w:pPr>
              <w:spacing w:after="0"/>
              <w:rPr>
                <w:sz w:val="10"/>
                <w:szCs w:val="10"/>
                <w:color w:val="auto"/>
              </w:rPr>
            </w:pPr>
          </w:p>
        </w:tc>
        <w:tc>
          <w:tcPr>
            <w:tcW w:w="140" w:type="dxa"/>
            <w:vAlign w:val="bottom"/>
            <w:shd w:val="clear" w:color="auto" w:fill="ECEDEF"/>
          </w:tcPr>
          <w:p>
            <w:pPr>
              <w:spacing w:after="0"/>
              <w:rPr>
                <w:sz w:val="10"/>
                <w:szCs w:val="10"/>
                <w:color w:val="auto"/>
              </w:rPr>
            </w:pPr>
          </w:p>
        </w:tc>
        <w:tc>
          <w:tcPr>
            <w:tcW w:w="680" w:type="dxa"/>
            <w:vAlign w:val="bottom"/>
            <w:shd w:val="clear" w:color="auto" w:fill="ECEDEF"/>
          </w:tcPr>
          <w:p>
            <w:pPr>
              <w:spacing w:after="0"/>
              <w:rPr>
                <w:sz w:val="10"/>
                <w:szCs w:val="10"/>
                <w:color w:val="auto"/>
              </w:rPr>
            </w:pPr>
          </w:p>
        </w:tc>
        <w:tc>
          <w:tcPr>
            <w:tcW w:w="140" w:type="dxa"/>
            <w:vAlign w:val="bottom"/>
            <w:shd w:val="clear" w:color="auto" w:fill="ECEDEF"/>
          </w:tcPr>
          <w:p>
            <w:pPr>
              <w:spacing w:after="0"/>
              <w:rPr>
                <w:sz w:val="10"/>
                <w:szCs w:val="10"/>
                <w:color w:val="auto"/>
              </w:rPr>
            </w:pPr>
          </w:p>
        </w:tc>
        <w:tc>
          <w:tcPr>
            <w:tcW w:w="800" w:type="dxa"/>
            <w:vAlign w:val="bottom"/>
            <w:shd w:val="clear" w:color="auto" w:fill="ECEDEF"/>
          </w:tcPr>
          <w:p>
            <w:pPr>
              <w:spacing w:after="0"/>
              <w:rPr>
                <w:sz w:val="10"/>
                <w:szCs w:val="10"/>
                <w:color w:val="auto"/>
              </w:rPr>
            </w:pPr>
          </w:p>
        </w:tc>
        <w:tc>
          <w:tcPr>
            <w:tcW w:w="160" w:type="dxa"/>
            <w:vAlign w:val="bottom"/>
            <w:shd w:val="clear" w:color="auto" w:fill="ECEDEF"/>
          </w:tcPr>
          <w:p>
            <w:pPr>
              <w:spacing w:after="0"/>
              <w:rPr>
                <w:sz w:val="10"/>
                <w:szCs w:val="10"/>
                <w:color w:val="auto"/>
              </w:rPr>
            </w:pPr>
          </w:p>
        </w:tc>
        <w:tc>
          <w:tcPr>
            <w:tcW w:w="660" w:type="dxa"/>
            <w:vAlign w:val="bottom"/>
            <w:shd w:val="clear" w:color="auto" w:fill="ECEDEF"/>
          </w:tcPr>
          <w:p>
            <w:pPr>
              <w:spacing w:after="0"/>
              <w:rPr>
                <w:sz w:val="10"/>
                <w:szCs w:val="10"/>
                <w:color w:val="auto"/>
              </w:rPr>
            </w:pPr>
          </w:p>
        </w:tc>
        <w:tc>
          <w:tcPr>
            <w:tcW w:w="160" w:type="dxa"/>
            <w:vAlign w:val="bottom"/>
            <w:shd w:val="clear" w:color="auto" w:fill="ECEDEF"/>
          </w:tcPr>
          <w:p>
            <w:pPr>
              <w:spacing w:after="0"/>
              <w:rPr>
                <w:sz w:val="10"/>
                <w:szCs w:val="10"/>
                <w:color w:val="auto"/>
              </w:rPr>
            </w:pPr>
          </w:p>
        </w:tc>
        <w:tc>
          <w:tcPr>
            <w:tcW w:w="740" w:type="dxa"/>
            <w:vAlign w:val="bottom"/>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378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780" w:type="dxa"/>
            <w:vAlign w:val="bottom"/>
            <w:shd w:val="clear" w:color="auto" w:fill="ECEDEF"/>
          </w:tcPr>
          <w:p>
            <w:pPr>
              <w:spacing w:after="0"/>
              <w:rPr>
                <w:sz w:val="4"/>
                <w:szCs w:val="4"/>
                <w:color w:val="auto"/>
              </w:rPr>
            </w:pPr>
          </w:p>
        </w:tc>
        <w:tc>
          <w:tcPr>
            <w:tcW w:w="140" w:type="dxa"/>
            <w:vAlign w:val="bottom"/>
            <w:shd w:val="clear" w:color="auto" w:fill="ECEDEF"/>
          </w:tcPr>
          <w:p>
            <w:pPr>
              <w:spacing w:after="0"/>
              <w:rPr>
                <w:sz w:val="4"/>
                <w:szCs w:val="4"/>
                <w:color w:val="auto"/>
              </w:rPr>
            </w:pPr>
          </w:p>
        </w:tc>
        <w:tc>
          <w:tcPr>
            <w:tcW w:w="680" w:type="dxa"/>
            <w:vAlign w:val="bottom"/>
            <w:shd w:val="clear" w:color="auto" w:fill="ECEDEF"/>
          </w:tcPr>
          <w:p>
            <w:pPr>
              <w:spacing w:after="0"/>
              <w:rPr>
                <w:sz w:val="4"/>
                <w:szCs w:val="4"/>
                <w:color w:val="auto"/>
              </w:rPr>
            </w:pPr>
          </w:p>
        </w:tc>
        <w:tc>
          <w:tcPr>
            <w:tcW w:w="140" w:type="dxa"/>
            <w:vAlign w:val="bottom"/>
            <w:shd w:val="clear" w:color="auto" w:fill="ECEDEF"/>
          </w:tcPr>
          <w:p>
            <w:pPr>
              <w:spacing w:after="0"/>
              <w:rPr>
                <w:sz w:val="4"/>
                <w:szCs w:val="4"/>
                <w:color w:val="auto"/>
              </w:rPr>
            </w:pPr>
          </w:p>
        </w:tc>
        <w:tc>
          <w:tcPr>
            <w:tcW w:w="800" w:type="dxa"/>
            <w:vAlign w:val="bottom"/>
            <w:shd w:val="clear" w:color="auto" w:fill="ECEDEF"/>
          </w:tcPr>
          <w:p>
            <w:pPr>
              <w:spacing w:after="0"/>
              <w:rPr>
                <w:sz w:val="4"/>
                <w:szCs w:val="4"/>
                <w:color w:val="auto"/>
              </w:rPr>
            </w:pPr>
          </w:p>
        </w:tc>
        <w:tc>
          <w:tcPr>
            <w:tcW w:w="160" w:type="dxa"/>
            <w:vAlign w:val="bottom"/>
            <w:shd w:val="clear" w:color="auto" w:fill="ECEDEF"/>
          </w:tcPr>
          <w:p>
            <w:pPr>
              <w:spacing w:after="0"/>
              <w:rPr>
                <w:sz w:val="4"/>
                <w:szCs w:val="4"/>
                <w:color w:val="auto"/>
              </w:rPr>
            </w:pPr>
          </w:p>
        </w:tc>
        <w:tc>
          <w:tcPr>
            <w:tcW w:w="660" w:type="dxa"/>
            <w:vAlign w:val="bottom"/>
            <w:shd w:val="clear" w:color="auto" w:fill="ECEDEF"/>
          </w:tcPr>
          <w:p>
            <w:pPr>
              <w:spacing w:after="0"/>
              <w:rPr>
                <w:sz w:val="4"/>
                <w:szCs w:val="4"/>
                <w:color w:val="auto"/>
              </w:rPr>
            </w:pPr>
          </w:p>
        </w:tc>
        <w:tc>
          <w:tcPr>
            <w:tcW w:w="160" w:type="dxa"/>
            <w:vAlign w:val="bottom"/>
            <w:shd w:val="clear" w:color="auto" w:fill="ECEDEF"/>
          </w:tcPr>
          <w:p>
            <w:pPr>
              <w:spacing w:after="0"/>
              <w:rPr>
                <w:sz w:val="4"/>
                <w:szCs w:val="4"/>
                <w:color w:val="auto"/>
              </w:rPr>
            </w:pPr>
          </w:p>
        </w:tc>
        <w:tc>
          <w:tcPr>
            <w:tcW w:w="740" w:type="dxa"/>
            <w:vAlign w:val="bottom"/>
            <w:shd w:val="clear" w:color="auto" w:fill="ECEDEF"/>
          </w:tcPr>
          <w:p>
            <w:pPr>
              <w:spacing w:after="0"/>
              <w:rPr>
                <w:sz w:val="4"/>
                <w:szCs w:val="4"/>
                <w:color w:val="auto"/>
              </w:rPr>
            </w:pPr>
          </w:p>
        </w:tc>
        <w:tc>
          <w:tcPr>
            <w:tcW w:w="0" w:type="dxa"/>
            <w:vAlign w:val="bottom"/>
          </w:tcPr>
          <w:p>
            <w:pPr>
              <w:spacing w:after="0"/>
              <w:rPr>
                <w:sz w:val="1"/>
                <w:szCs w:val="1"/>
                <w:color w:val="auto"/>
              </w:rPr>
            </w:pPr>
          </w:p>
        </w:tc>
      </w:tr>
      <w:tr>
        <w:trPr>
          <w:trHeight w:val="79"/>
        </w:trPr>
        <w:tc>
          <w:tcPr>
            <w:tcW w:w="378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shd w:val="clear" w:color="auto" w:fill="ECEDEF"/>
          </w:tcPr>
          <w:p>
            <w:pPr>
              <w:spacing w:after="0"/>
              <w:rPr>
                <w:sz w:val="6"/>
                <w:szCs w:val="6"/>
                <w:color w:val="auto"/>
              </w:rPr>
            </w:pPr>
          </w:p>
        </w:tc>
        <w:tc>
          <w:tcPr>
            <w:tcW w:w="1780" w:type="dxa"/>
            <w:vAlign w:val="bottom"/>
            <w:tcBorders>
              <w:bottom w:val="single" w:sz="8" w:color="auto"/>
            </w:tcBorders>
            <w:shd w:val="clear" w:color="auto" w:fill="ECEDEF"/>
          </w:tcPr>
          <w:p>
            <w:pPr>
              <w:spacing w:after="0"/>
              <w:rPr>
                <w:sz w:val="6"/>
                <w:szCs w:val="6"/>
                <w:color w:val="auto"/>
              </w:rPr>
            </w:pPr>
          </w:p>
        </w:tc>
        <w:tc>
          <w:tcPr>
            <w:tcW w:w="140" w:type="dxa"/>
            <w:vAlign w:val="bottom"/>
            <w:tcBorders>
              <w:bottom w:val="single" w:sz="8" w:color="auto"/>
            </w:tcBorders>
            <w:shd w:val="clear" w:color="auto" w:fill="ECEDEF"/>
          </w:tcPr>
          <w:p>
            <w:pPr>
              <w:spacing w:after="0"/>
              <w:rPr>
                <w:sz w:val="6"/>
                <w:szCs w:val="6"/>
                <w:color w:val="auto"/>
              </w:rPr>
            </w:pPr>
          </w:p>
        </w:tc>
        <w:tc>
          <w:tcPr>
            <w:tcW w:w="680" w:type="dxa"/>
            <w:vAlign w:val="bottom"/>
            <w:tcBorders>
              <w:bottom w:val="single" w:sz="8" w:color="auto"/>
            </w:tcBorders>
            <w:shd w:val="clear" w:color="auto" w:fill="ECEDEF"/>
          </w:tcPr>
          <w:p>
            <w:pPr>
              <w:spacing w:after="0"/>
              <w:rPr>
                <w:sz w:val="6"/>
                <w:szCs w:val="6"/>
                <w:color w:val="auto"/>
              </w:rPr>
            </w:pPr>
          </w:p>
        </w:tc>
        <w:tc>
          <w:tcPr>
            <w:tcW w:w="140" w:type="dxa"/>
            <w:vAlign w:val="bottom"/>
            <w:tcBorders>
              <w:bottom w:val="single" w:sz="8" w:color="auto"/>
            </w:tcBorders>
            <w:shd w:val="clear" w:color="auto" w:fill="ECEDEF"/>
          </w:tcPr>
          <w:p>
            <w:pPr>
              <w:spacing w:after="0"/>
              <w:rPr>
                <w:sz w:val="6"/>
                <w:szCs w:val="6"/>
                <w:color w:val="auto"/>
              </w:rPr>
            </w:pPr>
          </w:p>
        </w:tc>
        <w:tc>
          <w:tcPr>
            <w:tcW w:w="800" w:type="dxa"/>
            <w:vAlign w:val="bottom"/>
            <w:tcBorders>
              <w:bottom w:val="single" w:sz="8" w:color="auto"/>
            </w:tcBorders>
            <w:shd w:val="clear" w:color="auto" w:fill="ECEDEF"/>
          </w:tcPr>
          <w:p>
            <w:pPr>
              <w:spacing w:after="0"/>
              <w:rPr>
                <w:sz w:val="6"/>
                <w:szCs w:val="6"/>
                <w:color w:val="auto"/>
              </w:rPr>
            </w:pPr>
          </w:p>
        </w:tc>
        <w:tc>
          <w:tcPr>
            <w:tcW w:w="160" w:type="dxa"/>
            <w:vAlign w:val="bottom"/>
            <w:tcBorders>
              <w:bottom w:val="single" w:sz="8" w:color="auto"/>
            </w:tcBorders>
            <w:shd w:val="clear" w:color="auto" w:fill="ECEDEF"/>
          </w:tcPr>
          <w:p>
            <w:pPr>
              <w:spacing w:after="0"/>
              <w:rPr>
                <w:sz w:val="6"/>
                <w:szCs w:val="6"/>
                <w:color w:val="auto"/>
              </w:rPr>
            </w:pPr>
          </w:p>
        </w:tc>
        <w:tc>
          <w:tcPr>
            <w:tcW w:w="660" w:type="dxa"/>
            <w:vAlign w:val="bottom"/>
            <w:tcBorders>
              <w:bottom w:val="single" w:sz="8" w:color="auto"/>
            </w:tcBorders>
            <w:shd w:val="clear" w:color="auto" w:fill="ECEDEF"/>
          </w:tcPr>
          <w:p>
            <w:pPr>
              <w:spacing w:after="0"/>
              <w:rPr>
                <w:sz w:val="6"/>
                <w:szCs w:val="6"/>
                <w:color w:val="auto"/>
              </w:rPr>
            </w:pPr>
          </w:p>
        </w:tc>
        <w:tc>
          <w:tcPr>
            <w:tcW w:w="160" w:type="dxa"/>
            <w:vAlign w:val="bottom"/>
            <w:tcBorders>
              <w:bottom w:val="single" w:sz="8" w:color="auto"/>
            </w:tcBorders>
            <w:shd w:val="clear" w:color="auto" w:fill="ECEDEF"/>
          </w:tcPr>
          <w:p>
            <w:pPr>
              <w:spacing w:after="0"/>
              <w:rPr>
                <w:sz w:val="6"/>
                <w:szCs w:val="6"/>
                <w:color w:val="auto"/>
              </w:rPr>
            </w:pPr>
          </w:p>
        </w:tc>
        <w:tc>
          <w:tcPr>
            <w:tcW w:w="740" w:type="dxa"/>
            <w:vAlign w:val="bottom"/>
            <w:tcBorders>
              <w:bottom w:val="single" w:sz="8" w:color="auto"/>
            </w:tcBorders>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ROBERT K. (KELLY) ORTBERG</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Retired Chairman, President &amp; Chief</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Executive Officer, Rockwell Collins, Inc.</w:t>
            </w:r>
          </w:p>
        </w:tc>
        <w:tc>
          <w:tcPr>
            <w:tcW w:w="7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37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shd w:val="clear" w:color="auto" w:fill="ECEDEF"/>
          </w:tcPr>
          <w:p>
            <w:pPr>
              <w:spacing w:after="0"/>
              <w:rPr>
                <w:sz w:val="8"/>
                <w:szCs w:val="8"/>
                <w:color w:val="auto"/>
              </w:rPr>
            </w:pPr>
          </w:p>
        </w:tc>
        <w:tc>
          <w:tcPr>
            <w:tcW w:w="1780" w:type="dxa"/>
            <w:vAlign w:val="bottom"/>
            <w:shd w:val="clear" w:color="auto" w:fill="ECEDEF"/>
          </w:tcPr>
          <w:p>
            <w:pPr>
              <w:spacing w:after="0"/>
              <w:rPr>
                <w:sz w:val="8"/>
                <w:szCs w:val="8"/>
                <w:color w:val="auto"/>
              </w:rPr>
            </w:pPr>
          </w:p>
        </w:tc>
        <w:tc>
          <w:tcPr>
            <w:tcW w:w="140" w:type="dxa"/>
            <w:vAlign w:val="bottom"/>
            <w:shd w:val="clear" w:color="auto" w:fill="ECEDEF"/>
          </w:tcPr>
          <w:p>
            <w:pPr>
              <w:spacing w:after="0"/>
              <w:rPr>
                <w:sz w:val="8"/>
                <w:szCs w:val="8"/>
                <w:color w:val="auto"/>
              </w:rPr>
            </w:pPr>
          </w:p>
        </w:tc>
        <w:tc>
          <w:tcPr>
            <w:tcW w:w="680" w:type="dxa"/>
            <w:vAlign w:val="bottom"/>
            <w:shd w:val="clear" w:color="auto" w:fill="ECEDEF"/>
          </w:tcPr>
          <w:p>
            <w:pPr>
              <w:spacing w:after="0"/>
              <w:rPr>
                <w:sz w:val="8"/>
                <w:szCs w:val="8"/>
                <w:color w:val="auto"/>
              </w:rPr>
            </w:pPr>
          </w:p>
        </w:tc>
        <w:tc>
          <w:tcPr>
            <w:tcW w:w="140" w:type="dxa"/>
            <w:vAlign w:val="bottom"/>
            <w:shd w:val="clear" w:color="auto" w:fill="ECEDEF"/>
          </w:tcPr>
          <w:p>
            <w:pPr>
              <w:spacing w:after="0"/>
              <w:rPr>
                <w:sz w:val="8"/>
                <w:szCs w:val="8"/>
                <w:color w:val="auto"/>
              </w:rPr>
            </w:pPr>
          </w:p>
        </w:tc>
        <w:tc>
          <w:tcPr>
            <w:tcW w:w="800" w:type="dxa"/>
            <w:vAlign w:val="bottom"/>
            <w:shd w:val="clear" w:color="auto" w:fill="ECEDEF"/>
          </w:tcPr>
          <w:p>
            <w:pPr>
              <w:spacing w:after="0"/>
              <w:rPr>
                <w:sz w:val="8"/>
                <w:szCs w:val="8"/>
                <w:color w:val="auto"/>
              </w:rPr>
            </w:pPr>
          </w:p>
        </w:tc>
        <w:tc>
          <w:tcPr>
            <w:tcW w:w="160" w:type="dxa"/>
            <w:vAlign w:val="bottom"/>
            <w:shd w:val="clear" w:color="auto" w:fill="ECEDEF"/>
          </w:tcPr>
          <w:p>
            <w:pPr>
              <w:spacing w:after="0"/>
              <w:rPr>
                <w:sz w:val="8"/>
                <w:szCs w:val="8"/>
                <w:color w:val="auto"/>
              </w:rPr>
            </w:pPr>
          </w:p>
        </w:tc>
        <w:tc>
          <w:tcPr>
            <w:tcW w:w="660" w:type="dxa"/>
            <w:vAlign w:val="bottom"/>
            <w:shd w:val="clear" w:color="auto" w:fill="ECEDEF"/>
          </w:tcPr>
          <w:p>
            <w:pPr>
              <w:spacing w:after="0"/>
              <w:rPr>
                <w:sz w:val="8"/>
                <w:szCs w:val="8"/>
                <w:color w:val="auto"/>
              </w:rPr>
            </w:pPr>
          </w:p>
        </w:tc>
        <w:tc>
          <w:tcPr>
            <w:tcW w:w="160" w:type="dxa"/>
            <w:vAlign w:val="bottom"/>
            <w:shd w:val="clear" w:color="auto" w:fill="ECEDEF"/>
          </w:tcPr>
          <w:p>
            <w:pPr>
              <w:spacing w:after="0"/>
              <w:rPr>
                <w:sz w:val="8"/>
                <w:szCs w:val="8"/>
                <w:color w:val="auto"/>
              </w:rPr>
            </w:pPr>
          </w:p>
        </w:tc>
        <w:tc>
          <w:tcPr>
            <w:tcW w:w="74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37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shd w:val="clear" w:color="auto" w:fill="ECEDEF"/>
          </w:tcPr>
          <w:p>
            <w:pPr>
              <w:spacing w:after="0"/>
              <w:rPr>
                <w:sz w:val="12"/>
                <w:szCs w:val="12"/>
                <w:color w:val="auto"/>
              </w:rPr>
            </w:pPr>
          </w:p>
        </w:tc>
        <w:tc>
          <w:tcPr>
            <w:tcW w:w="1780" w:type="dxa"/>
            <w:vAlign w:val="bottom"/>
            <w:tcBorders>
              <w:bottom w:val="single" w:sz="8" w:color="auto"/>
            </w:tcBorders>
            <w:shd w:val="clear" w:color="auto" w:fill="ECEDEF"/>
          </w:tcPr>
          <w:p>
            <w:pPr>
              <w:spacing w:after="0"/>
              <w:rPr>
                <w:sz w:val="12"/>
                <w:szCs w:val="12"/>
                <w:color w:val="auto"/>
              </w:rPr>
            </w:pPr>
          </w:p>
        </w:tc>
        <w:tc>
          <w:tcPr>
            <w:tcW w:w="140" w:type="dxa"/>
            <w:vAlign w:val="bottom"/>
            <w:tcBorders>
              <w:bottom w:val="single" w:sz="8" w:color="auto"/>
            </w:tcBorders>
            <w:shd w:val="clear" w:color="auto" w:fill="ECEDEF"/>
          </w:tcPr>
          <w:p>
            <w:pPr>
              <w:spacing w:after="0"/>
              <w:rPr>
                <w:sz w:val="12"/>
                <w:szCs w:val="12"/>
                <w:color w:val="auto"/>
              </w:rPr>
            </w:pPr>
          </w:p>
        </w:tc>
        <w:tc>
          <w:tcPr>
            <w:tcW w:w="680" w:type="dxa"/>
            <w:vAlign w:val="bottom"/>
            <w:tcBorders>
              <w:bottom w:val="single" w:sz="8" w:color="auto"/>
            </w:tcBorders>
            <w:shd w:val="clear" w:color="auto" w:fill="ECEDEF"/>
          </w:tcPr>
          <w:p>
            <w:pPr>
              <w:spacing w:after="0"/>
              <w:rPr>
                <w:sz w:val="12"/>
                <w:szCs w:val="12"/>
                <w:color w:val="auto"/>
              </w:rPr>
            </w:pPr>
          </w:p>
        </w:tc>
        <w:tc>
          <w:tcPr>
            <w:tcW w:w="140" w:type="dxa"/>
            <w:vAlign w:val="bottom"/>
            <w:tcBorders>
              <w:bottom w:val="single" w:sz="8" w:color="auto"/>
            </w:tcBorders>
            <w:shd w:val="clear" w:color="auto" w:fill="ECEDEF"/>
          </w:tcPr>
          <w:p>
            <w:pPr>
              <w:spacing w:after="0"/>
              <w:rPr>
                <w:sz w:val="12"/>
                <w:szCs w:val="12"/>
                <w:color w:val="auto"/>
              </w:rPr>
            </w:pPr>
          </w:p>
        </w:tc>
        <w:tc>
          <w:tcPr>
            <w:tcW w:w="800" w:type="dxa"/>
            <w:vAlign w:val="bottom"/>
            <w:tcBorders>
              <w:bottom w:val="single" w:sz="8" w:color="auto"/>
            </w:tcBorders>
            <w:shd w:val="clear" w:color="auto" w:fill="ECEDEF"/>
          </w:tcPr>
          <w:p>
            <w:pPr>
              <w:spacing w:after="0"/>
              <w:rPr>
                <w:sz w:val="12"/>
                <w:szCs w:val="12"/>
                <w:color w:val="auto"/>
              </w:rPr>
            </w:pPr>
          </w:p>
        </w:tc>
        <w:tc>
          <w:tcPr>
            <w:tcW w:w="160" w:type="dxa"/>
            <w:vAlign w:val="bottom"/>
            <w:tcBorders>
              <w:bottom w:val="single" w:sz="8" w:color="auto"/>
            </w:tcBorders>
            <w:shd w:val="clear" w:color="auto" w:fill="ECEDEF"/>
          </w:tcPr>
          <w:p>
            <w:pPr>
              <w:spacing w:after="0"/>
              <w:rPr>
                <w:sz w:val="12"/>
                <w:szCs w:val="12"/>
                <w:color w:val="auto"/>
              </w:rPr>
            </w:pPr>
          </w:p>
        </w:tc>
        <w:tc>
          <w:tcPr>
            <w:tcW w:w="660" w:type="dxa"/>
            <w:vAlign w:val="bottom"/>
            <w:tcBorders>
              <w:bottom w:val="single" w:sz="8" w:color="auto"/>
            </w:tcBorders>
            <w:shd w:val="clear" w:color="auto" w:fill="ECEDEF"/>
          </w:tcPr>
          <w:p>
            <w:pPr>
              <w:spacing w:after="0"/>
              <w:rPr>
                <w:sz w:val="12"/>
                <w:szCs w:val="12"/>
                <w:color w:val="auto"/>
              </w:rPr>
            </w:pPr>
          </w:p>
        </w:tc>
        <w:tc>
          <w:tcPr>
            <w:tcW w:w="160" w:type="dxa"/>
            <w:vAlign w:val="bottom"/>
            <w:tcBorders>
              <w:bottom w:val="single" w:sz="8" w:color="auto"/>
            </w:tcBorders>
            <w:shd w:val="clear" w:color="auto" w:fill="ECEDEF"/>
          </w:tcPr>
          <w:p>
            <w:pPr>
              <w:spacing w:after="0"/>
              <w:rPr>
                <w:sz w:val="12"/>
                <w:szCs w:val="12"/>
                <w:color w:val="auto"/>
              </w:rPr>
            </w:pPr>
          </w:p>
        </w:tc>
        <w:tc>
          <w:tcPr>
            <w:tcW w:w="740" w:type="dxa"/>
            <w:vAlign w:val="bottom"/>
            <w:tcBorders>
              <w:bottom w:val="single" w:sz="8" w:color="auto"/>
            </w:tcBorders>
            <w:shd w:val="clear" w:color="auto" w:fill="ECEDE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MARGARET L. O’SULLIVAN</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740"/>
              <w:spacing w:after="0"/>
              <w:rPr>
                <w:sz w:val="20"/>
                <w:szCs w:val="20"/>
                <w:color w:val="auto"/>
              </w:rPr>
            </w:pPr>
            <w:r>
              <w:rPr>
                <w:rFonts w:ascii="Arial" w:cs="Arial" w:eastAsia="Arial" w:hAnsi="Arial"/>
                <w:sz w:val="14"/>
                <w:szCs w:val="14"/>
                <w:color w:val="auto"/>
              </w:rPr>
              <w:t>Professor, Harvard University Kennedy School</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2017</w:t>
            </w:r>
          </w:p>
        </w:tc>
        <w:tc>
          <w:tcPr>
            <w:tcW w:w="800" w:type="dxa"/>
            <w:vAlign w:val="bottom"/>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17"/>
                <w:szCs w:val="17"/>
                <w:color w:val="auto"/>
              </w:rPr>
            </w:pPr>
          </w:p>
        </w:tc>
        <w:tc>
          <w:tcPr>
            <w:tcW w:w="1780" w:type="dxa"/>
            <w:vAlign w:val="bottom"/>
            <w:shd w:val="clear" w:color="auto" w:fill="ECEDEF"/>
          </w:tcPr>
          <w:p>
            <w:pPr>
              <w:spacing w:after="0"/>
              <w:rPr>
                <w:sz w:val="17"/>
                <w:szCs w:val="17"/>
                <w:color w:val="auto"/>
              </w:rPr>
            </w:pPr>
          </w:p>
        </w:tc>
        <w:tc>
          <w:tcPr>
            <w:tcW w:w="140" w:type="dxa"/>
            <w:vAlign w:val="bottom"/>
            <w:shd w:val="clear" w:color="auto" w:fill="ECEDEF"/>
          </w:tcPr>
          <w:p>
            <w:pPr>
              <w:spacing w:after="0"/>
              <w:rPr>
                <w:sz w:val="17"/>
                <w:szCs w:val="17"/>
                <w:color w:val="auto"/>
              </w:rPr>
            </w:pPr>
          </w:p>
        </w:tc>
        <w:tc>
          <w:tcPr>
            <w:tcW w:w="680" w:type="dxa"/>
            <w:vAlign w:val="bottom"/>
            <w:shd w:val="clear" w:color="auto" w:fill="ECEDEF"/>
          </w:tcPr>
          <w:p>
            <w:pPr>
              <w:spacing w:after="0"/>
              <w:rPr>
                <w:sz w:val="17"/>
                <w:szCs w:val="17"/>
                <w:color w:val="auto"/>
              </w:rPr>
            </w:pPr>
          </w:p>
        </w:tc>
        <w:tc>
          <w:tcPr>
            <w:tcW w:w="140" w:type="dxa"/>
            <w:vAlign w:val="bottom"/>
            <w:shd w:val="clear" w:color="auto" w:fill="ECEDEF"/>
          </w:tcPr>
          <w:p>
            <w:pPr>
              <w:spacing w:after="0"/>
              <w:rPr>
                <w:sz w:val="17"/>
                <w:szCs w:val="17"/>
                <w:color w:val="auto"/>
              </w:rPr>
            </w:pPr>
          </w:p>
        </w:tc>
        <w:tc>
          <w:tcPr>
            <w:tcW w:w="800" w:type="dxa"/>
            <w:vAlign w:val="bottom"/>
            <w:shd w:val="clear" w:color="auto" w:fill="ECEDEF"/>
          </w:tcPr>
          <w:p>
            <w:pPr>
              <w:spacing w:after="0"/>
              <w:rPr>
                <w:sz w:val="17"/>
                <w:szCs w:val="17"/>
                <w:color w:val="auto"/>
              </w:rPr>
            </w:pPr>
          </w:p>
        </w:tc>
        <w:tc>
          <w:tcPr>
            <w:tcW w:w="160" w:type="dxa"/>
            <w:vAlign w:val="bottom"/>
            <w:shd w:val="clear" w:color="auto" w:fill="ECEDEF"/>
          </w:tcPr>
          <w:p>
            <w:pPr>
              <w:spacing w:after="0"/>
              <w:rPr>
                <w:sz w:val="17"/>
                <w:szCs w:val="17"/>
                <w:color w:val="auto"/>
              </w:rPr>
            </w:pPr>
          </w:p>
        </w:tc>
        <w:tc>
          <w:tcPr>
            <w:tcW w:w="660" w:type="dxa"/>
            <w:vAlign w:val="bottom"/>
            <w:shd w:val="clear" w:color="auto" w:fill="ECEDEF"/>
          </w:tcPr>
          <w:p>
            <w:pPr>
              <w:spacing w:after="0"/>
              <w:rPr>
                <w:sz w:val="17"/>
                <w:szCs w:val="17"/>
                <w:color w:val="auto"/>
              </w:rPr>
            </w:pPr>
          </w:p>
        </w:tc>
        <w:tc>
          <w:tcPr>
            <w:tcW w:w="160" w:type="dxa"/>
            <w:vAlign w:val="bottom"/>
            <w:shd w:val="clear" w:color="auto" w:fill="ECEDEF"/>
          </w:tcPr>
          <w:p>
            <w:pPr>
              <w:spacing w:after="0"/>
              <w:rPr>
                <w:sz w:val="17"/>
                <w:szCs w:val="17"/>
                <w:color w:val="auto"/>
              </w:rPr>
            </w:pPr>
          </w:p>
        </w:tc>
        <w:tc>
          <w:tcPr>
            <w:tcW w:w="740" w:type="dxa"/>
            <w:vAlign w:val="bottom"/>
            <w:shd w:val="clear" w:color="auto" w:fill="ECEDE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7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shd w:val="clear" w:color="auto" w:fill="ECEDEF"/>
          </w:tcPr>
          <w:p>
            <w:pPr>
              <w:spacing w:after="0"/>
              <w:rPr>
                <w:sz w:val="18"/>
                <w:szCs w:val="18"/>
                <w:color w:val="auto"/>
              </w:rPr>
            </w:pPr>
          </w:p>
        </w:tc>
        <w:tc>
          <w:tcPr>
            <w:tcW w:w="1780" w:type="dxa"/>
            <w:vAlign w:val="bottom"/>
            <w:tcBorders>
              <w:bottom w:val="single" w:sz="8" w:color="auto"/>
            </w:tcBorders>
            <w:shd w:val="clear" w:color="auto" w:fill="ECEDEF"/>
          </w:tcPr>
          <w:p>
            <w:pPr>
              <w:spacing w:after="0"/>
              <w:rPr>
                <w:sz w:val="18"/>
                <w:szCs w:val="18"/>
                <w:color w:val="auto"/>
              </w:rPr>
            </w:pPr>
          </w:p>
        </w:tc>
        <w:tc>
          <w:tcPr>
            <w:tcW w:w="140" w:type="dxa"/>
            <w:vAlign w:val="bottom"/>
            <w:tcBorders>
              <w:bottom w:val="single" w:sz="8" w:color="auto"/>
            </w:tcBorders>
            <w:shd w:val="clear" w:color="auto" w:fill="ECEDEF"/>
          </w:tcPr>
          <w:p>
            <w:pPr>
              <w:spacing w:after="0"/>
              <w:rPr>
                <w:sz w:val="18"/>
                <w:szCs w:val="18"/>
                <w:color w:val="auto"/>
              </w:rPr>
            </w:pPr>
          </w:p>
        </w:tc>
        <w:tc>
          <w:tcPr>
            <w:tcW w:w="680" w:type="dxa"/>
            <w:vAlign w:val="bottom"/>
            <w:tcBorders>
              <w:bottom w:val="single" w:sz="8" w:color="auto"/>
            </w:tcBorders>
            <w:shd w:val="clear" w:color="auto" w:fill="ECEDEF"/>
          </w:tcPr>
          <w:p>
            <w:pPr>
              <w:spacing w:after="0"/>
              <w:rPr>
                <w:sz w:val="18"/>
                <w:szCs w:val="18"/>
                <w:color w:val="auto"/>
              </w:rPr>
            </w:pPr>
          </w:p>
        </w:tc>
        <w:tc>
          <w:tcPr>
            <w:tcW w:w="140" w:type="dxa"/>
            <w:vAlign w:val="bottom"/>
            <w:tcBorders>
              <w:bottom w:val="single" w:sz="8" w:color="auto"/>
            </w:tcBorders>
            <w:shd w:val="clear" w:color="auto" w:fill="ECEDEF"/>
          </w:tcPr>
          <w:p>
            <w:pPr>
              <w:spacing w:after="0"/>
              <w:rPr>
                <w:sz w:val="18"/>
                <w:szCs w:val="18"/>
                <w:color w:val="auto"/>
              </w:rPr>
            </w:pPr>
          </w:p>
        </w:tc>
        <w:tc>
          <w:tcPr>
            <w:tcW w:w="800" w:type="dxa"/>
            <w:vAlign w:val="bottom"/>
            <w:tcBorders>
              <w:bottom w:val="single" w:sz="8" w:color="auto"/>
            </w:tcBorders>
            <w:shd w:val="clear" w:color="auto" w:fill="ECEDEF"/>
          </w:tcPr>
          <w:p>
            <w:pPr>
              <w:spacing w:after="0"/>
              <w:rPr>
                <w:sz w:val="18"/>
                <w:szCs w:val="18"/>
                <w:color w:val="auto"/>
              </w:rPr>
            </w:pPr>
          </w:p>
        </w:tc>
        <w:tc>
          <w:tcPr>
            <w:tcW w:w="160" w:type="dxa"/>
            <w:vAlign w:val="bottom"/>
            <w:tcBorders>
              <w:bottom w:val="single" w:sz="8" w:color="auto"/>
            </w:tcBorders>
            <w:shd w:val="clear" w:color="auto" w:fill="ECEDEF"/>
          </w:tcPr>
          <w:p>
            <w:pPr>
              <w:spacing w:after="0"/>
              <w:rPr>
                <w:sz w:val="18"/>
                <w:szCs w:val="18"/>
                <w:color w:val="auto"/>
              </w:rPr>
            </w:pPr>
          </w:p>
        </w:tc>
        <w:tc>
          <w:tcPr>
            <w:tcW w:w="660" w:type="dxa"/>
            <w:vAlign w:val="bottom"/>
            <w:tcBorders>
              <w:bottom w:val="single" w:sz="8" w:color="auto"/>
            </w:tcBorders>
            <w:shd w:val="clear" w:color="auto" w:fill="ECEDEF"/>
          </w:tcPr>
          <w:p>
            <w:pPr>
              <w:spacing w:after="0"/>
              <w:rPr>
                <w:sz w:val="18"/>
                <w:szCs w:val="18"/>
                <w:color w:val="auto"/>
              </w:rPr>
            </w:pPr>
          </w:p>
        </w:tc>
        <w:tc>
          <w:tcPr>
            <w:tcW w:w="16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CEDE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DINESH C. PALIWAL</w:t>
            </w: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Partner, Americas Private Equity, KKR and</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Retired Chairman &amp; CEO, Harman</w:t>
            </w: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(2016)</w:t>
            </w:r>
          </w:p>
        </w:tc>
        <w:tc>
          <w:tcPr>
            <w:tcW w:w="800" w:type="dxa"/>
            <w:vAlign w:val="bottom"/>
            <w:vMerge w:val="continue"/>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7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70"/>
        </w:trPr>
        <w:tc>
          <w:tcPr>
            <w:tcW w:w="3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International</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7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ELLEN M. PAWLIKOWSKI</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General U.S. Air Force (Retired) and Former</w:t>
            </w:r>
          </w:p>
        </w:tc>
        <w:tc>
          <w:tcPr>
            <w:tcW w:w="740" w:type="dxa"/>
            <w:vAlign w:val="bottom"/>
            <w:vMerge w:val="continue"/>
          </w:tcPr>
          <w:p>
            <w:pPr>
              <w:spacing w:after="0"/>
              <w:rPr>
                <w:sz w:val="8"/>
                <w:szCs w:val="8"/>
                <w:color w:val="auto"/>
              </w:rPr>
            </w:pP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8"/>
                <w:szCs w:val="8"/>
                <w:color w:val="auto"/>
              </w:rPr>
            </w:pPr>
          </w:p>
        </w:tc>
        <w:tc>
          <w:tcPr>
            <w:tcW w:w="1780" w:type="dxa"/>
            <w:vAlign w:val="bottom"/>
            <w:shd w:val="clear" w:color="auto" w:fill="ECEDEF"/>
          </w:tcPr>
          <w:p>
            <w:pPr>
              <w:spacing w:after="0"/>
              <w:rPr>
                <w:sz w:val="8"/>
                <w:szCs w:val="8"/>
                <w:color w:val="auto"/>
              </w:rPr>
            </w:pPr>
          </w:p>
        </w:tc>
        <w:tc>
          <w:tcPr>
            <w:tcW w:w="140" w:type="dxa"/>
            <w:vAlign w:val="bottom"/>
            <w:shd w:val="clear" w:color="auto" w:fill="ECEDEF"/>
          </w:tcPr>
          <w:p>
            <w:pPr>
              <w:spacing w:after="0"/>
              <w:rPr>
                <w:sz w:val="8"/>
                <w:szCs w:val="8"/>
                <w:color w:val="auto"/>
              </w:rPr>
            </w:pPr>
          </w:p>
        </w:tc>
        <w:tc>
          <w:tcPr>
            <w:tcW w:w="680" w:type="dxa"/>
            <w:vAlign w:val="bottom"/>
            <w:shd w:val="clear" w:color="auto" w:fill="ECEDEF"/>
          </w:tcPr>
          <w:p>
            <w:pPr>
              <w:spacing w:after="0"/>
              <w:rPr>
                <w:sz w:val="8"/>
                <w:szCs w:val="8"/>
                <w:color w:val="auto"/>
              </w:rPr>
            </w:pPr>
          </w:p>
        </w:tc>
        <w:tc>
          <w:tcPr>
            <w:tcW w:w="140" w:type="dxa"/>
            <w:vAlign w:val="bottom"/>
            <w:shd w:val="clear" w:color="auto" w:fill="ECEDEF"/>
          </w:tcPr>
          <w:p>
            <w:pPr>
              <w:spacing w:after="0"/>
              <w:rPr>
                <w:sz w:val="8"/>
                <w:szCs w:val="8"/>
                <w:color w:val="auto"/>
              </w:rPr>
            </w:pPr>
          </w:p>
        </w:tc>
        <w:tc>
          <w:tcPr>
            <w:tcW w:w="800" w:type="dxa"/>
            <w:vAlign w:val="bottom"/>
            <w:shd w:val="clear" w:color="auto" w:fill="ECEDEF"/>
          </w:tcPr>
          <w:p>
            <w:pPr>
              <w:spacing w:after="0"/>
              <w:rPr>
                <w:sz w:val="8"/>
                <w:szCs w:val="8"/>
                <w:color w:val="auto"/>
              </w:rPr>
            </w:pPr>
          </w:p>
        </w:tc>
        <w:tc>
          <w:tcPr>
            <w:tcW w:w="160" w:type="dxa"/>
            <w:vAlign w:val="bottom"/>
            <w:shd w:val="clear" w:color="auto" w:fill="ECEDEF"/>
          </w:tcPr>
          <w:p>
            <w:pPr>
              <w:spacing w:after="0"/>
              <w:rPr>
                <w:sz w:val="8"/>
                <w:szCs w:val="8"/>
                <w:color w:val="auto"/>
              </w:rPr>
            </w:pPr>
          </w:p>
        </w:tc>
        <w:tc>
          <w:tcPr>
            <w:tcW w:w="660" w:type="dxa"/>
            <w:vAlign w:val="bottom"/>
            <w:shd w:val="clear" w:color="auto" w:fill="ECEDEF"/>
          </w:tcPr>
          <w:p>
            <w:pPr>
              <w:spacing w:after="0"/>
              <w:rPr>
                <w:sz w:val="8"/>
                <w:szCs w:val="8"/>
                <w:color w:val="auto"/>
              </w:rPr>
            </w:pPr>
          </w:p>
        </w:tc>
        <w:tc>
          <w:tcPr>
            <w:tcW w:w="160" w:type="dxa"/>
            <w:vAlign w:val="bottom"/>
            <w:shd w:val="clear" w:color="auto" w:fill="ECEDEF"/>
          </w:tcPr>
          <w:p>
            <w:pPr>
              <w:spacing w:after="0"/>
              <w:rPr>
                <w:sz w:val="8"/>
                <w:szCs w:val="8"/>
                <w:color w:val="auto"/>
              </w:rPr>
            </w:pPr>
          </w:p>
        </w:tc>
        <w:tc>
          <w:tcPr>
            <w:tcW w:w="74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3780" w:type="dxa"/>
            <w:vAlign w:val="bottom"/>
            <w:vMerge w:val="continue"/>
          </w:tcPr>
          <w:p>
            <w:pPr>
              <w:spacing w:after="0"/>
              <w:rPr>
                <w:sz w:val="5"/>
                <w:szCs w:val="5"/>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(2018)</w:t>
            </w:r>
          </w:p>
        </w:tc>
        <w:tc>
          <w:tcPr>
            <w:tcW w:w="800" w:type="dxa"/>
            <w:vAlign w:val="bottom"/>
            <w:vMerge w:val="continue"/>
          </w:tcPr>
          <w:p>
            <w:pPr>
              <w:spacing w:after="0"/>
              <w:rPr>
                <w:sz w:val="5"/>
                <w:szCs w:val="5"/>
                <w:color w:val="auto"/>
              </w:rPr>
            </w:pPr>
          </w:p>
        </w:tc>
        <w:tc>
          <w:tcPr>
            <w:tcW w:w="660" w:type="dxa"/>
            <w:vAlign w:val="bottom"/>
            <w:shd w:val="clear" w:color="auto" w:fill="ECEDEF"/>
          </w:tcPr>
          <w:p>
            <w:pPr>
              <w:spacing w:after="0"/>
              <w:rPr>
                <w:sz w:val="5"/>
                <w:szCs w:val="5"/>
                <w:color w:val="auto"/>
              </w:rPr>
            </w:pPr>
          </w:p>
        </w:tc>
        <w:tc>
          <w:tcPr>
            <w:tcW w:w="1780" w:type="dxa"/>
            <w:vAlign w:val="bottom"/>
            <w:shd w:val="clear" w:color="auto" w:fill="ECEDEF"/>
          </w:tcPr>
          <w:p>
            <w:pPr>
              <w:spacing w:after="0"/>
              <w:rPr>
                <w:sz w:val="5"/>
                <w:szCs w:val="5"/>
                <w:color w:val="auto"/>
              </w:rPr>
            </w:pPr>
          </w:p>
        </w:tc>
        <w:tc>
          <w:tcPr>
            <w:tcW w:w="140" w:type="dxa"/>
            <w:vAlign w:val="bottom"/>
            <w:shd w:val="clear" w:color="auto" w:fill="ECEDEF"/>
          </w:tcPr>
          <w:p>
            <w:pPr>
              <w:spacing w:after="0"/>
              <w:rPr>
                <w:sz w:val="5"/>
                <w:szCs w:val="5"/>
                <w:color w:val="auto"/>
              </w:rPr>
            </w:pPr>
          </w:p>
        </w:tc>
        <w:tc>
          <w:tcPr>
            <w:tcW w:w="680" w:type="dxa"/>
            <w:vAlign w:val="bottom"/>
            <w:shd w:val="clear" w:color="auto" w:fill="ECEDEF"/>
          </w:tcPr>
          <w:p>
            <w:pPr>
              <w:spacing w:after="0"/>
              <w:rPr>
                <w:sz w:val="5"/>
                <w:szCs w:val="5"/>
                <w:color w:val="auto"/>
              </w:rPr>
            </w:pPr>
          </w:p>
        </w:tc>
        <w:tc>
          <w:tcPr>
            <w:tcW w:w="140" w:type="dxa"/>
            <w:vAlign w:val="bottom"/>
            <w:shd w:val="clear" w:color="auto" w:fill="ECEDEF"/>
          </w:tcPr>
          <w:p>
            <w:pPr>
              <w:spacing w:after="0"/>
              <w:rPr>
                <w:sz w:val="5"/>
                <w:szCs w:val="5"/>
                <w:color w:val="auto"/>
              </w:rPr>
            </w:pPr>
          </w:p>
        </w:tc>
        <w:tc>
          <w:tcPr>
            <w:tcW w:w="800" w:type="dxa"/>
            <w:vAlign w:val="bottom"/>
            <w:shd w:val="clear" w:color="auto" w:fill="ECEDEF"/>
          </w:tcPr>
          <w:p>
            <w:pPr>
              <w:spacing w:after="0"/>
              <w:rPr>
                <w:sz w:val="5"/>
                <w:szCs w:val="5"/>
                <w:color w:val="auto"/>
              </w:rPr>
            </w:pPr>
          </w:p>
        </w:tc>
        <w:tc>
          <w:tcPr>
            <w:tcW w:w="160" w:type="dxa"/>
            <w:vAlign w:val="bottom"/>
            <w:shd w:val="clear" w:color="auto" w:fill="ECEDEF"/>
          </w:tcPr>
          <w:p>
            <w:pPr>
              <w:spacing w:after="0"/>
              <w:rPr>
                <w:sz w:val="5"/>
                <w:szCs w:val="5"/>
                <w:color w:val="auto"/>
              </w:rPr>
            </w:pPr>
          </w:p>
        </w:tc>
        <w:tc>
          <w:tcPr>
            <w:tcW w:w="660" w:type="dxa"/>
            <w:vAlign w:val="bottom"/>
            <w:shd w:val="clear" w:color="auto" w:fill="ECEDEF"/>
          </w:tcPr>
          <w:p>
            <w:pPr>
              <w:spacing w:after="0"/>
              <w:rPr>
                <w:sz w:val="5"/>
                <w:szCs w:val="5"/>
                <w:color w:val="auto"/>
              </w:rPr>
            </w:pPr>
          </w:p>
        </w:tc>
        <w:tc>
          <w:tcPr>
            <w:tcW w:w="160" w:type="dxa"/>
            <w:vAlign w:val="bottom"/>
            <w:shd w:val="clear" w:color="auto" w:fill="ECEDEF"/>
          </w:tcPr>
          <w:p>
            <w:pPr>
              <w:spacing w:after="0"/>
              <w:rPr>
                <w:sz w:val="5"/>
                <w:szCs w:val="5"/>
                <w:color w:val="auto"/>
              </w:rPr>
            </w:pPr>
          </w:p>
        </w:tc>
        <w:tc>
          <w:tcPr>
            <w:tcW w:w="740" w:type="dxa"/>
            <w:vAlign w:val="bottom"/>
            <w:shd w:val="clear" w:color="auto" w:fill="ECEDEF"/>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Commander, Air Force Materiel Command</w:t>
            </w:r>
          </w:p>
        </w:tc>
        <w:tc>
          <w:tcPr>
            <w:tcW w:w="74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780" w:type="dxa"/>
            <w:vAlign w:val="bottom"/>
            <w:shd w:val="clear" w:color="auto" w:fill="ECEDEF"/>
          </w:tcPr>
          <w:p>
            <w:pPr>
              <w:spacing w:after="0"/>
              <w:rPr>
                <w:sz w:val="9"/>
                <w:szCs w:val="9"/>
                <w:color w:val="auto"/>
              </w:rPr>
            </w:pPr>
          </w:p>
        </w:tc>
        <w:tc>
          <w:tcPr>
            <w:tcW w:w="140" w:type="dxa"/>
            <w:vAlign w:val="bottom"/>
            <w:shd w:val="clear" w:color="auto" w:fill="ECEDEF"/>
          </w:tcPr>
          <w:p>
            <w:pPr>
              <w:spacing w:after="0"/>
              <w:rPr>
                <w:sz w:val="9"/>
                <w:szCs w:val="9"/>
                <w:color w:val="auto"/>
              </w:rPr>
            </w:pPr>
          </w:p>
        </w:tc>
        <w:tc>
          <w:tcPr>
            <w:tcW w:w="680" w:type="dxa"/>
            <w:vAlign w:val="bottom"/>
            <w:shd w:val="clear" w:color="auto" w:fill="ECEDEF"/>
          </w:tcPr>
          <w:p>
            <w:pPr>
              <w:spacing w:after="0"/>
              <w:rPr>
                <w:sz w:val="9"/>
                <w:szCs w:val="9"/>
                <w:color w:val="auto"/>
              </w:rPr>
            </w:pPr>
          </w:p>
        </w:tc>
        <w:tc>
          <w:tcPr>
            <w:tcW w:w="140" w:type="dxa"/>
            <w:vAlign w:val="bottom"/>
            <w:shd w:val="clear" w:color="auto" w:fill="ECEDEF"/>
          </w:tcPr>
          <w:p>
            <w:pPr>
              <w:spacing w:after="0"/>
              <w:rPr>
                <w:sz w:val="9"/>
                <w:szCs w:val="9"/>
                <w:color w:val="auto"/>
              </w:rPr>
            </w:pPr>
          </w:p>
        </w:tc>
        <w:tc>
          <w:tcPr>
            <w:tcW w:w="800" w:type="dxa"/>
            <w:vAlign w:val="bottom"/>
            <w:shd w:val="clear" w:color="auto" w:fill="ECEDEF"/>
          </w:tcPr>
          <w:p>
            <w:pPr>
              <w:spacing w:after="0"/>
              <w:rPr>
                <w:sz w:val="9"/>
                <w:szCs w:val="9"/>
                <w:color w:val="auto"/>
              </w:rPr>
            </w:pPr>
          </w:p>
        </w:tc>
        <w:tc>
          <w:tcPr>
            <w:tcW w:w="160" w:type="dxa"/>
            <w:vAlign w:val="bottom"/>
            <w:shd w:val="clear" w:color="auto" w:fill="ECEDEF"/>
          </w:tcPr>
          <w:p>
            <w:pPr>
              <w:spacing w:after="0"/>
              <w:rPr>
                <w:sz w:val="9"/>
                <w:szCs w:val="9"/>
                <w:color w:val="auto"/>
              </w:rPr>
            </w:pPr>
          </w:p>
        </w:tc>
        <w:tc>
          <w:tcPr>
            <w:tcW w:w="660" w:type="dxa"/>
            <w:vAlign w:val="bottom"/>
            <w:shd w:val="clear" w:color="auto" w:fill="ECEDEF"/>
          </w:tcPr>
          <w:p>
            <w:pPr>
              <w:spacing w:after="0"/>
              <w:rPr>
                <w:sz w:val="9"/>
                <w:szCs w:val="9"/>
                <w:color w:val="auto"/>
              </w:rPr>
            </w:pPr>
          </w:p>
        </w:tc>
        <w:tc>
          <w:tcPr>
            <w:tcW w:w="160" w:type="dxa"/>
            <w:vAlign w:val="bottom"/>
            <w:shd w:val="clear" w:color="auto" w:fill="ECEDEF"/>
          </w:tcPr>
          <w:p>
            <w:pPr>
              <w:spacing w:after="0"/>
              <w:rPr>
                <w:sz w:val="9"/>
                <w:szCs w:val="9"/>
                <w:color w:val="auto"/>
              </w:rPr>
            </w:pPr>
          </w:p>
        </w:tc>
        <w:tc>
          <w:tcPr>
            <w:tcW w:w="740" w:type="dxa"/>
            <w:vAlign w:val="bottom"/>
            <w:shd w:val="clear" w:color="auto" w:fill="ECEDEF"/>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780" w:type="dxa"/>
            <w:vAlign w:val="bottom"/>
            <w:vMerge w:val="continue"/>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Borders>
              <w:bottom w:val="single" w:sz="8" w:color="ECEDEF"/>
            </w:tcBorders>
            <w:shd w:val="clear" w:color="auto" w:fill="ECEDEF"/>
          </w:tcPr>
          <w:p>
            <w:pPr>
              <w:spacing w:after="0"/>
              <w:rPr>
                <w:sz w:val="10"/>
                <w:szCs w:val="10"/>
                <w:color w:val="auto"/>
              </w:rPr>
            </w:pPr>
          </w:p>
        </w:tc>
        <w:tc>
          <w:tcPr>
            <w:tcW w:w="1780" w:type="dxa"/>
            <w:vAlign w:val="bottom"/>
            <w:tcBorders>
              <w:bottom w:val="single" w:sz="8" w:color="ECEDEF"/>
            </w:tcBorders>
            <w:shd w:val="clear" w:color="auto" w:fill="ECEDEF"/>
          </w:tcPr>
          <w:p>
            <w:pPr>
              <w:spacing w:after="0"/>
              <w:rPr>
                <w:sz w:val="10"/>
                <w:szCs w:val="10"/>
                <w:color w:val="auto"/>
              </w:rPr>
            </w:pPr>
          </w:p>
        </w:tc>
        <w:tc>
          <w:tcPr>
            <w:tcW w:w="140" w:type="dxa"/>
            <w:vAlign w:val="bottom"/>
            <w:tcBorders>
              <w:bottom w:val="single" w:sz="8" w:color="ECEDEF"/>
            </w:tcBorders>
            <w:shd w:val="clear" w:color="auto" w:fill="ECEDEF"/>
          </w:tcPr>
          <w:p>
            <w:pPr>
              <w:spacing w:after="0"/>
              <w:rPr>
                <w:sz w:val="10"/>
                <w:szCs w:val="10"/>
                <w:color w:val="auto"/>
              </w:rPr>
            </w:pPr>
          </w:p>
        </w:tc>
        <w:tc>
          <w:tcPr>
            <w:tcW w:w="680" w:type="dxa"/>
            <w:vAlign w:val="bottom"/>
            <w:tcBorders>
              <w:bottom w:val="single" w:sz="8" w:color="ECEDEF"/>
            </w:tcBorders>
            <w:shd w:val="clear" w:color="auto" w:fill="ECEDEF"/>
          </w:tcPr>
          <w:p>
            <w:pPr>
              <w:spacing w:after="0"/>
              <w:rPr>
                <w:sz w:val="10"/>
                <w:szCs w:val="10"/>
                <w:color w:val="auto"/>
              </w:rPr>
            </w:pPr>
          </w:p>
        </w:tc>
        <w:tc>
          <w:tcPr>
            <w:tcW w:w="140" w:type="dxa"/>
            <w:vAlign w:val="bottom"/>
            <w:tcBorders>
              <w:bottom w:val="single" w:sz="8" w:color="ECEDEF"/>
            </w:tcBorders>
            <w:shd w:val="clear" w:color="auto" w:fill="ECEDEF"/>
          </w:tcPr>
          <w:p>
            <w:pPr>
              <w:spacing w:after="0"/>
              <w:rPr>
                <w:sz w:val="10"/>
                <w:szCs w:val="10"/>
                <w:color w:val="auto"/>
              </w:rPr>
            </w:pPr>
          </w:p>
        </w:tc>
        <w:tc>
          <w:tcPr>
            <w:tcW w:w="800" w:type="dxa"/>
            <w:vAlign w:val="bottom"/>
            <w:tcBorders>
              <w:bottom w:val="single" w:sz="8" w:color="ECEDEF"/>
            </w:tcBorders>
            <w:shd w:val="clear" w:color="auto" w:fill="ECEDEF"/>
          </w:tcPr>
          <w:p>
            <w:pPr>
              <w:spacing w:after="0"/>
              <w:rPr>
                <w:sz w:val="10"/>
                <w:szCs w:val="10"/>
                <w:color w:val="auto"/>
              </w:rPr>
            </w:pPr>
          </w:p>
        </w:tc>
        <w:tc>
          <w:tcPr>
            <w:tcW w:w="160" w:type="dxa"/>
            <w:vAlign w:val="bottom"/>
            <w:tcBorders>
              <w:bottom w:val="single" w:sz="8" w:color="ECEDEF"/>
            </w:tcBorders>
            <w:shd w:val="clear" w:color="auto" w:fill="ECEDEF"/>
          </w:tcPr>
          <w:p>
            <w:pPr>
              <w:spacing w:after="0"/>
              <w:rPr>
                <w:sz w:val="10"/>
                <w:szCs w:val="10"/>
                <w:color w:val="auto"/>
              </w:rPr>
            </w:pPr>
          </w:p>
        </w:tc>
        <w:tc>
          <w:tcPr>
            <w:tcW w:w="660" w:type="dxa"/>
            <w:vAlign w:val="bottom"/>
            <w:tcBorders>
              <w:bottom w:val="single" w:sz="8" w:color="ECEDEF"/>
            </w:tcBorders>
            <w:shd w:val="clear" w:color="auto" w:fill="ECEDEF"/>
          </w:tcPr>
          <w:p>
            <w:pPr>
              <w:spacing w:after="0"/>
              <w:rPr>
                <w:sz w:val="10"/>
                <w:szCs w:val="10"/>
                <w:color w:val="auto"/>
              </w:rPr>
            </w:pPr>
          </w:p>
        </w:tc>
        <w:tc>
          <w:tcPr>
            <w:tcW w:w="160" w:type="dxa"/>
            <w:vAlign w:val="bottom"/>
            <w:tcBorders>
              <w:bottom w:val="single" w:sz="8" w:color="ECEDEF"/>
            </w:tcBorders>
            <w:shd w:val="clear" w:color="auto" w:fill="ECEDEF"/>
          </w:tcPr>
          <w:p>
            <w:pPr>
              <w:spacing w:after="0"/>
              <w:rPr>
                <w:sz w:val="10"/>
                <w:szCs w:val="10"/>
                <w:color w:val="auto"/>
              </w:rPr>
            </w:pPr>
          </w:p>
        </w:tc>
        <w:tc>
          <w:tcPr>
            <w:tcW w:w="740" w:type="dxa"/>
            <w:vAlign w:val="bottom"/>
            <w:tcBorders>
              <w:bottom w:val="single" w:sz="8" w:color="ECEDEF"/>
            </w:tcBorders>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3780" w:type="dxa"/>
            <w:vAlign w:val="bottom"/>
            <w:tcBorders>
              <w:top w:val="single" w:sz="8" w:color="auto"/>
            </w:tcBorders>
          </w:tcPr>
          <w:p>
            <w:pPr>
              <w:ind w:left="740"/>
              <w:spacing w:after="0"/>
              <w:rPr>
                <w:sz w:val="20"/>
                <w:szCs w:val="20"/>
                <w:color w:val="auto"/>
              </w:rPr>
            </w:pPr>
            <w:r>
              <w:rPr>
                <w:rFonts w:ascii="Arial" w:cs="Arial" w:eastAsia="Arial" w:hAnsi="Arial"/>
                <w:sz w:val="14"/>
                <w:szCs w:val="14"/>
                <w:b w:val="1"/>
                <w:bCs w:val="1"/>
                <w:color w:val="CE0F2D"/>
              </w:rPr>
              <w:t>DENISE L. RAMOS</w:t>
            </w:r>
          </w:p>
        </w:tc>
        <w:tc>
          <w:tcPr>
            <w:tcW w:w="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shd w:val="clear" w:color="auto" w:fill="ECEDEF"/>
          </w:tcPr>
          <w:p>
            <w:pPr>
              <w:spacing w:after="0"/>
              <w:rPr>
                <w:sz w:val="16"/>
                <w:szCs w:val="16"/>
                <w:color w:val="auto"/>
              </w:rPr>
            </w:pPr>
          </w:p>
        </w:tc>
        <w:tc>
          <w:tcPr>
            <w:tcW w:w="1780" w:type="dxa"/>
            <w:vAlign w:val="bottom"/>
            <w:tcBorders>
              <w:top w:val="single" w:sz="8" w:color="auto"/>
            </w:tcBorders>
            <w:shd w:val="clear" w:color="auto" w:fill="ECEDEF"/>
          </w:tcPr>
          <w:p>
            <w:pPr>
              <w:spacing w:after="0"/>
              <w:rPr>
                <w:sz w:val="16"/>
                <w:szCs w:val="16"/>
                <w:color w:val="auto"/>
              </w:rPr>
            </w:pPr>
          </w:p>
        </w:tc>
        <w:tc>
          <w:tcPr>
            <w:tcW w:w="140" w:type="dxa"/>
            <w:vAlign w:val="bottom"/>
            <w:tcBorders>
              <w:top w:val="single" w:sz="8" w:color="auto"/>
            </w:tcBorders>
            <w:shd w:val="clear" w:color="auto" w:fill="ECEDEF"/>
          </w:tcPr>
          <w:p>
            <w:pPr>
              <w:spacing w:after="0"/>
              <w:rPr>
                <w:sz w:val="16"/>
                <w:szCs w:val="16"/>
                <w:color w:val="auto"/>
              </w:rPr>
            </w:pPr>
          </w:p>
        </w:tc>
        <w:tc>
          <w:tcPr>
            <w:tcW w:w="680" w:type="dxa"/>
            <w:vAlign w:val="bottom"/>
            <w:tcBorders>
              <w:top w:val="single" w:sz="8" w:color="auto"/>
            </w:tcBorders>
            <w:shd w:val="clear" w:color="auto" w:fill="ECEDEF"/>
          </w:tcPr>
          <w:p>
            <w:pPr>
              <w:spacing w:after="0"/>
              <w:rPr>
                <w:sz w:val="16"/>
                <w:szCs w:val="16"/>
                <w:color w:val="auto"/>
              </w:rPr>
            </w:pPr>
          </w:p>
        </w:tc>
        <w:tc>
          <w:tcPr>
            <w:tcW w:w="140" w:type="dxa"/>
            <w:vAlign w:val="bottom"/>
            <w:tcBorders>
              <w:top w:val="single" w:sz="8" w:color="auto"/>
            </w:tcBorders>
            <w:shd w:val="clear" w:color="auto" w:fill="ECEDEF"/>
          </w:tcPr>
          <w:p>
            <w:pPr>
              <w:spacing w:after="0"/>
              <w:rPr>
                <w:sz w:val="16"/>
                <w:szCs w:val="16"/>
                <w:color w:val="auto"/>
              </w:rPr>
            </w:pPr>
          </w:p>
        </w:tc>
        <w:tc>
          <w:tcPr>
            <w:tcW w:w="800" w:type="dxa"/>
            <w:vAlign w:val="bottom"/>
            <w:tcBorders>
              <w:top w:val="single" w:sz="8" w:color="auto"/>
            </w:tcBorders>
            <w:shd w:val="clear" w:color="auto" w:fill="ECEDEF"/>
          </w:tcPr>
          <w:p>
            <w:pPr>
              <w:spacing w:after="0"/>
              <w:rPr>
                <w:sz w:val="16"/>
                <w:szCs w:val="16"/>
                <w:color w:val="auto"/>
              </w:rPr>
            </w:pPr>
          </w:p>
        </w:tc>
        <w:tc>
          <w:tcPr>
            <w:tcW w:w="160" w:type="dxa"/>
            <w:vAlign w:val="bottom"/>
            <w:tcBorders>
              <w:top w:val="single" w:sz="8" w:color="auto"/>
            </w:tcBorders>
            <w:shd w:val="clear" w:color="auto" w:fill="ECEDEF"/>
          </w:tcPr>
          <w:p>
            <w:pPr>
              <w:spacing w:after="0"/>
              <w:rPr>
                <w:sz w:val="16"/>
                <w:szCs w:val="16"/>
                <w:color w:val="auto"/>
              </w:rPr>
            </w:pPr>
          </w:p>
        </w:tc>
        <w:tc>
          <w:tcPr>
            <w:tcW w:w="660" w:type="dxa"/>
            <w:vAlign w:val="bottom"/>
            <w:tcBorders>
              <w:top w:val="single" w:sz="8" w:color="auto"/>
            </w:tcBorders>
            <w:shd w:val="clear" w:color="auto" w:fill="ECEDEF"/>
          </w:tcPr>
          <w:p>
            <w:pPr>
              <w:spacing w:after="0"/>
              <w:rPr>
                <w:sz w:val="16"/>
                <w:szCs w:val="16"/>
                <w:color w:val="auto"/>
              </w:rPr>
            </w:pPr>
          </w:p>
        </w:tc>
        <w:tc>
          <w:tcPr>
            <w:tcW w:w="160" w:type="dxa"/>
            <w:vAlign w:val="bottom"/>
            <w:tcBorders>
              <w:top w:val="single" w:sz="8" w:color="auto"/>
            </w:tcBorders>
            <w:shd w:val="clear" w:color="auto" w:fill="ECEDEF"/>
          </w:tcPr>
          <w:p>
            <w:pPr>
              <w:spacing w:after="0"/>
              <w:rPr>
                <w:sz w:val="16"/>
                <w:szCs w:val="16"/>
                <w:color w:val="auto"/>
              </w:rPr>
            </w:pPr>
          </w:p>
        </w:tc>
        <w:tc>
          <w:tcPr>
            <w:tcW w:w="740" w:type="dxa"/>
            <w:vAlign w:val="bottom"/>
            <w:tcBorders>
              <w:top w:val="single" w:sz="8" w:color="auto"/>
            </w:tcBorders>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Retired Chief Executive Officer &amp; President,</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2018</w:t>
            </w:r>
          </w:p>
        </w:tc>
        <w:tc>
          <w:tcPr>
            <w:tcW w:w="80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80" w:type="dxa"/>
            <w:vAlign w:val="bottom"/>
          </w:tcPr>
          <w:p>
            <w:pPr>
              <w:ind w:left="740"/>
              <w:spacing w:after="0"/>
              <w:rPr>
                <w:sz w:val="20"/>
                <w:szCs w:val="20"/>
                <w:color w:val="auto"/>
              </w:rPr>
            </w:pPr>
            <w:r>
              <w:rPr>
                <w:rFonts w:ascii="Arial" w:cs="Arial" w:eastAsia="Arial" w:hAnsi="Arial"/>
                <w:sz w:val="14"/>
                <w:szCs w:val="14"/>
                <w:color w:val="auto"/>
              </w:rPr>
              <w:t>ITT Inc.</w:t>
            </w: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Borders>
              <w:bottom w:val="single" w:sz="8" w:color="ECEDEF"/>
            </w:tcBorders>
            <w:shd w:val="clear" w:color="auto" w:fill="ECEDEF"/>
          </w:tcPr>
          <w:p>
            <w:pPr>
              <w:spacing w:after="0"/>
              <w:rPr>
                <w:sz w:val="17"/>
                <w:szCs w:val="17"/>
                <w:color w:val="auto"/>
              </w:rPr>
            </w:pPr>
          </w:p>
        </w:tc>
        <w:tc>
          <w:tcPr>
            <w:tcW w:w="1780" w:type="dxa"/>
            <w:vAlign w:val="bottom"/>
            <w:tcBorders>
              <w:bottom w:val="single" w:sz="8" w:color="ECEDEF"/>
            </w:tcBorders>
            <w:shd w:val="clear" w:color="auto" w:fill="ECEDEF"/>
          </w:tcPr>
          <w:p>
            <w:pPr>
              <w:spacing w:after="0"/>
              <w:rPr>
                <w:sz w:val="17"/>
                <w:szCs w:val="17"/>
                <w:color w:val="auto"/>
              </w:rPr>
            </w:pPr>
          </w:p>
        </w:tc>
        <w:tc>
          <w:tcPr>
            <w:tcW w:w="140" w:type="dxa"/>
            <w:vAlign w:val="bottom"/>
            <w:tcBorders>
              <w:bottom w:val="single" w:sz="8" w:color="ECEDEF"/>
            </w:tcBorders>
            <w:shd w:val="clear" w:color="auto" w:fill="ECEDEF"/>
          </w:tcPr>
          <w:p>
            <w:pPr>
              <w:spacing w:after="0"/>
              <w:rPr>
                <w:sz w:val="17"/>
                <w:szCs w:val="17"/>
                <w:color w:val="auto"/>
              </w:rPr>
            </w:pPr>
          </w:p>
        </w:tc>
        <w:tc>
          <w:tcPr>
            <w:tcW w:w="680" w:type="dxa"/>
            <w:vAlign w:val="bottom"/>
            <w:tcBorders>
              <w:bottom w:val="single" w:sz="8" w:color="ECEDEF"/>
            </w:tcBorders>
            <w:shd w:val="clear" w:color="auto" w:fill="ECEDEF"/>
          </w:tcPr>
          <w:p>
            <w:pPr>
              <w:spacing w:after="0"/>
              <w:rPr>
                <w:sz w:val="17"/>
                <w:szCs w:val="17"/>
                <w:color w:val="auto"/>
              </w:rPr>
            </w:pPr>
          </w:p>
        </w:tc>
        <w:tc>
          <w:tcPr>
            <w:tcW w:w="140" w:type="dxa"/>
            <w:vAlign w:val="bottom"/>
            <w:tcBorders>
              <w:bottom w:val="single" w:sz="8" w:color="ECEDEF"/>
            </w:tcBorders>
            <w:shd w:val="clear" w:color="auto" w:fill="ECEDEF"/>
          </w:tcPr>
          <w:p>
            <w:pPr>
              <w:spacing w:after="0"/>
              <w:rPr>
                <w:sz w:val="17"/>
                <w:szCs w:val="17"/>
                <w:color w:val="auto"/>
              </w:rPr>
            </w:pPr>
          </w:p>
        </w:tc>
        <w:tc>
          <w:tcPr>
            <w:tcW w:w="800" w:type="dxa"/>
            <w:vAlign w:val="bottom"/>
            <w:tcBorders>
              <w:bottom w:val="single" w:sz="8" w:color="ECEDEF"/>
            </w:tcBorders>
            <w:shd w:val="clear" w:color="auto" w:fill="ECEDEF"/>
          </w:tcPr>
          <w:p>
            <w:pPr>
              <w:spacing w:after="0"/>
              <w:rPr>
                <w:sz w:val="17"/>
                <w:szCs w:val="17"/>
                <w:color w:val="auto"/>
              </w:rPr>
            </w:pPr>
          </w:p>
        </w:tc>
        <w:tc>
          <w:tcPr>
            <w:tcW w:w="160" w:type="dxa"/>
            <w:vAlign w:val="bottom"/>
            <w:tcBorders>
              <w:bottom w:val="single" w:sz="8" w:color="ECEDEF"/>
            </w:tcBorders>
            <w:shd w:val="clear" w:color="auto" w:fill="ECEDEF"/>
          </w:tcPr>
          <w:p>
            <w:pPr>
              <w:spacing w:after="0"/>
              <w:rPr>
                <w:sz w:val="17"/>
                <w:szCs w:val="17"/>
                <w:color w:val="auto"/>
              </w:rPr>
            </w:pPr>
          </w:p>
        </w:tc>
        <w:tc>
          <w:tcPr>
            <w:tcW w:w="660" w:type="dxa"/>
            <w:vAlign w:val="bottom"/>
            <w:tcBorders>
              <w:bottom w:val="single" w:sz="8" w:color="ECEDEF"/>
            </w:tcBorders>
            <w:shd w:val="clear" w:color="auto" w:fill="ECEDEF"/>
          </w:tcPr>
          <w:p>
            <w:pPr>
              <w:spacing w:after="0"/>
              <w:rPr>
                <w:sz w:val="17"/>
                <w:szCs w:val="17"/>
                <w:color w:val="auto"/>
              </w:rPr>
            </w:pPr>
          </w:p>
        </w:tc>
        <w:tc>
          <w:tcPr>
            <w:tcW w:w="160" w:type="dxa"/>
            <w:vAlign w:val="bottom"/>
            <w:tcBorders>
              <w:bottom w:val="single" w:sz="8" w:color="ECEDEF"/>
            </w:tcBorders>
            <w:shd w:val="clear" w:color="auto" w:fill="ECEDEF"/>
          </w:tcPr>
          <w:p>
            <w:pPr>
              <w:spacing w:after="0"/>
              <w:rPr>
                <w:sz w:val="17"/>
                <w:szCs w:val="17"/>
                <w:color w:val="auto"/>
              </w:rPr>
            </w:pPr>
          </w:p>
        </w:tc>
        <w:tc>
          <w:tcPr>
            <w:tcW w:w="740" w:type="dxa"/>
            <w:vAlign w:val="bottom"/>
            <w:tcBorders>
              <w:bottom w:val="single" w:sz="8" w:color="ECEDEF"/>
            </w:tcBorders>
            <w:shd w:val="clear" w:color="auto" w:fill="ECEDE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780" w:type="dxa"/>
            <w:vAlign w:val="bottom"/>
            <w:tcBorders>
              <w:top w:val="single" w:sz="8" w:color="auto"/>
            </w:tcBorders>
          </w:tcPr>
          <w:p>
            <w:pPr>
              <w:ind w:left="740"/>
              <w:spacing w:after="0"/>
              <w:rPr>
                <w:sz w:val="20"/>
                <w:szCs w:val="20"/>
                <w:color w:val="auto"/>
              </w:rPr>
            </w:pPr>
            <w:r>
              <w:rPr>
                <w:rFonts w:ascii="Arial" w:cs="Arial" w:eastAsia="Arial" w:hAnsi="Arial"/>
                <w:sz w:val="14"/>
                <w:szCs w:val="14"/>
                <w:b w:val="1"/>
                <w:bCs w:val="1"/>
                <w:color w:val="CE0F2D"/>
              </w:rPr>
              <w:t>FREDRIC G. REYNOLDS</w:t>
            </w:r>
          </w:p>
        </w:tc>
        <w:tc>
          <w:tcPr>
            <w:tcW w:w="7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shd w:val="clear" w:color="auto" w:fill="ECEDEF"/>
          </w:tcPr>
          <w:p>
            <w:pPr>
              <w:spacing w:after="0"/>
              <w:rPr>
                <w:sz w:val="16"/>
                <w:szCs w:val="16"/>
                <w:color w:val="auto"/>
              </w:rPr>
            </w:pPr>
          </w:p>
        </w:tc>
        <w:tc>
          <w:tcPr>
            <w:tcW w:w="1780" w:type="dxa"/>
            <w:vAlign w:val="bottom"/>
            <w:tcBorders>
              <w:top w:val="single" w:sz="8" w:color="auto"/>
            </w:tcBorders>
            <w:shd w:val="clear" w:color="auto" w:fill="ECEDEF"/>
          </w:tcPr>
          <w:p>
            <w:pPr>
              <w:spacing w:after="0"/>
              <w:rPr>
                <w:sz w:val="16"/>
                <w:szCs w:val="16"/>
                <w:color w:val="auto"/>
              </w:rPr>
            </w:pPr>
          </w:p>
        </w:tc>
        <w:tc>
          <w:tcPr>
            <w:tcW w:w="140" w:type="dxa"/>
            <w:vAlign w:val="bottom"/>
            <w:tcBorders>
              <w:top w:val="single" w:sz="8" w:color="auto"/>
            </w:tcBorders>
            <w:shd w:val="clear" w:color="auto" w:fill="ECEDEF"/>
          </w:tcPr>
          <w:p>
            <w:pPr>
              <w:spacing w:after="0"/>
              <w:rPr>
                <w:sz w:val="16"/>
                <w:szCs w:val="16"/>
                <w:color w:val="auto"/>
              </w:rPr>
            </w:pPr>
          </w:p>
        </w:tc>
        <w:tc>
          <w:tcPr>
            <w:tcW w:w="680" w:type="dxa"/>
            <w:vAlign w:val="bottom"/>
            <w:tcBorders>
              <w:top w:val="single" w:sz="8" w:color="auto"/>
            </w:tcBorders>
            <w:shd w:val="clear" w:color="auto" w:fill="ECEDEF"/>
          </w:tcPr>
          <w:p>
            <w:pPr>
              <w:spacing w:after="0"/>
              <w:rPr>
                <w:sz w:val="16"/>
                <w:szCs w:val="16"/>
                <w:color w:val="auto"/>
              </w:rPr>
            </w:pPr>
          </w:p>
        </w:tc>
        <w:tc>
          <w:tcPr>
            <w:tcW w:w="140" w:type="dxa"/>
            <w:vAlign w:val="bottom"/>
            <w:tcBorders>
              <w:top w:val="single" w:sz="8" w:color="auto"/>
            </w:tcBorders>
            <w:shd w:val="clear" w:color="auto" w:fill="ECEDEF"/>
          </w:tcPr>
          <w:p>
            <w:pPr>
              <w:spacing w:after="0"/>
              <w:rPr>
                <w:sz w:val="16"/>
                <w:szCs w:val="16"/>
                <w:color w:val="auto"/>
              </w:rPr>
            </w:pPr>
          </w:p>
        </w:tc>
        <w:tc>
          <w:tcPr>
            <w:tcW w:w="800" w:type="dxa"/>
            <w:vAlign w:val="bottom"/>
            <w:tcBorders>
              <w:top w:val="single" w:sz="8" w:color="auto"/>
            </w:tcBorders>
            <w:shd w:val="clear" w:color="auto" w:fill="ECEDEF"/>
          </w:tcPr>
          <w:p>
            <w:pPr>
              <w:spacing w:after="0"/>
              <w:rPr>
                <w:sz w:val="16"/>
                <w:szCs w:val="16"/>
                <w:color w:val="auto"/>
              </w:rPr>
            </w:pPr>
          </w:p>
        </w:tc>
        <w:tc>
          <w:tcPr>
            <w:tcW w:w="160" w:type="dxa"/>
            <w:vAlign w:val="bottom"/>
            <w:tcBorders>
              <w:top w:val="single" w:sz="8" w:color="auto"/>
            </w:tcBorders>
            <w:shd w:val="clear" w:color="auto" w:fill="ECEDEF"/>
          </w:tcPr>
          <w:p>
            <w:pPr>
              <w:spacing w:after="0"/>
              <w:rPr>
                <w:sz w:val="16"/>
                <w:szCs w:val="16"/>
                <w:color w:val="auto"/>
              </w:rPr>
            </w:pPr>
          </w:p>
        </w:tc>
        <w:tc>
          <w:tcPr>
            <w:tcW w:w="660" w:type="dxa"/>
            <w:vAlign w:val="bottom"/>
            <w:tcBorders>
              <w:top w:val="single" w:sz="8" w:color="auto"/>
            </w:tcBorders>
            <w:shd w:val="clear" w:color="auto" w:fill="ECEDEF"/>
          </w:tcPr>
          <w:p>
            <w:pPr>
              <w:spacing w:after="0"/>
              <w:rPr>
                <w:sz w:val="16"/>
                <w:szCs w:val="16"/>
                <w:color w:val="auto"/>
              </w:rPr>
            </w:pPr>
          </w:p>
        </w:tc>
        <w:tc>
          <w:tcPr>
            <w:tcW w:w="160" w:type="dxa"/>
            <w:vAlign w:val="bottom"/>
            <w:tcBorders>
              <w:top w:val="single" w:sz="8" w:color="auto"/>
            </w:tcBorders>
            <w:shd w:val="clear" w:color="auto" w:fill="ECEDEF"/>
          </w:tcPr>
          <w:p>
            <w:pPr>
              <w:spacing w:after="0"/>
              <w:rPr>
                <w:sz w:val="16"/>
                <w:szCs w:val="16"/>
                <w:color w:val="auto"/>
              </w:rPr>
            </w:pPr>
          </w:p>
        </w:tc>
        <w:tc>
          <w:tcPr>
            <w:tcW w:w="740" w:type="dxa"/>
            <w:vAlign w:val="bottom"/>
            <w:tcBorders>
              <w:top w:val="single" w:sz="8" w:color="auto"/>
            </w:tcBorders>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780" w:type="dxa"/>
            <w:vAlign w:val="bottom"/>
          </w:tcPr>
          <w:p>
            <w:pPr>
              <w:ind w:left="740"/>
              <w:spacing w:after="0"/>
              <w:rPr>
                <w:sz w:val="20"/>
                <w:szCs w:val="20"/>
                <w:color w:val="auto"/>
              </w:rPr>
            </w:pPr>
            <w:r>
              <w:rPr>
                <w:rFonts w:ascii="Arial" w:cs="Arial" w:eastAsia="Arial" w:hAnsi="Arial"/>
                <w:sz w:val="14"/>
                <w:szCs w:val="14"/>
                <w:color w:val="auto"/>
              </w:rPr>
              <w:t>Retired Executive Vice President &amp; Chief</w:t>
            </w:r>
          </w:p>
        </w:tc>
        <w:tc>
          <w:tcPr>
            <w:tcW w:w="740" w:type="dxa"/>
            <w:vAlign w:val="bottom"/>
          </w:tcPr>
          <w:p>
            <w:pPr>
              <w:jc w:val="right"/>
              <w:ind w:right="149"/>
              <w:spacing w:after="0"/>
              <w:rPr>
                <w:sz w:val="20"/>
                <w:szCs w:val="20"/>
                <w:color w:val="auto"/>
              </w:rPr>
            </w:pPr>
            <w:r>
              <w:rPr>
                <w:rFonts w:ascii="Arial" w:cs="Arial" w:eastAsia="Arial" w:hAnsi="Arial"/>
                <w:sz w:val="14"/>
                <w:szCs w:val="14"/>
                <w:color w:val="auto"/>
              </w:rPr>
              <w:t>2016</w:t>
            </w:r>
          </w:p>
        </w:tc>
        <w:tc>
          <w:tcPr>
            <w:tcW w:w="800" w:type="dxa"/>
            <w:vAlign w:val="bottom"/>
          </w:tcPr>
          <w:p>
            <w:pPr>
              <w:jc w:val="center"/>
              <w:ind w:right="10"/>
              <w:spacing w:after="0"/>
              <w:rPr>
                <w:sz w:val="20"/>
                <w:szCs w:val="20"/>
                <w:color w:val="auto"/>
              </w:rPr>
            </w:pPr>
            <w:r>
              <w:rPr>
                <w:rFonts w:ascii="Arial" w:cs="Arial" w:eastAsia="Arial" w:hAnsi="Arial"/>
                <w:sz w:val="14"/>
                <w:szCs w:val="14"/>
                <w:color w:val="auto"/>
              </w:rPr>
              <w:t>2</w:t>
            </w:r>
          </w:p>
        </w:tc>
        <w:tc>
          <w:tcPr>
            <w:tcW w:w="660" w:type="dxa"/>
            <w:vAlign w:val="bottom"/>
            <w:shd w:val="clear" w:color="auto" w:fill="ECEDEF"/>
          </w:tcPr>
          <w:p>
            <w:pPr>
              <w:spacing w:after="0"/>
              <w:rPr>
                <w:sz w:val="13"/>
                <w:szCs w:val="13"/>
                <w:color w:val="auto"/>
              </w:rPr>
            </w:pPr>
          </w:p>
        </w:tc>
        <w:tc>
          <w:tcPr>
            <w:tcW w:w="17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680" w:type="dxa"/>
            <w:vAlign w:val="bottom"/>
            <w:shd w:val="clear" w:color="auto" w:fill="ECEDEF"/>
          </w:tcPr>
          <w:p>
            <w:pPr>
              <w:spacing w:after="0"/>
              <w:rPr>
                <w:sz w:val="13"/>
                <w:szCs w:val="13"/>
                <w:color w:val="auto"/>
              </w:rPr>
            </w:pPr>
          </w:p>
        </w:tc>
        <w:tc>
          <w:tcPr>
            <w:tcW w:w="140" w:type="dxa"/>
            <w:vAlign w:val="bottom"/>
            <w:shd w:val="clear" w:color="auto" w:fill="ECEDEF"/>
          </w:tcPr>
          <w:p>
            <w:pPr>
              <w:spacing w:after="0"/>
              <w:rPr>
                <w:sz w:val="13"/>
                <w:szCs w:val="13"/>
                <w:color w:val="auto"/>
              </w:rPr>
            </w:pPr>
          </w:p>
        </w:tc>
        <w:tc>
          <w:tcPr>
            <w:tcW w:w="80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660" w:type="dxa"/>
            <w:vAlign w:val="bottom"/>
            <w:shd w:val="clear" w:color="auto" w:fill="ECEDEF"/>
          </w:tcPr>
          <w:p>
            <w:pPr>
              <w:spacing w:after="0"/>
              <w:rPr>
                <w:sz w:val="13"/>
                <w:szCs w:val="13"/>
                <w:color w:val="auto"/>
              </w:rPr>
            </w:pPr>
          </w:p>
        </w:tc>
        <w:tc>
          <w:tcPr>
            <w:tcW w:w="160" w:type="dxa"/>
            <w:vAlign w:val="bottom"/>
            <w:shd w:val="clear" w:color="auto" w:fill="ECEDEF"/>
          </w:tcPr>
          <w:p>
            <w:pPr>
              <w:spacing w:after="0"/>
              <w:rPr>
                <w:sz w:val="13"/>
                <w:szCs w:val="13"/>
                <w:color w:val="auto"/>
              </w:rPr>
            </w:pPr>
          </w:p>
        </w:tc>
        <w:tc>
          <w:tcPr>
            <w:tcW w:w="74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78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Financial Officer, CBS Corporation</w:t>
            </w:r>
          </w:p>
        </w:tc>
        <w:tc>
          <w:tcPr>
            <w:tcW w:w="7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7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680" w:type="dxa"/>
            <w:vAlign w:val="bottom"/>
            <w:tcBorders>
              <w:bottom w:val="single" w:sz="8" w:color="auto"/>
            </w:tcBorders>
            <w:shd w:val="clear" w:color="auto" w:fill="ECEDEF"/>
          </w:tcPr>
          <w:p>
            <w:pPr>
              <w:spacing w:after="0"/>
              <w:rPr>
                <w:sz w:val="15"/>
                <w:szCs w:val="15"/>
                <w:color w:val="auto"/>
              </w:rPr>
            </w:pPr>
          </w:p>
        </w:tc>
        <w:tc>
          <w:tcPr>
            <w:tcW w:w="140" w:type="dxa"/>
            <w:vAlign w:val="bottom"/>
            <w:tcBorders>
              <w:bottom w:val="single" w:sz="8" w:color="auto"/>
            </w:tcBorders>
            <w:shd w:val="clear" w:color="auto" w:fill="ECEDEF"/>
          </w:tcPr>
          <w:p>
            <w:pPr>
              <w:spacing w:after="0"/>
              <w:rPr>
                <w:sz w:val="15"/>
                <w:szCs w:val="15"/>
                <w:color w:val="auto"/>
              </w:rPr>
            </w:pPr>
          </w:p>
        </w:tc>
        <w:tc>
          <w:tcPr>
            <w:tcW w:w="80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660" w:type="dxa"/>
            <w:vAlign w:val="bottom"/>
            <w:tcBorders>
              <w:bottom w:val="single" w:sz="8" w:color="auto"/>
            </w:tcBorders>
            <w:shd w:val="clear" w:color="auto" w:fill="ECEDEF"/>
          </w:tcPr>
          <w:p>
            <w:pPr>
              <w:spacing w:after="0"/>
              <w:rPr>
                <w:sz w:val="15"/>
                <w:szCs w:val="15"/>
                <w:color w:val="auto"/>
              </w:rPr>
            </w:pPr>
          </w:p>
        </w:tc>
        <w:tc>
          <w:tcPr>
            <w:tcW w:w="160" w:type="dxa"/>
            <w:vAlign w:val="bottom"/>
            <w:tcBorders>
              <w:bottom w:val="single" w:sz="8" w:color="auto"/>
            </w:tcBorders>
            <w:shd w:val="clear" w:color="auto" w:fill="ECEDEF"/>
          </w:tcPr>
          <w:p>
            <w:pPr>
              <w:spacing w:after="0"/>
              <w:rPr>
                <w:sz w:val="15"/>
                <w:szCs w:val="15"/>
                <w:color w:val="auto"/>
              </w:rPr>
            </w:pPr>
          </w:p>
        </w:tc>
        <w:tc>
          <w:tcPr>
            <w:tcW w:w="740" w:type="dxa"/>
            <w:vAlign w:val="bottom"/>
            <w:tcBorders>
              <w:bottom w:val="single" w:sz="8" w:color="auto"/>
            </w:tcBorders>
            <w:shd w:val="clear" w:color="auto" w:fill="ECEDE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BRIAN C. ROGERS</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2016</w:t>
            </w: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780" w:type="dxa"/>
            <w:vAlign w:val="bottom"/>
          </w:tcPr>
          <w:p>
            <w:pPr>
              <w:ind w:left="740"/>
              <w:spacing w:after="0"/>
              <w:rPr>
                <w:sz w:val="20"/>
                <w:szCs w:val="20"/>
                <w:color w:val="auto"/>
              </w:rPr>
            </w:pPr>
            <w:r>
              <w:rPr>
                <w:rFonts w:ascii="Arial" w:cs="Arial" w:eastAsia="Arial" w:hAnsi="Arial"/>
                <w:sz w:val="14"/>
                <w:szCs w:val="14"/>
                <w:color w:val="auto"/>
              </w:rPr>
              <w:t>Retired Chairman, T. Rowe Price Group, Inc.</w:t>
            </w:r>
          </w:p>
        </w:tc>
        <w:tc>
          <w:tcPr>
            <w:tcW w:w="7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60" w:type="dxa"/>
            <w:vAlign w:val="bottom"/>
            <w:shd w:val="clear" w:color="auto" w:fill="ECEDEF"/>
          </w:tcPr>
          <w:p>
            <w:pPr>
              <w:spacing w:after="0"/>
              <w:rPr>
                <w:sz w:val="14"/>
                <w:szCs w:val="14"/>
                <w:color w:val="auto"/>
              </w:rPr>
            </w:pPr>
          </w:p>
        </w:tc>
        <w:tc>
          <w:tcPr>
            <w:tcW w:w="1780" w:type="dxa"/>
            <w:vAlign w:val="bottom"/>
            <w:shd w:val="clear" w:color="auto" w:fill="ECEDEF"/>
          </w:tcPr>
          <w:p>
            <w:pPr>
              <w:spacing w:after="0"/>
              <w:rPr>
                <w:sz w:val="14"/>
                <w:szCs w:val="14"/>
                <w:color w:val="auto"/>
              </w:rPr>
            </w:pPr>
          </w:p>
        </w:tc>
        <w:tc>
          <w:tcPr>
            <w:tcW w:w="140" w:type="dxa"/>
            <w:vAlign w:val="bottom"/>
            <w:shd w:val="clear" w:color="auto" w:fill="ECEDEF"/>
          </w:tcPr>
          <w:p>
            <w:pPr>
              <w:spacing w:after="0"/>
              <w:rPr>
                <w:sz w:val="14"/>
                <w:szCs w:val="14"/>
                <w:color w:val="auto"/>
              </w:rPr>
            </w:pPr>
          </w:p>
        </w:tc>
        <w:tc>
          <w:tcPr>
            <w:tcW w:w="680" w:type="dxa"/>
            <w:vAlign w:val="bottom"/>
            <w:shd w:val="clear" w:color="auto" w:fill="ECEDEF"/>
          </w:tcPr>
          <w:p>
            <w:pPr>
              <w:spacing w:after="0"/>
              <w:rPr>
                <w:sz w:val="14"/>
                <w:szCs w:val="14"/>
                <w:color w:val="auto"/>
              </w:rPr>
            </w:pPr>
          </w:p>
        </w:tc>
        <w:tc>
          <w:tcPr>
            <w:tcW w:w="140" w:type="dxa"/>
            <w:vAlign w:val="bottom"/>
            <w:shd w:val="clear" w:color="auto" w:fill="ECEDEF"/>
          </w:tcPr>
          <w:p>
            <w:pPr>
              <w:spacing w:after="0"/>
              <w:rPr>
                <w:sz w:val="14"/>
                <w:szCs w:val="14"/>
                <w:color w:val="auto"/>
              </w:rPr>
            </w:pPr>
          </w:p>
        </w:tc>
        <w:tc>
          <w:tcPr>
            <w:tcW w:w="800" w:type="dxa"/>
            <w:vAlign w:val="bottom"/>
            <w:shd w:val="clear" w:color="auto" w:fill="ECEDEF"/>
          </w:tcPr>
          <w:p>
            <w:pPr>
              <w:spacing w:after="0"/>
              <w:rPr>
                <w:sz w:val="14"/>
                <w:szCs w:val="14"/>
                <w:color w:val="auto"/>
              </w:rPr>
            </w:pPr>
          </w:p>
        </w:tc>
        <w:tc>
          <w:tcPr>
            <w:tcW w:w="160" w:type="dxa"/>
            <w:vAlign w:val="bottom"/>
            <w:shd w:val="clear" w:color="auto" w:fill="ECEDEF"/>
          </w:tcPr>
          <w:p>
            <w:pPr>
              <w:spacing w:after="0"/>
              <w:rPr>
                <w:sz w:val="14"/>
                <w:szCs w:val="14"/>
                <w:color w:val="auto"/>
              </w:rPr>
            </w:pPr>
          </w:p>
        </w:tc>
        <w:tc>
          <w:tcPr>
            <w:tcW w:w="660" w:type="dxa"/>
            <w:vAlign w:val="bottom"/>
            <w:shd w:val="clear" w:color="auto" w:fill="ECEDEF"/>
          </w:tcPr>
          <w:p>
            <w:pPr>
              <w:spacing w:after="0"/>
              <w:rPr>
                <w:sz w:val="14"/>
                <w:szCs w:val="14"/>
                <w:color w:val="auto"/>
              </w:rPr>
            </w:pPr>
          </w:p>
        </w:tc>
        <w:tc>
          <w:tcPr>
            <w:tcW w:w="160" w:type="dxa"/>
            <w:vAlign w:val="bottom"/>
            <w:shd w:val="clear" w:color="auto" w:fill="ECEDEF"/>
          </w:tcPr>
          <w:p>
            <w:pPr>
              <w:spacing w:after="0"/>
              <w:rPr>
                <w:sz w:val="14"/>
                <w:szCs w:val="14"/>
                <w:color w:val="auto"/>
              </w:rPr>
            </w:pPr>
          </w:p>
        </w:tc>
        <w:tc>
          <w:tcPr>
            <w:tcW w:w="74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37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shd w:val="clear" w:color="auto" w:fill="ECEDEF"/>
          </w:tcPr>
          <w:p>
            <w:pPr>
              <w:spacing w:after="0"/>
              <w:rPr>
                <w:sz w:val="11"/>
                <w:szCs w:val="11"/>
                <w:color w:val="auto"/>
              </w:rPr>
            </w:pPr>
          </w:p>
        </w:tc>
        <w:tc>
          <w:tcPr>
            <w:tcW w:w="1780" w:type="dxa"/>
            <w:vAlign w:val="bottom"/>
            <w:tcBorders>
              <w:bottom w:val="single" w:sz="8" w:color="auto"/>
            </w:tcBorders>
            <w:shd w:val="clear" w:color="auto" w:fill="ECEDEF"/>
          </w:tcPr>
          <w:p>
            <w:pPr>
              <w:spacing w:after="0"/>
              <w:rPr>
                <w:sz w:val="11"/>
                <w:szCs w:val="11"/>
                <w:color w:val="auto"/>
              </w:rPr>
            </w:pPr>
          </w:p>
        </w:tc>
        <w:tc>
          <w:tcPr>
            <w:tcW w:w="140" w:type="dxa"/>
            <w:vAlign w:val="bottom"/>
            <w:tcBorders>
              <w:bottom w:val="single" w:sz="8" w:color="auto"/>
            </w:tcBorders>
            <w:shd w:val="clear" w:color="auto" w:fill="ECEDEF"/>
          </w:tcPr>
          <w:p>
            <w:pPr>
              <w:spacing w:after="0"/>
              <w:rPr>
                <w:sz w:val="11"/>
                <w:szCs w:val="11"/>
                <w:color w:val="auto"/>
              </w:rPr>
            </w:pPr>
          </w:p>
        </w:tc>
        <w:tc>
          <w:tcPr>
            <w:tcW w:w="680" w:type="dxa"/>
            <w:vAlign w:val="bottom"/>
            <w:tcBorders>
              <w:bottom w:val="single" w:sz="8" w:color="auto"/>
            </w:tcBorders>
            <w:shd w:val="clear" w:color="auto" w:fill="ECEDEF"/>
          </w:tcPr>
          <w:p>
            <w:pPr>
              <w:spacing w:after="0"/>
              <w:rPr>
                <w:sz w:val="11"/>
                <w:szCs w:val="11"/>
                <w:color w:val="auto"/>
              </w:rPr>
            </w:pPr>
          </w:p>
        </w:tc>
        <w:tc>
          <w:tcPr>
            <w:tcW w:w="140" w:type="dxa"/>
            <w:vAlign w:val="bottom"/>
            <w:tcBorders>
              <w:bottom w:val="single" w:sz="8" w:color="auto"/>
            </w:tcBorders>
            <w:shd w:val="clear" w:color="auto" w:fill="ECEDEF"/>
          </w:tcPr>
          <w:p>
            <w:pPr>
              <w:spacing w:after="0"/>
              <w:rPr>
                <w:sz w:val="11"/>
                <w:szCs w:val="11"/>
                <w:color w:val="auto"/>
              </w:rPr>
            </w:pPr>
          </w:p>
        </w:tc>
        <w:tc>
          <w:tcPr>
            <w:tcW w:w="800" w:type="dxa"/>
            <w:vAlign w:val="bottom"/>
            <w:tcBorders>
              <w:bottom w:val="single" w:sz="8" w:color="auto"/>
            </w:tcBorders>
            <w:shd w:val="clear" w:color="auto" w:fill="ECEDEF"/>
          </w:tcPr>
          <w:p>
            <w:pPr>
              <w:spacing w:after="0"/>
              <w:rPr>
                <w:sz w:val="11"/>
                <w:szCs w:val="11"/>
                <w:color w:val="auto"/>
              </w:rPr>
            </w:pPr>
          </w:p>
        </w:tc>
        <w:tc>
          <w:tcPr>
            <w:tcW w:w="160" w:type="dxa"/>
            <w:vAlign w:val="bottom"/>
            <w:tcBorders>
              <w:bottom w:val="single" w:sz="8" w:color="auto"/>
            </w:tcBorders>
            <w:shd w:val="clear" w:color="auto" w:fill="ECEDEF"/>
          </w:tcPr>
          <w:p>
            <w:pPr>
              <w:spacing w:after="0"/>
              <w:rPr>
                <w:sz w:val="11"/>
                <w:szCs w:val="11"/>
                <w:color w:val="auto"/>
              </w:rPr>
            </w:pPr>
          </w:p>
        </w:tc>
        <w:tc>
          <w:tcPr>
            <w:tcW w:w="660" w:type="dxa"/>
            <w:vAlign w:val="bottom"/>
            <w:tcBorders>
              <w:bottom w:val="single" w:sz="8" w:color="auto"/>
            </w:tcBorders>
            <w:shd w:val="clear" w:color="auto" w:fill="ECEDEF"/>
          </w:tcPr>
          <w:p>
            <w:pPr>
              <w:spacing w:after="0"/>
              <w:rPr>
                <w:sz w:val="11"/>
                <w:szCs w:val="11"/>
                <w:color w:val="auto"/>
              </w:rPr>
            </w:pPr>
          </w:p>
        </w:tc>
        <w:tc>
          <w:tcPr>
            <w:tcW w:w="160" w:type="dxa"/>
            <w:vAlign w:val="bottom"/>
            <w:tcBorders>
              <w:bottom w:val="single" w:sz="8" w:color="auto"/>
            </w:tcBorders>
            <w:shd w:val="clear" w:color="auto" w:fill="ECEDEF"/>
          </w:tcPr>
          <w:p>
            <w:pPr>
              <w:spacing w:after="0"/>
              <w:rPr>
                <w:sz w:val="11"/>
                <w:szCs w:val="11"/>
                <w:color w:val="auto"/>
              </w:rPr>
            </w:pPr>
          </w:p>
        </w:tc>
        <w:tc>
          <w:tcPr>
            <w:tcW w:w="740" w:type="dxa"/>
            <w:vAlign w:val="bottom"/>
            <w:tcBorders>
              <w:bottom w:val="single" w:sz="8" w:color="auto"/>
            </w:tcBorders>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JAMES A. WINNEFELD, JR.</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Admiral U.S. Navy (Retired) and Former Vice</w:t>
            </w:r>
          </w:p>
        </w:tc>
        <w:tc>
          <w:tcPr>
            <w:tcW w:w="740" w:type="dxa"/>
            <w:vAlign w:val="bottom"/>
            <w:vMerge w:val="continue"/>
          </w:tcPr>
          <w:p>
            <w:pPr>
              <w:spacing w:after="0"/>
              <w:rPr>
                <w:sz w:val="6"/>
                <w:szCs w:val="6"/>
                <w:color w:val="auto"/>
              </w:rPr>
            </w:pP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1</w:t>
            </w: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780" w:type="dxa"/>
            <w:vAlign w:val="bottom"/>
            <w:vMerge w:val="continue"/>
          </w:tcPr>
          <w:p>
            <w:pPr>
              <w:spacing w:after="0"/>
              <w:rPr>
                <w:sz w:val="6"/>
                <w:szCs w:val="6"/>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(2017)</w:t>
            </w:r>
          </w:p>
        </w:tc>
        <w:tc>
          <w:tcPr>
            <w:tcW w:w="800" w:type="dxa"/>
            <w:vAlign w:val="bottom"/>
            <w:vMerge w:val="continue"/>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Chairman of the Joint Chiefs of Staff</w:t>
            </w:r>
          </w:p>
        </w:tc>
        <w:tc>
          <w:tcPr>
            <w:tcW w:w="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7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780" w:type="dxa"/>
            <w:vAlign w:val="bottom"/>
            <w:tcBorders>
              <w:bottom w:val="single" w:sz="8" w:color="auto"/>
            </w:tcBorders>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shd w:val="clear" w:color="auto" w:fill="ECEDEF"/>
          </w:tcPr>
          <w:p>
            <w:pPr>
              <w:spacing w:after="0"/>
              <w:rPr>
                <w:sz w:val="7"/>
                <w:szCs w:val="7"/>
                <w:color w:val="auto"/>
              </w:rPr>
            </w:pPr>
          </w:p>
        </w:tc>
        <w:tc>
          <w:tcPr>
            <w:tcW w:w="1780" w:type="dxa"/>
            <w:vAlign w:val="bottom"/>
            <w:tcBorders>
              <w:bottom w:val="single" w:sz="8" w:color="auto"/>
            </w:tcBorders>
            <w:shd w:val="clear" w:color="auto" w:fill="ECEDEF"/>
          </w:tcPr>
          <w:p>
            <w:pPr>
              <w:spacing w:after="0"/>
              <w:rPr>
                <w:sz w:val="7"/>
                <w:szCs w:val="7"/>
                <w:color w:val="auto"/>
              </w:rPr>
            </w:pPr>
          </w:p>
        </w:tc>
        <w:tc>
          <w:tcPr>
            <w:tcW w:w="140" w:type="dxa"/>
            <w:vAlign w:val="bottom"/>
            <w:tcBorders>
              <w:bottom w:val="single" w:sz="8" w:color="auto"/>
            </w:tcBorders>
            <w:shd w:val="clear" w:color="auto" w:fill="ECEDEF"/>
          </w:tcPr>
          <w:p>
            <w:pPr>
              <w:spacing w:after="0"/>
              <w:rPr>
                <w:sz w:val="7"/>
                <w:szCs w:val="7"/>
                <w:color w:val="auto"/>
              </w:rPr>
            </w:pPr>
          </w:p>
        </w:tc>
        <w:tc>
          <w:tcPr>
            <w:tcW w:w="680" w:type="dxa"/>
            <w:vAlign w:val="bottom"/>
            <w:tcBorders>
              <w:bottom w:val="single" w:sz="8" w:color="auto"/>
            </w:tcBorders>
            <w:shd w:val="clear" w:color="auto" w:fill="ECEDEF"/>
          </w:tcPr>
          <w:p>
            <w:pPr>
              <w:spacing w:after="0"/>
              <w:rPr>
                <w:sz w:val="7"/>
                <w:szCs w:val="7"/>
                <w:color w:val="auto"/>
              </w:rPr>
            </w:pPr>
          </w:p>
        </w:tc>
        <w:tc>
          <w:tcPr>
            <w:tcW w:w="140" w:type="dxa"/>
            <w:vAlign w:val="bottom"/>
            <w:tcBorders>
              <w:bottom w:val="single" w:sz="8" w:color="auto"/>
            </w:tcBorders>
            <w:shd w:val="clear" w:color="auto" w:fill="ECEDEF"/>
          </w:tcPr>
          <w:p>
            <w:pPr>
              <w:spacing w:after="0"/>
              <w:rPr>
                <w:sz w:val="7"/>
                <w:szCs w:val="7"/>
                <w:color w:val="auto"/>
              </w:rPr>
            </w:pPr>
          </w:p>
        </w:tc>
        <w:tc>
          <w:tcPr>
            <w:tcW w:w="800" w:type="dxa"/>
            <w:vAlign w:val="bottom"/>
            <w:tcBorders>
              <w:bottom w:val="single" w:sz="8" w:color="auto"/>
            </w:tcBorders>
            <w:shd w:val="clear" w:color="auto" w:fill="ECEDEF"/>
          </w:tcPr>
          <w:p>
            <w:pPr>
              <w:spacing w:after="0"/>
              <w:rPr>
                <w:sz w:val="7"/>
                <w:szCs w:val="7"/>
                <w:color w:val="auto"/>
              </w:rPr>
            </w:pPr>
          </w:p>
        </w:tc>
        <w:tc>
          <w:tcPr>
            <w:tcW w:w="160" w:type="dxa"/>
            <w:vAlign w:val="bottom"/>
            <w:tcBorders>
              <w:bottom w:val="single" w:sz="8" w:color="auto"/>
            </w:tcBorders>
            <w:shd w:val="clear" w:color="auto" w:fill="ECEDEF"/>
          </w:tcPr>
          <w:p>
            <w:pPr>
              <w:spacing w:after="0"/>
              <w:rPr>
                <w:sz w:val="7"/>
                <w:szCs w:val="7"/>
                <w:color w:val="auto"/>
              </w:rPr>
            </w:pPr>
          </w:p>
        </w:tc>
        <w:tc>
          <w:tcPr>
            <w:tcW w:w="660" w:type="dxa"/>
            <w:vAlign w:val="bottom"/>
            <w:tcBorders>
              <w:bottom w:val="single" w:sz="8" w:color="auto"/>
            </w:tcBorders>
            <w:shd w:val="clear" w:color="auto" w:fill="ECEDEF"/>
          </w:tcPr>
          <w:p>
            <w:pPr>
              <w:spacing w:after="0"/>
              <w:rPr>
                <w:sz w:val="7"/>
                <w:szCs w:val="7"/>
                <w:color w:val="auto"/>
              </w:rPr>
            </w:pPr>
          </w:p>
        </w:tc>
        <w:tc>
          <w:tcPr>
            <w:tcW w:w="160" w:type="dxa"/>
            <w:vAlign w:val="bottom"/>
            <w:tcBorders>
              <w:bottom w:val="single" w:sz="8" w:color="auto"/>
            </w:tcBorders>
            <w:shd w:val="clear" w:color="auto" w:fill="ECEDEF"/>
          </w:tcPr>
          <w:p>
            <w:pPr>
              <w:spacing w:after="0"/>
              <w:rPr>
                <w:sz w:val="7"/>
                <w:szCs w:val="7"/>
                <w:color w:val="auto"/>
              </w:rPr>
            </w:pPr>
          </w:p>
        </w:tc>
        <w:tc>
          <w:tcPr>
            <w:tcW w:w="740" w:type="dxa"/>
            <w:vAlign w:val="bottom"/>
            <w:tcBorders>
              <w:bottom w:val="single" w:sz="8" w:color="auto"/>
            </w:tcBorders>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780" w:type="dxa"/>
            <w:vAlign w:val="bottom"/>
          </w:tcPr>
          <w:p>
            <w:pPr>
              <w:ind w:left="740"/>
              <w:spacing w:after="0"/>
              <w:rPr>
                <w:sz w:val="20"/>
                <w:szCs w:val="20"/>
                <w:color w:val="auto"/>
              </w:rPr>
            </w:pPr>
            <w:r>
              <w:rPr>
                <w:rFonts w:ascii="Arial" w:cs="Arial" w:eastAsia="Arial" w:hAnsi="Arial"/>
                <w:sz w:val="14"/>
                <w:szCs w:val="14"/>
                <w:b w:val="1"/>
                <w:bCs w:val="1"/>
                <w:color w:val="CE0F2D"/>
              </w:rPr>
              <w:t>ROBERT O. WORK</w:t>
            </w:r>
          </w:p>
        </w:tc>
        <w:tc>
          <w:tcPr>
            <w:tcW w:w="740" w:type="dxa"/>
            <w:vAlign w:val="bottom"/>
            <w:vMerge w:val="restart"/>
          </w:tcPr>
          <w:p>
            <w:pPr>
              <w:jc w:val="right"/>
              <w:ind w:right="149"/>
              <w:spacing w:after="0"/>
              <w:rPr>
                <w:sz w:val="20"/>
                <w:szCs w:val="20"/>
                <w:color w:val="auto"/>
              </w:rPr>
            </w:pPr>
            <w:r>
              <w:rPr>
                <w:rFonts w:ascii="Arial" w:cs="Arial" w:eastAsia="Arial" w:hAnsi="Arial"/>
                <w:sz w:val="14"/>
                <w:szCs w:val="14"/>
                <w:color w:val="auto"/>
              </w:rPr>
              <w:t>2020</w:t>
            </w:r>
          </w:p>
        </w:tc>
        <w:tc>
          <w:tcPr>
            <w:tcW w:w="800" w:type="dxa"/>
            <w:vAlign w:val="bottom"/>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7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680" w:type="dxa"/>
            <w:vAlign w:val="bottom"/>
            <w:shd w:val="clear" w:color="auto" w:fill="ECEDEF"/>
          </w:tcPr>
          <w:p>
            <w:pPr>
              <w:spacing w:after="0"/>
              <w:rPr>
                <w:sz w:val="16"/>
                <w:szCs w:val="16"/>
                <w:color w:val="auto"/>
              </w:rPr>
            </w:pPr>
          </w:p>
        </w:tc>
        <w:tc>
          <w:tcPr>
            <w:tcW w:w="140" w:type="dxa"/>
            <w:vAlign w:val="bottom"/>
            <w:shd w:val="clear" w:color="auto" w:fill="ECEDEF"/>
          </w:tcPr>
          <w:p>
            <w:pPr>
              <w:spacing w:after="0"/>
              <w:rPr>
                <w:sz w:val="16"/>
                <w:szCs w:val="16"/>
                <w:color w:val="auto"/>
              </w:rPr>
            </w:pPr>
          </w:p>
        </w:tc>
        <w:tc>
          <w:tcPr>
            <w:tcW w:w="80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660" w:type="dxa"/>
            <w:vAlign w:val="bottom"/>
            <w:shd w:val="clear" w:color="auto" w:fill="ECEDEF"/>
          </w:tcPr>
          <w:p>
            <w:pPr>
              <w:spacing w:after="0"/>
              <w:rPr>
                <w:sz w:val="16"/>
                <w:szCs w:val="16"/>
                <w:color w:val="auto"/>
              </w:rPr>
            </w:pPr>
          </w:p>
        </w:tc>
        <w:tc>
          <w:tcPr>
            <w:tcW w:w="160" w:type="dxa"/>
            <w:vAlign w:val="bottom"/>
            <w:shd w:val="clear" w:color="auto" w:fill="ECEDEF"/>
          </w:tcPr>
          <w:p>
            <w:pPr>
              <w:spacing w:after="0"/>
              <w:rPr>
                <w:sz w:val="16"/>
                <w:szCs w:val="16"/>
                <w:color w:val="auto"/>
              </w:rPr>
            </w:pPr>
          </w:p>
        </w:tc>
        <w:tc>
          <w:tcPr>
            <w:tcW w:w="74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Retired Deputy Secretary of Defense, U.S.</w:t>
            </w:r>
          </w:p>
        </w:tc>
        <w:tc>
          <w:tcPr>
            <w:tcW w:w="740" w:type="dxa"/>
            <w:vAlign w:val="bottom"/>
            <w:vMerge w:val="continue"/>
          </w:tcPr>
          <w:p>
            <w:pPr>
              <w:spacing w:after="0"/>
              <w:rPr>
                <w:sz w:val="6"/>
                <w:szCs w:val="6"/>
                <w:color w:val="auto"/>
              </w:rPr>
            </w:pPr>
          </w:p>
        </w:tc>
        <w:tc>
          <w:tcPr>
            <w:tcW w:w="800" w:type="dxa"/>
            <w:vAlign w:val="bottom"/>
            <w:vMerge w:val="restart"/>
          </w:tcPr>
          <w:p>
            <w:pPr>
              <w:jc w:val="center"/>
              <w:ind w:right="10"/>
              <w:spacing w:after="0"/>
              <w:rPr>
                <w:sz w:val="20"/>
                <w:szCs w:val="20"/>
                <w:color w:val="auto"/>
              </w:rPr>
            </w:pPr>
            <w:r>
              <w:rPr>
                <w:rFonts w:ascii="Arial" w:cs="Arial" w:eastAsia="Arial" w:hAnsi="Arial"/>
                <w:sz w:val="14"/>
                <w:szCs w:val="14"/>
                <w:color w:val="auto"/>
              </w:rPr>
              <w:t>0</w:t>
            </w: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3780" w:type="dxa"/>
            <w:vAlign w:val="bottom"/>
            <w:vMerge w:val="continue"/>
          </w:tcPr>
          <w:p>
            <w:pPr>
              <w:spacing w:after="0"/>
              <w:rPr>
                <w:sz w:val="6"/>
                <w:szCs w:val="6"/>
                <w:color w:val="auto"/>
              </w:rPr>
            </w:pPr>
          </w:p>
        </w:tc>
        <w:tc>
          <w:tcPr>
            <w:tcW w:w="740" w:type="dxa"/>
            <w:vAlign w:val="bottom"/>
            <w:vMerge w:val="restart"/>
          </w:tcPr>
          <w:p>
            <w:pPr>
              <w:jc w:val="right"/>
              <w:ind w:right="109"/>
              <w:spacing w:after="0"/>
              <w:rPr>
                <w:sz w:val="20"/>
                <w:szCs w:val="20"/>
                <w:color w:val="auto"/>
              </w:rPr>
            </w:pPr>
            <w:r>
              <w:rPr>
                <w:rFonts w:ascii="Arial" w:cs="Arial" w:eastAsia="Arial" w:hAnsi="Arial"/>
                <w:sz w:val="14"/>
                <w:szCs w:val="14"/>
                <w:color w:val="auto"/>
              </w:rPr>
              <w:t>(2017)</w:t>
            </w:r>
          </w:p>
        </w:tc>
        <w:tc>
          <w:tcPr>
            <w:tcW w:w="800" w:type="dxa"/>
            <w:vAlign w:val="bottom"/>
            <w:vMerge w:val="continue"/>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7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680" w:type="dxa"/>
            <w:vAlign w:val="bottom"/>
            <w:shd w:val="clear" w:color="auto" w:fill="ECEDEF"/>
          </w:tcPr>
          <w:p>
            <w:pPr>
              <w:spacing w:after="0"/>
              <w:rPr>
                <w:sz w:val="6"/>
                <w:szCs w:val="6"/>
                <w:color w:val="auto"/>
              </w:rPr>
            </w:pPr>
          </w:p>
        </w:tc>
        <w:tc>
          <w:tcPr>
            <w:tcW w:w="140" w:type="dxa"/>
            <w:vAlign w:val="bottom"/>
            <w:shd w:val="clear" w:color="auto" w:fill="ECEDEF"/>
          </w:tcPr>
          <w:p>
            <w:pPr>
              <w:spacing w:after="0"/>
              <w:rPr>
                <w:sz w:val="6"/>
                <w:szCs w:val="6"/>
                <w:color w:val="auto"/>
              </w:rPr>
            </w:pPr>
          </w:p>
        </w:tc>
        <w:tc>
          <w:tcPr>
            <w:tcW w:w="80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660" w:type="dxa"/>
            <w:vAlign w:val="bottom"/>
            <w:shd w:val="clear" w:color="auto" w:fill="ECEDEF"/>
          </w:tcPr>
          <w:p>
            <w:pPr>
              <w:spacing w:after="0"/>
              <w:rPr>
                <w:sz w:val="6"/>
                <w:szCs w:val="6"/>
                <w:color w:val="auto"/>
              </w:rPr>
            </w:pPr>
          </w:p>
        </w:tc>
        <w:tc>
          <w:tcPr>
            <w:tcW w:w="160" w:type="dxa"/>
            <w:vAlign w:val="bottom"/>
            <w:shd w:val="clear" w:color="auto" w:fill="ECEDEF"/>
          </w:tcPr>
          <w:p>
            <w:pPr>
              <w:spacing w:after="0"/>
              <w:rPr>
                <w:sz w:val="6"/>
                <w:szCs w:val="6"/>
                <w:color w:val="auto"/>
              </w:rPr>
            </w:pPr>
          </w:p>
        </w:tc>
        <w:tc>
          <w:tcPr>
            <w:tcW w:w="74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3780" w:type="dxa"/>
            <w:vAlign w:val="bottom"/>
            <w:vMerge w:val="restart"/>
          </w:tcPr>
          <w:p>
            <w:pPr>
              <w:ind w:left="740"/>
              <w:spacing w:after="0"/>
              <w:rPr>
                <w:sz w:val="20"/>
                <w:szCs w:val="20"/>
                <w:color w:val="auto"/>
              </w:rPr>
            </w:pPr>
            <w:r>
              <w:rPr>
                <w:rFonts w:ascii="Arial" w:cs="Arial" w:eastAsia="Arial" w:hAnsi="Arial"/>
                <w:sz w:val="14"/>
                <w:szCs w:val="14"/>
                <w:color w:val="auto"/>
              </w:rPr>
              <w:t>Department of Defense</w:t>
            </w:r>
          </w:p>
        </w:tc>
        <w:tc>
          <w:tcPr>
            <w:tcW w:w="7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7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680" w:type="dxa"/>
            <w:vAlign w:val="bottom"/>
            <w:shd w:val="clear" w:color="auto" w:fill="ECEDEF"/>
          </w:tcPr>
          <w:p>
            <w:pPr>
              <w:spacing w:after="0"/>
              <w:rPr>
                <w:sz w:val="7"/>
                <w:szCs w:val="7"/>
                <w:color w:val="auto"/>
              </w:rPr>
            </w:pPr>
          </w:p>
        </w:tc>
        <w:tc>
          <w:tcPr>
            <w:tcW w:w="140" w:type="dxa"/>
            <w:vAlign w:val="bottom"/>
            <w:shd w:val="clear" w:color="auto" w:fill="ECEDEF"/>
          </w:tcPr>
          <w:p>
            <w:pPr>
              <w:spacing w:after="0"/>
              <w:rPr>
                <w:sz w:val="7"/>
                <w:szCs w:val="7"/>
                <w:color w:val="auto"/>
              </w:rPr>
            </w:pPr>
          </w:p>
        </w:tc>
        <w:tc>
          <w:tcPr>
            <w:tcW w:w="80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660" w:type="dxa"/>
            <w:vAlign w:val="bottom"/>
            <w:shd w:val="clear" w:color="auto" w:fill="ECEDEF"/>
          </w:tcPr>
          <w:p>
            <w:pPr>
              <w:spacing w:after="0"/>
              <w:rPr>
                <w:sz w:val="7"/>
                <w:szCs w:val="7"/>
                <w:color w:val="auto"/>
              </w:rPr>
            </w:pPr>
          </w:p>
        </w:tc>
        <w:tc>
          <w:tcPr>
            <w:tcW w:w="160" w:type="dxa"/>
            <w:vAlign w:val="bottom"/>
            <w:shd w:val="clear" w:color="auto" w:fill="ECEDEF"/>
          </w:tcPr>
          <w:p>
            <w:pPr>
              <w:spacing w:after="0"/>
              <w:rPr>
                <w:sz w:val="7"/>
                <w:szCs w:val="7"/>
                <w:color w:val="auto"/>
              </w:rPr>
            </w:pPr>
          </w:p>
        </w:tc>
        <w:tc>
          <w:tcPr>
            <w:tcW w:w="740" w:type="dxa"/>
            <w:vAlign w:val="bottom"/>
            <w:shd w:val="clear" w:color="auto" w:fill="ECEDEF"/>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3780" w:type="dxa"/>
            <w:vAlign w:val="bottom"/>
            <w:tcBorders>
              <w:bottom w:val="single" w:sz="8" w:color="auto"/>
            </w:tcBorders>
            <w:vMerge w:val="continue"/>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shd w:val="clear" w:color="auto" w:fill="ECEDEF"/>
          </w:tcPr>
          <w:p>
            <w:pPr>
              <w:spacing w:after="0"/>
              <w:rPr>
                <w:sz w:val="7"/>
                <w:szCs w:val="7"/>
                <w:color w:val="auto"/>
              </w:rPr>
            </w:pPr>
          </w:p>
        </w:tc>
        <w:tc>
          <w:tcPr>
            <w:tcW w:w="1780" w:type="dxa"/>
            <w:vAlign w:val="bottom"/>
            <w:tcBorders>
              <w:bottom w:val="single" w:sz="8" w:color="auto"/>
            </w:tcBorders>
            <w:shd w:val="clear" w:color="auto" w:fill="ECEDEF"/>
          </w:tcPr>
          <w:p>
            <w:pPr>
              <w:spacing w:after="0"/>
              <w:rPr>
                <w:sz w:val="7"/>
                <w:szCs w:val="7"/>
                <w:color w:val="auto"/>
              </w:rPr>
            </w:pPr>
          </w:p>
        </w:tc>
        <w:tc>
          <w:tcPr>
            <w:tcW w:w="140" w:type="dxa"/>
            <w:vAlign w:val="bottom"/>
            <w:tcBorders>
              <w:bottom w:val="single" w:sz="8" w:color="auto"/>
            </w:tcBorders>
            <w:shd w:val="clear" w:color="auto" w:fill="ECEDEF"/>
          </w:tcPr>
          <w:p>
            <w:pPr>
              <w:spacing w:after="0"/>
              <w:rPr>
                <w:sz w:val="7"/>
                <w:szCs w:val="7"/>
                <w:color w:val="auto"/>
              </w:rPr>
            </w:pPr>
          </w:p>
        </w:tc>
        <w:tc>
          <w:tcPr>
            <w:tcW w:w="680" w:type="dxa"/>
            <w:vAlign w:val="bottom"/>
            <w:tcBorders>
              <w:bottom w:val="single" w:sz="8" w:color="auto"/>
            </w:tcBorders>
            <w:shd w:val="clear" w:color="auto" w:fill="ECEDEF"/>
          </w:tcPr>
          <w:p>
            <w:pPr>
              <w:spacing w:after="0"/>
              <w:rPr>
                <w:sz w:val="7"/>
                <w:szCs w:val="7"/>
                <w:color w:val="auto"/>
              </w:rPr>
            </w:pPr>
          </w:p>
        </w:tc>
        <w:tc>
          <w:tcPr>
            <w:tcW w:w="140" w:type="dxa"/>
            <w:vAlign w:val="bottom"/>
            <w:tcBorders>
              <w:bottom w:val="single" w:sz="8" w:color="auto"/>
            </w:tcBorders>
            <w:shd w:val="clear" w:color="auto" w:fill="ECEDEF"/>
          </w:tcPr>
          <w:p>
            <w:pPr>
              <w:spacing w:after="0"/>
              <w:rPr>
                <w:sz w:val="7"/>
                <w:szCs w:val="7"/>
                <w:color w:val="auto"/>
              </w:rPr>
            </w:pPr>
          </w:p>
        </w:tc>
        <w:tc>
          <w:tcPr>
            <w:tcW w:w="800" w:type="dxa"/>
            <w:vAlign w:val="bottom"/>
            <w:tcBorders>
              <w:bottom w:val="single" w:sz="8" w:color="auto"/>
            </w:tcBorders>
            <w:shd w:val="clear" w:color="auto" w:fill="ECEDEF"/>
          </w:tcPr>
          <w:p>
            <w:pPr>
              <w:spacing w:after="0"/>
              <w:rPr>
                <w:sz w:val="7"/>
                <w:szCs w:val="7"/>
                <w:color w:val="auto"/>
              </w:rPr>
            </w:pPr>
          </w:p>
        </w:tc>
        <w:tc>
          <w:tcPr>
            <w:tcW w:w="160" w:type="dxa"/>
            <w:vAlign w:val="bottom"/>
            <w:tcBorders>
              <w:bottom w:val="single" w:sz="8" w:color="auto"/>
            </w:tcBorders>
            <w:shd w:val="clear" w:color="auto" w:fill="ECEDEF"/>
          </w:tcPr>
          <w:p>
            <w:pPr>
              <w:spacing w:after="0"/>
              <w:rPr>
                <w:sz w:val="7"/>
                <w:szCs w:val="7"/>
                <w:color w:val="auto"/>
              </w:rPr>
            </w:pPr>
          </w:p>
        </w:tc>
        <w:tc>
          <w:tcPr>
            <w:tcW w:w="660" w:type="dxa"/>
            <w:vAlign w:val="bottom"/>
            <w:tcBorders>
              <w:bottom w:val="single" w:sz="8" w:color="auto"/>
            </w:tcBorders>
            <w:shd w:val="clear" w:color="auto" w:fill="ECEDEF"/>
          </w:tcPr>
          <w:p>
            <w:pPr>
              <w:spacing w:after="0"/>
              <w:rPr>
                <w:sz w:val="7"/>
                <w:szCs w:val="7"/>
                <w:color w:val="auto"/>
              </w:rPr>
            </w:pPr>
          </w:p>
        </w:tc>
        <w:tc>
          <w:tcPr>
            <w:tcW w:w="160" w:type="dxa"/>
            <w:vAlign w:val="bottom"/>
            <w:tcBorders>
              <w:bottom w:val="single" w:sz="8" w:color="auto"/>
            </w:tcBorders>
            <w:shd w:val="clear" w:color="auto" w:fill="ECEDEF"/>
          </w:tcPr>
          <w:p>
            <w:pPr>
              <w:spacing w:after="0"/>
              <w:rPr>
                <w:sz w:val="7"/>
                <w:szCs w:val="7"/>
                <w:color w:val="auto"/>
              </w:rPr>
            </w:pPr>
          </w:p>
        </w:tc>
        <w:tc>
          <w:tcPr>
            <w:tcW w:w="740" w:type="dxa"/>
            <w:vAlign w:val="bottom"/>
            <w:tcBorders>
              <w:bottom w:val="single" w:sz="8" w:color="auto"/>
            </w:tcBorders>
            <w:shd w:val="clear" w:color="auto" w:fill="ECEDEF"/>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-4896485</wp:posOffset>
            </wp:positionV>
            <wp:extent cx="340360" cy="3232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0360" cy="32321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-4726940</wp:posOffset>
            </wp:positionV>
            <wp:extent cx="59690" cy="679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-4726940</wp:posOffset>
            </wp:positionV>
            <wp:extent cx="59690" cy="679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6330315</wp:posOffset>
            </wp:positionH>
            <wp:positionV relativeFrom="paragraph">
              <wp:posOffset>-4726940</wp:posOffset>
            </wp:positionV>
            <wp:extent cx="59690" cy="67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-4446270</wp:posOffset>
            </wp:positionV>
            <wp:extent cx="340360" cy="2889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0360" cy="28892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-4326890</wp:posOffset>
            </wp:positionV>
            <wp:extent cx="59690" cy="679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5207635</wp:posOffset>
            </wp:positionH>
            <wp:positionV relativeFrom="paragraph">
              <wp:posOffset>-4326890</wp:posOffset>
            </wp:positionV>
            <wp:extent cx="59690" cy="679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5768975</wp:posOffset>
            </wp:positionH>
            <wp:positionV relativeFrom="paragraph">
              <wp:posOffset>-4326890</wp:posOffset>
            </wp:positionV>
            <wp:extent cx="59690" cy="679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6330315</wp:posOffset>
            </wp:positionH>
            <wp:positionV relativeFrom="paragraph">
              <wp:posOffset>-4326890</wp:posOffset>
            </wp:positionV>
            <wp:extent cx="59690" cy="679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6857365</wp:posOffset>
            </wp:positionH>
            <wp:positionV relativeFrom="paragraph">
              <wp:posOffset>-4326890</wp:posOffset>
            </wp:positionV>
            <wp:extent cx="59690" cy="679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9690" cy="679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-4097655</wp:posOffset>
            </wp:positionV>
            <wp:extent cx="6912610" cy="40043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12610" cy="4004310"/>
                    </a:xfrm>
                    <a:prstGeom prst="rect">
                      <a:avLst/>
                    </a:prstGeom>
                    <a:noFill/>
                  </pic:spPr>
                </pic:pic>
              </a:graphicData>
            </a:graphic>
          </wp:anchor>
        </w:drawing>
      </w:r>
    </w:p>
    <w:p>
      <w:pPr>
        <w:spacing w:after="0" w:line="108" w:lineRule="exact"/>
        <w:rPr>
          <w:sz w:val="20"/>
          <w:szCs w:val="20"/>
          <w:color w:val="auto"/>
        </w:rPr>
      </w:pPr>
    </w:p>
    <w:p>
      <w:pPr>
        <w:ind w:left="200" w:right="120" w:hanging="193"/>
        <w:spacing w:after="0" w:line="252" w:lineRule="auto"/>
        <w:tabs>
          <w:tab w:leader="none" w:pos="200" w:val="left"/>
        </w:tabs>
        <w:numPr>
          <w:ilvl w:val="0"/>
          <w:numId w:val="31"/>
        </w:numPr>
        <w:rPr>
          <w:rFonts w:ascii="Arial" w:cs="Arial" w:eastAsia="Arial" w:hAnsi="Arial"/>
          <w:sz w:val="12"/>
          <w:szCs w:val="12"/>
          <w:color w:val="auto"/>
        </w:rPr>
      </w:pPr>
      <w:r>
        <w:rPr>
          <w:rFonts w:ascii="Arial" w:cs="Arial" w:eastAsia="Arial" w:hAnsi="Arial"/>
          <w:sz w:val="12"/>
          <w:szCs w:val="12"/>
          <w:color w:val="auto"/>
        </w:rPr>
        <w:t>For the former Raytheon Company (RTN) directors who became members of the Company’s Board of Directors upon the Merger closing on April 3, 2020, the start of their service as RTN directors is shown in parentheses.</w:t>
      </w:r>
    </w:p>
    <w:p>
      <w:pPr>
        <w:spacing w:after="0" w:line="200" w:lineRule="exact"/>
        <w:rPr>
          <w:sz w:val="20"/>
          <w:szCs w:val="20"/>
          <w:color w:val="auto"/>
        </w:rPr>
      </w:pPr>
    </w:p>
    <w:p>
      <w:pPr>
        <w:ind w:left="240" w:hanging="233"/>
        <w:spacing w:after="0"/>
        <w:tabs>
          <w:tab w:leader="none" w:pos="240" w:val="left"/>
        </w:tabs>
        <w:numPr>
          <w:ilvl w:val="0"/>
          <w:numId w:val="32"/>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GOVERNANCE AND BOARD OVERVIEW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 HIGHLIGHTS</w:t>
      </w:r>
    </w:p>
    <w:p>
      <w:pPr>
        <w:spacing w:after="0" w:line="22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Board believes that the individuals nominated for election at the Annual Meeting have the appropriate attributes, experiences and perspectives to guide the Company and provide effective oversight of our strategy and business plans. As a group, they embody a broad and diverse set of qualifications, skills, and experience, and represent the perspectives of both long-serving directors and those who joined the Board more recently.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wp:posOffset>
            </wp:positionH>
            <wp:positionV relativeFrom="paragraph">
              <wp:posOffset>127000</wp:posOffset>
            </wp:positionV>
            <wp:extent cx="6376670" cy="3477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76670" cy="3477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These nominees also reflect the director refreshment efforts of both legacy company boards before the Merger, the significant changes to the Board in connection with the Merger, and the changes in Board composition since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33590" cy="1785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3590" cy="1785620"/>
                    </a:xfrm>
                    <a:prstGeom prst="rect">
                      <a:avLst/>
                    </a:prstGeom>
                    <a:noFill/>
                  </pic:spPr>
                </pic:pic>
              </a:graphicData>
            </a:graphic>
          </wp:anchor>
        </w:drawing>
      </w:r>
    </w:p>
    <w:p>
      <w:pPr>
        <w:spacing w:after="0" w:line="296" w:lineRule="exact"/>
        <w:rPr>
          <w:sz w:val="20"/>
          <w:szCs w:val="20"/>
          <w:color w:val="auto"/>
        </w:rPr>
      </w:pPr>
    </w:p>
    <w:p>
      <w:pPr>
        <w:ind w:left="1680"/>
        <w:spacing w:after="0"/>
        <w:rPr>
          <w:sz w:val="20"/>
          <w:szCs w:val="20"/>
          <w:color w:val="auto"/>
        </w:rPr>
      </w:pPr>
      <w:r>
        <w:rPr>
          <w:rFonts w:ascii="Arial" w:cs="Arial" w:eastAsia="Arial" w:hAnsi="Arial"/>
          <w:sz w:val="17"/>
          <w:szCs w:val="17"/>
          <w:b w:val="1"/>
          <w:bCs w:val="1"/>
          <w:color w:val="CE0F2C"/>
        </w:rPr>
        <w:t>TENURE ON RTX BOARD</w:t>
      </w:r>
    </w:p>
    <w:p>
      <w:pPr>
        <w:spacing w:after="0" w:line="200" w:lineRule="exact"/>
        <w:rPr>
          <w:sz w:val="20"/>
          <w:szCs w:val="20"/>
          <w:color w:val="auto"/>
        </w:rPr>
      </w:pPr>
    </w:p>
    <w:p>
      <w:pPr>
        <w:spacing w:after="0" w:line="299" w:lineRule="exact"/>
        <w:rPr>
          <w:sz w:val="20"/>
          <w:szCs w:val="20"/>
          <w:color w:val="auto"/>
        </w:rPr>
      </w:pPr>
    </w:p>
    <w:p>
      <w:pPr>
        <w:ind w:left="5860" w:right="120"/>
        <w:spacing w:after="0"/>
        <w:rPr>
          <w:sz w:val="20"/>
          <w:szCs w:val="20"/>
          <w:color w:val="auto"/>
        </w:rPr>
      </w:pPr>
      <w:r>
        <w:rPr>
          <w:rFonts w:ascii="Arial" w:cs="Arial" w:eastAsia="Arial" w:hAnsi="Arial"/>
          <w:sz w:val="18"/>
          <w:szCs w:val="18"/>
          <w:color w:val="auto"/>
        </w:rPr>
        <w:t>When legacy RTN board service is included, the average tenure of our nominees is 5 years.</w:t>
      </w:r>
    </w:p>
    <w:p>
      <w:pPr>
        <w:spacing w:after="0" w:line="202"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More than 5 years—7 nominees</w:t>
      </w:r>
    </w:p>
    <w:p>
      <w:pPr>
        <w:spacing w:after="0" w:line="2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3–5 years—4 nominees</w:t>
      </w:r>
    </w:p>
    <w:p>
      <w:pPr>
        <w:spacing w:after="0" w:line="208"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 Less than 3 years—2 nominees</w:t>
      </w:r>
    </w:p>
    <w:p>
      <w:pPr>
        <w:spacing w:after="0" w:line="200" w:lineRule="exact"/>
        <w:rPr>
          <w:sz w:val="20"/>
          <w:szCs w:val="20"/>
          <w:color w:val="auto"/>
        </w:rPr>
      </w:pPr>
    </w:p>
    <w:p>
      <w:pPr>
        <w:spacing w:after="0" w:line="345"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2889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3590" cy="28892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180"/>
        <w:spacing w:after="0"/>
        <w:rPr>
          <w:sz w:val="20"/>
          <w:szCs w:val="20"/>
          <w:color w:val="auto"/>
        </w:rPr>
      </w:pPr>
      <w:r>
        <w:rPr>
          <w:rFonts w:ascii="Arial" w:cs="Arial" w:eastAsia="Arial" w:hAnsi="Arial"/>
          <w:sz w:val="12"/>
          <w:szCs w:val="12"/>
          <w:b w:val="1"/>
          <w:bCs w:val="1"/>
          <w:color w:val="FFFFFF"/>
        </w:rPr>
        <w:t xml:space="preserve">PROXY SUMMARY </w:t>
      </w:r>
      <w:r>
        <w:rPr>
          <w:rFonts w:ascii="Arial" w:cs="Arial" w:eastAsia="Arial" w:hAnsi="Arial"/>
          <w:sz w:val="12"/>
          <w:szCs w:val="12"/>
          <w:color w:val="FFFFFF"/>
        </w:rPr>
        <w:t>| GOVERNANCE AND BOARD OVERVIEW</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ENGAGEMENT IN 2021</w:t>
      </w:r>
    </w:p>
    <w:p>
      <w:pPr>
        <w:spacing w:after="0" w:line="208" w:lineRule="exact"/>
        <w:rPr>
          <w:sz w:val="20"/>
          <w:szCs w:val="20"/>
          <w:color w:val="auto"/>
        </w:rPr>
      </w:pPr>
    </w:p>
    <w:p>
      <w:pPr>
        <w:ind w:right="260"/>
        <w:spacing w:after="0" w:line="282" w:lineRule="auto"/>
        <w:rPr>
          <w:sz w:val="20"/>
          <w:szCs w:val="20"/>
          <w:color w:val="auto"/>
        </w:rPr>
      </w:pPr>
      <w:r>
        <w:rPr>
          <w:rFonts w:ascii="Arial" w:cs="Arial" w:eastAsia="Arial" w:hAnsi="Arial"/>
          <w:sz w:val="16"/>
          <w:szCs w:val="16"/>
          <w:b w:val="1"/>
          <w:bCs w:val="1"/>
          <w:color w:val="CE0F2D"/>
        </w:rPr>
        <w:t>In 2021, our Board actively engaged with management on a range of matters, providing strong oversight and invaluable guidance to enable the Company to navigate through a challenging operating environment and to execute on the key priorities that underpin our business strategy.</w:t>
      </w:r>
    </w:p>
    <w:p>
      <w:pPr>
        <w:spacing w:after="0" w:line="148" w:lineRule="exact"/>
        <w:rPr>
          <w:sz w:val="20"/>
          <w:szCs w:val="20"/>
          <w:color w:val="auto"/>
        </w:rPr>
      </w:pPr>
    </w:p>
    <w:p>
      <w:pPr>
        <w:spacing w:after="0"/>
        <w:tabs>
          <w:tab w:leader="none" w:pos="2820" w:val="left"/>
          <w:tab w:leader="none" w:pos="5660" w:val="left"/>
          <w:tab w:leader="none" w:pos="8620" w:val="left"/>
        </w:tabs>
        <w:rPr>
          <w:sz w:val="20"/>
          <w:szCs w:val="20"/>
          <w:color w:val="auto"/>
        </w:rPr>
      </w:pPr>
      <w:r>
        <w:rPr>
          <w:rFonts w:ascii="Arial" w:cs="Arial" w:eastAsia="Arial" w:hAnsi="Arial"/>
          <w:sz w:val="43"/>
          <w:szCs w:val="43"/>
          <w:b w:val="1"/>
          <w:bCs w:val="1"/>
          <w:color w:val="auto"/>
        </w:rPr>
        <w:t>100%</w:t>
      </w:r>
      <w:r>
        <w:rPr>
          <w:sz w:val="20"/>
          <w:szCs w:val="20"/>
          <w:color w:val="auto"/>
        </w:rPr>
        <w:tab/>
      </w:r>
      <w:r>
        <w:rPr>
          <w:rFonts w:ascii="Arial" w:cs="Arial" w:eastAsia="Arial" w:hAnsi="Arial"/>
          <w:sz w:val="43"/>
          <w:szCs w:val="43"/>
          <w:b w:val="1"/>
          <w:bCs w:val="1"/>
          <w:color w:val="auto"/>
        </w:rPr>
        <w:t>9</w:t>
      </w:r>
      <w:r>
        <w:rPr>
          <w:sz w:val="20"/>
          <w:szCs w:val="20"/>
          <w:color w:val="auto"/>
        </w:rPr>
        <w:tab/>
      </w:r>
      <w:r>
        <w:rPr>
          <w:rFonts w:ascii="Arial" w:cs="Arial" w:eastAsia="Arial" w:hAnsi="Arial"/>
          <w:sz w:val="43"/>
          <w:szCs w:val="43"/>
          <w:b w:val="1"/>
          <w:bCs w:val="1"/>
          <w:color w:val="auto"/>
        </w:rPr>
        <w:t>99%</w:t>
      </w:r>
      <w:r>
        <w:rPr>
          <w:sz w:val="20"/>
          <w:szCs w:val="20"/>
          <w:color w:val="auto"/>
        </w:rPr>
        <w:tab/>
      </w:r>
      <w:r>
        <w:rPr>
          <w:rFonts w:ascii="Arial" w:cs="Arial" w:eastAsia="Arial" w:hAnsi="Arial"/>
          <w:sz w:val="42"/>
          <w:szCs w:val="42"/>
          <w:b w:val="1"/>
          <w:bCs w:val="1"/>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51435</wp:posOffset>
            </wp:positionV>
            <wp:extent cx="7133590" cy="34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3590" cy="3429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p>
      <w:pPr>
        <w:spacing w:after="0" w:line="229"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color w:val="auto"/>
        </w:rPr>
        <w:t>overall attendance by directors at the eight Board meetings during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color w:val="auto"/>
        </w:rPr>
        <w:t>number of special Board and committee meetings in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color w:val="auto"/>
        </w:rPr>
        <w:t>overall attendance by directors at Board and committee meetings in 2021</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color w:val="auto"/>
        </w:rPr>
        <w:t>overall attendance by directors at the 2021 Annual Meeting</w:t>
      </w:r>
    </w:p>
    <w:p>
      <w:pPr>
        <w:spacing w:after="0" w:line="158" w:lineRule="exact"/>
        <w:rPr>
          <w:sz w:val="20"/>
          <w:szCs w:val="20"/>
          <w:color w:val="auto"/>
        </w:rPr>
      </w:pPr>
    </w:p>
    <w:p>
      <w:pPr>
        <w:sectPr>
          <w:pgSz w:w="11900" w:h="16838" w:orient="portrait"/>
          <w:cols w:equalWidth="0" w:num="4">
            <w:col w:w="2540" w:space="300"/>
            <w:col w:w="2120" w:space="720"/>
            <w:col w:w="2660" w:space="300"/>
            <w:col w:w="2520"/>
          </w:cols>
          <w:pgMar w:left="320" w:top="118" w:right="41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Board engagement in oversight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46900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69005" cy="25400"/>
                    </a:xfrm>
                    <a:prstGeom prst="rect">
                      <a:avLst/>
                    </a:prstGeom>
                    <a:noFill/>
                  </pic:spPr>
                </pic:pic>
              </a:graphicData>
            </a:graphic>
          </wp:anchor>
        </w:drawing>
      </w:r>
    </w:p>
    <w:p>
      <w:pPr>
        <w:spacing w:after="0" w:line="141" w:lineRule="exact"/>
        <w:rPr>
          <w:sz w:val="20"/>
          <w:szCs w:val="20"/>
          <w:color w:val="auto"/>
        </w:rPr>
      </w:pPr>
    </w:p>
    <w:p>
      <w:pPr>
        <w:ind w:left="220" w:hanging="213"/>
        <w:spacing w:after="0" w:line="256" w:lineRule="auto"/>
        <w:tabs>
          <w:tab w:leader="none" w:pos="237" w:val="left"/>
        </w:tabs>
        <w:numPr>
          <w:ilvl w:val="0"/>
          <w:numId w:val="33"/>
        </w:numPr>
        <w:rPr>
          <w:rFonts w:ascii="Arial" w:cs="Arial" w:eastAsia="Arial" w:hAnsi="Arial"/>
          <w:sz w:val="16"/>
          <w:szCs w:val="16"/>
          <w:color w:val="CE0F2D"/>
        </w:rPr>
      </w:pPr>
      <w:r>
        <w:rPr>
          <w:rFonts w:ascii="Arial" w:cs="Arial" w:eastAsia="Arial" w:hAnsi="Arial"/>
          <w:sz w:val="16"/>
          <w:szCs w:val="16"/>
          <w:color w:val="auto"/>
        </w:rPr>
        <w:t>Development of an ESG strategy and vision, as well as an ESG roadmap with significant initiatives relating to goal setting and disclosure</w:t>
      </w:r>
    </w:p>
    <w:p>
      <w:pPr>
        <w:spacing w:after="0" w:line="196" w:lineRule="exact"/>
        <w:rPr>
          <w:rFonts w:ascii="Arial" w:cs="Arial" w:eastAsia="Arial" w:hAnsi="Arial"/>
          <w:sz w:val="16"/>
          <w:szCs w:val="16"/>
          <w:color w:val="CE0F2D"/>
        </w:rPr>
      </w:pPr>
    </w:p>
    <w:p>
      <w:pPr>
        <w:ind w:left="220" w:right="340" w:hanging="213"/>
        <w:spacing w:after="0" w:line="256" w:lineRule="auto"/>
        <w:tabs>
          <w:tab w:leader="none" w:pos="237" w:val="left"/>
        </w:tabs>
        <w:numPr>
          <w:ilvl w:val="0"/>
          <w:numId w:val="33"/>
        </w:numPr>
        <w:rPr>
          <w:rFonts w:ascii="Arial" w:cs="Arial" w:eastAsia="Arial" w:hAnsi="Arial"/>
          <w:sz w:val="16"/>
          <w:szCs w:val="16"/>
          <w:color w:val="CE0F2D"/>
        </w:rPr>
      </w:pPr>
      <w:r>
        <w:rPr>
          <w:rFonts w:ascii="Arial" w:cs="Arial" w:eastAsia="Arial" w:hAnsi="Arial"/>
          <w:sz w:val="16"/>
          <w:szCs w:val="16"/>
          <w:color w:val="auto"/>
        </w:rPr>
        <w:t>Company risk management, with a particular focus on cybersecurity, product safety and compliance risks</w:t>
      </w:r>
    </w:p>
    <w:p>
      <w:pPr>
        <w:spacing w:after="0" w:line="196" w:lineRule="exact"/>
        <w:rPr>
          <w:rFonts w:ascii="Arial" w:cs="Arial" w:eastAsia="Arial" w:hAnsi="Arial"/>
          <w:sz w:val="16"/>
          <w:szCs w:val="16"/>
          <w:color w:val="CE0F2D"/>
        </w:rPr>
      </w:pPr>
    </w:p>
    <w:p>
      <w:pPr>
        <w:ind w:left="240" w:hanging="233"/>
        <w:spacing w:after="0"/>
        <w:tabs>
          <w:tab w:leader="none" w:pos="240" w:val="left"/>
        </w:tabs>
        <w:numPr>
          <w:ilvl w:val="0"/>
          <w:numId w:val="33"/>
        </w:numPr>
        <w:rPr>
          <w:rFonts w:ascii="Arial" w:cs="Arial" w:eastAsia="Arial" w:hAnsi="Arial"/>
          <w:sz w:val="16"/>
          <w:szCs w:val="16"/>
          <w:color w:val="CE0F2D"/>
        </w:rPr>
      </w:pPr>
      <w:r>
        <w:rPr>
          <w:rFonts w:ascii="Arial" w:cs="Arial" w:eastAsia="Arial" w:hAnsi="Arial"/>
          <w:sz w:val="16"/>
          <w:szCs w:val="16"/>
          <w:color w:val="auto"/>
        </w:rPr>
        <w:t>The Company’s shareowner engagement efforts</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3"/>
        </w:numPr>
        <w:rPr>
          <w:rFonts w:ascii="Arial" w:cs="Arial" w:eastAsia="Arial" w:hAnsi="Arial"/>
          <w:sz w:val="16"/>
          <w:szCs w:val="16"/>
          <w:color w:val="CE0F2D"/>
        </w:rPr>
      </w:pPr>
      <w:r>
        <w:rPr>
          <w:rFonts w:ascii="Arial" w:cs="Arial" w:eastAsia="Arial" w:hAnsi="Arial"/>
          <w:sz w:val="16"/>
          <w:szCs w:val="16"/>
          <w:color w:val="auto"/>
        </w:rPr>
        <w:t>The Company's response to the COVID-19 pandemic</w:t>
      </w:r>
    </w:p>
    <w:p>
      <w:pPr>
        <w:spacing w:after="0" w:line="20" w:lineRule="exact"/>
        <w:rPr>
          <w:sz w:val="20"/>
          <w:szCs w:val="20"/>
          <w:color w:val="auto"/>
        </w:rPr>
      </w:pPr>
      <w:r>
        <w:rPr>
          <w:sz w:val="20"/>
          <w:szCs w:val="20"/>
          <w:color w:val="auto"/>
        </w:rPr>
        <w:br w:type="column"/>
      </w:r>
    </w:p>
    <w:p>
      <w:pPr>
        <w:ind w:left="9"/>
        <w:spacing w:after="0"/>
        <w:rPr>
          <w:sz w:val="20"/>
          <w:szCs w:val="20"/>
          <w:color w:val="auto"/>
        </w:rPr>
      </w:pPr>
      <w:r>
        <w:rPr>
          <w:rFonts w:ascii="Arial" w:cs="Arial" w:eastAsia="Arial" w:hAnsi="Arial"/>
          <w:sz w:val="20"/>
          <w:szCs w:val="20"/>
          <w:b w:val="1"/>
          <w:bCs w:val="1"/>
          <w:color w:val="auto"/>
        </w:rPr>
        <w:t>Other notable Board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24765</wp:posOffset>
            </wp:positionV>
            <wp:extent cx="34861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86150" cy="25400"/>
                    </a:xfrm>
                    <a:prstGeom prst="rect">
                      <a:avLst/>
                    </a:prstGeom>
                    <a:noFill/>
                  </pic:spPr>
                </pic:pic>
              </a:graphicData>
            </a:graphic>
          </wp:anchor>
        </w:drawing>
      </w:r>
    </w:p>
    <w:p>
      <w:pPr>
        <w:spacing w:after="0" w:line="141" w:lineRule="exact"/>
        <w:rPr>
          <w:sz w:val="20"/>
          <w:szCs w:val="20"/>
          <w:color w:val="auto"/>
        </w:rPr>
      </w:pPr>
    </w:p>
    <w:p>
      <w:pPr>
        <w:ind w:left="209" w:right="440" w:hanging="209"/>
        <w:spacing w:after="0" w:line="256" w:lineRule="auto"/>
        <w:tabs>
          <w:tab w:leader="none" w:pos="225" w:val="left"/>
        </w:tabs>
        <w:numPr>
          <w:ilvl w:val="0"/>
          <w:numId w:val="34"/>
        </w:numPr>
        <w:rPr>
          <w:rFonts w:ascii="Arial" w:cs="Arial" w:eastAsia="Arial" w:hAnsi="Arial"/>
          <w:sz w:val="16"/>
          <w:szCs w:val="16"/>
          <w:color w:val="CE0F2D"/>
        </w:rPr>
      </w:pPr>
      <w:r>
        <w:rPr>
          <w:rFonts w:ascii="Arial" w:cs="Arial" w:eastAsia="Arial" w:hAnsi="Arial"/>
          <w:sz w:val="16"/>
          <w:szCs w:val="16"/>
          <w:color w:val="auto"/>
        </w:rPr>
        <w:t>Set a strong tone at the top and promoted a culture of integrity and accountability</w:t>
      </w:r>
    </w:p>
    <w:p>
      <w:pPr>
        <w:spacing w:after="0" w:line="196" w:lineRule="exact"/>
        <w:rPr>
          <w:rFonts w:ascii="Arial" w:cs="Arial" w:eastAsia="Arial" w:hAnsi="Arial"/>
          <w:sz w:val="16"/>
          <w:szCs w:val="16"/>
          <w:color w:val="CE0F2D"/>
        </w:rPr>
      </w:pPr>
    </w:p>
    <w:p>
      <w:pPr>
        <w:ind w:left="209" w:right="360" w:hanging="209"/>
        <w:spacing w:after="0" w:line="248" w:lineRule="auto"/>
        <w:tabs>
          <w:tab w:leader="none" w:pos="225" w:val="left"/>
        </w:tabs>
        <w:numPr>
          <w:ilvl w:val="0"/>
          <w:numId w:val="34"/>
        </w:numPr>
        <w:rPr>
          <w:rFonts w:ascii="Arial" w:cs="Arial" w:eastAsia="Arial" w:hAnsi="Arial"/>
          <w:sz w:val="16"/>
          <w:szCs w:val="16"/>
          <w:color w:val="CE0F2D"/>
        </w:rPr>
      </w:pPr>
      <w:r>
        <w:rPr>
          <w:rFonts w:ascii="Arial" w:cs="Arial" w:eastAsia="Arial" w:hAnsi="Arial"/>
          <w:sz w:val="16"/>
          <w:szCs w:val="16"/>
          <w:color w:val="auto"/>
        </w:rPr>
        <w:t>Demonstrated its commitment to strong corporate governance and responsiveness to shareowners with the inclusion of a new two-step proposal to repeal the sole supermajority voting provision in the Company’s charter</w:t>
      </w:r>
    </w:p>
    <w:p>
      <w:pPr>
        <w:spacing w:after="0" w:line="203" w:lineRule="exact"/>
        <w:rPr>
          <w:rFonts w:ascii="Arial" w:cs="Arial" w:eastAsia="Arial" w:hAnsi="Arial"/>
          <w:sz w:val="16"/>
          <w:szCs w:val="16"/>
          <w:color w:val="CE0F2D"/>
        </w:rPr>
      </w:pPr>
    </w:p>
    <w:p>
      <w:pPr>
        <w:ind w:left="229" w:hanging="229"/>
        <w:spacing w:after="0"/>
        <w:tabs>
          <w:tab w:leader="none" w:pos="229" w:val="left"/>
        </w:tabs>
        <w:numPr>
          <w:ilvl w:val="0"/>
          <w:numId w:val="34"/>
        </w:numPr>
        <w:rPr>
          <w:rFonts w:ascii="Arial" w:cs="Arial" w:eastAsia="Arial" w:hAnsi="Arial"/>
          <w:sz w:val="16"/>
          <w:szCs w:val="16"/>
          <w:color w:val="CE0F2D"/>
        </w:rPr>
      </w:pPr>
      <w:r>
        <w:rPr>
          <w:rFonts w:ascii="Arial" w:cs="Arial" w:eastAsia="Arial" w:hAnsi="Arial"/>
          <w:sz w:val="16"/>
          <w:szCs w:val="16"/>
          <w:color w:val="auto"/>
        </w:rPr>
        <w:t>Engaged in CEO and senior management succession planning</w:t>
      </w:r>
    </w:p>
    <w:p>
      <w:pPr>
        <w:spacing w:after="0" w:line="226" w:lineRule="exact"/>
        <w:rPr>
          <w:sz w:val="20"/>
          <w:szCs w:val="20"/>
          <w:color w:val="auto"/>
        </w:rPr>
      </w:pPr>
    </w:p>
    <w:p>
      <w:pPr>
        <w:sectPr>
          <w:pgSz w:w="11900" w:h="16838" w:orient="portrait"/>
          <w:cols w:equalWidth="0" w:num="2">
            <w:col w:w="5440" w:space="311"/>
            <w:col w:w="5409"/>
          </w:cols>
          <w:pgMar w:left="320" w:top="118" w:right="419" w:bottom="1440" w:gutter="0" w:footer="0" w:header="0"/>
          <w:type w:val="continuous"/>
        </w:sectPr>
      </w:pPr>
    </w:p>
    <w:p>
      <w:pPr>
        <w:spacing w:after="0" w:line="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GOVERNANCE BEST PRACTICES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Our Board has adopted robust governance practices and continuously reviews and considers these practices to enhance its effectiveness.</w:t>
      </w:r>
    </w:p>
    <w:p>
      <w:pPr>
        <w:sectPr>
          <w:pgSz w:w="11900" w:h="16838" w:orient="portrait"/>
          <w:cols w:equalWidth="0" w:num="1">
            <w:col w:w="11160"/>
          </w:cols>
          <w:pgMar w:left="320" w:top="118" w:right="419" w:bottom="1440" w:gutter="0" w:footer="0" w:header="0"/>
          <w:type w:val="continuous"/>
        </w:sect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independent Board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47726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77260" cy="25400"/>
                    </a:xfrm>
                    <a:prstGeom prst="rect">
                      <a:avLst/>
                    </a:prstGeom>
                    <a:noFill/>
                  </pic:spPr>
                </pic:pic>
              </a:graphicData>
            </a:graphic>
          </wp:anchor>
        </w:drawing>
      </w:r>
    </w:p>
    <w:p>
      <w:pPr>
        <w:spacing w:after="0" w:line="195" w:lineRule="exact"/>
        <w:rPr>
          <w:sz w:val="20"/>
          <w:szCs w:val="20"/>
          <w:color w:val="auto"/>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11 out of 13 director nominees are independent</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Qualified Board with diverse mix of perspectives and tenures</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Robust independent Lead Director role with clear responsibilities</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Independent directors meet regularly without management</w:t>
      </w:r>
    </w:p>
    <w:p>
      <w:pPr>
        <w:spacing w:after="0" w:line="217" w:lineRule="exact"/>
        <w:rPr>
          <w:rFonts w:ascii="Arial" w:cs="Arial" w:eastAsia="Arial" w:hAnsi="Arial"/>
          <w:sz w:val="16"/>
          <w:szCs w:val="16"/>
          <w:color w:val="CE0F2D"/>
        </w:rPr>
      </w:pPr>
    </w:p>
    <w:p>
      <w:pPr>
        <w:ind w:left="220" w:right="411" w:hanging="213"/>
        <w:spacing w:after="0" w:line="256" w:lineRule="auto"/>
        <w:tabs>
          <w:tab w:leader="none" w:pos="237"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Fully independent Audit, Human Capital &amp; Compensation and Governance Committees</w:t>
      </w:r>
    </w:p>
    <w:p>
      <w:pPr>
        <w:spacing w:after="0" w:line="196"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Regular Board review of strategic plans and priorities</w:t>
      </w:r>
    </w:p>
    <w:p>
      <w:pPr>
        <w:spacing w:after="0" w:line="217" w:lineRule="exact"/>
        <w:rPr>
          <w:rFonts w:ascii="Arial" w:cs="Arial" w:eastAsia="Arial" w:hAnsi="Arial"/>
          <w:sz w:val="16"/>
          <w:szCs w:val="16"/>
          <w:color w:val="CE0F2D"/>
        </w:rPr>
      </w:pPr>
    </w:p>
    <w:p>
      <w:pPr>
        <w:ind w:left="220" w:right="431" w:hanging="213"/>
        <w:spacing w:after="0" w:line="256" w:lineRule="auto"/>
        <w:tabs>
          <w:tab w:leader="none" w:pos="237"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Regular Board/committee review of significant risks, including cybersecurity risks</w:t>
      </w:r>
    </w:p>
    <w:p>
      <w:pPr>
        <w:spacing w:after="0" w:line="196" w:lineRule="exact"/>
        <w:rPr>
          <w:rFonts w:ascii="Arial" w:cs="Arial" w:eastAsia="Arial" w:hAnsi="Arial"/>
          <w:sz w:val="16"/>
          <w:szCs w:val="16"/>
          <w:color w:val="CE0F2D"/>
        </w:rPr>
      </w:pPr>
    </w:p>
    <w:p>
      <w:pPr>
        <w:ind w:left="220" w:hanging="213"/>
        <w:spacing w:after="0"/>
        <w:tabs>
          <w:tab w:leader="none" w:pos="22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Annual Board evaluation of CEO performance</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CEO and senior management succession planning</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Limits on outside public company board service</w:t>
      </w:r>
    </w:p>
    <w:p>
      <w:pPr>
        <w:spacing w:after="0" w:line="217" w:lineRule="exact"/>
        <w:rPr>
          <w:rFonts w:ascii="Arial" w:cs="Arial" w:eastAsia="Arial" w:hAnsi="Arial"/>
          <w:sz w:val="16"/>
          <w:szCs w:val="16"/>
          <w:color w:val="CE0F2D"/>
        </w:rPr>
      </w:pPr>
    </w:p>
    <w:p>
      <w:pPr>
        <w:ind w:left="240" w:hanging="233"/>
        <w:spacing w:after="0"/>
        <w:tabs>
          <w:tab w:leader="none" w:pos="240" w:val="left"/>
        </w:tabs>
        <w:numPr>
          <w:ilvl w:val="0"/>
          <w:numId w:val="35"/>
        </w:numPr>
        <w:rPr>
          <w:rFonts w:ascii="Arial" w:cs="Arial" w:eastAsia="Arial" w:hAnsi="Arial"/>
          <w:sz w:val="16"/>
          <w:szCs w:val="16"/>
          <w:color w:val="CE0F2D"/>
        </w:rPr>
      </w:pPr>
      <w:r>
        <w:rPr>
          <w:rFonts w:ascii="Arial" w:cs="Arial" w:eastAsia="Arial" w:hAnsi="Arial"/>
          <w:sz w:val="16"/>
          <w:szCs w:val="16"/>
          <w:color w:val="auto"/>
        </w:rPr>
        <w:t>Ongoing consideration of Board composition and refreshment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9" w:right="1600"/>
        <w:spacing w:after="0" w:line="254" w:lineRule="auto"/>
        <w:rPr>
          <w:sz w:val="20"/>
          <w:szCs w:val="20"/>
          <w:color w:val="auto"/>
        </w:rPr>
      </w:pPr>
      <w:r>
        <w:rPr>
          <w:rFonts w:ascii="Arial" w:cs="Arial" w:eastAsia="Arial" w:hAnsi="Arial"/>
          <w:sz w:val="20"/>
          <w:szCs w:val="20"/>
          <w:b w:val="1"/>
          <w:bCs w:val="1"/>
          <w:color w:val="auto"/>
        </w:rPr>
        <w:t>Board accountability and commitment to shareowner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34861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86150" cy="25400"/>
                    </a:xfrm>
                    <a:prstGeom prst="rect">
                      <a:avLst/>
                    </a:prstGeom>
                    <a:noFill/>
                  </pic:spPr>
                </pic:pic>
              </a:graphicData>
            </a:graphic>
          </wp:anchor>
        </w:drawing>
      </w:r>
    </w:p>
    <w:p>
      <w:pPr>
        <w:spacing w:after="0" w:line="152" w:lineRule="exact"/>
        <w:rPr>
          <w:sz w:val="20"/>
          <w:szCs w:val="20"/>
          <w:color w:val="auto"/>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Active and ongoing shareowner engagement</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Annual Board, committee and individual director evaluations</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Proxy access with market terms</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Shareowners can act by written consent</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Shareowners holding 15% of voting stock can call special meetings</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Annual election of all directors</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Majority voting for directors in uncontested elections</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Robust Clawback Policy</w:t>
      </w:r>
    </w:p>
    <w:p>
      <w:pPr>
        <w:spacing w:after="0" w:line="217" w:lineRule="exact"/>
        <w:rPr>
          <w:rFonts w:ascii="Arial" w:cs="Arial" w:eastAsia="Arial" w:hAnsi="Arial"/>
          <w:sz w:val="16"/>
          <w:szCs w:val="16"/>
          <w:color w:val="CE0F2D"/>
        </w:rPr>
      </w:pPr>
    </w:p>
    <w:p>
      <w:pPr>
        <w:ind w:left="229" w:hanging="229"/>
        <w:spacing w:after="0"/>
        <w:tabs>
          <w:tab w:leader="none" w:pos="229"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No hedging, short sales or pledging of RTX securities</w:t>
      </w:r>
    </w:p>
    <w:p>
      <w:pPr>
        <w:spacing w:after="0" w:line="217" w:lineRule="exact"/>
        <w:rPr>
          <w:rFonts w:ascii="Arial" w:cs="Arial" w:eastAsia="Arial" w:hAnsi="Arial"/>
          <w:sz w:val="16"/>
          <w:szCs w:val="16"/>
          <w:color w:val="CE0F2D"/>
        </w:rPr>
      </w:pPr>
    </w:p>
    <w:p>
      <w:pPr>
        <w:ind w:left="209" w:right="640" w:hanging="209"/>
        <w:spacing w:after="0" w:line="256" w:lineRule="auto"/>
        <w:tabs>
          <w:tab w:leader="none" w:pos="226" w:val="left"/>
        </w:tabs>
        <w:numPr>
          <w:ilvl w:val="0"/>
          <w:numId w:val="36"/>
        </w:numPr>
        <w:rPr>
          <w:rFonts w:ascii="Arial" w:cs="Arial" w:eastAsia="Arial" w:hAnsi="Arial"/>
          <w:sz w:val="16"/>
          <w:szCs w:val="16"/>
          <w:color w:val="CE0F2D"/>
        </w:rPr>
      </w:pPr>
      <w:r>
        <w:rPr>
          <w:rFonts w:ascii="Arial" w:cs="Arial" w:eastAsia="Arial" w:hAnsi="Arial"/>
          <w:sz w:val="16"/>
          <w:szCs w:val="16"/>
          <w:color w:val="auto"/>
        </w:rPr>
        <w:t>Rigorous share ownership requirements for directors and senior management</w:t>
      </w:r>
    </w:p>
    <w:p>
      <w:pPr>
        <w:spacing w:after="0" w:line="768" w:lineRule="exact"/>
        <w:rPr>
          <w:sz w:val="20"/>
          <w:szCs w:val="20"/>
          <w:color w:val="auto"/>
        </w:rPr>
      </w:pPr>
    </w:p>
    <w:p>
      <w:pPr>
        <w:sectPr>
          <w:pgSz w:w="11900" w:h="16838" w:orient="portrait"/>
          <w:cols w:equalWidth="0" w:num="2">
            <w:col w:w="5031" w:space="720"/>
            <w:col w:w="5409"/>
          </w:cols>
          <w:pgMar w:left="320" w:top="118" w:right="419" w:bottom="1440" w:gutter="0" w:footer="0" w:header="0"/>
          <w:type w:val="continuous"/>
        </w:sectPr>
      </w:pPr>
    </w:p>
    <w:p>
      <w:pPr>
        <w:spacing w:after="0" w:line="18" w:lineRule="exact"/>
        <w:rPr>
          <w:sz w:val="20"/>
          <w:szCs w:val="20"/>
          <w:color w:val="auto"/>
        </w:rPr>
      </w:pPr>
    </w:p>
    <w:p>
      <w:pPr>
        <w:ind w:left="260" w:hanging="253"/>
        <w:spacing w:after="0"/>
        <w:tabs>
          <w:tab w:leader="none" w:pos="260" w:val="left"/>
        </w:tabs>
        <w:numPr>
          <w:ilvl w:val="0"/>
          <w:numId w:val="37"/>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15454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1:</w:t>
      </w:r>
    </w:p>
    <w:p>
      <w:pPr>
        <w:spacing w:after="0" w:line="63"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3112135" cy="679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12135" cy="679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89"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What</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am I</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voting on?</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xml:space="preserve">We are </w:t>
      </w:r>
      <w:r>
        <w:rPr>
          <w:rFonts w:ascii="Arial" w:cs="Arial" w:eastAsia="Arial" w:hAnsi="Arial"/>
          <w:sz w:val="16"/>
          <w:szCs w:val="16"/>
          <w:b w:val="1"/>
          <w:bCs w:val="1"/>
          <w:color w:val="CE0F2D"/>
        </w:rPr>
        <w:t>seeking your support for the election of the thirteen individuals nominated to serve on the Board</w:t>
      </w:r>
      <w:r>
        <w:rPr>
          <w:rFonts w:ascii="Arial" w:cs="Arial" w:eastAsia="Arial" w:hAnsi="Arial"/>
          <w:sz w:val="16"/>
          <w:szCs w:val="16"/>
          <w:color w:val="auto"/>
        </w:rPr>
        <w:t xml:space="preserve"> </w:t>
      </w:r>
      <w:r>
        <w:rPr>
          <w:rFonts w:ascii="Arial" w:cs="Arial" w:eastAsia="Arial" w:hAnsi="Arial"/>
          <w:sz w:val="16"/>
          <w:szCs w:val="16"/>
          <w:b w:val="1"/>
          <w:bCs w:val="1"/>
          <w:color w:val="CE0F2D"/>
        </w:rPr>
        <w:t xml:space="preserve">of Directors </w:t>
      </w:r>
      <w:r>
        <w:rPr>
          <w:rFonts w:ascii="Arial" w:cs="Arial" w:eastAsia="Arial" w:hAnsi="Arial"/>
          <w:sz w:val="16"/>
          <w:szCs w:val="16"/>
          <w:color w:val="000000"/>
        </w:rPr>
        <w:t>until the 2023 Annual Meeting of Shareowners. We believe these nominees have the right</w:t>
      </w:r>
      <w:r>
        <w:rPr>
          <w:rFonts w:ascii="Arial" w:cs="Arial" w:eastAsia="Arial" w:hAnsi="Arial"/>
          <w:sz w:val="16"/>
          <w:szCs w:val="16"/>
          <w:b w:val="1"/>
          <w:bCs w:val="1"/>
          <w:color w:val="CE0F2D"/>
        </w:rPr>
        <w:t xml:space="preserve"> </w:t>
      </w:r>
      <w:r>
        <w:rPr>
          <w:rFonts w:ascii="Arial" w:cs="Arial" w:eastAsia="Arial" w:hAnsi="Arial"/>
          <w:sz w:val="16"/>
          <w:szCs w:val="16"/>
          <w:color w:val="000000"/>
        </w:rPr>
        <w:t>experiences and perspectives to guide the Company and provide effective oversight of our strategy and our business plans. They are well qualified to serve as directors of a large aerospace and defense company that competes in government and commercial markets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-631825</wp:posOffset>
            </wp:positionV>
            <wp:extent cx="7133590" cy="909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3590" cy="909955"/>
                    </a:xfrm>
                    <a:prstGeom prst="rect">
                      <a:avLst/>
                    </a:prstGeom>
                    <a:noFill/>
                  </pic:spPr>
                </pic:pic>
              </a:graphicData>
            </a:graphic>
          </wp:anchor>
        </w:drawing>
      </w:r>
    </w:p>
    <w:p>
      <w:pPr>
        <w:spacing w:after="0" w:line="609" w:lineRule="exact"/>
        <w:rPr>
          <w:sz w:val="20"/>
          <w:szCs w:val="20"/>
          <w:color w:val="auto"/>
        </w:rPr>
      </w:pPr>
    </w:p>
    <w:p>
      <w:pPr>
        <w:sectPr>
          <w:pgSz w:w="11900" w:h="16838" w:orient="portrait"/>
          <w:cols w:equalWidth="0" w:num="2">
            <w:col w:w="2520" w:space="720"/>
            <w:col w:w="8000"/>
          </w:cols>
          <w:pgMar w:left="320" w:top="118" w:right="33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Criteria for Board Membership</w:t>
      </w:r>
    </w:p>
    <w:p>
      <w:pPr>
        <w:spacing w:after="0" w:line="181" w:lineRule="exact"/>
        <w:rPr>
          <w:sz w:val="20"/>
          <w:szCs w:val="20"/>
          <w:color w:val="auto"/>
        </w:rPr>
      </w:pPr>
    </w:p>
    <w:p>
      <w:pPr>
        <w:ind w:right="100"/>
        <w:spacing w:after="0" w:line="239" w:lineRule="auto"/>
        <w:rPr>
          <w:sz w:val="20"/>
          <w:szCs w:val="20"/>
          <w:color w:val="auto"/>
        </w:rPr>
      </w:pPr>
      <w:r>
        <w:rPr>
          <w:rFonts w:ascii="Arial" w:cs="Arial" w:eastAsia="Arial" w:hAnsi="Arial"/>
          <w:sz w:val="20"/>
          <w:szCs w:val="20"/>
          <w:color w:val="auto"/>
        </w:rPr>
        <w:t xml:space="preserve">The Board and the Committee on Governance and Public Policy (the “Governance Committee”) believe that there are </w:t>
      </w:r>
      <w:r>
        <w:rPr>
          <w:rFonts w:ascii="Arial" w:cs="Arial" w:eastAsia="Arial" w:hAnsi="Arial"/>
          <w:sz w:val="20"/>
          <w:szCs w:val="20"/>
          <w:b w:val="1"/>
          <w:bCs w:val="1"/>
          <w:color w:val="CE0F2D"/>
        </w:rPr>
        <w:t>general</w:t>
      </w:r>
      <w:r>
        <w:rPr>
          <w:rFonts w:ascii="Arial" w:cs="Arial" w:eastAsia="Arial" w:hAnsi="Arial"/>
          <w:sz w:val="20"/>
          <w:szCs w:val="20"/>
          <w:color w:val="auto"/>
        </w:rPr>
        <w:t xml:space="preserve"> </w:t>
      </w:r>
      <w:r>
        <w:rPr>
          <w:rFonts w:ascii="Arial" w:cs="Arial" w:eastAsia="Arial" w:hAnsi="Arial"/>
          <w:sz w:val="20"/>
          <w:szCs w:val="20"/>
          <w:b w:val="1"/>
          <w:bCs w:val="1"/>
          <w:color w:val="CE0F2D"/>
        </w:rPr>
        <w:t xml:space="preserve">attributes </w:t>
      </w:r>
      <w:r>
        <w:rPr>
          <w:rFonts w:ascii="Arial" w:cs="Arial" w:eastAsia="Arial" w:hAnsi="Arial"/>
          <w:sz w:val="20"/>
          <w:szCs w:val="20"/>
          <w:color w:val="000000"/>
        </w:rPr>
        <w:t>all directors must exhibit, in addition to</w:t>
      </w:r>
      <w:r>
        <w:rPr>
          <w:rFonts w:ascii="Arial" w:cs="Arial" w:eastAsia="Arial" w:hAnsi="Arial"/>
          <w:sz w:val="20"/>
          <w:szCs w:val="20"/>
          <w:b w:val="1"/>
          <w:bCs w:val="1"/>
          <w:color w:val="CE0F2D"/>
        </w:rPr>
        <w:t xml:space="preserve"> key skills and expertise </w:t>
      </w:r>
      <w:r>
        <w:rPr>
          <w:rFonts w:ascii="Arial" w:cs="Arial" w:eastAsia="Arial" w:hAnsi="Arial"/>
          <w:sz w:val="20"/>
          <w:szCs w:val="20"/>
          <w:color w:val="000000"/>
        </w:rPr>
        <w:t>that should be represented on the Board as a whole,</w:t>
      </w:r>
      <w:r>
        <w:rPr>
          <w:rFonts w:ascii="Arial" w:cs="Arial" w:eastAsia="Arial" w:hAnsi="Arial"/>
          <w:sz w:val="20"/>
          <w:szCs w:val="20"/>
          <w:b w:val="1"/>
          <w:bCs w:val="1"/>
          <w:color w:val="CE0F2D"/>
        </w:rPr>
        <w:t xml:space="preserve"> </w:t>
      </w:r>
      <w:r>
        <w:rPr>
          <w:rFonts w:ascii="Arial" w:cs="Arial" w:eastAsia="Arial" w:hAnsi="Arial"/>
          <w:sz w:val="20"/>
          <w:szCs w:val="20"/>
          <w:color w:val="000000"/>
        </w:rPr>
        <w:t>but not necessarily by each director.</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THESE GENERAL ATTRIBUTES ARE ESSENTIAL FOR ALL DIRECTORS</w:t>
      </w:r>
    </w:p>
    <w:p>
      <w:pPr>
        <w:spacing w:after="0" w:line="198" w:lineRule="exact"/>
        <w:rPr>
          <w:sz w:val="20"/>
          <w:szCs w:val="20"/>
          <w:color w:val="auto"/>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Objectivity and independence in making informed business decisions</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Extensive knowledge, experience and judgment</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Highest integrity</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Diversity of perspective</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Willingness to devote the extensive time necessary to fulfill a director’s duties</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Appreciation for the role of a corporation in society</w:t>
      </w:r>
    </w:p>
    <w:p>
      <w:pPr>
        <w:spacing w:after="0" w:line="198" w:lineRule="exact"/>
        <w:rPr>
          <w:rFonts w:ascii="Arial" w:cs="Arial" w:eastAsia="Arial" w:hAnsi="Arial"/>
          <w:sz w:val="20"/>
          <w:szCs w:val="20"/>
          <w:b w:val="1"/>
          <w:bCs w:val="1"/>
          <w:color w:val="CE0F2D"/>
        </w:rPr>
      </w:pPr>
    </w:p>
    <w:p>
      <w:pPr>
        <w:ind w:left="280" w:hanging="273"/>
        <w:spacing w:after="0"/>
        <w:tabs>
          <w:tab w:leader="none" w:pos="280" w:val="left"/>
        </w:tabs>
        <w:numPr>
          <w:ilvl w:val="0"/>
          <w:numId w:val="38"/>
        </w:numPr>
        <w:rPr>
          <w:rFonts w:ascii="Arial" w:cs="Arial" w:eastAsia="Arial" w:hAnsi="Arial"/>
          <w:sz w:val="20"/>
          <w:szCs w:val="20"/>
          <w:b w:val="1"/>
          <w:bCs w:val="1"/>
          <w:color w:val="CE0F2D"/>
        </w:rPr>
      </w:pPr>
      <w:r>
        <w:rPr>
          <w:rFonts w:ascii="Arial" w:cs="Arial" w:eastAsia="Arial" w:hAnsi="Arial"/>
          <w:sz w:val="20"/>
          <w:szCs w:val="20"/>
          <w:b w:val="1"/>
          <w:bCs w:val="1"/>
          <w:color w:val="auto"/>
        </w:rPr>
        <w:t>Loyalty to the interests of RTX and its shareowners</w:t>
      </w:r>
    </w:p>
    <w:p>
      <w:pPr>
        <w:spacing w:after="0" w:line="228"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Governance Committee recognizes the value of selecting directors who come from various backgrounds and professions and are diverse in age, gender, race and ethnicity, to ensure that the Board as a whole has a wealth of experiences and perspectives to inform its decisions. We believe diversity makes our business stronger and more innovative, and is critical to the Company’s long-term success. For more information about diversity on our Board, see "Nominee Highlights" on page 9 and "Board Composition and Refreshment" on page 13.</w:t>
      </w:r>
    </w:p>
    <w:p>
      <w:pPr>
        <w:spacing w:after="0" w:line="19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CRITERIA FOR BOARD MEMBERSHIP</w:t>
      </w:r>
    </w:p>
    <w:p>
      <w:pPr>
        <w:spacing w:after="0" w:line="207" w:lineRule="exact"/>
        <w:rPr>
          <w:sz w:val="20"/>
          <w:szCs w:val="20"/>
          <w:color w:val="auto"/>
        </w:rPr>
      </w:pPr>
    </w:p>
    <w:p>
      <w:pPr>
        <w:ind w:right="180"/>
        <w:spacing w:after="0" w:line="265" w:lineRule="auto"/>
        <w:rPr>
          <w:sz w:val="20"/>
          <w:szCs w:val="20"/>
          <w:color w:val="auto"/>
        </w:rPr>
      </w:pPr>
      <w:r>
        <w:rPr>
          <w:rFonts w:ascii="Arial" w:cs="Arial" w:eastAsia="Arial" w:hAnsi="Arial"/>
          <w:sz w:val="18"/>
          <w:szCs w:val="18"/>
          <w:b w:val="1"/>
          <w:bCs w:val="1"/>
          <w:color w:val="CE0F2D"/>
        </w:rPr>
        <w:t>In addition, certain skills and expertise are important for effective oversight of the Company’s businesses and strategy and should be represented on the Board as a whole.</w:t>
      </w:r>
    </w:p>
    <w:p>
      <w:pPr>
        <w:spacing w:after="0" w:line="14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Each director brings particular strengths to the Board. The charts below show the percentage of directors with skills and expertise in each key area. In the nominee biographies on pages 14-21, we highlight for each individual the three key skills and areas of expertise upon which the Board particularly relies.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SKILLS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121285</wp:posOffset>
            </wp:positionV>
            <wp:extent cx="7108190" cy="3740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8190" cy="37401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Senior Leadership</w:t>
      </w:r>
    </w:p>
    <w:p>
      <w:pPr>
        <w:spacing w:after="0" w:line="201" w:lineRule="exact"/>
        <w:rPr>
          <w:sz w:val="20"/>
          <w:szCs w:val="20"/>
          <w:color w:val="auto"/>
        </w:rPr>
      </w:pPr>
    </w:p>
    <w:p>
      <w:pPr>
        <w:ind w:left="940" w:right="600"/>
        <w:spacing w:after="0" w:line="247" w:lineRule="auto"/>
        <w:rPr>
          <w:sz w:val="20"/>
          <w:szCs w:val="20"/>
          <w:color w:val="auto"/>
        </w:rPr>
      </w:pPr>
      <w:r>
        <w:rPr>
          <w:rFonts w:ascii="Arial" w:cs="Arial" w:eastAsia="Arial" w:hAnsi="Arial"/>
          <w:sz w:val="16"/>
          <w:szCs w:val="16"/>
          <w:color w:val="auto"/>
        </w:rPr>
        <w:t>Extensive leadership experience with a significant enterprise, resulting in a practical understanding of organizations, processes and strategic planning, along with demonstrated strengths in developing talent, succession planning, and driving change and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103505</wp:posOffset>
            </wp:positionV>
            <wp:extent cx="4030345" cy="5613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030345" cy="561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International</w:t>
      </w:r>
    </w:p>
    <w:p>
      <w:pPr>
        <w:spacing w:after="0" w:line="20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Experience conducting business or operations outside of the United States or working on international policy and related issues, resulting in international business, political and cultural perspectives and insights that are invaluable to a global company with operations and sales around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103505</wp:posOffset>
            </wp:positionV>
            <wp:extent cx="2806065" cy="178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06065" cy="1784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40" w:space="720"/>
            <w:col w:w="4480"/>
          </w:cols>
          <w:pgMar w:left="320" w:top="118" w:right="339" w:bottom="1440" w:gutter="0" w:footer="0" w:header="0"/>
          <w:type w:val="continuous"/>
        </w:sectPr>
      </w:pPr>
    </w:p>
    <w:p>
      <w:pPr>
        <w:spacing w:after="0" w:line="310"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Experience in Industry</w:t>
      </w:r>
    </w:p>
    <w:p>
      <w:pPr>
        <w:spacing w:after="0" w:line="201" w:lineRule="exact"/>
        <w:rPr>
          <w:sz w:val="20"/>
          <w:szCs w:val="20"/>
          <w:color w:val="auto"/>
        </w:rPr>
      </w:pPr>
    </w:p>
    <w:p>
      <w:pPr>
        <w:ind w:left="940" w:right="680"/>
        <w:spacing w:after="0" w:line="248" w:lineRule="auto"/>
        <w:rPr>
          <w:sz w:val="20"/>
          <w:szCs w:val="20"/>
          <w:color w:val="auto"/>
        </w:rPr>
      </w:pPr>
      <w:r>
        <w:rPr>
          <w:rFonts w:ascii="Arial" w:cs="Arial" w:eastAsia="Arial" w:hAnsi="Arial"/>
          <w:sz w:val="16"/>
          <w:szCs w:val="16"/>
          <w:color w:val="auto"/>
        </w:rPr>
        <w:t>Experience in the aerospace and defense markets in which RTX operates, whether acquired through service as a senior leader of an organization in those markets or as a government or military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221615</wp:posOffset>
            </wp:positionV>
            <wp:extent cx="382905" cy="382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2905" cy="382905"/>
                    </a:xfrm>
                    <a:prstGeom prst="rect">
                      <a:avLst/>
                    </a:prstGeom>
                    <a:noFill/>
                  </pic:spPr>
                </pic:pic>
              </a:graphicData>
            </a:graphic>
          </wp:anchor>
        </w:drawing>
        <w:drawing>
          <wp:anchor simplePos="0" relativeHeight="251657728" behindDoc="1" locked="0" layoutInCell="0" allowOverlap="1">
            <wp:simplePos x="0" y="0"/>
            <wp:positionH relativeFrom="column">
              <wp:posOffset>3669030</wp:posOffset>
            </wp:positionH>
            <wp:positionV relativeFrom="paragraph">
              <wp:posOffset>221615</wp:posOffset>
            </wp:positionV>
            <wp:extent cx="382905" cy="3486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2905" cy="34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Financial</w:t>
      </w:r>
    </w:p>
    <w:p>
      <w:pPr>
        <w:spacing w:after="0" w:line="201" w:lineRule="exact"/>
        <w:rPr>
          <w:sz w:val="20"/>
          <w:szCs w:val="20"/>
          <w:color w:val="auto"/>
        </w:rPr>
      </w:pPr>
    </w:p>
    <w:p>
      <w:pPr>
        <w:ind w:left="940" w:right="600"/>
        <w:spacing w:after="0" w:line="246" w:lineRule="auto"/>
        <w:rPr>
          <w:sz w:val="20"/>
          <w:szCs w:val="20"/>
          <w:color w:val="auto"/>
        </w:rPr>
      </w:pPr>
      <w:r>
        <w:rPr>
          <w:rFonts w:ascii="Arial" w:cs="Arial" w:eastAsia="Arial" w:hAnsi="Arial"/>
          <w:sz w:val="16"/>
          <w:szCs w:val="16"/>
          <w:color w:val="auto"/>
        </w:rPr>
        <w:t>Leadership of a financial firm or management of an enterprise’s finance function or similar responsibility, resulting in proficiency in complex financial management, financial reporting processes, capital allocation, capital markets, and mergers and acquisitions—representing the importance we place on accurate financial reporting and robust financial controls and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104140</wp:posOffset>
            </wp:positionV>
            <wp:extent cx="3375660" cy="3740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75660" cy="37401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940"/>
        <w:spacing w:after="0"/>
        <w:rPr>
          <w:sz w:val="20"/>
          <w:szCs w:val="20"/>
          <w:color w:val="auto"/>
        </w:rPr>
      </w:pPr>
      <w:r>
        <w:rPr>
          <w:rFonts w:ascii="Arial" w:cs="Arial" w:eastAsia="Arial" w:hAnsi="Arial"/>
          <w:sz w:val="20"/>
          <w:szCs w:val="20"/>
          <w:b w:val="1"/>
          <w:bCs w:val="1"/>
          <w:color w:val="auto"/>
        </w:rPr>
        <w:t>Risk Management/Oversight</w:t>
      </w:r>
    </w:p>
    <w:p>
      <w:pPr>
        <w:spacing w:after="0" w:line="174" w:lineRule="exact"/>
        <w:rPr>
          <w:sz w:val="20"/>
          <w:szCs w:val="20"/>
          <w:color w:val="auto"/>
        </w:rPr>
      </w:pPr>
    </w:p>
    <w:p>
      <w:pPr>
        <w:ind w:left="940" w:right="600"/>
        <w:spacing w:after="0" w:line="246" w:lineRule="auto"/>
        <w:rPr>
          <w:sz w:val="20"/>
          <w:szCs w:val="20"/>
          <w:color w:val="auto"/>
        </w:rPr>
      </w:pPr>
      <w:r>
        <w:rPr>
          <w:rFonts w:ascii="Arial" w:cs="Arial" w:eastAsia="Arial" w:hAnsi="Arial"/>
          <w:sz w:val="16"/>
          <w:szCs w:val="16"/>
          <w:color w:val="auto"/>
        </w:rPr>
        <w:t>Experience in, and knowledge and understanding of, managing major risk exposures for complex, large organizations, including significant financial, operational, compliance, reputational, strategic, international, political and cybersecurity risks, which are critical to the Board’s important risk oversight role.</w:t>
      </w:r>
    </w:p>
    <w:p>
      <w:pPr>
        <w:spacing w:after="0" w:line="114" w:lineRule="exact"/>
        <w:rPr>
          <w:sz w:val="20"/>
          <w:szCs w:val="20"/>
          <w:color w:val="auto"/>
        </w:rPr>
      </w:pPr>
    </w:p>
    <w:p>
      <w:pPr>
        <w:ind w:left="260" w:hanging="253"/>
        <w:spacing w:after="0"/>
        <w:tabs>
          <w:tab w:leader="none" w:pos="260" w:val="left"/>
        </w:tabs>
        <w:numPr>
          <w:ilvl w:val="0"/>
          <w:numId w:val="39"/>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Technology and Innovation</w:t>
      </w:r>
    </w:p>
    <w:p>
      <w:pPr>
        <w:spacing w:after="0" w:line="201"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Background in or experience leading organizations focused on research and development, engineering, science, software, cybersecurity or technology, which would benefit the Company as a leader in the development of advanced technologies and innovative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103505</wp:posOffset>
            </wp:positionV>
            <wp:extent cx="2806065" cy="178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06065" cy="17843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w:t>
      </w:r>
    </w:p>
    <w:p>
      <w:pPr>
        <w:spacing w:after="0" w:line="2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Service in senior government or military roles, which provide constructive insights about how significant government policies and regulations, as well as public policy issues, may affect our Company and how to respond effectively to those matters.</w:t>
      </w:r>
    </w:p>
    <w:p>
      <w:pPr>
        <w:sectPr>
          <w:pgSz w:w="11900" w:h="16838" w:orient="portrait"/>
          <w:cols w:equalWidth="0" w:num="2">
            <w:col w:w="6040" w:space="720"/>
            <w:col w:w="4480"/>
          </w:cols>
          <w:pgMar w:left="320" w:top="118" w:right="3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BOARD COMPOSITION AND REFRESHMENT</w:t>
      </w:r>
    </w:p>
    <w:p>
      <w:pPr>
        <w:spacing w:after="0" w:line="2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Composition and Refreshment</w:t>
      </w:r>
    </w:p>
    <w:p>
      <w:pPr>
        <w:spacing w:after="0" w:line="333" w:lineRule="exact"/>
        <w:rPr>
          <w:sz w:val="20"/>
          <w:szCs w:val="20"/>
          <w:color w:val="auto"/>
        </w:rPr>
      </w:pPr>
    </w:p>
    <w:p>
      <w:pPr>
        <w:jc w:val="both"/>
        <w:ind w:right="40"/>
        <w:spacing w:after="0" w:line="249" w:lineRule="auto"/>
        <w:rPr>
          <w:sz w:val="20"/>
          <w:szCs w:val="20"/>
          <w:color w:val="auto"/>
        </w:rPr>
      </w:pPr>
      <w:r>
        <w:rPr>
          <w:rFonts w:ascii="Arial" w:cs="Arial" w:eastAsia="Arial" w:hAnsi="Arial"/>
          <w:sz w:val="18"/>
          <w:szCs w:val="18"/>
          <w:b w:val="1"/>
          <w:bCs w:val="1"/>
          <w:color w:val="CE0F2D"/>
        </w:rPr>
        <w:t>The Board believes that it benefits from a mix of new directors who bring fresh perspectives and longer-serving directors who bring valuable experience, continuity and a deep understanding of the Company. The Board strives to maintain an appropriate balance of tenure, turnover, diversity, attributes, viewpoints and experiences.</w:t>
      </w:r>
    </w:p>
    <w:p>
      <w:pPr>
        <w:spacing w:after="0" w:line="15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Under the terms of the Merger, seven RTN continuing directors became RTX Board members, joining eight UTC continuing directors. Additionally, our Board was required to maintain a specified composition of directors from both legacy companies until April 3, 2022. Since the Merger, one RTN continuing director and one UTC continuing director left the Board, and Bernard A. Harris, Jr. joined the Board. Marshall O. Larsen, a longer-tenured UTC continuing director, will retire from the Board at the 2022 Annual Meeting.</w:t>
      </w:r>
    </w:p>
    <w:p>
      <w:pPr>
        <w:spacing w:after="0" w:line="163"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Given the director refreshment efforts of both legacy company boards before the Merger, the significant changes to the Board in connection with the Merger, and the changes in Board composition since the Merger, our Board believes that our current directors represent the right mix of newer and longer-serving directors, and that they have the appropriate attributes, experiences and perspectives to guide the Company and provide effective oversight of our strategy and business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113030</wp:posOffset>
            </wp:positionV>
            <wp:extent cx="7133590" cy="2066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3590" cy="20662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1700"/>
        <w:spacing w:after="0"/>
        <w:rPr>
          <w:sz w:val="20"/>
          <w:szCs w:val="20"/>
          <w:color w:val="auto"/>
        </w:rPr>
      </w:pPr>
      <w:r>
        <w:rPr>
          <w:rFonts w:ascii="Arial" w:cs="Arial" w:eastAsia="Arial" w:hAnsi="Arial"/>
          <w:sz w:val="17"/>
          <w:szCs w:val="17"/>
          <w:color w:val="CE0F2D"/>
        </w:rPr>
        <w:t>TENURE ON RTX BOARD</w:t>
      </w:r>
    </w:p>
    <w:p>
      <w:pPr>
        <w:spacing w:after="0" w:line="292" w:lineRule="exact"/>
        <w:rPr>
          <w:sz w:val="20"/>
          <w:szCs w:val="20"/>
          <w:color w:val="auto"/>
        </w:rPr>
      </w:pPr>
    </w:p>
    <w:p>
      <w:pPr>
        <w:ind w:left="5740" w:right="240"/>
        <w:spacing w:after="0"/>
        <w:rPr>
          <w:sz w:val="20"/>
          <w:szCs w:val="20"/>
          <w:color w:val="auto"/>
        </w:rPr>
      </w:pPr>
      <w:r>
        <w:rPr>
          <w:rFonts w:ascii="Arial" w:cs="Arial" w:eastAsia="Arial" w:hAnsi="Arial"/>
          <w:sz w:val="18"/>
          <w:szCs w:val="18"/>
          <w:color w:val="auto"/>
        </w:rPr>
        <w:t>When legacy RTN board service is included, the average tenure of our nominees is 5 years.</w:t>
      </w:r>
    </w:p>
    <w:p>
      <w:pPr>
        <w:spacing w:after="0" w:line="6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More than 5 years—7 nominees</w:t>
      </w:r>
    </w:p>
    <w:p>
      <w:pPr>
        <w:spacing w:after="0" w:line="8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3–5 years—4 nominees</w:t>
      </w:r>
    </w:p>
    <w:p>
      <w:pPr>
        <w:spacing w:after="0" w:line="8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Less than 3 years—2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320"/>
        <w:spacing w:after="0" w:line="236" w:lineRule="auto"/>
        <w:rPr>
          <w:sz w:val="20"/>
          <w:szCs w:val="20"/>
          <w:color w:val="auto"/>
        </w:rPr>
      </w:pPr>
      <w:r>
        <w:rPr>
          <w:rFonts w:ascii="Arial" w:cs="Arial" w:eastAsia="Arial" w:hAnsi="Arial"/>
          <w:sz w:val="18"/>
          <w:szCs w:val="18"/>
          <w:color w:val="auto"/>
        </w:rPr>
        <w:t>As a result, while the Board plans to remove the Merger-related composition requirements from our Corporate Governance Guidelines and Bylaws following the 2022 Annual Meeting, it does not plan to make any significant changes to its current membership. The Board may, however, add a new member on an opportunistic basis if it identifies a candidate who is particularly well positioned to enhance Board effectiveness.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Board will continue to promote refreshment by:</w:t>
      </w:r>
    </w:p>
    <w:p>
      <w:pPr>
        <w:spacing w:after="0" w:line="181" w:lineRule="exact"/>
        <w:rPr>
          <w:sz w:val="20"/>
          <w:szCs w:val="20"/>
          <w:color w:val="auto"/>
        </w:rPr>
      </w:pPr>
    </w:p>
    <w:p>
      <w:pPr>
        <w:ind w:left="260" w:right="20" w:hanging="253"/>
        <w:spacing w:after="0" w:line="237" w:lineRule="auto"/>
        <w:tabs>
          <w:tab w:leader="none" w:pos="260" w:val="left"/>
        </w:tabs>
        <w:numPr>
          <w:ilvl w:val="0"/>
          <w:numId w:val="40"/>
        </w:numPr>
        <w:rPr>
          <w:rFonts w:ascii="Arial" w:cs="Arial" w:eastAsia="Arial" w:hAnsi="Arial"/>
          <w:sz w:val="18"/>
          <w:szCs w:val="18"/>
          <w:color w:val="CE0F2D"/>
        </w:rPr>
      </w:pPr>
      <w:r>
        <w:rPr>
          <w:rFonts w:ascii="Arial" w:cs="Arial" w:eastAsia="Arial" w:hAnsi="Arial"/>
          <w:sz w:val="18"/>
          <w:szCs w:val="18"/>
          <w:color w:val="auto"/>
        </w:rPr>
        <w:t>regularly reviewing the key skills and expertise that are most important in selecting candidates to serve as directors, taking into account the Company’s operations and the mix of capabilities and experience already represented on the Board and regularly considering individual director tenure and succession; and</w:t>
      </w:r>
    </w:p>
    <w:p>
      <w:pPr>
        <w:spacing w:after="0" w:line="190" w:lineRule="exact"/>
        <w:rPr>
          <w:rFonts w:ascii="Arial" w:cs="Arial" w:eastAsia="Arial" w:hAnsi="Arial"/>
          <w:sz w:val="18"/>
          <w:szCs w:val="18"/>
          <w:color w:val="CE0F2D"/>
        </w:rPr>
      </w:pPr>
    </w:p>
    <w:p>
      <w:pPr>
        <w:ind w:left="260" w:right="280" w:hanging="253"/>
        <w:spacing w:after="0"/>
        <w:tabs>
          <w:tab w:leader="none" w:pos="260" w:val="left"/>
        </w:tabs>
        <w:numPr>
          <w:ilvl w:val="0"/>
          <w:numId w:val="40"/>
        </w:numPr>
        <w:rPr>
          <w:rFonts w:ascii="Arial" w:cs="Arial" w:eastAsia="Arial" w:hAnsi="Arial"/>
          <w:sz w:val="18"/>
          <w:szCs w:val="18"/>
          <w:color w:val="CE0F2D"/>
        </w:rPr>
      </w:pPr>
      <w:r>
        <w:rPr>
          <w:rFonts w:ascii="Arial" w:cs="Arial" w:eastAsia="Arial" w:hAnsi="Arial"/>
          <w:sz w:val="18"/>
          <w:szCs w:val="18"/>
          <w:color w:val="auto"/>
        </w:rPr>
        <w:t>using its self-evaluation process, including individual director evaluations, to inform its decisions about nomination and refreshment (see page 23 for more detail on the annual self-evaluation process).</w:t>
      </w:r>
    </w:p>
    <w:p>
      <w:pPr>
        <w:spacing w:after="0" w:line="16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Corporate Governance Guidelines require that directors retire at the first annual meeting after they reach age 72, unless the Board makes an exception in light of special circumstances.</w:t>
      </w:r>
    </w:p>
    <w:p>
      <w:pPr>
        <w:spacing w:after="0" w:line="162" w:lineRule="exact"/>
        <w:rPr>
          <w:sz w:val="20"/>
          <w:szCs w:val="20"/>
          <w:color w:val="auto"/>
        </w:rPr>
      </w:pPr>
    </w:p>
    <w:p>
      <w:pPr>
        <w:jc w:val="both"/>
        <w:ind w:right="440"/>
        <w:spacing w:after="0" w:line="237" w:lineRule="auto"/>
        <w:rPr>
          <w:sz w:val="20"/>
          <w:szCs w:val="20"/>
          <w:color w:val="auto"/>
        </w:rPr>
      </w:pPr>
      <w:r>
        <w:rPr>
          <w:rFonts w:ascii="Arial" w:cs="Arial" w:eastAsia="Arial" w:hAnsi="Arial"/>
          <w:sz w:val="18"/>
          <w:szCs w:val="18"/>
          <w:color w:val="auto"/>
        </w:rPr>
        <w:t>Our Corporate Governance Guidelines and Bylaws do not impose term limits on directors. In accordance with our Corporate Governance Guidelines, the Governance Committee periodically reviews the tenure of our directors, especially those who have served for 15 or more years. No director nominee has a tenure greater than 8 years.</w:t>
      </w:r>
    </w:p>
    <w:p>
      <w:pPr>
        <w:spacing w:after="0" w:line="19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HOW CANDIDATES ARE IDENTIFIED</w:t>
      </w:r>
    </w:p>
    <w:p>
      <w:pPr>
        <w:spacing w:after="0" w:line="19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Candidates Are Identified</w:t>
      </w:r>
    </w:p>
    <w:p>
      <w:pPr>
        <w:spacing w:after="0" w:line="26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In furtherance of its focus on director refreshment and Board composition, the Board strives to regularly identify potential director candidates who can bring unique perspectives, additional capabilities and experiences, and enhance Board performance. The Board has delegated the identification and evaluation process for director candidates to the Governance Committee. Potential directors can be brought to the Committee's attention in different ways, as shown below. The Committee screens and evaluates all candidates, regardless of who recommends them, using the criteria described under “Criteria for Board Membership” on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2223770</wp:posOffset>
            </wp:positionH>
            <wp:positionV relativeFrom="paragraph">
              <wp:posOffset>113665</wp:posOffset>
            </wp:positionV>
            <wp:extent cx="288925" cy="909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8925" cy="9099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113665</wp:posOffset>
            </wp:positionV>
            <wp:extent cx="280670" cy="909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80670" cy="90995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320"/>
        </w:trPr>
        <w:tc>
          <w:tcPr>
            <w:tcW w:w="3500" w:type="dxa"/>
            <w:vAlign w:val="bottom"/>
            <w:tcBorders>
              <w:top w:val="single" w:sz="8" w:color="CE0F2D"/>
            </w:tcBorders>
            <w:shd w:val="clear" w:color="auto" w:fill="EDEDED"/>
          </w:tcPr>
          <w:p>
            <w:pPr>
              <w:ind w:left="100"/>
              <w:spacing w:after="0"/>
              <w:rPr>
                <w:sz w:val="20"/>
                <w:szCs w:val="20"/>
                <w:color w:val="auto"/>
              </w:rPr>
            </w:pPr>
            <w:r>
              <w:rPr>
                <w:rFonts w:ascii="Arial" w:cs="Arial" w:eastAsia="Arial" w:hAnsi="Arial"/>
                <w:sz w:val="18"/>
                <w:szCs w:val="18"/>
                <w:color w:val="auto"/>
              </w:rPr>
              <w:t>To ensure that there is a large and</w:t>
            </w:r>
          </w:p>
        </w:tc>
        <w:tc>
          <w:tcPr>
            <w:tcW w:w="460" w:type="dxa"/>
            <w:vAlign w:val="bottom"/>
            <w:tcBorders>
              <w:top w:val="single" w:sz="8" w:color="EDEDED"/>
            </w:tcBorders>
            <w:shd w:val="clear" w:color="auto" w:fill="EDEDED"/>
          </w:tcPr>
          <w:p>
            <w:pPr>
              <w:spacing w:after="0"/>
              <w:rPr>
                <w:sz w:val="24"/>
                <w:szCs w:val="24"/>
                <w:color w:val="auto"/>
              </w:rPr>
            </w:pPr>
          </w:p>
        </w:tc>
        <w:tc>
          <w:tcPr>
            <w:tcW w:w="3480" w:type="dxa"/>
            <w:vAlign w:val="bottom"/>
            <w:tcBorders>
              <w:top w:val="single" w:sz="8" w:color="CE0F2D"/>
            </w:tcBorders>
            <w:shd w:val="clear" w:color="auto" w:fill="EDEDED"/>
          </w:tcPr>
          <w:p>
            <w:pPr>
              <w:ind w:left="80"/>
              <w:spacing w:after="0"/>
              <w:rPr>
                <w:sz w:val="20"/>
                <w:szCs w:val="20"/>
                <w:color w:val="auto"/>
              </w:rPr>
            </w:pPr>
            <w:r>
              <w:rPr>
                <w:rFonts w:ascii="Arial" w:cs="Arial" w:eastAsia="Arial" w:hAnsi="Arial"/>
                <w:sz w:val="18"/>
                <w:szCs w:val="18"/>
                <w:color w:val="auto"/>
              </w:rPr>
              <w:t>Any shareowner may recommend a</w:t>
            </w:r>
          </w:p>
        </w:tc>
        <w:tc>
          <w:tcPr>
            <w:tcW w:w="440" w:type="dxa"/>
            <w:vAlign w:val="bottom"/>
            <w:tcBorders>
              <w:top w:val="single" w:sz="8" w:color="EDEDED"/>
            </w:tcBorders>
            <w:shd w:val="clear" w:color="auto" w:fill="EDEDED"/>
          </w:tcPr>
          <w:p>
            <w:pPr>
              <w:spacing w:after="0"/>
              <w:rPr>
                <w:sz w:val="24"/>
                <w:szCs w:val="24"/>
                <w:color w:val="auto"/>
              </w:rPr>
            </w:pPr>
          </w:p>
        </w:tc>
        <w:tc>
          <w:tcPr>
            <w:tcW w:w="3360" w:type="dxa"/>
            <w:vAlign w:val="bottom"/>
            <w:tcBorders>
              <w:top w:val="single" w:sz="8" w:color="CE0F2D"/>
            </w:tcBorders>
            <w:shd w:val="clear" w:color="auto" w:fill="EDEDED"/>
          </w:tcPr>
          <w:p>
            <w:pPr>
              <w:ind w:left="80"/>
              <w:spacing w:after="0"/>
              <w:rPr>
                <w:sz w:val="20"/>
                <w:szCs w:val="20"/>
                <w:color w:val="auto"/>
              </w:rPr>
            </w:pPr>
            <w:r>
              <w:rPr>
                <w:rFonts w:ascii="Arial" w:cs="Arial" w:eastAsia="Arial" w:hAnsi="Arial"/>
                <w:sz w:val="18"/>
                <w:szCs w:val="18"/>
                <w:color w:val="auto"/>
              </w:rPr>
              <w:t>Current Board members who become</w:t>
            </w:r>
          </w:p>
        </w:tc>
      </w:tr>
      <w:tr>
        <w:trPr>
          <w:trHeight w:val="201"/>
        </w:trPr>
        <w:tc>
          <w:tcPr>
            <w:tcW w:w="3960" w:type="dxa"/>
            <w:vAlign w:val="bottom"/>
            <w:gridSpan w:val="2"/>
            <w:shd w:val="clear" w:color="auto" w:fill="EDEDED"/>
          </w:tcPr>
          <w:p>
            <w:pPr>
              <w:ind w:left="100"/>
              <w:spacing w:after="0" w:line="201" w:lineRule="exact"/>
              <w:rPr>
                <w:sz w:val="20"/>
                <w:szCs w:val="20"/>
                <w:color w:val="auto"/>
              </w:rPr>
            </w:pPr>
            <w:r>
              <w:rPr>
                <w:rFonts w:ascii="Arial" w:cs="Arial" w:eastAsia="Arial" w:hAnsi="Arial"/>
                <w:sz w:val="18"/>
                <w:szCs w:val="18"/>
                <w:color w:val="auto"/>
              </w:rPr>
              <w:t>diverse pool of potential directors, the</w:t>
            </w:r>
          </w:p>
        </w:tc>
        <w:tc>
          <w:tcPr>
            <w:tcW w:w="3920" w:type="dxa"/>
            <w:vAlign w:val="bottom"/>
            <w:gridSpan w:val="2"/>
            <w:shd w:val="clear" w:color="auto" w:fill="EDEDED"/>
          </w:tcPr>
          <w:p>
            <w:pPr>
              <w:ind w:left="80"/>
              <w:spacing w:after="0" w:line="201" w:lineRule="exact"/>
              <w:rPr>
                <w:sz w:val="20"/>
                <w:szCs w:val="20"/>
                <w:color w:val="auto"/>
              </w:rPr>
            </w:pPr>
            <w:r>
              <w:rPr>
                <w:rFonts w:ascii="Arial" w:cs="Arial" w:eastAsia="Arial" w:hAnsi="Arial"/>
                <w:sz w:val="18"/>
                <w:szCs w:val="18"/>
                <w:color w:val="auto"/>
              </w:rPr>
              <w:t>director candidate by writing to the RTX</w:t>
            </w:r>
          </w:p>
        </w:tc>
        <w:tc>
          <w:tcPr>
            <w:tcW w:w="3360" w:type="dxa"/>
            <w:vAlign w:val="bottom"/>
            <w:shd w:val="clear" w:color="auto" w:fill="EDEDED"/>
          </w:tcPr>
          <w:p>
            <w:pPr>
              <w:ind w:left="80"/>
              <w:spacing w:after="0" w:line="201" w:lineRule="exact"/>
              <w:rPr>
                <w:sz w:val="20"/>
                <w:szCs w:val="20"/>
                <w:color w:val="auto"/>
              </w:rPr>
            </w:pPr>
            <w:r>
              <w:rPr>
                <w:rFonts w:ascii="Arial" w:cs="Arial" w:eastAsia="Arial" w:hAnsi="Arial"/>
                <w:sz w:val="18"/>
                <w:szCs w:val="18"/>
                <w:color w:val="auto"/>
              </w:rPr>
              <w:t>aware of suitable candidates may</w:t>
            </w:r>
          </w:p>
        </w:tc>
      </w:tr>
      <w:tr>
        <w:trPr>
          <w:trHeight w:val="201"/>
        </w:trPr>
        <w:tc>
          <w:tcPr>
            <w:tcW w:w="3960" w:type="dxa"/>
            <w:vAlign w:val="bottom"/>
            <w:gridSpan w:val="2"/>
            <w:shd w:val="clear" w:color="auto" w:fill="EDEDED"/>
          </w:tcPr>
          <w:p>
            <w:pPr>
              <w:ind w:left="100"/>
              <w:spacing w:after="0" w:line="201" w:lineRule="exact"/>
              <w:rPr>
                <w:sz w:val="20"/>
                <w:szCs w:val="20"/>
                <w:color w:val="auto"/>
              </w:rPr>
            </w:pPr>
            <w:r>
              <w:rPr>
                <w:rFonts w:ascii="Arial" w:cs="Arial" w:eastAsia="Arial" w:hAnsi="Arial"/>
                <w:sz w:val="18"/>
                <w:szCs w:val="18"/>
                <w:color w:val="auto"/>
              </w:rPr>
              <w:t>Governance Committee may engage</w:t>
            </w:r>
          </w:p>
        </w:tc>
        <w:tc>
          <w:tcPr>
            <w:tcW w:w="3920" w:type="dxa"/>
            <w:vAlign w:val="bottom"/>
            <w:gridSpan w:val="2"/>
            <w:shd w:val="clear" w:color="auto" w:fill="EDEDED"/>
          </w:tcPr>
          <w:p>
            <w:pPr>
              <w:ind w:left="80"/>
              <w:spacing w:after="0" w:line="201" w:lineRule="exact"/>
              <w:rPr>
                <w:sz w:val="20"/>
                <w:szCs w:val="20"/>
                <w:color w:val="auto"/>
              </w:rPr>
            </w:pPr>
            <w:r>
              <w:rPr>
                <w:rFonts w:ascii="Arial" w:cs="Arial" w:eastAsia="Arial" w:hAnsi="Arial"/>
                <w:sz w:val="18"/>
                <w:szCs w:val="18"/>
                <w:color w:val="auto"/>
              </w:rPr>
              <w:t>Corporate Secretary (see page 97 for</w:t>
            </w:r>
          </w:p>
        </w:tc>
        <w:tc>
          <w:tcPr>
            <w:tcW w:w="3360" w:type="dxa"/>
            <w:vAlign w:val="bottom"/>
            <w:shd w:val="clear" w:color="auto" w:fill="EDEDED"/>
          </w:tcPr>
          <w:p>
            <w:pPr>
              <w:ind w:left="80"/>
              <w:spacing w:after="0" w:line="201" w:lineRule="exact"/>
              <w:rPr>
                <w:sz w:val="20"/>
                <w:szCs w:val="20"/>
                <w:color w:val="auto"/>
              </w:rPr>
            </w:pPr>
            <w:r>
              <w:rPr>
                <w:rFonts w:ascii="Arial" w:cs="Arial" w:eastAsia="Arial" w:hAnsi="Arial"/>
                <w:sz w:val="18"/>
                <w:szCs w:val="18"/>
                <w:color w:val="auto"/>
              </w:rPr>
              <w:t>recommend them to the Governance</w:t>
            </w:r>
          </w:p>
        </w:tc>
      </w:tr>
      <w:tr>
        <w:trPr>
          <w:trHeight w:val="201"/>
        </w:trPr>
        <w:tc>
          <w:tcPr>
            <w:tcW w:w="3960" w:type="dxa"/>
            <w:vAlign w:val="bottom"/>
            <w:gridSpan w:val="2"/>
            <w:shd w:val="clear" w:color="auto" w:fill="EDEDED"/>
          </w:tcPr>
          <w:p>
            <w:pPr>
              <w:ind w:left="100"/>
              <w:spacing w:after="0" w:line="201" w:lineRule="exact"/>
              <w:rPr>
                <w:sz w:val="20"/>
                <w:szCs w:val="20"/>
                <w:color w:val="auto"/>
              </w:rPr>
            </w:pPr>
            <w:r>
              <w:rPr>
                <w:rFonts w:ascii="Arial" w:cs="Arial" w:eastAsia="Arial" w:hAnsi="Arial"/>
                <w:sz w:val="18"/>
                <w:szCs w:val="18"/>
                <w:color w:val="auto"/>
              </w:rPr>
              <w:t>search firms to assist it in finding qualified</w:t>
            </w:r>
          </w:p>
        </w:tc>
        <w:tc>
          <w:tcPr>
            <w:tcW w:w="3920" w:type="dxa"/>
            <w:vAlign w:val="bottom"/>
            <w:gridSpan w:val="2"/>
            <w:shd w:val="clear" w:color="auto" w:fill="EDEDED"/>
          </w:tcPr>
          <w:p>
            <w:pPr>
              <w:ind w:left="80"/>
              <w:spacing w:after="0" w:line="201" w:lineRule="exact"/>
              <w:rPr>
                <w:sz w:val="20"/>
                <w:szCs w:val="20"/>
                <w:color w:val="auto"/>
              </w:rPr>
            </w:pPr>
            <w:r>
              <w:rPr>
                <w:rFonts w:ascii="Arial" w:cs="Arial" w:eastAsia="Arial" w:hAnsi="Arial"/>
                <w:sz w:val="18"/>
                <w:szCs w:val="18"/>
                <w:color w:val="auto"/>
              </w:rPr>
              <w:t>contact information).</w:t>
            </w:r>
          </w:p>
        </w:tc>
        <w:tc>
          <w:tcPr>
            <w:tcW w:w="3360" w:type="dxa"/>
            <w:vAlign w:val="bottom"/>
            <w:shd w:val="clear" w:color="auto" w:fill="EDEDED"/>
          </w:tcPr>
          <w:p>
            <w:pPr>
              <w:ind w:left="80"/>
              <w:spacing w:after="0" w:line="201" w:lineRule="exact"/>
              <w:rPr>
                <w:sz w:val="20"/>
                <w:szCs w:val="20"/>
                <w:color w:val="auto"/>
              </w:rPr>
            </w:pPr>
            <w:r>
              <w:rPr>
                <w:rFonts w:ascii="Arial" w:cs="Arial" w:eastAsia="Arial" w:hAnsi="Arial"/>
                <w:sz w:val="18"/>
                <w:szCs w:val="18"/>
                <w:color w:val="auto"/>
              </w:rPr>
              <w:t>Committee from time to time.</w:t>
            </w:r>
          </w:p>
        </w:tc>
      </w:tr>
      <w:tr>
        <w:trPr>
          <w:trHeight w:val="201"/>
        </w:trPr>
        <w:tc>
          <w:tcPr>
            <w:tcW w:w="3960" w:type="dxa"/>
            <w:vAlign w:val="bottom"/>
            <w:gridSpan w:val="2"/>
            <w:shd w:val="clear" w:color="auto" w:fill="EDEDED"/>
          </w:tcPr>
          <w:p>
            <w:pPr>
              <w:ind w:left="100"/>
              <w:spacing w:after="0" w:line="201" w:lineRule="exact"/>
              <w:rPr>
                <w:sz w:val="20"/>
                <w:szCs w:val="20"/>
                <w:color w:val="auto"/>
              </w:rPr>
            </w:pPr>
            <w:r>
              <w:rPr>
                <w:rFonts w:ascii="Arial" w:cs="Arial" w:eastAsia="Arial" w:hAnsi="Arial"/>
                <w:sz w:val="18"/>
                <w:szCs w:val="18"/>
                <w:color w:val="auto"/>
              </w:rPr>
              <w:t>and interested candidates and verifying</w:t>
            </w:r>
          </w:p>
        </w:tc>
        <w:tc>
          <w:tcPr>
            <w:tcW w:w="3480" w:type="dxa"/>
            <w:vAlign w:val="bottom"/>
            <w:shd w:val="clear" w:color="auto" w:fill="EDEDED"/>
          </w:tcPr>
          <w:p>
            <w:pPr>
              <w:spacing w:after="0"/>
              <w:rPr>
                <w:sz w:val="17"/>
                <w:szCs w:val="17"/>
                <w:color w:val="auto"/>
              </w:rPr>
            </w:pPr>
          </w:p>
        </w:tc>
        <w:tc>
          <w:tcPr>
            <w:tcW w:w="440" w:type="dxa"/>
            <w:vAlign w:val="bottom"/>
            <w:shd w:val="clear" w:color="auto" w:fill="EDEDED"/>
          </w:tcPr>
          <w:p>
            <w:pPr>
              <w:spacing w:after="0"/>
              <w:rPr>
                <w:sz w:val="17"/>
                <w:szCs w:val="17"/>
                <w:color w:val="auto"/>
              </w:rPr>
            </w:pPr>
          </w:p>
        </w:tc>
        <w:tc>
          <w:tcPr>
            <w:tcW w:w="3360" w:type="dxa"/>
            <w:vAlign w:val="bottom"/>
            <w:shd w:val="clear" w:color="auto" w:fill="EDEDED"/>
          </w:tcPr>
          <w:p>
            <w:pPr>
              <w:spacing w:after="0"/>
              <w:rPr>
                <w:sz w:val="17"/>
                <w:szCs w:val="17"/>
                <w:color w:val="auto"/>
              </w:rPr>
            </w:pPr>
          </w:p>
        </w:tc>
      </w:tr>
      <w:tr>
        <w:trPr>
          <w:trHeight w:val="214"/>
        </w:trPr>
        <w:tc>
          <w:tcPr>
            <w:tcW w:w="3960" w:type="dxa"/>
            <w:vAlign w:val="bottom"/>
            <w:gridSpan w:val="2"/>
            <w:shd w:val="clear" w:color="auto" w:fill="EDEDED"/>
          </w:tcPr>
          <w:p>
            <w:pPr>
              <w:ind w:left="100"/>
              <w:spacing w:after="0"/>
              <w:rPr>
                <w:sz w:val="20"/>
                <w:szCs w:val="20"/>
                <w:color w:val="auto"/>
              </w:rPr>
            </w:pPr>
            <w:r>
              <w:rPr>
                <w:rFonts w:ascii="Arial" w:cs="Arial" w:eastAsia="Arial" w:hAnsi="Arial"/>
                <w:sz w:val="18"/>
                <w:szCs w:val="18"/>
                <w:color w:val="auto"/>
              </w:rPr>
              <w:t>their credentials.</w:t>
            </w:r>
          </w:p>
        </w:tc>
        <w:tc>
          <w:tcPr>
            <w:tcW w:w="3480" w:type="dxa"/>
            <w:vAlign w:val="bottom"/>
            <w:shd w:val="clear" w:color="auto" w:fill="EDEDED"/>
          </w:tcPr>
          <w:p>
            <w:pPr>
              <w:spacing w:after="0"/>
              <w:rPr>
                <w:sz w:val="18"/>
                <w:szCs w:val="18"/>
                <w:color w:val="auto"/>
              </w:rPr>
            </w:pPr>
          </w:p>
        </w:tc>
        <w:tc>
          <w:tcPr>
            <w:tcW w:w="440" w:type="dxa"/>
            <w:vAlign w:val="bottom"/>
            <w:shd w:val="clear" w:color="auto" w:fill="EDEDED"/>
          </w:tcPr>
          <w:p>
            <w:pPr>
              <w:spacing w:after="0"/>
              <w:rPr>
                <w:sz w:val="18"/>
                <w:szCs w:val="18"/>
                <w:color w:val="auto"/>
              </w:rPr>
            </w:pPr>
          </w:p>
        </w:tc>
        <w:tc>
          <w:tcPr>
            <w:tcW w:w="3360" w:type="dxa"/>
            <w:vAlign w:val="bottom"/>
            <w:shd w:val="clear" w:color="auto" w:fill="EDEDED"/>
          </w:tcPr>
          <w:p>
            <w:pPr>
              <w:spacing w:after="0"/>
              <w:rPr>
                <w:sz w:val="18"/>
                <w:szCs w:val="18"/>
                <w:color w:val="auto"/>
              </w:rPr>
            </w:pPr>
          </w:p>
        </w:tc>
      </w:tr>
      <w:tr>
        <w:trPr>
          <w:trHeight w:val="95"/>
        </w:trPr>
        <w:tc>
          <w:tcPr>
            <w:tcW w:w="3500" w:type="dxa"/>
            <w:vAlign w:val="bottom"/>
            <w:shd w:val="clear" w:color="auto" w:fill="EDEDED"/>
          </w:tcPr>
          <w:p>
            <w:pPr>
              <w:spacing w:after="0"/>
              <w:rPr>
                <w:sz w:val="8"/>
                <w:szCs w:val="8"/>
                <w:color w:val="auto"/>
              </w:rPr>
            </w:pPr>
          </w:p>
        </w:tc>
        <w:tc>
          <w:tcPr>
            <w:tcW w:w="460" w:type="dxa"/>
            <w:vAlign w:val="bottom"/>
            <w:shd w:val="clear" w:color="auto" w:fill="EDEDED"/>
          </w:tcPr>
          <w:p>
            <w:pPr>
              <w:spacing w:after="0"/>
              <w:rPr>
                <w:sz w:val="8"/>
                <w:szCs w:val="8"/>
                <w:color w:val="auto"/>
              </w:rPr>
            </w:pPr>
          </w:p>
        </w:tc>
        <w:tc>
          <w:tcPr>
            <w:tcW w:w="3480" w:type="dxa"/>
            <w:vAlign w:val="bottom"/>
            <w:shd w:val="clear" w:color="auto" w:fill="EDEDED"/>
          </w:tcPr>
          <w:p>
            <w:pPr>
              <w:spacing w:after="0"/>
              <w:rPr>
                <w:sz w:val="8"/>
                <w:szCs w:val="8"/>
                <w:color w:val="auto"/>
              </w:rPr>
            </w:pPr>
          </w:p>
        </w:tc>
        <w:tc>
          <w:tcPr>
            <w:tcW w:w="440" w:type="dxa"/>
            <w:vAlign w:val="bottom"/>
            <w:shd w:val="clear" w:color="auto" w:fill="EDEDED"/>
          </w:tcPr>
          <w:p>
            <w:pPr>
              <w:spacing w:after="0"/>
              <w:rPr>
                <w:sz w:val="8"/>
                <w:szCs w:val="8"/>
                <w:color w:val="auto"/>
              </w:rPr>
            </w:pPr>
          </w:p>
        </w:tc>
        <w:tc>
          <w:tcPr>
            <w:tcW w:w="3360" w:type="dxa"/>
            <w:vAlign w:val="bottom"/>
            <w:shd w:val="clear" w:color="auto" w:fill="EDEDED"/>
          </w:tcPr>
          <w:p>
            <w:pPr>
              <w:spacing w:after="0"/>
              <w:rPr>
                <w:sz w:val="8"/>
                <w:szCs w:val="8"/>
                <w:color w:val="auto"/>
              </w:rPr>
            </w:pPr>
          </w:p>
        </w:tc>
      </w:tr>
    </w:tbl>
    <w:p>
      <w:pPr>
        <w:spacing w:after="0" w:line="12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Nominees</w:t>
      </w:r>
    </w:p>
    <w:p>
      <w:pPr>
        <w:spacing w:after="0" w:line="203" w:lineRule="exact"/>
        <w:rPr>
          <w:sz w:val="20"/>
          <w:szCs w:val="20"/>
          <w:color w:val="auto"/>
        </w:rPr>
      </w:pPr>
    </w:p>
    <w:p>
      <w:pPr>
        <w:ind w:right="300"/>
        <w:spacing w:after="0" w:line="237" w:lineRule="auto"/>
        <w:rPr>
          <w:sz w:val="20"/>
          <w:szCs w:val="20"/>
          <w:color w:val="auto"/>
        </w:rPr>
      </w:pPr>
      <w:r>
        <w:rPr>
          <w:rFonts w:ascii="Arial" w:cs="Arial" w:eastAsia="Arial" w:hAnsi="Arial"/>
          <w:sz w:val="18"/>
          <w:szCs w:val="18"/>
          <w:color w:val="auto"/>
        </w:rPr>
        <w:t>The Board, upon the recommendation of the Governance Committee, has nominated for election the thirteen individuals listed in this Proxy Statement. All are current directors of RTX. One of our current directors, Marshall O. Larsen, will be retiring from the Board at the Annual Meeting and is not a nominee for election. We thank Mr. Larsen for his dedicated service and numerous contributions to RTX.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104140</wp:posOffset>
            </wp:positionV>
            <wp:extent cx="7133590" cy="8674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3590" cy="86741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ind w:left="1260" w:right="640"/>
        <w:spacing w:after="0" w:line="273"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E0F2D"/>
        </w:rPr>
        <w:t>FOR</w:t>
      </w:r>
      <w:r>
        <w:rPr>
          <w:rFonts w:ascii="Arial" w:cs="Arial" w:eastAsia="Arial" w:hAnsi="Arial"/>
          <w:sz w:val="27"/>
          <w:szCs w:val="27"/>
          <w:b w:val="1"/>
          <w:bCs w:val="1"/>
          <w:color w:val="auto"/>
        </w:rPr>
        <w:t xml:space="preserve"> each of the following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356235</wp:posOffset>
            </wp:positionV>
            <wp:extent cx="7133590" cy="1675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3590" cy="167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Tracy A. Atkinson</w:t>
      </w:r>
    </w:p>
    <w:p>
      <w:pPr>
        <w:spacing w:after="0" w:line="73" w:lineRule="exact"/>
        <w:rPr>
          <w:sz w:val="20"/>
          <w:szCs w:val="20"/>
          <w:color w:val="auto"/>
        </w:rPr>
      </w:pPr>
    </w:p>
    <w:tbl>
      <w:tblPr>
        <w:tblLayout w:type="fixed"/>
        <w:tblInd w:w="180" w:type="dxa"/>
        <w:tblCellMar>
          <w:top w:w="0" w:type="dxa"/>
          <w:left w:w="0" w:type="dxa"/>
          <w:bottom w:w="0" w:type="dxa"/>
          <w:right w:w="0" w:type="dxa"/>
        </w:tblCellMar>
      </w:tblPr>
      <w:tr>
        <w:trPr>
          <w:trHeight w:val="189"/>
        </w:trPr>
        <w:tc>
          <w:tcPr>
            <w:tcW w:w="4940" w:type="dxa"/>
            <w:vAlign w:val="bottom"/>
            <w:vMerge w:val="restart"/>
          </w:tcPr>
          <w:p>
            <w:pPr>
              <w:spacing w:after="0"/>
              <w:rPr>
                <w:sz w:val="20"/>
                <w:szCs w:val="20"/>
                <w:color w:val="auto"/>
              </w:rPr>
            </w:pPr>
            <w:r>
              <w:rPr>
                <w:rFonts w:ascii="Arial" w:cs="Arial" w:eastAsia="Arial" w:hAnsi="Arial"/>
                <w:sz w:val="14"/>
                <w:szCs w:val="14"/>
                <w:color w:val="auto"/>
              </w:rPr>
              <w:t>INDEPENDENT DIRECTOR</w:t>
            </w:r>
          </w:p>
        </w:tc>
        <w:tc>
          <w:tcPr>
            <w:tcW w:w="3040" w:type="dxa"/>
            <w:vAlign w:val="bottom"/>
          </w:tcPr>
          <w:p>
            <w:pPr>
              <w:ind w:left="400"/>
              <w:spacing w:after="0"/>
              <w:rPr>
                <w:sz w:val="20"/>
                <w:szCs w:val="20"/>
                <w:color w:val="auto"/>
              </w:rPr>
            </w:pPr>
            <w:r>
              <w:rPr>
                <w:rFonts w:ascii="Arial" w:cs="Arial" w:eastAsia="Arial" w:hAnsi="Arial"/>
                <w:sz w:val="14"/>
                <w:szCs w:val="14"/>
                <w:b w:val="1"/>
                <w:bCs w:val="1"/>
                <w:color w:val="auto"/>
              </w:rPr>
              <w:t>AGE 57</w:t>
            </w:r>
          </w:p>
        </w:tc>
        <w:tc>
          <w:tcPr>
            <w:tcW w:w="0" w:type="dxa"/>
            <w:vAlign w:val="bottom"/>
          </w:tcPr>
          <w:p>
            <w:pPr>
              <w:spacing w:after="0"/>
              <w:rPr>
                <w:sz w:val="1"/>
                <w:szCs w:val="1"/>
                <w:color w:val="auto"/>
              </w:rPr>
            </w:pPr>
          </w:p>
        </w:tc>
      </w:tr>
      <w:tr>
        <w:trPr>
          <w:trHeight w:val="54"/>
        </w:trPr>
        <w:tc>
          <w:tcPr>
            <w:tcW w:w="4940" w:type="dxa"/>
            <w:vAlign w:val="bottom"/>
            <w:vMerge w:val="continue"/>
          </w:tcPr>
          <w:p>
            <w:pPr>
              <w:spacing w:after="0"/>
              <w:rPr>
                <w:sz w:val="4"/>
                <w:szCs w:val="4"/>
                <w:color w:val="auto"/>
              </w:rPr>
            </w:pPr>
          </w:p>
        </w:tc>
        <w:tc>
          <w:tcPr>
            <w:tcW w:w="3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DIRECTOR SINCE 2020 (2014*)</w:t>
            </w:r>
          </w:p>
        </w:tc>
        <w:tc>
          <w:tcPr>
            <w:tcW w:w="0" w:type="dxa"/>
            <w:vAlign w:val="bottom"/>
          </w:tcPr>
          <w:p>
            <w:pPr>
              <w:spacing w:after="0"/>
              <w:rPr>
                <w:sz w:val="1"/>
                <w:szCs w:val="1"/>
                <w:color w:val="auto"/>
              </w:rPr>
            </w:pPr>
          </w:p>
        </w:tc>
      </w:tr>
      <w:tr>
        <w:trPr>
          <w:trHeight w:val="186"/>
        </w:trPr>
        <w:tc>
          <w:tcPr>
            <w:tcW w:w="4940" w:type="dxa"/>
            <w:vAlign w:val="bottom"/>
          </w:tcPr>
          <w:p>
            <w:pPr>
              <w:spacing w:after="0"/>
              <w:rPr>
                <w:sz w:val="16"/>
                <w:szCs w:val="16"/>
                <w:color w:val="auto"/>
              </w:rPr>
            </w:pPr>
          </w:p>
        </w:tc>
        <w:tc>
          <w:tcPr>
            <w:tcW w:w="3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20"/>
                <w:szCs w:val="20"/>
                <w:color w:val="auto"/>
              </w:rPr>
            </w:pPr>
            <w:r>
              <w:rPr>
                <w:rFonts w:ascii="Arial" w:cs="Arial" w:eastAsia="Arial" w:hAnsi="Arial"/>
                <w:sz w:val="16"/>
                <w:szCs w:val="16"/>
                <w:color w:val="auto"/>
              </w:rPr>
              <w:t>Retired Executive Vice President &amp; Chief Administrative Officer,</w:t>
            </w:r>
          </w:p>
        </w:tc>
        <w:tc>
          <w:tcPr>
            <w:tcW w:w="3040" w:type="dxa"/>
            <w:vAlign w:val="bottom"/>
          </w:tcPr>
          <w:p>
            <w:pPr>
              <w:ind w:left="400"/>
              <w:spacing w:after="0"/>
              <w:rPr>
                <w:sz w:val="20"/>
                <w:szCs w:val="20"/>
                <w:color w:val="auto"/>
              </w:rPr>
            </w:pPr>
            <w:r>
              <w:rPr>
                <w:rFonts w:ascii="Arial" w:cs="Arial" w:eastAsia="Arial" w:hAnsi="Arial"/>
                <w:sz w:val="14"/>
                <w:szCs w:val="14"/>
                <w:b w:val="1"/>
                <w:bCs w:val="1"/>
                <w:color w:val="auto"/>
              </w:rPr>
              <w:t>BOARD COMMITTEES Human</w:t>
            </w:r>
          </w:p>
        </w:tc>
        <w:tc>
          <w:tcPr>
            <w:tcW w:w="0" w:type="dxa"/>
            <w:vAlign w:val="bottom"/>
          </w:tcPr>
          <w:p>
            <w:pPr>
              <w:spacing w:after="0"/>
              <w:rPr>
                <w:sz w:val="1"/>
                <w:szCs w:val="1"/>
                <w:color w:val="auto"/>
              </w:rPr>
            </w:pPr>
          </w:p>
        </w:tc>
      </w:tr>
      <w:tr>
        <w:trPr>
          <w:trHeight w:val="134"/>
        </w:trPr>
        <w:tc>
          <w:tcPr>
            <w:tcW w:w="4940" w:type="dxa"/>
            <w:vAlign w:val="bottom"/>
            <w:vMerge w:val="restart"/>
          </w:tcPr>
          <w:p>
            <w:pPr>
              <w:spacing w:after="0"/>
              <w:rPr>
                <w:sz w:val="20"/>
                <w:szCs w:val="20"/>
                <w:color w:val="auto"/>
              </w:rPr>
            </w:pPr>
            <w:r>
              <w:rPr>
                <w:rFonts w:ascii="Arial" w:cs="Arial" w:eastAsia="Arial" w:hAnsi="Arial"/>
                <w:sz w:val="16"/>
                <w:szCs w:val="16"/>
                <w:color w:val="auto"/>
              </w:rPr>
              <w:t>State Street Corporation</w:t>
            </w:r>
          </w:p>
        </w:tc>
        <w:tc>
          <w:tcPr>
            <w:tcW w:w="3040" w:type="dxa"/>
            <w:vAlign w:val="bottom"/>
          </w:tcPr>
          <w:p>
            <w:pPr>
              <w:ind w:left="400"/>
              <w:spacing w:after="0" w:line="134" w:lineRule="exact"/>
              <w:rPr>
                <w:sz w:val="20"/>
                <w:szCs w:val="20"/>
                <w:color w:val="auto"/>
              </w:rPr>
            </w:pPr>
            <w:r>
              <w:rPr>
                <w:rFonts w:ascii="Arial" w:cs="Arial" w:eastAsia="Arial" w:hAnsi="Arial"/>
                <w:sz w:val="14"/>
                <w:szCs w:val="14"/>
                <w:b w:val="1"/>
                <w:bCs w:val="1"/>
                <w:color w:val="auto"/>
              </w:rPr>
              <w:t>Capital &amp; Compensation (Chair), Audit,</w:t>
            </w:r>
          </w:p>
        </w:tc>
        <w:tc>
          <w:tcPr>
            <w:tcW w:w="0" w:type="dxa"/>
            <w:vAlign w:val="bottom"/>
          </w:tcPr>
          <w:p>
            <w:pPr>
              <w:spacing w:after="0"/>
              <w:rPr>
                <w:sz w:val="1"/>
                <w:szCs w:val="1"/>
                <w:color w:val="auto"/>
              </w:rPr>
            </w:pPr>
          </w:p>
        </w:tc>
      </w:tr>
      <w:tr>
        <w:trPr>
          <w:trHeight w:val="101"/>
        </w:trPr>
        <w:tc>
          <w:tcPr>
            <w:tcW w:w="4940" w:type="dxa"/>
            <w:vAlign w:val="bottom"/>
            <w:vMerge w:val="continue"/>
          </w:tcPr>
          <w:p>
            <w:pPr>
              <w:spacing w:after="0"/>
              <w:rPr>
                <w:sz w:val="8"/>
                <w:szCs w:val="8"/>
                <w:color w:val="auto"/>
              </w:rPr>
            </w:pPr>
          </w:p>
        </w:tc>
        <w:tc>
          <w:tcPr>
            <w:tcW w:w="3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Finance</w:t>
            </w:r>
          </w:p>
        </w:tc>
        <w:tc>
          <w:tcPr>
            <w:tcW w:w="0" w:type="dxa"/>
            <w:vAlign w:val="bottom"/>
          </w:tcPr>
          <w:p>
            <w:pPr>
              <w:spacing w:after="0"/>
              <w:rPr>
                <w:sz w:val="1"/>
                <w:szCs w:val="1"/>
                <w:color w:val="auto"/>
              </w:rPr>
            </w:pPr>
          </w:p>
        </w:tc>
      </w:tr>
      <w:tr>
        <w:trPr>
          <w:trHeight w:val="88"/>
        </w:trPr>
        <w:tc>
          <w:tcPr>
            <w:tcW w:w="4940" w:type="dxa"/>
            <w:vAlign w:val="bottom"/>
          </w:tcPr>
          <w:p>
            <w:pPr>
              <w:spacing w:after="0"/>
              <w:rPr>
                <w:sz w:val="7"/>
                <w:szCs w:val="7"/>
                <w:color w:val="auto"/>
              </w:rPr>
            </w:pPr>
          </w:p>
        </w:tc>
        <w:tc>
          <w:tcPr>
            <w:tcW w:w="3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CE0F2D"/>
        </w:rPr>
        <w:t>Key Skills and Expertise</w:t>
      </w:r>
    </w:p>
    <w:p>
      <w:pPr>
        <w:spacing w:after="0" w:line="218" w:lineRule="exact"/>
        <w:rPr>
          <w:sz w:val="20"/>
          <w:szCs w:val="20"/>
          <w:color w:val="auto"/>
        </w:rPr>
      </w:pPr>
    </w:p>
    <w:p>
      <w:pPr>
        <w:ind w:left="180"/>
        <w:spacing w:after="0"/>
        <w:rPr>
          <w:sz w:val="20"/>
          <w:szCs w:val="20"/>
          <w:color w:val="auto"/>
        </w:rPr>
      </w:pPr>
      <w:r>
        <w:rPr>
          <w:sz w:val="1"/>
          <w:szCs w:val="1"/>
          <w:color w:val="auto"/>
        </w:rPr>
        <w:drawing>
          <wp:inline distT="0" distB="0" distL="0" distR="0">
            <wp:extent cx="170180" cy="16129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0180" cy="161290"/>
                    </a:xfrm>
                    <a:prstGeom prst="rect">
                      <a:avLst/>
                    </a:prstGeom>
                    <a:noFill/>
                    <a:ln>
                      <a:noFill/>
                    </a:ln>
                  </pic:spPr>
                </pic:pic>
              </a:graphicData>
            </a:graphic>
          </wp:inline>
        </w:drawing>
      </w:r>
      <w:r>
        <w:rPr>
          <w:rFonts w:ascii="Arial" w:cs="Arial" w:eastAsia="Arial" w:hAnsi="Arial"/>
          <w:sz w:val="14"/>
          <w:szCs w:val="14"/>
          <w:b w:val="1"/>
          <w:bCs w:val="1"/>
          <w:color w:val="auto"/>
        </w:rPr>
        <w:t xml:space="preserve"> FINANCIAL  </w:t>
      </w:r>
      <w:r>
        <w:rPr>
          <w:sz w:val="1"/>
          <w:szCs w:val="1"/>
          <w:color w:val="auto"/>
        </w:rPr>
        <w:drawing>
          <wp:inline distT="0" distB="0" distL="0" distR="0">
            <wp:extent cx="170180" cy="17843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0180" cy="178435"/>
                    </a:xfrm>
                    <a:prstGeom prst="rect">
                      <a:avLst/>
                    </a:prstGeom>
                    <a:noFill/>
                    <a:ln>
                      <a:noFill/>
                    </a:ln>
                  </pic:spPr>
                </pic:pic>
              </a:graphicData>
            </a:graphic>
          </wp:inline>
        </w:drawing>
      </w:r>
      <w:r>
        <w:rPr>
          <w:rFonts w:ascii="Arial" w:cs="Arial" w:eastAsia="Arial" w:hAnsi="Arial"/>
          <w:sz w:val="14"/>
          <w:szCs w:val="14"/>
          <w:b w:val="1"/>
          <w:bCs w:val="1"/>
          <w:color w:val="auto"/>
        </w:rPr>
        <w:t xml:space="preserve"> SENIOR LEADERSHIP  </w:t>
      </w:r>
      <w:r>
        <w:rPr>
          <w:sz w:val="1"/>
          <w:szCs w:val="1"/>
          <w:color w:val="auto"/>
        </w:rPr>
        <w:drawing>
          <wp:inline distT="0" distB="0" distL="0" distR="0">
            <wp:extent cx="170180" cy="16129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0180" cy="161290"/>
                    </a:xfrm>
                    <a:prstGeom prst="rect">
                      <a:avLst/>
                    </a:prstGeom>
                    <a:noFill/>
                    <a:ln>
                      <a:noFill/>
                    </a:ln>
                  </pic:spPr>
                </pic:pic>
              </a:graphicData>
            </a:graphic>
          </wp:inline>
        </w:drawing>
      </w:r>
      <w:r>
        <w:rPr>
          <w:rFonts w:ascii="Arial" w:cs="Arial" w:eastAsia="Arial" w:hAnsi="Arial"/>
          <w:sz w:val="14"/>
          <w:szCs w:val="14"/>
          <w:b w:val="1"/>
          <w:bCs w:val="1"/>
          <w:color w:val="auto"/>
        </w:rPr>
        <w:t xml:space="preserve"> RISK MANAGEMENT/OVERSIGHT</w:t>
      </w:r>
    </w:p>
    <w:p>
      <w:pPr>
        <w:spacing w:after="0" w:line="288" w:lineRule="exact"/>
        <w:rPr>
          <w:sz w:val="20"/>
          <w:szCs w:val="20"/>
          <w:color w:val="auto"/>
        </w:rPr>
      </w:pPr>
    </w:p>
    <w:p>
      <w:pPr>
        <w:spacing w:after="0"/>
        <w:tabs>
          <w:tab w:leader="none" w:pos="5720" w:val="left"/>
          <w:tab w:leader="none" w:pos="5960" w:val="left"/>
        </w:tabs>
        <w:rPr>
          <w:sz w:val="20"/>
          <w:szCs w:val="20"/>
          <w:color w:val="auto"/>
        </w:rPr>
      </w:pPr>
      <w:r>
        <w:rPr>
          <w:rFonts w:ascii="Arial" w:cs="Arial" w:eastAsia="Arial" w:hAnsi="Arial"/>
          <w:sz w:val="16"/>
          <w:szCs w:val="16"/>
          <w:b w:val="1"/>
          <w:bCs w:val="1"/>
          <w:color w:val="CE0F2D"/>
        </w:rPr>
        <w:t>Qualifications</w:t>
      </w:r>
      <w:r>
        <w:rPr>
          <w:sz w:val="20"/>
          <w:szCs w:val="20"/>
          <w:color w:val="auto"/>
        </w:rPr>
        <w:tab/>
      </w:r>
      <w:r>
        <w:rPr>
          <w:rFonts w:ascii="Arial" w:cs="Arial" w:eastAsia="Arial" w:hAnsi="Arial"/>
          <w:sz w:val="14"/>
          <w:szCs w:val="14"/>
          <w:color w:val="CE0F2D"/>
        </w:rPr>
        <w:t>●</w:t>
      </w:r>
      <w:r>
        <w:rPr>
          <w:rFonts w:ascii="Arial" w:cs="Arial" w:eastAsia="Arial" w:hAnsi="Arial"/>
          <w:sz w:val="14"/>
          <w:szCs w:val="14"/>
          <w:color w:val="auto"/>
        </w:rPr>
        <w:tab/>
        <w:t>Treasurer, State Street Corporation, 2016–2017</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Ms. Atkinson provides the Board with significant experience in finance, risk management and compliance matters, as well as executive leadership experience developed through her senior finance and compliance leadership roles at State Street and MFS Investment Management. She also brings valuable accounting expertise derived from her experience as a Certified Public Accountant and a partner at PricewaterhouseCoopers LLP.</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187" w:lineRule="exact"/>
        <w:rPr>
          <w:sz w:val="20"/>
          <w:szCs w:val="20"/>
          <w:color w:val="auto"/>
        </w:rPr>
      </w:pPr>
    </w:p>
    <w:p>
      <w:pPr>
        <w:ind w:left="240" w:right="280" w:hanging="233"/>
        <w:spacing w:after="0" w:line="254" w:lineRule="auto"/>
        <w:tabs>
          <w:tab w:leader="none" w:pos="240" w:val="left"/>
        </w:tabs>
        <w:numPr>
          <w:ilvl w:val="0"/>
          <w:numId w:val="41"/>
        </w:numPr>
        <w:rPr>
          <w:rFonts w:ascii="Arial" w:cs="Arial" w:eastAsia="Arial" w:hAnsi="Arial"/>
          <w:sz w:val="14"/>
          <w:szCs w:val="14"/>
          <w:color w:val="CE0F2D"/>
        </w:rPr>
      </w:pPr>
      <w:r>
        <w:rPr>
          <w:rFonts w:ascii="Arial" w:cs="Arial" w:eastAsia="Arial" w:hAnsi="Arial"/>
          <w:sz w:val="14"/>
          <w:szCs w:val="14"/>
          <w:color w:val="auto"/>
        </w:rPr>
        <w:t>Chief Administrative Officer, State Street Corporation (financial services firm), 2019–2020</w:t>
      </w:r>
    </w:p>
    <w:p>
      <w:pPr>
        <w:spacing w:after="0" w:line="141" w:lineRule="exact"/>
        <w:rPr>
          <w:rFonts w:ascii="Arial" w:cs="Arial" w:eastAsia="Arial" w:hAnsi="Arial"/>
          <w:sz w:val="14"/>
          <w:szCs w:val="14"/>
          <w:color w:val="CE0F2D"/>
        </w:rPr>
      </w:pPr>
    </w:p>
    <w:p>
      <w:pPr>
        <w:ind w:left="240" w:right="160" w:hanging="233"/>
        <w:spacing w:after="0" w:line="254" w:lineRule="auto"/>
        <w:tabs>
          <w:tab w:leader="none" w:pos="240" w:val="left"/>
        </w:tabs>
        <w:numPr>
          <w:ilvl w:val="0"/>
          <w:numId w:val="41"/>
        </w:numPr>
        <w:rPr>
          <w:rFonts w:ascii="Arial" w:cs="Arial" w:eastAsia="Arial" w:hAnsi="Arial"/>
          <w:sz w:val="14"/>
          <w:szCs w:val="14"/>
          <w:color w:val="CE0F2D"/>
        </w:rPr>
      </w:pPr>
      <w:r>
        <w:rPr>
          <w:rFonts w:ascii="Arial" w:cs="Arial" w:eastAsia="Arial" w:hAnsi="Arial"/>
          <w:sz w:val="14"/>
          <w:szCs w:val="14"/>
          <w:color w:val="auto"/>
        </w:rPr>
        <w:t>Executive Vice President &amp; Chief Compliance Officer, State Street Corporation, 2017–2019</w:t>
      </w:r>
    </w:p>
    <w:p>
      <w:pPr>
        <w:spacing w:after="0" w:line="141" w:lineRule="exact"/>
        <w:rPr>
          <w:rFonts w:ascii="Arial" w:cs="Arial" w:eastAsia="Arial" w:hAnsi="Arial"/>
          <w:sz w:val="14"/>
          <w:szCs w:val="14"/>
          <w:color w:val="CE0F2D"/>
        </w:rPr>
      </w:pPr>
    </w:p>
    <w:p>
      <w:pPr>
        <w:ind w:left="240" w:hanging="233"/>
        <w:spacing w:after="0"/>
        <w:tabs>
          <w:tab w:leader="none" w:pos="240" w:val="left"/>
        </w:tabs>
        <w:numPr>
          <w:ilvl w:val="0"/>
          <w:numId w:val="41"/>
        </w:numPr>
        <w:rPr>
          <w:rFonts w:ascii="Arial" w:cs="Arial" w:eastAsia="Arial" w:hAnsi="Arial"/>
          <w:sz w:val="14"/>
          <w:szCs w:val="14"/>
          <w:color w:val="CE0F2D"/>
        </w:rPr>
      </w:pPr>
      <w:r>
        <w:rPr>
          <w:rFonts w:ascii="Arial" w:cs="Arial" w:eastAsia="Arial" w:hAnsi="Arial"/>
          <w:sz w:val="14"/>
          <w:szCs w:val="14"/>
          <w:color w:val="auto"/>
        </w:rPr>
        <w:t>Executive Vice President, Finance, State Street Corporation, 2010–2017</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244" w:right="380" w:hanging="244"/>
        <w:spacing w:after="0" w:line="254" w:lineRule="auto"/>
        <w:tabs>
          <w:tab w:leader="none" w:pos="244" w:val="left"/>
        </w:tabs>
        <w:numPr>
          <w:ilvl w:val="0"/>
          <w:numId w:val="42"/>
        </w:numPr>
        <w:rPr>
          <w:rFonts w:ascii="Arial" w:cs="Arial" w:eastAsia="Arial" w:hAnsi="Arial"/>
          <w:sz w:val="14"/>
          <w:szCs w:val="14"/>
          <w:color w:val="CE0F2D"/>
        </w:rPr>
      </w:pPr>
      <w:r>
        <w:rPr>
          <w:rFonts w:ascii="Arial" w:cs="Arial" w:eastAsia="Arial" w:hAnsi="Arial"/>
          <w:sz w:val="14"/>
          <w:szCs w:val="14"/>
          <w:color w:val="auto"/>
        </w:rPr>
        <w:t>Executive Vice President, Chief Compliance Officer, State Street Corporation, 2009–2010</w:t>
      </w:r>
    </w:p>
    <w:p>
      <w:pPr>
        <w:spacing w:after="0" w:line="141" w:lineRule="exact"/>
        <w:rPr>
          <w:rFonts w:ascii="Arial" w:cs="Arial" w:eastAsia="Arial" w:hAnsi="Arial"/>
          <w:sz w:val="14"/>
          <w:szCs w:val="14"/>
          <w:color w:val="CE0F2D"/>
        </w:rPr>
      </w:pPr>
    </w:p>
    <w:p>
      <w:pPr>
        <w:ind w:left="244" w:right="120" w:hanging="244"/>
        <w:spacing w:after="0" w:line="254" w:lineRule="auto"/>
        <w:tabs>
          <w:tab w:leader="none" w:pos="244" w:val="left"/>
        </w:tabs>
        <w:numPr>
          <w:ilvl w:val="0"/>
          <w:numId w:val="42"/>
        </w:numPr>
        <w:rPr>
          <w:rFonts w:ascii="Arial" w:cs="Arial" w:eastAsia="Arial" w:hAnsi="Arial"/>
          <w:sz w:val="14"/>
          <w:szCs w:val="14"/>
          <w:color w:val="CE0F2D"/>
        </w:rPr>
      </w:pPr>
      <w:r>
        <w:rPr>
          <w:rFonts w:ascii="Arial" w:cs="Arial" w:eastAsia="Arial" w:hAnsi="Arial"/>
          <w:sz w:val="14"/>
          <w:szCs w:val="14"/>
          <w:color w:val="auto"/>
        </w:rPr>
        <w:t>Executive Vice President, Chief Compliance Officer, State Street Global Advisors, 2008–2009</w:t>
      </w:r>
    </w:p>
    <w:p>
      <w:pPr>
        <w:spacing w:after="0" w:line="141" w:lineRule="exact"/>
        <w:rPr>
          <w:rFonts w:ascii="Arial" w:cs="Arial" w:eastAsia="Arial" w:hAnsi="Arial"/>
          <w:sz w:val="14"/>
          <w:szCs w:val="14"/>
          <w:color w:val="CE0F2D"/>
        </w:rPr>
      </w:pPr>
    </w:p>
    <w:p>
      <w:pPr>
        <w:ind w:left="244" w:right="80" w:hanging="244"/>
        <w:spacing w:after="0" w:line="254" w:lineRule="auto"/>
        <w:tabs>
          <w:tab w:leader="none" w:pos="244" w:val="left"/>
        </w:tabs>
        <w:numPr>
          <w:ilvl w:val="0"/>
          <w:numId w:val="42"/>
        </w:numPr>
        <w:rPr>
          <w:rFonts w:ascii="Arial" w:cs="Arial" w:eastAsia="Arial" w:hAnsi="Arial"/>
          <w:sz w:val="14"/>
          <w:szCs w:val="14"/>
          <w:color w:val="CE0F2D"/>
        </w:rPr>
      </w:pPr>
      <w:r>
        <w:rPr>
          <w:rFonts w:ascii="Arial" w:cs="Arial" w:eastAsia="Arial" w:hAnsi="Arial"/>
          <w:sz w:val="14"/>
          <w:szCs w:val="14"/>
          <w:color w:val="auto"/>
        </w:rPr>
        <w:t>Senior positions with MFS Investment Management and PricewaterhouseCoopers LLP, 1999–2008</w:t>
      </w:r>
    </w:p>
    <w:p>
      <w:pPr>
        <w:spacing w:after="0" w:line="11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CE0F2D"/>
        </w:rPr>
        <w:t>Other Current Directorships</w:t>
      </w:r>
    </w:p>
    <w:p>
      <w:pPr>
        <w:spacing w:after="0" w:line="187" w:lineRule="exact"/>
        <w:rPr>
          <w:sz w:val="20"/>
          <w:szCs w:val="20"/>
          <w:color w:val="auto"/>
        </w:rPr>
      </w:pPr>
    </w:p>
    <w:p>
      <w:pPr>
        <w:ind w:left="244" w:hanging="244"/>
        <w:spacing w:after="0"/>
        <w:tabs>
          <w:tab w:leader="none" w:pos="244" w:val="left"/>
        </w:tabs>
        <w:numPr>
          <w:ilvl w:val="0"/>
          <w:numId w:val="43"/>
        </w:numPr>
        <w:rPr>
          <w:rFonts w:ascii="Arial" w:cs="Arial" w:eastAsia="Arial" w:hAnsi="Arial"/>
          <w:sz w:val="14"/>
          <w:szCs w:val="14"/>
          <w:color w:val="CE0F2D"/>
        </w:rPr>
      </w:pPr>
      <w:r>
        <w:rPr>
          <w:rFonts w:ascii="Arial" w:cs="Arial" w:eastAsia="Arial" w:hAnsi="Arial"/>
          <w:sz w:val="14"/>
          <w:szCs w:val="14"/>
          <w:color w:val="auto"/>
        </w:rPr>
        <w:t>United States Steel Corporation, since 2020</w:t>
      </w:r>
    </w:p>
    <w:p>
      <w:pPr>
        <w:spacing w:after="0" w:line="160" w:lineRule="exact"/>
        <w:rPr>
          <w:rFonts w:ascii="Arial" w:cs="Arial" w:eastAsia="Arial" w:hAnsi="Arial"/>
          <w:sz w:val="14"/>
          <w:szCs w:val="14"/>
          <w:color w:val="CE0F2D"/>
        </w:rPr>
      </w:pPr>
    </w:p>
    <w:p>
      <w:pPr>
        <w:ind w:left="244" w:hanging="244"/>
        <w:spacing w:after="0"/>
        <w:tabs>
          <w:tab w:leader="none" w:pos="244" w:val="left"/>
        </w:tabs>
        <w:numPr>
          <w:ilvl w:val="0"/>
          <w:numId w:val="43"/>
        </w:numPr>
        <w:rPr>
          <w:rFonts w:ascii="Arial" w:cs="Arial" w:eastAsia="Arial" w:hAnsi="Arial"/>
          <w:sz w:val="14"/>
          <w:szCs w:val="14"/>
          <w:color w:val="CE0F2D"/>
        </w:rPr>
      </w:pPr>
      <w:r>
        <w:rPr>
          <w:rFonts w:ascii="Arial" w:cs="Arial" w:eastAsia="Arial" w:hAnsi="Arial"/>
          <w:sz w:val="14"/>
          <w:szCs w:val="14"/>
          <w:color w:val="auto"/>
        </w:rPr>
        <w:t>Affiliated Managers Group, since 2020</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187" w:lineRule="exact"/>
        <w:rPr>
          <w:sz w:val="20"/>
          <w:szCs w:val="20"/>
          <w:color w:val="auto"/>
        </w:rPr>
      </w:pPr>
    </w:p>
    <w:p>
      <w:pPr>
        <w:ind w:left="184" w:hanging="184"/>
        <w:spacing w:after="0"/>
        <w:tabs>
          <w:tab w:leader="none" w:pos="184" w:val="left"/>
        </w:tabs>
        <w:numPr>
          <w:ilvl w:val="0"/>
          <w:numId w:val="44"/>
        </w:numPr>
        <w:rPr>
          <w:rFonts w:ascii="Arial" w:cs="Arial" w:eastAsia="Arial" w:hAnsi="Arial"/>
          <w:sz w:val="14"/>
          <w:szCs w:val="14"/>
          <w:color w:val="CE0F2D"/>
        </w:rPr>
      </w:pPr>
      <w:r>
        <w:rPr>
          <w:rFonts w:ascii="Arial" w:cs="Arial" w:eastAsia="Arial" w:hAnsi="Arial"/>
          <w:sz w:val="14"/>
          <w:szCs w:val="14"/>
          <w:color w:val="auto"/>
        </w:rPr>
        <w:t>Raytheon Company, 2014–2020</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187" w:lineRule="exact"/>
        <w:rPr>
          <w:sz w:val="20"/>
          <w:szCs w:val="20"/>
          <w:color w:val="auto"/>
        </w:rPr>
      </w:pPr>
    </w:p>
    <w:p>
      <w:pPr>
        <w:ind w:left="4" w:right="1780" w:hanging="4"/>
        <w:spacing w:after="0" w:line="494" w:lineRule="auto"/>
        <w:tabs>
          <w:tab w:leader="none" w:pos="245" w:val="left"/>
        </w:tabs>
        <w:numPr>
          <w:ilvl w:val="0"/>
          <w:numId w:val="45"/>
        </w:numPr>
        <w:rPr>
          <w:rFonts w:ascii="Arial" w:cs="Arial" w:eastAsia="Arial" w:hAnsi="Arial"/>
          <w:sz w:val="14"/>
          <w:szCs w:val="14"/>
          <w:color w:val="CE0F2D"/>
        </w:rPr>
      </w:pPr>
      <w:r>
        <w:rPr>
          <w:rFonts w:ascii="Arial" w:cs="Arial" w:eastAsia="Arial" w:hAnsi="Arial"/>
          <w:sz w:val="14"/>
          <w:szCs w:val="14"/>
          <w:color w:val="auto"/>
        </w:rPr>
        <w:t>Director and Past President, The Arc of Massachusetts * Reflects service as RTN director.</w:t>
      </w:r>
    </w:p>
    <w:p>
      <w:pPr>
        <w:spacing w:after="0" w:line="165" w:lineRule="exact"/>
        <w:rPr>
          <w:sz w:val="20"/>
          <w:szCs w:val="20"/>
          <w:color w:val="auto"/>
        </w:rPr>
      </w:pPr>
    </w:p>
    <w:p>
      <w:pPr>
        <w:sectPr>
          <w:pgSz w:w="11900" w:h="16838" w:orient="portrait"/>
          <w:cols w:equalWidth="0" w:num="2">
            <w:col w:w="5400" w:space="336"/>
            <w:col w:w="5504"/>
          </w:cols>
          <w:pgMar w:left="320" w:top="118" w:right="339" w:bottom="1440" w:gutter="0" w:footer="0" w:header="0"/>
          <w:type w:val="continuous"/>
        </w:sectPr>
      </w:pPr>
    </w:p>
    <w:p>
      <w:pPr>
        <w:ind w:left="260" w:hanging="253"/>
        <w:spacing w:after="0"/>
        <w:tabs>
          <w:tab w:leader="none" w:pos="260" w:val="left"/>
        </w:tabs>
        <w:numPr>
          <w:ilvl w:val="0"/>
          <w:numId w:val="46"/>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15454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3590" cy="11220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3590" cy="1122045"/>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Bernard A. Harris, Jr.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140" w:type="dxa"/>
            <w:vAlign w:val="bottom"/>
          </w:tcPr>
          <w:p>
            <w:pPr>
              <w:ind w:left="180"/>
              <w:spacing w:after="0"/>
              <w:rPr>
                <w:sz w:val="20"/>
                <w:szCs w:val="20"/>
                <w:color w:val="auto"/>
              </w:rPr>
            </w:pPr>
            <w:r>
              <w:rPr>
                <w:rFonts w:ascii="Arial" w:cs="Arial" w:eastAsia="Arial" w:hAnsi="Arial"/>
                <w:sz w:val="15"/>
                <w:szCs w:val="15"/>
                <w:color w:val="auto"/>
              </w:rPr>
              <w:t>INDEPENDENT DIRECTOR</w:t>
            </w:r>
          </w:p>
        </w:tc>
        <w:tc>
          <w:tcPr>
            <w:tcW w:w="240" w:type="dxa"/>
            <w:vAlign w:val="bottom"/>
          </w:tcPr>
          <w:p>
            <w:pPr>
              <w:spacing w:after="0"/>
              <w:rPr>
                <w:sz w:val="21"/>
                <w:szCs w:val="21"/>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65</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180"/>
              <w:spacing w:after="0"/>
              <w:rPr>
                <w:sz w:val="20"/>
                <w:szCs w:val="20"/>
                <w:color w:val="auto"/>
              </w:rPr>
            </w:pPr>
            <w:r>
              <w:rPr>
                <w:rFonts w:ascii="Arial" w:cs="Arial" w:eastAsia="Arial" w:hAnsi="Arial"/>
                <w:sz w:val="16"/>
                <w:szCs w:val="16"/>
                <w:color w:val="auto"/>
              </w:rPr>
              <w:t>Chief Executive Officer and Managing</w:t>
            </w:r>
          </w:p>
        </w:tc>
        <w:tc>
          <w:tcPr>
            <w:tcW w:w="240" w:type="dxa"/>
            <w:vAlign w:val="bottom"/>
          </w:tcPr>
          <w:p>
            <w:pPr>
              <w:spacing w:after="0"/>
              <w:rPr>
                <w:sz w:val="20"/>
                <w:szCs w:val="20"/>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2021</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140" w:type="dxa"/>
            <w:vAlign w:val="bottom"/>
          </w:tcPr>
          <w:p>
            <w:pPr>
              <w:ind w:left="180"/>
              <w:spacing w:after="0" w:line="161" w:lineRule="exact"/>
              <w:rPr>
                <w:sz w:val="20"/>
                <w:szCs w:val="20"/>
                <w:color w:val="auto"/>
              </w:rPr>
            </w:pPr>
            <w:r>
              <w:rPr>
                <w:rFonts w:ascii="Arial" w:cs="Arial" w:eastAsia="Arial" w:hAnsi="Arial"/>
                <w:sz w:val="16"/>
                <w:szCs w:val="16"/>
                <w:color w:val="auto"/>
              </w:rPr>
              <w:t>Partner, Vesalius Ventures, Inc.</w:t>
            </w:r>
          </w:p>
        </w:tc>
        <w:tc>
          <w:tcPr>
            <w:tcW w:w="240" w:type="dxa"/>
            <w:vAlign w:val="bottom"/>
          </w:tcPr>
          <w:p>
            <w:pPr>
              <w:spacing w:after="0"/>
              <w:rPr>
                <w:sz w:val="13"/>
                <w:szCs w:val="13"/>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14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240" w:type="dxa"/>
            <w:vAlign w:val="bottom"/>
          </w:tcPr>
          <w:p>
            <w:pPr>
              <w:spacing w:after="0"/>
              <w:rPr>
                <w:sz w:val="16"/>
                <w:szCs w:val="16"/>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Audit, Special Activities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31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shd w:val="clear" w:color="auto" w:fill="EDEDED"/>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3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500" w:type="dxa"/>
            <w:vAlign w:val="bottom"/>
            <w:shd w:val="clear" w:color="auto" w:fill="EDEDED"/>
          </w:tcPr>
          <w:p>
            <w:pPr>
              <w:spacing w:after="0"/>
              <w:rPr>
                <w:sz w:val="3"/>
                <w:szCs w:val="3"/>
                <w:color w:val="auto"/>
              </w:rPr>
            </w:pPr>
          </w:p>
        </w:tc>
        <w:tc>
          <w:tcPr>
            <w:tcW w:w="33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5"/>
        </w:trPr>
        <w:tc>
          <w:tcPr>
            <w:tcW w:w="3140" w:type="dxa"/>
            <w:vAlign w:val="bottom"/>
            <w:shd w:val="clear" w:color="auto" w:fill="EDEDED"/>
          </w:tcPr>
          <w:p>
            <w:pPr>
              <w:spacing w:after="0"/>
              <w:rPr>
                <w:sz w:val="24"/>
                <w:szCs w:val="24"/>
                <w:color w:val="auto"/>
              </w:rPr>
            </w:pPr>
          </w:p>
        </w:tc>
        <w:tc>
          <w:tcPr>
            <w:tcW w:w="240" w:type="dxa"/>
            <w:vAlign w:val="bottom"/>
            <w:shd w:val="clear" w:color="auto" w:fill="EDEDED"/>
          </w:tcPr>
          <w:p>
            <w:pPr>
              <w:spacing w:after="0"/>
              <w:rPr>
                <w:sz w:val="24"/>
                <w:szCs w:val="24"/>
                <w:color w:val="auto"/>
              </w:rPr>
            </w:pPr>
          </w:p>
        </w:tc>
        <w:tc>
          <w:tcPr>
            <w:tcW w:w="450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140" w:type="dxa"/>
            <w:vAlign w:val="bottom"/>
            <w:shd w:val="clear" w:color="auto" w:fill="CE0F2D"/>
          </w:tcPr>
          <w:p>
            <w:pPr>
              <w:spacing w:after="0"/>
              <w:rPr>
                <w:sz w:val="6"/>
                <w:szCs w:val="6"/>
                <w:color w:val="auto"/>
              </w:rPr>
            </w:pPr>
          </w:p>
        </w:tc>
        <w:tc>
          <w:tcPr>
            <w:tcW w:w="240" w:type="dxa"/>
            <w:vAlign w:val="bottom"/>
            <w:shd w:val="clear" w:color="auto" w:fill="CE0F2D"/>
          </w:tcPr>
          <w:p>
            <w:pPr>
              <w:spacing w:after="0"/>
              <w:rPr>
                <w:sz w:val="6"/>
                <w:szCs w:val="6"/>
                <w:color w:val="auto"/>
              </w:rPr>
            </w:pPr>
          </w:p>
        </w:tc>
        <w:tc>
          <w:tcPr>
            <w:tcW w:w="450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rPr>
          <w:sz w:val="20"/>
          <w:szCs w:val="20"/>
          <w:color w:val="auto"/>
        </w:rPr>
      </w:pPr>
      <w:r>
        <w:rPr>
          <w:rFonts w:ascii="Arial" w:cs="Arial" w:eastAsia="Arial" w:hAnsi="Arial"/>
          <w:sz w:val="16"/>
          <w:szCs w:val="16"/>
          <w:b w:val="1"/>
          <w:bCs w:val="1"/>
          <w:color w:val="CE0F2D"/>
        </w:rPr>
        <w:t>Qualifications</w:t>
      </w:r>
    </w:p>
    <w:p>
      <w:pPr>
        <w:spacing w:after="0" w:line="26" w:lineRule="exact"/>
        <w:rPr>
          <w:sz w:val="20"/>
          <w:szCs w:val="20"/>
          <w:color w:val="auto"/>
        </w:rPr>
      </w:pPr>
    </w:p>
    <w:p>
      <w:pPr>
        <w:ind w:right="100"/>
        <w:spacing w:after="0" w:line="241" w:lineRule="auto"/>
        <w:rPr>
          <w:sz w:val="20"/>
          <w:szCs w:val="20"/>
          <w:color w:val="auto"/>
        </w:rPr>
      </w:pPr>
      <w:r>
        <w:rPr>
          <w:rFonts w:ascii="Arial" w:cs="Arial" w:eastAsia="Arial" w:hAnsi="Arial"/>
          <w:sz w:val="14"/>
          <w:szCs w:val="14"/>
          <w:color w:val="auto"/>
        </w:rPr>
        <w:t>Dr. Harris has significant aerospace industry knowledge, deep understanding of science and technology and executive leadership experience gained through his CEO and other senior leadership roles at Vesalius Ventures and the National Math and Science Initiative, his service as Chief Medical Officer of SPACEHAB and his years as an astronaut and flight surgeon at NASA. He has significant experience in technology innovation and strategic planning. He also brings valuable expertise in guiding organizations to leverage their resources in support of community development and philanthropic endeavors.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420" w:hanging="233"/>
        <w:spacing w:after="0" w:line="254" w:lineRule="auto"/>
        <w:tabs>
          <w:tab w:leader="none" w:pos="240" w:val="left"/>
        </w:tabs>
        <w:numPr>
          <w:ilvl w:val="0"/>
          <w:numId w:val="47"/>
        </w:numPr>
        <w:rPr>
          <w:rFonts w:ascii="Arial" w:cs="Arial" w:eastAsia="Arial" w:hAnsi="Arial"/>
          <w:sz w:val="14"/>
          <w:szCs w:val="14"/>
          <w:color w:val="CE0F2D"/>
        </w:rPr>
      </w:pPr>
      <w:r>
        <w:rPr>
          <w:rFonts w:ascii="Arial" w:cs="Arial" w:eastAsia="Arial" w:hAnsi="Arial"/>
          <w:sz w:val="14"/>
          <w:szCs w:val="14"/>
          <w:color w:val="auto"/>
        </w:rPr>
        <w:t>Chief Executive Officer and Managing Partner, Vesalius Ventures (venture capital), since 1998</w:t>
      </w:r>
    </w:p>
    <w:p>
      <w:pPr>
        <w:spacing w:after="0" w:line="34" w:lineRule="exact"/>
        <w:rPr>
          <w:rFonts w:ascii="Arial" w:cs="Arial" w:eastAsia="Arial" w:hAnsi="Arial"/>
          <w:sz w:val="14"/>
          <w:szCs w:val="14"/>
          <w:color w:val="CE0F2D"/>
        </w:rPr>
      </w:pPr>
    </w:p>
    <w:p>
      <w:pPr>
        <w:ind w:left="240" w:right="320" w:hanging="233"/>
        <w:spacing w:after="0" w:line="254" w:lineRule="auto"/>
        <w:tabs>
          <w:tab w:leader="none" w:pos="240" w:val="left"/>
        </w:tabs>
        <w:numPr>
          <w:ilvl w:val="0"/>
          <w:numId w:val="47"/>
        </w:numPr>
        <w:rPr>
          <w:rFonts w:ascii="Arial" w:cs="Arial" w:eastAsia="Arial" w:hAnsi="Arial"/>
          <w:sz w:val="14"/>
          <w:szCs w:val="14"/>
          <w:color w:val="CE0F2D"/>
        </w:rPr>
      </w:pPr>
      <w:r>
        <w:rPr>
          <w:rFonts w:ascii="Arial" w:cs="Arial" w:eastAsia="Arial" w:hAnsi="Arial"/>
          <w:sz w:val="14"/>
          <w:szCs w:val="14"/>
          <w:color w:val="auto"/>
        </w:rPr>
        <w:t>Chief Executive Officer, National Math and Science Initiative Inc. (education nonprofit), since 2018</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47"/>
        </w:numPr>
        <w:rPr>
          <w:rFonts w:ascii="Arial" w:cs="Arial" w:eastAsia="Arial" w:hAnsi="Arial"/>
          <w:sz w:val="14"/>
          <w:szCs w:val="14"/>
          <w:color w:val="CE0F2D"/>
        </w:rPr>
      </w:pPr>
      <w:r>
        <w:rPr>
          <w:rFonts w:ascii="Arial" w:cs="Arial" w:eastAsia="Arial" w:hAnsi="Arial"/>
          <w:sz w:val="14"/>
          <w:szCs w:val="14"/>
          <w:color w:val="auto"/>
        </w:rPr>
        <w:t>Space Media Inc., Vice President, Business Development, 1999–2001</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47"/>
        </w:numPr>
        <w:rPr>
          <w:rFonts w:ascii="Arial" w:cs="Arial" w:eastAsia="Arial" w:hAnsi="Arial"/>
          <w:sz w:val="14"/>
          <w:szCs w:val="14"/>
          <w:color w:val="CE0F2D"/>
        </w:rPr>
      </w:pPr>
      <w:r>
        <w:rPr>
          <w:rFonts w:ascii="Arial" w:cs="Arial" w:eastAsia="Arial" w:hAnsi="Arial"/>
          <w:sz w:val="14"/>
          <w:szCs w:val="14"/>
          <w:color w:val="auto"/>
        </w:rPr>
        <w:t>SPACEHAB Inc., Vice President, Chief Medical Officer and Scientist, 1996–2001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4999355" cy="8674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99355" cy="8674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240" w:hanging="231"/>
        <w:spacing w:after="0"/>
        <w:tabs>
          <w:tab w:leader="none" w:pos="240" w:val="left"/>
        </w:tabs>
        <w:numPr>
          <w:ilvl w:val="0"/>
          <w:numId w:val="48"/>
        </w:numPr>
        <w:rPr>
          <w:rFonts w:ascii="Arial" w:cs="Arial" w:eastAsia="Arial" w:hAnsi="Arial"/>
          <w:sz w:val="14"/>
          <w:szCs w:val="14"/>
          <w:color w:val="CE0F2D"/>
        </w:rPr>
      </w:pPr>
      <w:r>
        <w:rPr>
          <w:rFonts w:ascii="Arial" w:cs="Arial" w:eastAsia="Arial" w:hAnsi="Arial"/>
          <w:sz w:val="14"/>
          <w:szCs w:val="14"/>
          <w:color w:val="auto"/>
        </w:rPr>
        <w:t>NASA, Astronaut, 1991–1996</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48"/>
        </w:numPr>
        <w:rPr>
          <w:rFonts w:ascii="Arial" w:cs="Arial" w:eastAsia="Arial" w:hAnsi="Arial"/>
          <w:sz w:val="14"/>
          <w:szCs w:val="14"/>
          <w:color w:val="CE0F2D"/>
        </w:rPr>
      </w:pPr>
      <w:r>
        <w:rPr>
          <w:rFonts w:ascii="Arial" w:cs="Arial" w:eastAsia="Arial" w:hAnsi="Arial"/>
          <w:sz w:val="14"/>
          <w:szCs w:val="14"/>
          <w:color w:val="auto"/>
        </w:rPr>
        <w:t>NASA, Clinical Scientist &amp; Flight Surgeon, Johnson Space Center, 1987–1990</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49"/>
        </w:numPr>
        <w:rPr>
          <w:rFonts w:ascii="Arial" w:cs="Arial" w:eastAsia="Arial" w:hAnsi="Arial"/>
          <w:sz w:val="14"/>
          <w:szCs w:val="14"/>
          <w:color w:val="CE0F2D"/>
        </w:rPr>
      </w:pPr>
      <w:r>
        <w:rPr>
          <w:rFonts w:ascii="Arial" w:cs="Arial" w:eastAsia="Arial" w:hAnsi="Arial"/>
          <w:sz w:val="14"/>
          <w:szCs w:val="14"/>
          <w:color w:val="auto"/>
        </w:rPr>
        <w:t>U.S. Physical Therapy, since 2005</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49"/>
        </w:numPr>
        <w:rPr>
          <w:rFonts w:ascii="Arial" w:cs="Arial" w:eastAsia="Arial" w:hAnsi="Arial"/>
          <w:sz w:val="14"/>
          <w:szCs w:val="14"/>
          <w:color w:val="CE0F2D"/>
        </w:rPr>
      </w:pPr>
      <w:r>
        <w:rPr>
          <w:rFonts w:ascii="Arial" w:cs="Arial" w:eastAsia="Arial" w:hAnsi="Arial"/>
          <w:sz w:val="14"/>
          <w:szCs w:val="14"/>
          <w:color w:val="auto"/>
        </w:rPr>
        <w:t>MassMutual (non-public)</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80" w:lineRule="exact"/>
        <w:rPr>
          <w:sz w:val="20"/>
          <w:szCs w:val="20"/>
          <w:color w:val="auto"/>
        </w:rPr>
      </w:pPr>
    </w:p>
    <w:p>
      <w:pPr>
        <w:ind w:left="240" w:hanging="231"/>
        <w:spacing w:after="0"/>
        <w:tabs>
          <w:tab w:leader="none" w:pos="240" w:val="left"/>
        </w:tabs>
        <w:numPr>
          <w:ilvl w:val="0"/>
          <w:numId w:val="50"/>
        </w:numPr>
        <w:rPr>
          <w:rFonts w:ascii="Arial" w:cs="Arial" w:eastAsia="Arial" w:hAnsi="Arial"/>
          <w:sz w:val="14"/>
          <w:szCs w:val="14"/>
          <w:color w:val="CE0F2D"/>
        </w:rPr>
      </w:pPr>
      <w:r>
        <w:rPr>
          <w:rFonts w:ascii="Arial" w:cs="Arial" w:eastAsia="Arial" w:hAnsi="Arial"/>
          <w:sz w:val="14"/>
          <w:szCs w:val="14"/>
          <w:color w:val="auto"/>
        </w:rPr>
        <w:t>Sterling Bancshares Inc., 2006–2011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51"/>
        </w:numPr>
        <w:rPr>
          <w:rFonts w:ascii="Arial" w:cs="Arial" w:eastAsia="Arial" w:hAnsi="Arial"/>
          <w:sz w:val="14"/>
          <w:szCs w:val="14"/>
          <w:color w:val="CE0F2D"/>
        </w:rPr>
      </w:pPr>
      <w:r>
        <w:rPr>
          <w:rFonts w:ascii="Arial" w:cs="Arial" w:eastAsia="Arial" w:hAnsi="Arial"/>
          <w:sz w:val="14"/>
          <w:szCs w:val="14"/>
          <w:color w:val="auto"/>
        </w:rPr>
        <w:t>Board of Trustees, Barings Fund &amp; Barings BDS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1"/>
        </w:numPr>
        <w:rPr>
          <w:rFonts w:ascii="Arial" w:cs="Arial" w:eastAsia="Arial" w:hAnsi="Arial"/>
          <w:sz w:val="14"/>
          <w:szCs w:val="14"/>
          <w:color w:val="CE0F2D"/>
        </w:rPr>
      </w:pPr>
      <w:r>
        <w:rPr>
          <w:rFonts w:ascii="Arial" w:cs="Arial" w:eastAsia="Arial" w:hAnsi="Arial"/>
          <w:sz w:val="14"/>
          <w:szCs w:val="14"/>
          <w:color w:val="auto"/>
        </w:rPr>
        <w:t>Board of Trustees, Salient Midstream &amp; MLP Fund</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1"/>
        </w:numPr>
        <w:rPr>
          <w:rFonts w:ascii="Arial" w:cs="Arial" w:eastAsia="Arial" w:hAnsi="Arial"/>
          <w:sz w:val="14"/>
          <w:szCs w:val="14"/>
          <w:color w:val="CE0F2D"/>
        </w:rPr>
      </w:pPr>
      <w:r>
        <w:rPr>
          <w:rFonts w:ascii="Arial" w:cs="Arial" w:eastAsia="Arial" w:hAnsi="Arial"/>
          <w:sz w:val="14"/>
          <w:szCs w:val="14"/>
          <w:color w:val="auto"/>
        </w:rPr>
        <w:t>Board of Directors, Texas Medical Center</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1"/>
        </w:numPr>
        <w:rPr>
          <w:rFonts w:ascii="Arial" w:cs="Arial" w:eastAsia="Arial" w:hAnsi="Arial"/>
          <w:sz w:val="14"/>
          <w:szCs w:val="14"/>
          <w:color w:val="CE0F2D"/>
        </w:rPr>
      </w:pPr>
      <w:r>
        <w:rPr>
          <w:rFonts w:ascii="Arial" w:cs="Arial" w:eastAsia="Arial" w:hAnsi="Arial"/>
          <w:sz w:val="14"/>
          <w:szCs w:val="14"/>
          <w:color w:val="auto"/>
        </w:rPr>
        <w:t>The Harris Foundation (founder)</w:t>
      </w:r>
    </w:p>
    <w:p>
      <w:pPr>
        <w:spacing w:after="0" w:line="53" w:lineRule="exact"/>
        <w:rPr>
          <w:rFonts w:ascii="Arial" w:cs="Arial" w:eastAsia="Arial" w:hAnsi="Arial"/>
          <w:sz w:val="14"/>
          <w:szCs w:val="14"/>
          <w:color w:val="CE0F2D"/>
        </w:rPr>
      </w:pPr>
    </w:p>
    <w:p>
      <w:pPr>
        <w:ind w:left="240" w:right="160" w:hanging="231"/>
        <w:spacing w:after="0" w:line="254" w:lineRule="auto"/>
        <w:tabs>
          <w:tab w:leader="none" w:pos="240" w:val="left"/>
        </w:tabs>
        <w:numPr>
          <w:ilvl w:val="0"/>
          <w:numId w:val="51"/>
        </w:numPr>
        <w:rPr>
          <w:rFonts w:ascii="Arial" w:cs="Arial" w:eastAsia="Arial" w:hAnsi="Arial"/>
          <w:sz w:val="14"/>
          <w:szCs w:val="14"/>
          <w:color w:val="CE0F2D"/>
        </w:rPr>
      </w:pPr>
      <w:r>
        <w:rPr>
          <w:rFonts w:ascii="Arial" w:cs="Arial" w:eastAsia="Arial" w:hAnsi="Arial"/>
          <w:sz w:val="14"/>
          <w:szCs w:val="14"/>
          <w:color w:val="auto"/>
        </w:rPr>
        <w:t>National Academies of Sciences Engineering and Medicine (NASEM) Board on Health Sciences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18415</wp:posOffset>
            </wp:positionV>
            <wp:extent cx="2134235" cy="11220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134235" cy="1122045"/>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5340" w:space="500"/>
            <w:col w:w="5400"/>
          </w:cols>
          <w:pgMar w:left="320" w:top="118" w:right="339" w:bottom="1440" w:gutter="0" w:footer="0" w:header="0"/>
          <w:type w:val="continuous"/>
        </w:sectPr>
      </w:pPr>
    </w:p>
    <w:p>
      <w:pPr>
        <w:ind w:left="180"/>
        <w:spacing w:after="0"/>
        <w:rPr>
          <w:sz w:val="20"/>
          <w:szCs w:val="20"/>
          <w:color w:val="auto"/>
        </w:rPr>
      </w:pPr>
      <w:r>
        <w:rPr>
          <w:rFonts w:ascii="Arial" w:cs="Arial" w:eastAsia="Arial" w:hAnsi="Arial"/>
          <w:sz w:val="27"/>
          <w:szCs w:val="27"/>
          <w:b w:val="1"/>
          <w:bCs w:val="1"/>
          <w:color w:val="CE0F2D"/>
        </w:rPr>
        <w:t>Gregory J. Hayes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60" w:type="dxa"/>
            <w:vAlign w:val="bottom"/>
          </w:tcPr>
          <w:p>
            <w:pPr>
              <w:ind w:left="180"/>
              <w:spacing w:after="0"/>
              <w:rPr>
                <w:sz w:val="20"/>
                <w:szCs w:val="20"/>
                <w:color w:val="auto"/>
              </w:rPr>
            </w:pPr>
            <w:r>
              <w:rPr>
                <w:rFonts w:ascii="Arial" w:cs="Arial" w:eastAsia="Arial" w:hAnsi="Arial"/>
                <w:sz w:val="16"/>
                <w:szCs w:val="16"/>
                <w:color w:val="auto"/>
              </w:rPr>
              <w:t>Chairman &amp; Chief Executive Officer,</w:t>
            </w:r>
          </w:p>
        </w:tc>
        <w:tc>
          <w:tcPr>
            <w:tcW w:w="320" w:type="dxa"/>
            <w:vAlign w:val="bottom"/>
          </w:tcPr>
          <w:p>
            <w:pPr>
              <w:spacing w:after="0"/>
              <w:rPr>
                <w:sz w:val="22"/>
                <w:szCs w:val="22"/>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61</w:t>
            </w:r>
          </w:p>
        </w:tc>
        <w:tc>
          <w:tcPr>
            <w:tcW w:w="3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3060" w:type="dxa"/>
            <w:vAlign w:val="bottom"/>
          </w:tcPr>
          <w:p>
            <w:pPr>
              <w:ind w:left="180"/>
              <w:spacing w:after="0"/>
              <w:rPr>
                <w:sz w:val="20"/>
                <w:szCs w:val="20"/>
                <w:color w:val="auto"/>
              </w:rPr>
            </w:pPr>
            <w:r>
              <w:rPr>
                <w:rFonts w:ascii="Arial" w:cs="Arial" w:eastAsia="Arial" w:hAnsi="Arial"/>
                <w:sz w:val="16"/>
                <w:szCs w:val="16"/>
                <w:color w:val="auto"/>
              </w:rPr>
              <w:t>Raytheon Technologies Corporation</w:t>
            </w:r>
          </w:p>
        </w:tc>
        <w:tc>
          <w:tcPr>
            <w:tcW w:w="320" w:type="dxa"/>
            <w:vAlign w:val="bottom"/>
          </w:tcPr>
          <w:p>
            <w:pPr>
              <w:spacing w:after="0"/>
              <w:rPr>
                <w:sz w:val="17"/>
                <w:szCs w:val="17"/>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2014</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06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20" w:type="dxa"/>
            <w:vAlign w:val="bottom"/>
          </w:tcPr>
          <w:p>
            <w:pPr>
              <w:spacing w:after="0"/>
              <w:rPr>
                <w:sz w:val="16"/>
                <w:szCs w:val="16"/>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Finance, Special Activities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2"/>
        </w:trPr>
        <w:tc>
          <w:tcPr>
            <w:tcW w:w="30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500" w:type="dxa"/>
            <w:vAlign w:val="bottom"/>
            <w:shd w:val="clear" w:color="auto" w:fill="EDEDED"/>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3060" w:type="dxa"/>
            <w:vAlign w:val="bottom"/>
            <w:shd w:val="clear" w:color="auto" w:fill="EDEDED"/>
          </w:tcPr>
          <w:p>
            <w:pPr>
              <w:spacing w:after="0"/>
              <w:rPr>
                <w:sz w:val="24"/>
                <w:szCs w:val="24"/>
                <w:color w:val="auto"/>
              </w:rPr>
            </w:pPr>
          </w:p>
        </w:tc>
        <w:tc>
          <w:tcPr>
            <w:tcW w:w="320" w:type="dxa"/>
            <w:vAlign w:val="bottom"/>
            <w:shd w:val="clear" w:color="auto" w:fill="EDEDED"/>
          </w:tcPr>
          <w:p>
            <w:pPr>
              <w:spacing w:after="0"/>
              <w:rPr>
                <w:sz w:val="24"/>
                <w:szCs w:val="24"/>
                <w:color w:val="auto"/>
              </w:rPr>
            </w:pPr>
          </w:p>
        </w:tc>
        <w:tc>
          <w:tcPr>
            <w:tcW w:w="450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060" w:type="dxa"/>
            <w:vAlign w:val="bottom"/>
            <w:shd w:val="clear" w:color="auto" w:fill="CE0F2D"/>
          </w:tcPr>
          <w:p>
            <w:pPr>
              <w:spacing w:after="0"/>
              <w:rPr>
                <w:sz w:val="6"/>
                <w:szCs w:val="6"/>
                <w:color w:val="auto"/>
              </w:rPr>
            </w:pPr>
          </w:p>
        </w:tc>
        <w:tc>
          <w:tcPr>
            <w:tcW w:w="320" w:type="dxa"/>
            <w:vAlign w:val="bottom"/>
            <w:shd w:val="clear" w:color="auto" w:fill="CE0F2D"/>
          </w:tcPr>
          <w:p>
            <w:pPr>
              <w:spacing w:after="0"/>
              <w:rPr>
                <w:sz w:val="6"/>
                <w:szCs w:val="6"/>
                <w:color w:val="auto"/>
              </w:rPr>
            </w:pPr>
          </w:p>
        </w:tc>
        <w:tc>
          <w:tcPr>
            <w:tcW w:w="450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-254635</wp:posOffset>
            </wp:positionV>
            <wp:extent cx="3622040" cy="1701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22040" cy="1701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26"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Mr. Hayes has substantial experience in executive leadership, finance, strategic planning, mergers and acquisitions, business development, and global operations and management. He has a deep knowledge of the aerospace and defense industry and the Company’s business, strategy, operations and global markets gained through his CEO and other senior leadership roles at Raytheon Technologies and affiliated companies. He brings a track record of successfully managing complex businesses and developing people. He also provides public company board leadership experience gained as Chairman of the UTC Board.</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80" w:hanging="233"/>
        <w:spacing w:after="0" w:line="254" w:lineRule="auto"/>
        <w:tabs>
          <w:tab w:leader="none" w:pos="240" w:val="left"/>
        </w:tabs>
        <w:numPr>
          <w:ilvl w:val="0"/>
          <w:numId w:val="52"/>
        </w:numPr>
        <w:rPr>
          <w:rFonts w:ascii="Arial" w:cs="Arial" w:eastAsia="Arial" w:hAnsi="Arial"/>
          <w:sz w:val="14"/>
          <w:szCs w:val="14"/>
          <w:color w:val="CE0F2D"/>
        </w:rPr>
      </w:pPr>
      <w:r>
        <w:rPr>
          <w:rFonts w:ascii="Arial" w:cs="Arial" w:eastAsia="Arial" w:hAnsi="Arial"/>
          <w:sz w:val="14"/>
          <w:szCs w:val="14"/>
          <w:color w:val="auto"/>
        </w:rPr>
        <w:t>Chairman &amp; Chief Executive Officer, Raytheon Technologies Corporation, since June 2021</w:t>
      </w:r>
    </w:p>
    <w:p>
      <w:pPr>
        <w:spacing w:after="0" w:line="34" w:lineRule="exact"/>
        <w:rPr>
          <w:rFonts w:ascii="Arial" w:cs="Arial" w:eastAsia="Arial" w:hAnsi="Arial"/>
          <w:sz w:val="14"/>
          <w:szCs w:val="14"/>
          <w:color w:val="CE0F2D"/>
        </w:rPr>
      </w:pPr>
    </w:p>
    <w:p>
      <w:pPr>
        <w:ind w:left="240" w:right="560" w:hanging="233"/>
        <w:spacing w:after="0" w:line="254" w:lineRule="auto"/>
        <w:tabs>
          <w:tab w:leader="none" w:pos="240" w:val="left"/>
        </w:tabs>
        <w:numPr>
          <w:ilvl w:val="0"/>
          <w:numId w:val="52"/>
        </w:numPr>
        <w:rPr>
          <w:rFonts w:ascii="Arial" w:cs="Arial" w:eastAsia="Arial" w:hAnsi="Arial"/>
          <w:sz w:val="14"/>
          <w:szCs w:val="14"/>
          <w:color w:val="CE0F2D"/>
        </w:rPr>
      </w:pPr>
      <w:r>
        <w:rPr>
          <w:rFonts w:ascii="Arial" w:cs="Arial" w:eastAsia="Arial" w:hAnsi="Arial"/>
          <w:sz w:val="14"/>
          <w:szCs w:val="14"/>
          <w:color w:val="auto"/>
        </w:rPr>
        <w:t>President, Chief Executive Officer and Director, Raytheon Technologies Corporation, April 2020–June 2021</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40" w:right="300" w:hanging="231"/>
        <w:spacing w:after="0" w:line="254" w:lineRule="auto"/>
        <w:tabs>
          <w:tab w:leader="none" w:pos="240" w:val="left"/>
        </w:tabs>
        <w:numPr>
          <w:ilvl w:val="0"/>
          <w:numId w:val="53"/>
        </w:numPr>
        <w:rPr>
          <w:rFonts w:ascii="Arial" w:cs="Arial" w:eastAsia="Arial" w:hAnsi="Arial"/>
          <w:sz w:val="14"/>
          <w:szCs w:val="14"/>
          <w:color w:val="CE0F2D"/>
        </w:rPr>
      </w:pPr>
      <w:r>
        <w:rPr>
          <w:rFonts w:ascii="Arial" w:cs="Arial" w:eastAsia="Arial" w:hAnsi="Arial"/>
          <w:sz w:val="14"/>
          <w:szCs w:val="14"/>
          <w:color w:val="auto"/>
        </w:rPr>
        <w:t>Chairman &amp; Chief Executive Officer, United Technologies Corporation, 2016– April 2020</w:t>
      </w:r>
    </w:p>
    <w:p>
      <w:pPr>
        <w:spacing w:after="0" w:line="34" w:lineRule="exact"/>
        <w:rPr>
          <w:rFonts w:ascii="Arial" w:cs="Arial" w:eastAsia="Arial" w:hAnsi="Arial"/>
          <w:sz w:val="14"/>
          <w:szCs w:val="14"/>
          <w:color w:val="CE0F2D"/>
        </w:rPr>
      </w:pPr>
    </w:p>
    <w:p>
      <w:pPr>
        <w:ind w:left="240" w:right="20" w:hanging="231"/>
        <w:spacing w:after="0" w:line="254" w:lineRule="auto"/>
        <w:tabs>
          <w:tab w:leader="none" w:pos="240" w:val="left"/>
        </w:tabs>
        <w:numPr>
          <w:ilvl w:val="0"/>
          <w:numId w:val="53"/>
        </w:numPr>
        <w:rPr>
          <w:rFonts w:ascii="Arial" w:cs="Arial" w:eastAsia="Arial" w:hAnsi="Arial"/>
          <w:sz w:val="14"/>
          <w:szCs w:val="14"/>
          <w:color w:val="CE0F2D"/>
        </w:rPr>
      </w:pPr>
      <w:r>
        <w:rPr>
          <w:rFonts w:ascii="Arial" w:cs="Arial" w:eastAsia="Arial" w:hAnsi="Arial"/>
          <w:sz w:val="14"/>
          <w:szCs w:val="14"/>
          <w:color w:val="auto"/>
        </w:rPr>
        <w:t>President, Chief Executive Officer and Director, United Technologies Corporation, 2014–2016</w:t>
      </w:r>
    </w:p>
    <w:p>
      <w:pPr>
        <w:spacing w:after="0" w:line="34" w:lineRule="exact"/>
        <w:rPr>
          <w:rFonts w:ascii="Arial" w:cs="Arial" w:eastAsia="Arial" w:hAnsi="Arial"/>
          <w:sz w:val="14"/>
          <w:szCs w:val="14"/>
          <w:color w:val="CE0F2D"/>
        </w:rPr>
      </w:pPr>
    </w:p>
    <w:p>
      <w:pPr>
        <w:ind w:left="240" w:right="20" w:hanging="231"/>
        <w:spacing w:after="0" w:line="254" w:lineRule="auto"/>
        <w:tabs>
          <w:tab w:leader="none" w:pos="240" w:val="left"/>
        </w:tabs>
        <w:numPr>
          <w:ilvl w:val="0"/>
          <w:numId w:val="53"/>
        </w:numPr>
        <w:rPr>
          <w:rFonts w:ascii="Arial" w:cs="Arial" w:eastAsia="Arial" w:hAnsi="Arial"/>
          <w:sz w:val="14"/>
          <w:szCs w:val="14"/>
          <w:color w:val="CE0F2D"/>
        </w:rPr>
      </w:pPr>
      <w:r>
        <w:rPr>
          <w:rFonts w:ascii="Arial" w:cs="Arial" w:eastAsia="Arial" w:hAnsi="Arial"/>
          <w:sz w:val="14"/>
          <w:szCs w:val="14"/>
          <w:color w:val="auto"/>
        </w:rPr>
        <w:t>Senior Vice President &amp; Chief Financial Officer, United Technologies Corporation, 2008–2014</w:t>
      </w:r>
    </w:p>
    <w:p>
      <w:pPr>
        <w:spacing w:after="0" w:line="34" w:lineRule="exact"/>
        <w:rPr>
          <w:rFonts w:ascii="Arial" w:cs="Arial" w:eastAsia="Arial" w:hAnsi="Arial"/>
          <w:sz w:val="14"/>
          <w:szCs w:val="14"/>
          <w:color w:val="CE0F2D"/>
        </w:rPr>
      </w:pPr>
    </w:p>
    <w:p>
      <w:pPr>
        <w:ind w:left="240" w:right="100" w:hanging="231"/>
        <w:spacing w:after="0" w:line="247" w:lineRule="auto"/>
        <w:tabs>
          <w:tab w:leader="none" w:pos="240" w:val="left"/>
        </w:tabs>
        <w:numPr>
          <w:ilvl w:val="0"/>
          <w:numId w:val="53"/>
        </w:numPr>
        <w:rPr>
          <w:rFonts w:ascii="Arial" w:cs="Arial" w:eastAsia="Arial" w:hAnsi="Arial"/>
          <w:sz w:val="14"/>
          <w:szCs w:val="14"/>
          <w:color w:val="CE0F2D"/>
        </w:rPr>
      </w:pPr>
      <w:r>
        <w:rPr>
          <w:rFonts w:ascii="Arial" w:cs="Arial" w:eastAsia="Arial" w:hAnsi="Arial"/>
          <w:sz w:val="14"/>
          <w:szCs w:val="14"/>
          <w:color w:val="auto"/>
        </w:rPr>
        <w:t>Various senior positions since joining UTC in 1999 through the acquisition of Sundstrand Corporation, including Vice President, Accounting and Finance, and responsibility for UTC’s Corporate Strategy function</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26" w:lineRule="exact"/>
        <w:rPr>
          <w:sz w:val="20"/>
          <w:szCs w:val="20"/>
          <w:color w:val="auto"/>
        </w:rPr>
      </w:pPr>
    </w:p>
    <w:p>
      <w:pPr>
        <w:ind w:left="240" w:hanging="231"/>
        <w:spacing w:after="0"/>
        <w:tabs>
          <w:tab w:leader="none" w:pos="240" w:val="left"/>
        </w:tabs>
        <w:numPr>
          <w:ilvl w:val="0"/>
          <w:numId w:val="54"/>
        </w:numPr>
        <w:rPr>
          <w:rFonts w:ascii="Arial" w:cs="Arial" w:eastAsia="Arial" w:hAnsi="Arial"/>
          <w:sz w:val="14"/>
          <w:szCs w:val="14"/>
          <w:color w:val="CE0F2D"/>
        </w:rPr>
      </w:pPr>
      <w:r>
        <w:rPr>
          <w:rFonts w:ascii="Arial" w:cs="Arial" w:eastAsia="Arial" w:hAnsi="Arial"/>
          <w:sz w:val="14"/>
          <w:szCs w:val="14"/>
          <w:color w:val="auto"/>
        </w:rPr>
        <w:t>Nucor Corporation, 2014-2018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71120</wp:posOffset>
            </wp:positionV>
            <wp:extent cx="715454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20" w:space="520"/>
            <w:col w:w="5400"/>
          </w:cols>
          <w:pgMar w:left="320" w:top="118" w:right="3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2242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3590" cy="12242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9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George R. Oliver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INDEPENDENT DIRECTOR</w:t>
      </w:r>
    </w:p>
    <w:p>
      <w:pPr>
        <w:spacing w:after="0" w:line="87" w:lineRule="exact"/>
        <w:rPr>
          <w:sz w:val="20"/>
          <w:szCs w:val="20"/>
          <w:color w:val="auto"/>
        </w:rPr>
      </w:pPr>
    </w:p>
    <w:p>
      <w:pPr>
        <w:ind w:left="180"/>
        <w:spacing w:after="0" w:line="289" w:lineRule="auto"/>
        <w:rPr>
          <w:sz w:val="20"/>
          <w:szCs w:val="20"/>
          <w:color w:val="auto"/>
        </w:rPr>
      </w:pPr>
      <w:r>
        <w:rPr>
          <w:rFonts w:ascii="Arial" w:cs="Arial" w:eastAsia="Arial" w:hAnsi="Arial"/>
          <w:sz w:val="15"/>
          <w:szCs w:val="15"/>
          <w:color w:val="auto"/>
        </w:rPr>
        <w:t>Chairman &amp; Chief Executive Officer, Johnson Controls International plc</w:t>
      </w:r>
    </w:p>
    <w:p>
      <w:pPr>
        <w:spacing w:after="0" w:line="114"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CE0F2D"/>
        </w:rPr>
        <w:t>Key Skills and Expertise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AGE 61</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DIRECTOR SINCE 2020 (2013*)</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BOARD COMMITTEES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Governance and Public Policy, Finance</w:t>
      </w:r>
    </w:p>
    <w:p>
      <w:pPr>
        <w:spacing w:after="0" w:line="414" w:lineRule="exact"/>
        <w:rPr>
          <w:sz w:val="20"/>
          <w:szCs w:val="20"/>
          <w:color w:val="auto"/>
        </w:rPr>
      </w:pPr>
    </w:p>
    <w:p>
      <w:pPr>
        <w:sectPr>
          <w:pgSz w:w="11900" w:h="16838" w:orient="portrait"/>
          <w:cols w:equalWidth="0" w:num="2">
            <w:col w:w="2740" w:space="640"/>
            <w:col w:w="7860"/>
          </w:cols>
          <w:pgMar w:left="320" w:top="118" w:right="339" w:bottom="1440" w:gutter="0" w:footer="0" w:header="0"/>
          <w:type w:val="continuous"/>
        </w:sect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26"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Mr. Oliver provides the Board with substantial executive leadership experience and global operational and management expertise, gained through his CEO and other leadership roles at the global industrial and technology companies Johnson Controls, Tyco International and General Electric. He also has significant experience in strategic planning, mergers and acquisitions, finance, risk management and technology.</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40" w:hanging="233"/>
        <w:spacing w:after="0" w:line="254" w:lineRule="auto"/>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Chairman of the Board &amp; Chief Executive Officer, Johnson Controls International plc (diversified technology and multi-industrial company), since 2017</w:t>
      </w:r>
    </w:p>
    <w:p>
      <w:pPr>
        <w:spacing w:after="0" w:line="34" w:lineRule="exact"/>
        <w:rPr>
          <w:rFonts w:ascii="Arial" w:cs="Arial" w:eastAsia="Arial" w:hAnsi="Arial"/>
          <w:sz w:val="14"/>
          <w:szCs w:val="14"/>
          <w:color w:val="CE0F2D"/>
        </w:rPr>
      </w:pPr>
    </w:p>
    <w:p>
      <w:pPr>
        <w:ind w:left="240" w:right="180" w:hanging="233"/>
        <w:spacing w:after="0" w:line="254" w:lineRule="auto"/>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President &amp; Chief Operating Officer, Johnson Controls International plc, 2016– 2017</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Chief Executive Officer, Tyco International Ltd., 2012–2016</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President, Tyco International Ltd., 2011–2012</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President, Tyco Electrical and Metal Products, 2007–2010</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55"/>
        </w:numPr>
        <w:rPr>
          <w:rFonts w:ascii="Arial" w:cs="Arial" w:eastAsia="Arial" w:hAnsi="Arial"/>
          <w:sz w:val="14"/>
          <w:szCs w:val="14"/>
          <w:color w:val="CE0F2D"/>
        </w:rPr>
      </w:pPr>
      <w:r>
        <w:rPr>
          <w:rFonts w:ascii="Arial" w:cs="Arial" w:eastAsia="Arial" w:hAnsi="Arial"/>
          <w:sz w:val="14"/>
          <w:szCs w:val="14"/>
          <w:color w:val="auto"/>
        </w:rPr>
        <w:t>President, Tyco Safety Products, 2006–2010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396240</wp:posOffset>
            </wp:positionV>
            <wp:extent cx="4999355" cy="9690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99355" cy="969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ind w:left="240" w:right="100" w:hanging="231"/>
        <w:spacing w:after="0" w:line="247" w:lineRule="auto"/>
        <w:tabs>
          <w:tab w:leader="none" w:pos="240" w:val="left"/>
        </w:tabs>
        <w:numPr>
          <w:ilvl w:val="0"/>
          <w:numId w:val="56"/>
        </w:numPr>
        <w:rPr>
          <w:rFonts w:ascii="Arial" w:cs="Arial" w:eastAsia="Arial" w:hAnsi="Arial"/>
          <w:sz w:val="14"/>
          <w:szCs w:val="14"/>
          <w:color w:val="CE0F2D"/>
        </w:rPr>
      </w:pPr>
      <w:r>
        <w:rPr>
          <w:rFonts w:ascii="Arial" w:cs="Arial" w:eastAsia="Arial" w:hAnsi="Arial"/>
          <w:sz w:val="14"/>
          <w:szCs w:val="14"/>
          <w:color w:val="auto"/>
        </w:rPr>
        <w:t>Various leadership roles of increasing responsibility at several General Electric divisions, culminating as President of GE Water and Process Technologies, until 2006</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57"/>
        </w:numPr>
        <w:rPr>
          <w:rFonts w:ascii="Arial" w:cs="Arial" w:eastAsia="Arial" w:hAnsi="Arial"/>
          <w:sz w:val="14"/>
          <w:szCs w:val="14"/>
          <w:color w:val="CE0F2D"/>
        </w:rPr>
      </w:pPr>
      <w:r>
        <w:rPr>
          <w:rFonts w:ascii="Arial" w:cs="Arial" w:eastAsia="Arial" w:hAnsi="Arial"/>
          <w:sz w:val="14"/>
          <w:szCs w:val="14"/>
          <w:color w:val="auto"/>
        </w:rPr>
        <w:t>Johnson Controls International plc, since 2016</w:t>
      </w:r>
    </w:p>
    <w:p>
      <w:pPr>
        <w:spacing w:after="0" w:line="57"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Former Public Company Directorships</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57"/>
        </w:numPr>
        <w:rPr>
          <w:rFonts w:ascii="Arial" w:cs="Arial" w:eastAsia="Arial" w:hAnsi="Arial"/>
          <w:sz w:val="14"/>
          <w:szCs w:val="14"/>
          <w:color w:val="CE0F2D"/>
        </w:rPr>
      </w:pPr>
      <w:r>
        <w:rPr>
          <w:rFonts w:ascii="Arial" w:cs="Arial" w:eastAsia="Arial" w:hAnsi="Arial"/>
          <w:sz w:val="14"/>
          <w:szCs w:val="14"/>
          <w:color w:val="auto"/>
        </w:rPr>
        <w:t>Raytheon Company, 2013–2020</w:t>
      </w:r>
    </w:p>
    <w:p>
      <w:pPr>
        <w:ind w:left="240" w:hanging="231"/>
        <w:spacing w:after="0"/>
        <w:tabs>
          <w:tab w:leader="none" w:pos="240" w:val="left"/>
        </w:tabs>
        <w:numPr>
          <w:ilvl w:val="0"/>
          <w:numId w:val="57"/>
        </w:numPr>
        <w:rPr>
          <w:rFonts w:ascii="Arial" w:cs="Arial" w:eastAsia="Arial" w:hAnsi="Arial"/>
          <w:sz w:val="14"/>
          <w:szCs w:val="14"/>
          <w:color w:val="CE0F2D"/>
        </w:rPr>
      </w:pPr>
      <w:r>
        <w:rPr>
          <w:rFonts w:ascii="Arial" w:cs="Arial" w:eastAsia="Arial" w:hAnsi="Arial"/>
          <w:sz w:val="14"/>
          <w:szCs w:val="14"/>
          <w:color w:val="auto"/>
        </w:rPr>
        <w:t>Tyco International Ltd., 2012–2016</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Trustees, Worcester Polytechnic Institute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Trustees, Pro Football Hall of Fame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Directors, United Way of Greater Milwaukee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Directors, Metropolitan Milwaukee Association of Commerce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Directors, Business Roundtable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58"/>
        </w:numPr>
        <w:rPr>
          <w:rFonts w:ascii="Arial" w:cs="Arial" w:eastAsia="Arial" w:hAnsi="Arial"/>
          <w:sz w:val="14"/>
          <w:szCs w:val="14"/>
          <w:color w:val="CE0F2D"/>
        </w:rPr>
      </w:pPr>
      <w:r>
        <w:rPr>
          <w:rFonts w:ascii="Arial" w:cs="Arial" w:eastAsia="Arial" w:hAnsi="Arial"/>
          <w:sz w:val="14"/>
          <w:szCs w:val="14"/>
          <w:color w:val="auto"/>
        </w:rPr>
        <w:t>Board of Directors, The Greater Milwaukee Committee</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 Reflects service as RTN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196850</wp:posOffset>
            </wp:positionV>
            <wp:extent cx="2134235" cy="1181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34235" cy="1181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80"/>
            <w:col w:w="5400"/>
          </w:cols>
          <w:pgMar w:left="320" w:top="118" w:right="339" w:bottom="1440" w:gutter="0" w:footer="0" w:header="0"/>
          <w:type w:val="continuous"/>
        </w:sectPr>
      </w:pPr>
    </w:p>
    <w:p>
      <w:pPr>
        <w:spacing w:after="0" w:line="15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Robert K. (Kelly) Ortberg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3180" w:type="dxa"/>
            <w:vAlign w:val="bottom"/>
          </w:tcPr>
          <w:p>
            <w:pPr>
              <w:ind w:left="180"/>
              <w:spacing w:after="0"/>
              <w:rPr>
                <w:sz w:val="20"/>
                <w:szCs w:val="20"/>
                <w:color w:val="auto"/>
              </w:rPr>
            </w:pPr>
            <w:r>
              <w:rPr>
                <w:rFonts w:ascii="Arial" w:cs="Arial" w:eastAsia="Arial" w:hAnsi="Arial"/>
                <w:sz w:val="16"/>
                <w:szCs w:val="16"/>
                <w:color w:val="auto"/>
              </w:rPr>
              <w:t>Retired Chairman, President &amp; Chief</w:t>
            </w:r>
          </w:p>
        </w:tc>
        <w:tc>
          <w:tcPr>
            <w:tcW w:w="200" w:type="dxa"/>
            <w:vAlign w:val="bottom"/>
          </w:tcPr>
          <w:p>
            <w:pPr>
              <w:spacing w:after="0"/>
              <w:rPr>
                <w:sz w:val="24"/>
                <w:szCs w:val="24"/>
                <w:color w:val="auto"/>
              </w:rPr>
            </w:pPr>
          </w:p>
        </w:tc>
        <w:tc>
          <w:tcPr>
            <w:tcW w:w="4500" w:type="dxa"/>
            <w:vAlign w:val="bottom"/>
            <w:vMerge w:val="restart"/>
            <w:shd w:val="clear" w:color="auto" w:fill="EDEDED"/>
          </w:tcPr>
          <w:p>
            <w:pPr>
              <w:spacing w:after="0"/>
              <w:rPr>
                <w:sz w:val="20"/>
                <w:szCs w:val="20"/>
                <w:color w:val="auto"/>
              </w:rPr>
            </w:pPr>
            <w:r>
              <w:rPr>
                <w:rFonts w:ascii="Arial" w:cs="Arial" w:eastAsia="Arial" w:hAnsi="Arial"/>
                <w:sz w:val="14"/>
                <w:szCs w:val="14"/>
                <w:b w:val="1"/>
                <w:bCs w:val="1"/>
                <w:color w:val="auto"/>
              </w:rPr>
              <w:t>AGE 61</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180" w:type="dxa"/>
            <w:vAlign w:val="bottom"/>
          </w:tcPr>
          <w:p>
            <w:pPr>
              <w:ind w:left="180"/>
              <w:spacing w:after="0" w:line="172" w:lineRule="exact"/>
              <w:rPr>
                <w:sz w:val="20"/>
                <w:szCs w:val="20"/>
                <w:color w:val="auto"/>
              </w:rPr>
            </w:pPr>
            <w:r>
              <w:rPr>
                <w:rFonts w:ascii="Arial" w:cs="Arial" w:eastAsia="Arial" w:hAnsi="Arial"/>
                <w:sz w:val="16"/>
                <w:szCs w:val="16"/>
                <w:color w:val="auto"/>
              </w:rPr>
              <w:t>Executive Officer, Rockwell Collins, Inc.</w:t>
            </w:r>
          </w:p>
        </w:tc>
        <w:tc>
          <w:tcPr>
            <w:tcW w:w="200" w:type="dxa"/>
            <w:vAlign w:val="bottom"/>
          </w:tcPr>
          <w:p>
            <w:pPr>
              <w:spacing w:after="0"/>
              <w:rPr>
                <w:sz w:val="14"/>
                <w:szCs w:val="14"/>
                <w:color w:val="auto"/>
              </w:rPr>
            </w:pPr>
          </w:p>
        </w:tc>
        <w:tc>
          <w:tcPr>
            <w:tcW w:w="4500" w:type="dxa"/>
            <w:vAlign w:val="bottom"/>
            <w:vMerge w:val="continue"/>
            <w:shd w:val="clear" w:color="auto" w:fill="EDEDED"/>
          </w:tcPr>
          <w:p>
            <w:pPr>
              <w:spacing w:after="0"/>
              <w:rPr>
                <w:sz w:val="14"/>
                <w:szCs w:val="14"/>
                <w:color w:val="auto"/>
              </w:rPr>
            </w:pP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2020</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18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200" w:type="dxa"/>
            <w:vAlign w:val="bottom"/>
          </w:tcPr>
          <w:p>
            <w:pPr>
              <w:spacing w:after="0"/>
              <w:rPr>
                <w:sz w:val="16"/>
                <w:szCs w:val="16"/>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450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Finance, Special Activities</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3180" w:type="dxa"/>
            <w:vAlign w:val="bottom"/>
            <w:shd w:val="clear" w:color="auto" w:fill="EDEDED"/>
          </w:tcPr>
          <w:p>
            <w:pPr>
              <w:spacing w:after="0"/>
              <w:rPr>
                <w:sz w:val="24"/>
                <w:szCs w:val="24"/>
                <w:color w:val="auto"/>
              </w:rPr>
            </w:pPr>
          </w:p>
        </w:tc>
        <w:tc>
          <w:tcPr>
            <w:tcW w:w="200" w:type="dxa"/>
            <w:vAlign w:val="bottom"/>
            <w:shd w:val="clear" w:color="auto" w:fill="EDEDED"/>
          </w:tcPr>
          <w:p>
            <w:pPr>
              <w:spacing w:after="0"/>
              <w:rPr>
                <w:sz w:val="24"/>
                <w:szCs w:val="24"/>
                <w:color w:val="auto"/>
              </w:rPr>
            </w:pPr>
          </w:p>
        </w:tc>
        <w:tc>
          <w:tcPr>
            <w:tcW w:w="450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3180" w:type="dxa"/>
            <w:vAlign w:val="bottom"/>
            <w:shd w:val="clear" w:color="auto" w:fill="CE0F2D"/>
          </w:tcPr>
          <w:p>
            <w:pPr>
              <w:spacing w:after="0"/>
              <w:rPr>
                <w:sz w:val="6"/>
                <w:szCs w:val="6"/>
                <w:color w:val="auto"/>
              </w:rPr>
            </w:pPr>
          </w:p>
        </w:tc>
        <w:tc>
          <w:tcPr>
            <w:tcW w:w="200" w:type="dxa"/>
            <w:vAlign w:val="bottom"/>
            <w:shd w:val="clear" w:color="auto" w:fill="CE0F2D"/>
          </w:tcPr>
          <w:p>
            <w:pPr>
              <w:spacing w:after="0"/>
              <w:rPr>
                <w:sz w:val="6"/>
                <w:szCs w:val="6"/>
                <w:color w:val="auto"/>
              </w:rPr>
            </w:pPr>
          </w:p>
        </w:tc>
        <w:tc>
          <w:tcPr>
            <w:tcW w:w="450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-229235</wp:posOffset>
            </wp:positionV>
            <wp:extent cx="3825875" cy="1447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25875" cy="14478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26" w:lineRule="exact"/>
        <w:rPr>
          <w:sz w:val="20"/>
          <w:szCs w:val="20"/>
          <w:color w:val="auto"/>
        </w:rPr>
      </w:pPr>
    </w:p>
    <w:p>
      <w:pPr>
        <w:spacing w:after="0" w:line="243" w:lineRule="auto"/>
        <w:rPr>
          <w:sz w:val="20"/>
          <w:szCs w:val="20"/>
          <w:color w:val="auto"/>
        </w:rPr>
      </w:pPr>
      <w:r>
        <w:rPr>
          <w:rFonts w:ascii="Arial" w:cs="Arial" w:eastAsia="Arial" w:hAnsi="Arial"/>
          <w:sz w:val="14"/>
          <w:szCs w:val="14"/>
          <w:color w:val="auto"/>
        </w:rPr>
        <w:t>Mr. Ortberg has significant aerospace and defense industry expertise and business experience gained through his CEO and other senior leadership roles at Rockwell Collins. Through these roles he also brings executive leadership experience, as well as a significant background in global management and operations, engineering, technology and innovation.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120" w:hanging="233"/>
        <w:spacing w:after="0" w:line="254" w:lineRule="auto"/>
        <w:tabs>
          <w:tab w:leader="none" w:pos="240" w:val="left"/>
        </w:tabs>
        <w:numPr>
          <w:ilvl w:val="0"/>
          <w:numId w:val="59"/>
        </w:numPr>
        <w:rPr>
          <w:rFonts w:ascii="Arial" w:cs="Arial" w:eastAsia="Arial" w:hAnsi="Arial"/>
          <w:sz w:val="14"/>
          <w:szCs w:val="14"/>
          <w:color w:val="CE0F2D"/>
        </w:rPr>
      </w:pPr>
      <w:r>
        <w:rPr>
          <w:rFonts w:ascii="Arial" w:cs="Arial" w:eastAsia="Arial" w:hAnsi="Arial"/>
          <w:sz w:val="14"/>
          <w:szCs w:val="14"/>
          <w:color w:val="auto"/>
        </w:rPr>
        <w:t>Special Advisor to the Office of the CEO, Raytheon Technologies Corporation, 2020–February 2021</w:t>
      </w:r>
    </w:p>
    <w:p>
      <w:pPr>
        <w:spacing w:after="0" w:line="34" w:lineRule="exact"/>
        <w:rPr>
          <w:rFonts w:ascii="Arial" w:cs="Arial" w:eastAsia="Arial" w:hAnsi="Arial"/>
          <w:sz w:val="14"/>
          <w:szCs w:val="14"/>
          <w:color w:val="CE0F2D"/>
        </w:rPr>
      </w:pPr>
    </w:p>
    <w:p>
      <w:pPr>
        <w:ind w:left="240" w:right="440" w:hanging="233"/>
        <w:spacing w:after="0" w:line="254" w:lineRule="auto"/>
        <w:tabs>
          <w:tab w:leader="none" w:pos="240" w:val="left"/>
        </w:tabs>
        <w:numPr>
          <w:ilvl w:val="0"/>
          <w:numId w:val="59"/>
        </w:numPr>
        <w:rPr>
          <w:rFonts w:ascii="Arial" w:cs="Arial" w:eastAsia="Arial" w:hAnsi="Arial"/>
          <w:sz w:val="14"/>
          <w:szCs w:val="14"/>
          <w:color w:val="CE0F2D"/>
        </w:rPr>
      </w:pPr>
      <w:r>
        <w:rPr>
          <w:rFonts w:ascii="Arial" w:cs="Arial" w:eastAsia="Arial" w:hAnsi="Arial"/>
          <w:sz w:val="14"/>
          <w:szCs w:val="14"/>
          <w:color w:val="auto"/>
        </w:rPr>
        <w:t>Chief Executive Officer, Collins Aerospace Systems, United Technologies Corporation, 2018–2020</w:t>
      </w:r>
    </w:p>
    <w:p>
      <w:pPr>
        <w:spacing w:after="0" w:line="34" w:lineRule="exact"/>
        <w:rPr>
          <w:rFonts w:ascii="Arial" w:cs="Arial" w:eastAsia="Arial" w:hAnsi="Arial"/>
          <w:sz w:val="14"/>
          <w:szCs w:val="14"/>
          <w:color w:val="CE0F2D"/>
        </w:rPr>
      </w:pPr>
    </w:p>
    <w:p>
      <w:pPr>
        <w:ind w:left="240" w:right="260" w:hanging="233"/>
        <w:spacing w:after="0" w:line="254" w:lineRule="auto"/>
        <w:tabs>
          <w:tab w:leader="none" w:pos="240" w:val="left"/>
        </w:tabs>
        <w:numPr>
          <w:ilvl w:val="0"/>
          <w:numId w:val="59"/>
        </w:numPr>
        <w:rPr>
          <w:rFonts w:ascii="Arial" w:cs="Arial" w:eastAsia="Arial" w:hAnsi="Arial"/>
          <w:sz w:val="14"/>
          <w:szCs w:val="14"/>
          <w:color w:val="CE0F2D"/>
        </w:rPr>
      </w:pPr>
      <w:r>
        <w:rPr>
          <w:rFonts w:ascii="Arial" w:cs="Arial" w:eastAsia="Arial" w:hAnsi="Arial"/>
          <w:sz w:val="14"/>
          <w:szCs w:val="14"/>
          <w:color w:val="auto"/>
        </w:rPr>
        <w:t>Chairman, President &amp; CEO, Rockwell Collins, Inc. (aerospace and defense systems &amp; services), 2015–2018</w:t>
      </w:r>
    </w:p>
    <w:p>
      <w:pPr>
        <w:spacing w:after="0" w:line="139" w:lineRule="exact"/>
        <w:rPr>
          <w:sz w:val="20"/>
          <w:szCs w:val="20"/>
          <w:color w:val="auto"/>
        </w:rPr>
      </w:pPr>
    </w:p>
    <w:p>
      <w:pPr>
        <w:ind w:left="260" w:hanging="253"/>
        <w:spacing w:after="0"/>
        <w:tabs>
          <w:tab w:leader="none" w:pos="260" w:val="left"/>
        </w:tabs>
        <w:numPr>
          <w:ilvl w:val="0"/>
          <w:numId w:val="6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40" w:hanging="231"/>
        <w:spacing w:after="0"/>
        <w:tabs>
          <w:tab w:leader="none" w:pos="240" w:val="left"/>
        </w:tabs>
        <w:numPr>
          <w:ilvl w:val="0"/>
          <w:numId w:val="61"/>
        </w:numPr>
        <w:rPr>
          <w:rFonts w:ascii="Arial" w:cs="Arial" w:eastAsia="Arial" w:hAnsi="Arial"/>
          <w:sz w:val="14"/>
          <w:szCs w:val="14"/>
          <w:color w:val="CE0F2D"/>
        </w:rPr>
      </w:pPr>
      <w:r>
        <w:rPr>
          <w:rFonts w:ascii="Arial" w:cs="Arial" w:eastAsia="Arial" w:hAnsi="Arial"/>
          <w:sz w:val="14"/>
          <w:szCs w:val="14"/>
          <w:color w:val="auto"/>
        </w:rPr>
        <w:t>President &amp; CEO, Rockwell Collins, Inc., 2013–2015</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1"/>
        </w:numPr>
        <w:rPr>
          <w:rFonts w:ascii="Arial" w:cs="Arial" w:eastAsia="Arial" w:hAnsi="Arial"/>
          <w:sz w:val="14"/>
          <w:szCs w:val="14"/>
          <w:color w:val="CE0F2D"/>
        </w:rPr>
      </w:pPr>
      <w:r>
        <w:rPr>
          <w:rFonts w:ascii="Arial" w:cs="Arial" w:eastAsia="Arial" w:hAnsi="Arial"/>
          <w:sz w:val="14"/>
          <w:szCs w:val="14"/>
          <w:color w:val="auto"/>
        </w:rPr>
        <w:t>President, Rockwell Collins, Inc., 2012–2013</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1"/>
        </w:numPr>
        <w:rPr>
          <w:rFonts w:ascii="Arial" w:cs="Arial" w:eastAsia="Arial" w:hAnsi="Arial"/>
          <w:sz w:val="14"/>
          <w:szCs w:val="14"/>
          <w:color w:val="CE0F2D"/>
        </w:rPr>
      </w:pPr>
      <w:r>
        <w:rPr>
          <w:rFonts w:ascii="Arial" w:cs="Arial" w:eastAsia="Arial" w:hAnsi="Arial"/>
          <w:sz w:val="14"/>
          <w:szCs w:val="14"/>
          <w:color w:val="auto"/>
        </w:rPr>
        <w:t>Various senior positions since joining Rockwell Collins in 1987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62"/>
        </w:numPr>
        <w:rPr>
          <w:rFonts w:ascii="Arial" w:cs="Arial" w:eastAsia="Arial" w:hAnsi="Arial"/>
          <w:sz w:val="14"/>
          <w:szCs w:val="14"/>
          <w:color w:val="CE0F2D"/>
        </w:rPr>
      </w:pPr>
      <w:r>
        <w:rPr>
          <w:rFonts w:ascii="Arial" w:cs="Arial" w:eastAsia="Arial" w:hAnsi="Arial"/>
          <w:sz w:val="14"/>
          <w:szCs w:val="14"/>
          <w:color w:val="auto"/>
        </w:rPr>
        <w:t>Aptiv PLC, since 2018</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80" w:lineRule="exact"/>
        <w:rPr>
          <w:sz w:val="20"/>
          <w:szCs w:val="20"/>
          <w:color w:val="auto"/>
        </w:rPr>
      </w:pPr>
    </w:p>
    <w:p>
      <w:pPr>
        <w:ind w:left="240" w:hanging="231"/>
        <w:spacing w:after="0"/>
        <w:tabs>
          <w:tab w:leader="none" w:pos="240" w:val="left"/>
        </w:tabs>
        <w:numPr>
          <w:ilvl w:val="0"/>
          <w:numId w:val="63"/>
        </w:numPr>
        <w:rPr>
          <w:rFonts w:ascii="Arial" w:cs="Arial" w:eastAsia="Arial" w:hAnsi="Arial"/>
          <w:sz w:val="14"/>
          <w:szCs w:val="14"/>
          <w:color w:val="CE0F2D"/>
        </w:rPr>
      </w:pPr>
      <w:r>
        <w:rPr>
          <w:rFonts w:ascii="Arial" w:cs="Arial" w:eastAsia="Arial" w:hAnsi="Arial"/>
          <w:sz w:val="14"/>
          <w:szCs w:val="14"/>
          <w:color w:val="auto"/>
        </w:rPr>
        <w:t>Rockwell Collins, Inc., 2013–2018</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64"/>
        </w:numPr>
        <w:rPr>
          <w:rFonts w:ascii="Arial" w:cs="Arial" w:eastAsia="Arial" w:hAnsi="Arial"/>
          <w:sz w:val="14"/>
          <w:szCs w:val="14"/>
          <w:color w:val="CE0F2D"/>
        </w:rPr>
      </w:pPr>
      <w:r>
        <w:rPr>
          <w:rFonts w:ascii="Arial" w:cs="Arial" w:eastAsia="Arial" w:hAnsi="Arial"/>
          <w:sz w:val="14"/>
          <w:szCs w:val="14"/>
          <w:color w:val="auto"/>
        </w:rPr>
        <w:t>Past Chairman, Board of Governors, Aerospace Industries Association</w:t>
      </w:r>
    </w:p>
    <w:p>
      <w:pPr>
        <w:spacing w:after="0" w:line="44" w:lineRule="exact"/>
        <w:rPr>
          <w:rFonts w:ascii="Arial" w:cs="Arial" w:eastAsia="Arial" w:hAnsi="Arial"/>
          <w:sz w:val="14"/>
          <w:szCs w:val="14"/>
          <w:color w:val="CE0F2D"/>
        </w:rPr>
      </w:pPr>
    </w:p>
    <w:p>
      <w:pPr>
        <w:ind w:left="240" w:hanging="231"/>
        <w:spacing w:after="0"/>
        <w:tabs>
          <w:tab w:leader="none" w:pos="240" w:val="left"/>
        </w:tabs>
        <w:numPr>
          <w:ilvl w:val="0"/>
          <w:numId w:val="64"/>
        </w:numPr>
        <w:rPr>
          <w:rFonts w:ascii="Arial" w:cs="Arial" w:eastAsia="Arial" w:hAnsi="Arial"/>
          <w:sz w:val="29"/>
          <w:szCs w:val="29"/>
          <w:color w:val="CE0F2D"/>
          <w:vertAlign w:val="superscript"/>
        </w:rPr>
      </w:pPr>
      <w:r>
        <w:rPr>
          <w:rFonts w:ascii="Arial" w:cs="Arial" w:eastAsia="Arial" w:hAnsi="Arial"/>
          <w:sz w:val="14"/>
          <w:szCs w:val="14"/>
          <w:color w:val="auto"/>
        </w:rPr>
        <w:t>Co-Chairman, FIRST</w:t>
      </w:r>
      <w:r>
        <w:rPr>
          <w:rFonts w:ascii="Arial" w:cs="Arial" w:eastAsia="Arial" w:hAnsi="Arial"/>
          <w:sz w:val="23"/>
          <w:szCs w:val="23"/>
          <w:color w:val="auto"/>
          <w:vertAlign w:val="superscript"/>
        </w:rPr>
        <w:t>®</w:t>
      </w:r>
      <w:r>
        <w:rPr>
          <w:rFonts w:ascii="Arial" w:cs="Arial" w:eastAsia="Arial" w:hAnsi="Arial"/>
          <w:sz w:val="14"/>
          <w:szCs w:val="14"/>
          <w:color w:val="auto"/>
        </w:rPr>
        <w:t xml:space="preserv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239395</wp:posOffset>
            </wp:positionV>
            <wp:extent cx="715454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00" w:space="540"/>
            <w:col w:w="5400"/>
          </w:cols>
          <w:pgMar w:left="320" w:top="118" w:right="3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3590" cy="12585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3590" cy="1258570"/>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Margaret L. O’Sullivan</w:t>
      </w:r>
    </w:p>
    <w:p>
      <w:pPr>
        <w:spacing w:after="0" w:line="11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3120" w:type="dxa"/>
            <w:vAlign w:val="bottom"/>
          </w:tcPr>
          <w:p>
            <w:pPr>
              <w:spacing w:after="0"/>
              <w:rPr>
                <w:sz w:val="20"/>
                <w:szCs w:val="20"/>
                <w:color w:val="auto"/>
              </w:rPr>
            </w:pPr>
            <w:r>
              <w:rPr>
                <w:rFonts w:ascii="Arial" w:cs="Arial" w:eastAsia="Arial" w:hAnsi="Arial"/>
                <w:sz w:val="15"/>
                <w:szCs w:val="15"/>
                <w:color w:val="auto"/>
              </w:rPr>
              <w:t>INDEPENDENT DIRECTOR</w:t>
            </w:r>
          </w:p>
        </w:tc>
        <w:tc>
          <w:tcPr>
            <w:tcW w:w="3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20"/>
                <w:szCs w:val="20"/>
                <w:color w:val="auto"/>
              </w:rPr>
            </w:pPr>
            <w:r>
              <w:rPr>
                <w:rFonts w:ascii="Arial" w:cs="Arial" w:eastAsia="Arial" w:hAnsi="Arial"/>
                <w:sz w:val="16"/>
                <w:szCs w:val="16"/>
                <w:color w:val="auto"/>
              </w:rPr>
              <w:t>Professor,</w:t>
            </w:r>
          </w:p>
        </w:tc>
        <w:tc>
          <w:tcPr>
            <w:tcW w:w="3880" w:type="dxa"/>
            <w:vAlign w:val="bottom"/>
          </w:tcPr>
          <w:p>
            <w:pPr>
              <w:ind w:left="600"/>
              <w:spacing w:after="0"/>
              <w:rPr>
                <w:sz w:val="20"/>
                <w:szCs w:val="20"/>
                <w:color w:val="auto"/>
              </w:rPr>
            </w:pPr>
            <w:r>
              <w:rPr>
                <w:rFonts w:ascii="Arial" w:cs="Arial" w:eastAsia="Arial" w:hAnsi="Arial"/>
                <w:sz w:val="14"/>
                <w:szCs w:val="14"/>
                <w:b w:val="1"/>
                <w:bCs w:val="1"/>
                <w:color w:val="auto"/>
              </w:rPr>
              <w:t>AGE 52</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Arial" w:cs="Arial" w:eastAsia="Arial" w:hAnsi="Arial"/>
                <w:sz w:val="16"/>
                <w:szCs w:val="16"/>
                <w:color w:val="auto"/>
              </w:rPr>
              <w:t>Harvard University Kennedy School</w:t>
            </w:r>
          </w:p>
        </w:tc>
        <w:tc>
          <w:tcPr>
            <w:tcW w:w="3880" w:type="dxa"/>
            <w:vAlign w:val="bottom"/>
          </w:tcPr>
          <w:p>
            <w:pPr>
              <w:ind w:left="600"/>
              <w:spacing w:after="0"/>
              <w:rPr>
                <w:sz w:val="20"/>
                <w:szCs w:val="20"/>
                <w:color w:val="auto"/>
              </w:rPr>
            </w:pPr>
            <w:r>
              <w:rPr>
                <w:rFonts w:ascii="Arial" w:cs="Arial" w:eastAsia="Arial" w:hAnsi="Arial"/>
                <w:sz w:val="14"/>
                <w:szCs w:val="14"/>
                <w:b w:val="1"/>
                <w:bCs w:val="1"/>
                <w:color w:val="auto"/>
              </w:rPr>
              <w:t>DIRECTOR SINCE 2017</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3880" w:type="dxa"/>
            <w:vAlign w:val="bottom"/>
          </w:tcPr>
          <w:p>
            <w:pPr>
              <w:ind w:left="600"/>
              <w:spacing w:after="0"/>
              <w:rPr>
                <w:sz w:val="20"/>
                <w:szCs w:val="20"/>
                <w:color w:val="auto"/>
              </w:rPr>
            </w:pPr>
            <w:r>
              <w:rPr>
                <w:rFonts w:ascii="Arial" w:cs="Arial" w:eastAsia="Arial" w:hAnsi="Arial"/>
                <w:sz w:val="14"/>
                <w:szCs w:val="14"/>
                <w:b w:val="1"/>
                <w:bCs w:val="1"/>
                <w:color w:val="auto"/>
              </w:rPr>
              <w:t>BOARD COMMITTEES</w:t>
            </w:r>
          </w:p>
        </w:tc>
        <w:tc>
          <w:tcPr>
            <w:tcW w:w="0" w:type="dxa"/>
            <w:vAlign w:val="bottom"/>
          </w:tcPr>
          <w:p>
            <w:pPr>
              <w:spacing w:after="0"/>
              <w:rPr>
                <w:sz w:val="1"/>
                <w:szCs w:val="1"/>
                <w:color w:val="auto"/>
              </w:rPr>
            </w:pPr>
          </w:p>
        </w:tc>
      </w:tr>
      <w:tr>
        <w:trPr>
          <w:trHeight w:val="189"/>
        </w:trPr>
        <w:tc>
          <w:tcPr>
            <w:tcW w:w="3120" w:type="dxa"/>
            <w:vAlign w:val="bottom"/>
            <w:vMerge w:val="restart"/>
          </w:tcPr>
          <w:p>
            <w:pPr>
              <w:spacing w:after="0"/>
              <w:rPr>
                <w:sz w:val="20"/>
                <w:szCs w:val="20"/>
                <w:color w:val="auto"/>
              </w:rPr>
            </w:pPr>
            <w:r>
              <w:rPr>
                <w:rFonts w:ascii="Arial" w:cs="Arial" w:eastAsia="Arial" w:hAnsi="Arial"/>
                <w:sz w:val="16"/>
                <w:szCs w:val="16"/>
                <w:b w:val="1"/>
                <w:bCs w:val="1"/>
                <w:color w:val="CE0F2D"/>
              </w:rPr>
              <w:t>Key Skills and Expertise</w:t>
            </w:r>
          </w:p>
        </w:tc>
        <w:tc>
          <w:tcPr>
            <w:tcW w:w="3880" w:type="dxa"/>
            <w:vAlign w:val="bottom"/>
          </w:tcPr>
          <w:p>
            <w:pPr>
              <w:ind w:left="600"/>
              <w:spacing w:after="0"/>
              <w:rPr>
                <w:sz w:val="20"/>
                <w:szCs w:val="20"/>
                <w:color w:val="auto"/>
              </w:rPr>
            </w:pPr>
            <w:r>
              <w:rPr>
                <w:rFonts w:ascii="Arial" w:cs="Arial" w:eastAsia="Arial" w:hAnsi="Arial"/>
                <w:sz w:val="14"/>
                <w:szCs w:val="14"/>
                <w:b w:val="1"/>
                <w:bCs w:val="1"/>
                <w:color w:val="auto"/>
              </w:rPr>
              <w:t>Governance and Public Policy, Special Activities</w:t>
            </w:r>
          </w:p>
        </w:tc>
        <w:tc>
          <w:tcPr>
            <w:tcW w:w="0" w:type="dxa"/>
            <w:vAlign w:val="bottom"/>
          </w:tcPr>
          <w:p>
            <w:pPr>
              <w:spacing w:after="0"/>
              <w:rPr>
                <w:sz w:val="1"/>
                <w:szCs w:val="1"/>
                <w:color w:val="auto"/>
              </w:rPr>
            </w:pPr>
          </w:p>
        </w:tc>
      </w:tr>
      <w:tr>
        <w:trPr>
          <w:trHeight w:val="153"/>
        </w:trPr>
        <w:tc>
          <w:tcPr>
            <w:tcW w:w="3120" w:type="dxa"/>
            <w:vAlign w:val="bottom"/>
            <w:vMerge w:val="continue"/>
          </w:tcPr>
          <w:p>
            <w:pPr>
              <w:spacing w:after="0"/>
              <w:rPr>
                <w:sz w:val="13"/>
                <w:szCs w:val="13"/>
                <w:color w:val="auto"/>
              </w:rPr>
            </w:pPr>
          </w:p>
        </w:tc>
        <w:tc>
          <w:tcPr>
            <w:tcW w:w="38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4"/>
          <w:szCs w:val="14"/>
          <w:color w:val="auto"/>
        </w:rPr>
        <w:t>Dr. O’Sullivan brings to the Board substantial international public policy, national security and strategic planning experience developed through her numerous leadership positions in the U.S. government, which include service as the Deputy National Security Advisor for Iraq and Afghanistan, and her current role as the Jeane Kirkpatrick Professor of the Practice of International Affairs at Harvard University’s Kennedy School. Through this experience, combined with her advisory roles with numerous public policy and other organizations, she provides critical insights on public policy and security matters as well as international affairs.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380" w:hanging="233"/>
        <w:spacing w:after="0" w:line="254" w:lineRule="auto"/>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Jeane Kirkpatrick Professor of the Practice of International Affairs, Harvard University Kennedy School (higher education), since 2009</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North America Chair, The Trilateral Commission, since 2018</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Vice Chair of All Party Talks in Northern Ireland, 2013</w:t>
      </w:r>
    </w:p>
    <w:p>
      <w:pPr>
        <w:spacing w:after="0" w:line="53" w:lineRule="exact"/>
        <w:rPr>
          <w:rFonts w:ascii="Arial" w:cs="Arial" w:eastAsia="Arial" w:hAnsi="Arial"/>
          <w:sz w:val="14"/>
          <w:szCs w:val="14"/>
          <w:color w:val="CE0F2D"/>
        </w:rPr>
      </w:pPr>
    </w:p>
    <w:p>
      <w:pPr>
        <w:ind w:left="240" w:right="460" w:hanging="233"/>
        <w:spacing w:after="0" w:line="254" w:lineRule="auto"/>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Director of the Geopolitics of Energy Project, Harvard University Kennedy School, since 2011</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Lecturer and Senior Fellow, Harvard University Kennedy School, 2008–2009</w:t>
      </w:r>
    </w:p>
    <w:p>
      <w:pPr>
        <w:spacing w:after="0" w:line="53" w:lineRule="exact"/>
        <w:rPr>
          <w:rFonts w:ascii="Arial" w:cs="Arial" w:eastAsia="Arial" w:hAnsi="Arial"/>
          <w:sz w:val="14"/>
          <w:szCs w:val="14"/>
          <w:color w:val="CE0F2D"/>
        </w:rPr>
      </w:pPr>
    </w:p>
    <w:p>
      <w:pPr>
        <w:ind w:left="240" w:right="280" w:hanging="233"/>
        <w:spacing w:after="0" w:line="254" w:lineRule="auto"/>
        <w:tabs>
          <w:tab w:leader="none" w:pos="240" w:val="left"/>
        </w:tabs>
        <w:numPr>
          <w:ilvl w:val="0"/>
          <w:numId w:val="65"/>
        </w:numPr>
        <w:rPr>
          <w:rFonts w:ascii="Arial" w:cs="Arial" w:eastAsia="Arial" w:hAnsi="Arial"/>
          <w:sz w:val="14"/>
          <w:szCs w:val="14"/>
          <w:color w:val="CE0F2D"/>
        </w:rPr>
      </w:pPr>
      <w:r>
        <w:rPr>
          <w:rFonts w:ascii="Arial" w:cs="Arial" w:eastAsia="Arial" w:hAnsi="Arial"/>
          <w:sz w:val="14"/>
          <w:szCs w:val="14"/>
          <w:color w:val="auto"/>
        </w:rPr>
        <w:t>Deputy National Security Advisor for Iraq and Afghanistan, National Security Council, 2005–2007</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ind w:left="240" w:hanging="231"/>
        <w:spacing w:after="0"/>
        <w:tabs>
          <w:tab w:leader="none" w:pos="240" w:val="left"/>
        </w:tabs>
        <w:numPr>
          <w:ilvl w:val="0"/>
          <w:numId w:val="66"/>
        </w:numPr>
        <w:rPr>
          <w:rFonts w:ascii="Arial" w:cs="Arial" w:eastAsia="Arial" w:hAnsi="Arial"/>
          <w:sz w:val="14"/>
          <w:szCs w:val="14"/>
          <w:color w:val="CE0F2D"/>
        </w:rPr>
      </w:pPr>
      <w:r>
        <w:rPr>
          <w:rFonts w:ascii="Arial" w:cs="Arial" w:eastAsia="Arial" w:hAnsi="Arial"/>
          <w:sz w:val="14"/>
          <w:szCs w:val="14"/>
          <w:color w:val="auto"/>
        </w:rPr>
        <w:t>Special Assistant to the President, National Security Council, 2004–2007</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6"/>
        </w:numPr>
        <w:rPr>
          <w:rFonts w:ascii="Arial" w:cs="Arial" w:eastAsia="Arial" w:hAnsi="Arial"/>
          <w:sz w:val="14"/>
          <w:szCs w:val="14"/>
          <w:color w:val="CE0F2D"/>
        </w:rPr>
      </w:pPr>
      <w:r>
        <w:rPr>
          <w:rFonts w:ascii="Arial" w:cs="Arial" w:eastAsia="Arial" w:hAnsi="Arial"/>
          <w:sz w:val="14"/>
          <w:szCs w:val="14"/>
          <w:color w:val="auto"/>
        </w:rPr>
        <w:t>Deputy Director (Governance), Iraq Coalition Provisional Authority, 2003–2004</w:t>
      </w:r>
    </w:p>
    <w:p>
      <w:pPr>
        <w:spacing w:after="0" w:line="53" w:lineRule="exact"/>
        <w:rPr>
          <w:rFonts w:ascii="Arial" w:cs="Arial" w:eastAsia="Arial" w:hAnsi="Arial"/>
          <w:sz w:val="14"/>
          <w:szCs w:val="14"/>
          <w:color w:val="CE0F2D"/>
        </w:rPr>
      </w:pPr>
    </w:p>
    <w:p>
      <w:pPr>
        <w:ind w:left="240" w:right="100" w:hanging="231"/>
        <w:spacing w:after="0" w:line="254" w:lineRule="auto"/>
        <w:tabs>
          <w:tab w:leader="none" w:pos="240" w:val="left"/>
        </w:tabs>
        <w:numPr>
          <w:ilvl w:val="0"/>
          <w:numId w:val="66"/>
        </w:numPr>
        <w:rPr>
          <w:rFonts w:ascii="Arial" w:cs="Arial" w:eastAsia="Arial" w:hAnsi="Arial"/>
          <w:sz w:val="14"/>
          <w:szCs w:val="14"/>
          <w:color w:val="CE0F2D"/>
        </w:rPr>
      </w:pPr>
      <w:r>
        <w:rPr>
          <w:rFonts w:ascii="Arial" w:cs="Arial" w:eastAsia="Arial" w:hAnsi="Arial"/>
          <w:sz w:val="14"/>
          <w:szCs w:val="14"/>
          <w:color w:val="auto"/>
        </w:rPr>
        <w:t>Principal Advisor to the President’s Special Envoy to the Northern Ireland Peace Process, U.S. Department of State, 2001–2003</w:t>
      </w:r>
    </w:p>
    <w:p>
      <w:pPr>
        <w:spacing w:after="0" w:line="34" w:lineRule="exact"/>
        <w:rPr>
          <w:rFonts w:ascii="Arial" w:cs="Arial" w:eastAsia="Arial" w:hAnsi="Arial"/>
          <w:sz w:val="14"/>
          <w:szCs w:val="14"/>
          <w:color w:val="CE0F2D"/>
        </w:rPr>
      </w:pPr>
    </w:p>
    <w:p>
      <w:pPr>
        <w:ind w:left="240" w:hanging="231"/>
        <w:spacing w:after="0"/>
        <w:tabs>
          <w:tab w:leader="none" w:pos="240" w:val="left"/>
        </w:tabs>
        <w:numPr>
          <w:ilvl w:val="0"/>
          <w:numId w:val="66"/>
        </w:numPr>
        <w:rPr>
          <w:rFonts w:ascii="Arial" w:cs="Arial" w:eastAsia="Arial" w:hAnsi="Arial"/>
          <w:sz w:val="14"/>
          <w:szCs w:val="14"/>
          <w:color w:val="CE0F2D"/>
        </w:rPr>
      </w:pPr>
      <w:r>
        <w:rPr>
          <w:rFonts w:ascii="Arial" w:cs="Arial" w:eastAsia="Arial" w:hAnsi="Arial"/>
          <w:sz w:val="14"/>
          <w:szCs w:val="14"/>
          <w:color w:val="auto"/>
        </w:rPr>
        <w:t>Fellow, The Brookings Institution, 1997–2001</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Board of Directors, The Council on Foreign Relations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Board of Trustees, The International Crisis Group</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Board of Directors, The Mission Continues, a veterans organization</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International Advisory Board, Linklaters LLP</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Steering Committee, The Leadership Council for Women in National Security</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Advisory Board, Columbia University’s Center on Global Energy Policy</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Advisory Council, George W. Bush Institute Women’s Initiative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Senior Advisor, Macro Advisory Partners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7"/>
        </w:numPr>
        <w:rPr>
          <w:rFonts w:ascii="Arial" w:cs="Arial" w:eastAsia="Arial" w:hAnsi="Arial"/>
          <w:sz w:val="14"/>
          <w:szCs w:val="14"/>
          <w:color w:val="CE0F2D"/>
        </w:rPr>
      </w:pPr>
      <w:r>
        <w:rPr>
          <w:rFonts w:ascii="Arial" w:cs="Arial" w:eastAsia="Arial" w:hAnsi="Arial"/>
          <w:sz w:val="14"/>
          <w:szCs w:val="14"/>
          <w:color w:val="auto"/>
        </w:rPr>
        <w:t>Member of Aspen Strategy Group</w:t>
      </w:r>
    </w:p>
    <w:p>
      <w:pPr>
        <w:spacing w:after="0" w:line="200" w:lineRule="exact"/>
        <w:rPr>
          <w:sz w:val="20"/>
          <w:szCs w:val="20"/>
          <w:color w:val="auto"/>
        </w:rPr>
      </w:pPr>
    </w:p>
    <w:p>
      <w:pPr>
        <w:spacing w:after="0" w:line="35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71120</wp:posOffset>
            </wp:positionV>
            <wp:extent cx="715454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40" w:space="500"/>
            <w:col w:w="5400"/>
          </w:cols>
          <w:pgMar w:left="320" w:top="118" w:right="339" w:bottom="1440"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2585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3590" cy="1258570"/>
                    </a:xfrm>
                    <a:prstGeom prst="rect">
                      <a:avLst/>
                    </a:prstGeom>
                    <a:noFill/>
                  </pic:spPr>
                </pic:pic>
              </a:graphicData>
            </a:graphic>
          </wp:anchor>
        </w:drawing>
      </w:r>
    </w:p>
    <w:p>
      <w:pPr>
        <w:spacing w:after="0" w:line="202"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Dinesh C. Paliwal</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180"/>
              <w:spacing w:after="0"/>
              <w:rPr>
                <w:sz w:val="20"/>
                <w:szCs w:val="20"/>
                <w:color w:val="auto"/>
              </w:rPr>
            </w:pPr>
            <w:r>
              <w:rPr>
                <w:rFonts w:ascii="Arial" w:cs="Arial" w:eastAsia="Arial" w:hAnsi="Arial"/>
                <w:sz w:val="15"/>
                <w:szCs w:val="15"/>
                <w:color w:val="auto"/>
              </w:rPr>
              <w:t>INDEPENDENT LEAD DIRECTOR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64</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00" w:type="dxa"/>
            <w:vAlign w:val="bottom"/>
            <w:vMerge w:val="restart"/>
          </w:tcPr>
          <w:p>
            <w:pPr>
              <w:ind w:left="180"/>
              <w:spacing w:after="0"/>
              <w:rPr>
                <w:sz w:val="20"/>
                <w:szCs w:val="20"/>
                <w:color w:val="auto"/>
              </w:rPr>
            </w:pPr>
            <w:r>
              <w:rPr>
                <w:rFonts w:ascii="Arial" w:cs="Arial" w:eastAsia="Arial" w:hAnsi="Arial"/>
                <w:sz w:val="16"/>
                <w:szCs w:val="16"/>
                <w:color w:val="auto"/>
              </w:rPr>
              <w:t>Partner, Americas Private Equity, KKR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2020 (2016*)</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500" w:type="dxa"/>
            <w:vAlign w:val="bottom"/>
            <w:vMerge w:val="continue"/>
          </w:tcPr>
          <w:p>
            <w:pPr>
              <w:spacing w:after="0"/>
              <w:rPr>
                <w:sz w:val="4"/>
                <w:szCs w:val="4"/>
                <w:color w:val="auto"/>
              </w:rPr>
            </w:pPr>
          </w:p>
        </w:tc>
        <w:tc>
          <w:tcPr>
            <w:tcW w:w="3380" w:type="dxa"/>
            <w:vAlign w:val="bottom"/>
            <w:vMerge w:val="restart"/>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500" w:type="dxa"/>
            <w:vAlign w:val="bottom"/>
          </w:tcPr>
          <w:p>
            <w:pPr>
              <w:ind w:left="180"/>
              <w:spacing w:after="0"/>
              <w:rPr>
                <w:sz w:val="20"/>
                <w:szCs w:val="20"/>
                <w:color w:val="auto"/>
              </w:rPr>
            </w:pPr>
            <w:r>
              <w:rPr>
                <w:rFonts w:ascii="Arial" w:cs="Arial" w:eastAsia="Arial" w:hAnsi="Arial"/>
                <w:sz w:val="16"/>
                <w:szCs w:val="16"/>
                <w:color w:val="auto"/>
              </w:rPr>
              <w:t>Retired Chairman &amp; CEO, Harman International</w:t>
            </w:r>
          </w:p>
        </w:tc>
        <w:tc>
          <w:tcPr>
            <w:tcW w:w="3380" w:type="dxa"/>
            <w:vAlign w:val="bottom"/>
            <w:vMerge w:val="continue"/>
            <w:shd w:val="clear" w:color="auto" w:fill="EDEDED"/>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50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Governance and Public Policy,</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500" w:type="dxa"/>
            <w:vAlign w:val="bottom"/>
            <w:vMerge w:val="continue"/>
          </w:tcPr>
          <w:p>
            <w:pPr>
              <w:spacing w:after="0"/>
              <w:rPr>
                <w:sz w:val="16"/>
                <w:szCs w:val="16"/>
                <w:color w:val="auto"/>
              </w:rPr>
            </w:pP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Human Capital &amp; Compensation</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4500" w:type="dxa"/>
            <w:vAlign w:val="bottom"/>
          </w:tcPr>
          <w:p>
            <w:pPr>
              <w:spacing w:after="0"/>
              <w:rPr>
                <w:sz w:val="9"/>
                <w:szCs w:val="9"/>
                <w:color w:val="auto"/>
              </w:rPr>
            </w:pPr>
          </w:p>
        </w:tc>
        <w:tc>
          <w:tcPr>
            <w:tcW w:w="3380" w:type="dxa"/>
            <w:vAlign w:val="bottom"/>
            <w:shd w:val="clear" w:color="auto" w:fill="EDEDED"/>
          </w:tcPr>
          <w:p>
            <w:pPr>
              <w:spacing w:after="0"/>
              <w:rPr>
                <w:sz w:val="9"/>
                <w:szCs w:val="9"/>
                <w:color w:val="auto"/>
              </w:rPr>
            </w:pPr>
          </w:p>
        </w:tc>
        <w:tc>
          <w:tcPr>
            <w:tcW w:w="3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48"/>
        </w:trPr>
        <w:tc>
          <w:tcPr>
            <w:tcW w:w="4500" w:type="dxa"/>
            <w:vAlign w:val="bottom"/>
            <w:shd w:val="clear" w:color="auto" w:fill="EDEDED"/>
          </w:tcPr>
          <w:p>
            <w:pPr>
              <w:spacing w:after="0"/>
              <w:rPr>
                <w:sz w:val="24"/>
                <w:szCs w:val="24"/>
                <w:color w:val="auto"/>
              </w:rPr>
            </w:pP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00" w:type="dxa"/>
            <w:vAlign w:val="bottom"/>
            <w:shd w:val="clear" w:color="auto" w:fill="CE0F2D"/>
          </w:tcPr>
          <w:p>
            <w:pPr>
              <w:spacing w:after="0"/>
              <w:rPr>
                <w:sz w:val="6"/>
                <w:szCs w:val="6"/>
                <w:color w:val="auto"/>
              </w:rPr>
            </w:pPr>
          </w:p>
        </w:tc>
        <w:tc>
          <w:tcPr>
            <w:tcW w:w="338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-245745</wp:posOffset>
            </wp:positionV>
            <wp:extent cx="4217035" cy="1612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clrChange>
                        <a:clrFrom>
                          <a:srgbClr val="000000"/>
                        </a:clrFrom>
                        <a:clrTo>
                          <a:srgbClr val="000000">
                            <a:alpha val="0"/>
                          </a:srgbClr>
                        </a:clrTo>
                      </a:clrChange>
                      <a:extLst>
                        <a:ext uri="{28A0092B-C50C-407E-A947-70E740481C1C}"/>
                      </a:extLst>
                    </a:blip>
                    <a:srcRect/>
                    <a:stretch>
                      <a:fillRect/>
                    </a:stretch>
                  </pic:blipFill>
                  <pic:spPr bwMode="auto">
                    <a:xfrm>
                      <a:off x="0" y="0"/>
                      <a:ext cx="4217035" cy="1612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-245745</wp:posOffset>
            </wp:positionV>
            <wp:extent cx="4217035" cy="1612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4217035" cy="161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Mr. Paliwal brings to the Board executive leadership experience and global management and operational expertise developed through his CEO and other senior leadership roles at Harman International and the ABB Group and his current and past director roles on the boards of other large, complex global commercial companies. He has significant experience in technology innovation, product development, strategic planning, finance, mergers and acquisitions, and risk management.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480" w:hanging="233"/>
        <w:spacing w:after="0" w:line="254" w:lineRule="auto"/>
        <w:tabs>
          <w:tab w:leader="none" w:pos="240" w:val="left"/>
        </w:tabs>
        <w:numPr>
          <w:ilvl w:val="0"/>
          <w:numId w:val="68"/>
        </w:numPr>
        <w:rPr>
          <w:rFonts w:ascii="Arial" w:cs="Arial" w:eastAsia="Arial" w:hAnsi="Arial"/>
          <w:sz w:val="14"/>
          <w:szCs w:val="14"/>
          <w:color w:val="CE0F2D"/>
        </w:rPr>
      </w:pPr>
      <w:r>
        <w:rPr>
          <w:rFonts w:ascii="Arial" w:cs="Arial" w:eastAsia="Arial" w:hAnsi="Arial"/>
          <w:sz w:val="14"/>
          <w:szCs w:val="14"/>
          <w:color w:val="auto"/>
        </w:rPr>
        <w:t>Partner, Americas Private Equity, KKR (private equity investments), since October 2021</w:t>
      </w:r>
    </w:p>
    <w:p>
      <w:pPr>
        <w:spacing w:after="0" w:line="34" w:lineRule="exact"/>
        <w:rPr>
          <w:rFonts w:ascii="Arial" w:cs="Arial" w:eastAsia="Arial" w:hAnsi="Arial"/>
          <w:sz w:val="14"/>
          <w:szCs w:val="14"/>
          <w:color w:val="CE0F2D"/>
        </w:rPr>
      </w:pPr>
    </w:p>
    <w:p>
      <w:pPr>
        <w:ind w:left="240" w:right="40" w:hanging="233"/>
        <w:spacing w:after="0" w:line="254" w:lineRule="auto"/>
        <w:tabs>
          <w:tab w:leader="none" w:pos="240" w:val="left"/>
        </w:tabs>
        <w:numPr>
          <w:ilvl w:val="0"/>
          <w:numId w:val="68"/>
        </w:numPr>
        <w:rPr>
          <w:rFonts w:ascii="Arial" w:cs="Arial" w:eastAsia="Arial" w:hAnsi="Arial"/>
          <w:sz w:val="14"/>
          <w:szCs w:val="14"/>
          <w:color w:val="CE0F2D"/>
        </w:rPr>
      </w:pPr>
      <w:r>
        <w:rPr>
          <w:rFonts w:ascii="Arial" w:cs="Arial" w:eastAsia="Arial" w:hAnsi="Arial"/>
          <w:sz w:val="14"/>
          <w:szCs w:val="14"/>
          <w:color w:val="auto"/>
        </w:rPr>
        <w:t>President &amp; Chief Executive Officer, Harman International Inc. (connected products and solutions for automakers, consumers and enterprises), 2017–2020</w:t>
      </w:r>
    </w:p>
    <w:p>
      <w:pPr>
        <w:spacing w:after="0" w:line="34" w:lineRule="exact"/>
        <w:rPr>
          <w:rFonts w:ascii="Arial" w:cs="Arial" w:eastAsia="Arial" w:hAnsi="Arial"/>
          <w:sz w:val="14"/>
          <w:szCs w:val="14"/>
          <w:color w:val="CE0F2D"/>
        </w:rPr>
      </w:pPr>
    </w:p>
    <w:p>
      <w:pPr>
        <w:ind w:left="240" w:right="200" w:hanging="233"/>
        <w:spacing w:after="0" w:line="254" w:lineRule="auto"/>
        <w:tabs>
          <w:tab w:leader="none" w:pos="240" w:val="left"/>
        </w:tabs>
        <w:numPr>
          <w:ilvl w:val="0"/>
          <w:numId w:val="68"/>
        </w:numPr>
        <w:rPr>
          <w:rFonts w:ascii="Arial" w:cs="Arial" w:eastAsia="Arial" w:hAnsi="Arial"/>
          <w:sz w:val="14"/>
          <w:szCs w:val="14"/>
          <w:color w:val="CE0F2D"/>
        </w:rPr>
      </w:pPr>
      <w:r>
        <w:rPr>
          <w:rFonts w:ascii="Arial" w:cs="Arial" w:eastAsia="Arial" w:hAnsi="Arial"/>
          <w:sz w:val="14"/>
          <w:szCs w:val="14"/>
          <w:color w:val="auto"/>
        </w:rPr>
        <w:t>Chairman, CEO &amp; President, Harman International (NYSE: HAR), 2007–2017 (Samsung acquired Harman in 2017)</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68"/>
        </w:numPr>
        <w:rPr>
          <w:rFonts w:ascii="Arial" w:cs="Arial" w:eastAsia="Arial" w:hAnsi="Arial"/>
          <w:sz w:val="14"/>
          <w:szCs w:val="14"/>
          <w:color w:val="CE0F2D"/>
        </w:rPr>
      </w:pPr>
      <w:r>
        <w:rPr>
          <w:rFonts w:ascii="Arial" w:cs="Arial" w:eastAsia="Arial" w:hAnsi="Arial"/>
          <w:sz w:val="14"/>
          <w:szCs w:val="14"/>
          <w:color w:val="auto"/>
        </w:rPr>
        <w:t>President, ABB Ltd. Switzerland, 2006–2007</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240" w:hanging="231"/>
        <w:spacing w:after="0"/>
        <w:tabs>
          <w:tab w:leader="none" w:pos="240" w:val="left"/>
        </w:tabs>
        <w:numPr>
          <w:ilvl w:val="0"/>
          <w:numId w:val="69"/>
        </w:numPr>
        <w:rPr>
          <w:rFonts w:ascii="Arial" w:cs="Arial" w:eastAsia="Arial" w:hAnsi="Arial"/>
          <w:sz w:val="14"/>
          <w:szCs w:val="14"/>
          <w:color w:val="CE0F2D"/>
        </w:rPr>
      </w:pPr>
      <w:r>
        <w:rPr>
          <w:rFonts w:ascii="Arial" w:cs="Arial" w:eastAsia="Arial" w:hAnsi="Arial"/>
          <w:sz w:val="14"/>
          <w:szCs w:val="14"/>
          <w:color w:val="auto"/>
        </w:rPr>
        <w:t>Chairman and CEO, ABB Inc. USA, 2004–2007</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69"/>
        </w:numPr>
        <w:rPr>
          <w:rFonts w:ascii="Arial" w:cs="Arial" w:eastAsia="Arial" w:hAnsi="Arial"/>
          <w:sz w:val="14"/>
          <w:szCs w:val="14"/>
          <w:color w:val="CE0F2D"/>
        </w:rPr>
      </w:pPr>
      <w:r>
        <w:rPr>
          <w:rFonts w:ascii="Arial" w:cs="Arial" w:eastAsia="Arial" w:hAnsi="Arial"/>
          <w:sz w:val="14"/>
          <w:szCs w:val="14"/>
          <w:color w:val="auto"/>
        </w:rPr>
        <w:t>President, ABB Automation, 2002–2005</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70"/>
        </w:numPr>
        <w:rPr>
          <w:rFonts w:ascii="Arial" w:cs="Arial" w:eastAsia="Arial" w:hAnsi="Arial"/>
          <w:sz w:val="14"/>
          <w:szCs w:val="14"/>
          <w:color w:val="CE0F2D"/>
        </w:rPr>
      </w:pPr>
      <w:r>
        <w:rPr>
          <w:rFonts w:ascii="Arial" w:cs="Arial" w:eastAsia="Arial" w:hAnsi="Arial"/>
          <w:sz w:val="14"/>
          <w:szCs w:val="14"/>
          <w:color w:val="auto"/>
        </w:rPr>
        <w:t>Nestle S.A., since 2019</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0"/>
        </w:numPr>
        <w:rPr>
          <w:rFonts w:ascii="Arial" w:cs="Arial" w:eastAsia="Arial" w:hAnsi="Arial"/>
          <w:sz w:val="14"/>
          <w:szCs w:val="14"/>
          <w:color w:val="CE0F2D"/>
        </w:rPr>
      </w:pPr>
      <w:r>
        <w:rPr>
          <w:rFonts w:ascii="Arial" w:cs="Arial" w:eastAsia="Arial" w:hAnsi="Arial"/>
          <w:sz w:val="14"/>
          <w:szCs w:val="14"/>
          <w:color w:val="auto"/>
        </w:rPr>
        <w:t>Marelli Corp. (non-public)</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80" w:lineRule="exact"/>
        <w:rPr>
          <w:sz w:val="20"/>
          <w:szCs w:val="20"/>
          <w:color w:val="auto"/>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Bristol-Myers Squibb, 2013–May 2021</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Raytheon Company, 2016–2020</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Harman International Inc., 2007–2017</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ADT Corporation, 2012–2014</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Tyco International Ltd., 2010–2012</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Embarq Corporation (Telecom), 2006–2009</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71"/>
        </w:numPr>
        <w:rPr>
          <w:rFonts w:ascii="Arial" w:cs="Arial" w:eastAsia="Arial" w:hAnsi="Arial"/>
          <w:sz w:val="14"/>
          <w:szCs w:val="14"/>
          <w:color w:val="CE0F2D"/>
        </w:rPr>
      </w:pPr>
      <w:r>
        <w:rPr>
          <w:rFonts w:ascii="Arial" w:cs="Arial" w:eastAsia="Arial" w:hAnsi="Arial"/>
          <w:sz w:val="14"/>
          <w:szCs w:val="14"/>
          <w:color w:val="auto"/>
        </w:rPr>
        <w:t>ABB India Ltd. 2003–2007</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72"/>
        </w:numPr>
        <w:rPr>
          <w:rFonts w:ascii="Arial" w:cs="Arial" w:eastAsia="Arial" w:hAnsi="Arial"/>
          <w:sz w:val="14"/>
          <w:szCs w:val="14"/>
          <w:color w:val="CE0F2D"/>
        </w:rPr>
      </w:pPr>
      <w:r>
        <w:rPr>
          <w:rFonts w:ascii="Arial" w:cs="Arial" w:eastAsia="Arial" w:hAnsi="Arial"/>
          <w:sz w:val="14"/>
          <w:szCs w:val="14"/>
          <w:color w:val="auto"/>
        </w:rPr>
        <w:t>Board of Trustees, Miami University, Ohio</w:t>
      </w:r>
    </w:p>
    <w:p>
      <w:pPr>
        <w:spacing w:after="0" w:line="42"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2"/>
          <w:szCs w:val="12"/>
          <w:color w:val="auto"/>
        </w:rPr>
        <w:t>*   Reflects service as RTN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128905</wp:posOffset>
            </wp:positionV>
            <wp:extent cx="7133590" cy="12839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3590" cy="1283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500"/>
            <w:col w:w="5400"/>
          </w:cols>
          <w:pgMar w:left="320" w:top="118" w:right="339" w:bottom="1440" w:gutter="0" w:footer="0" w:header="0"/>
          <w:type w:val="continuous"/>
        </w:sectPr>
      </w:pPr>
    </w:p>
    <w:p>
      <w:pPr>
        <w:spacing w:after="0" w:line="48"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Ellen M. Pawlikowski</w:t>
      </w:r>
    </w:p>
    <w:p>
      <w:pPr>
        <w:spacing w:after="0" w:line="100"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5"/>
          <w:szCs w:val="15"/>
          <w:color w:val="auto"/>
        </w:rPr>
        <w:t>INDEPENDENT DIRECTOR</w:t>
      </w:r>
      <w:r>
        <w:rPr>
          <w:sz w:val="20"/>
          <w:szCs w:val="20"/>
          <w:color w:val="auto"/>
        </w:rPr>
        <w:tab/>
      </w:r>
      <w:r>
        <w:rPr>
          <w:rFonts w:ascii="Arial" w:cs="Arial" w:eastAsia="Arial" w:hAnsi="Arial"/>
          <w:sz w:val="14"/>
          <w:szCs w:val="14"/>
          <w:b w:val="1"/>
          <w:bCs w:val="1"/>
          <w:color w:val="auto"/>
        </w:rPr>
        <w:t>AGE 65</w:t>
      </w:r>
    </w:p>
    <w:p>
      <w:pPr>
        <w:spacing w:after="0" w:line="3" w:lineRule="exact"/>
        <w:rPr>
          <w:sz w:val="20"/>
          <w:szCs w:val="20"/>
          <w:color w:val="auto"/>
        </w:rPr>
      </w:pPr>
    </w:p>
    <w:p>
      <w:pPr>
        <w:jc w:val="right"/>
        <w:ind w:right="4660"/>
        <w:spacing w:after="0"/>
        <w:rPr>
          <w:sz w:val="20"/>
          <w:szCs w:val="20"/>
          <w:color w:val="auto"/>
        </w:rPr>
      </w:pPr>
      <w:r>
        <w:rPr>
          <w:rFonts w:ascii="Arial" w:cs="Arial" w:eastAsia="Arial" w:hAnsi="Arial"/>
          <w:sz w:val="14"/>
          <w:szCs w:val="14"/>
          <w:b w:val="1"/>
          <w:bCs w:val="1"/>
          <w:color w:val="auto"/>
        </w:rPr>
        <w:t>DIRECTOR SINCE 2020 (2018*)</w:t>
      </w:r>
    </w:p>
    <w:p>
      <w:pPr>
        <w:ind w:left="180"/>
        <w:spacing w:after="0" w:line="191" w:lineRule="auto"/>
        <w:rPr>
          <w:sz w:val="20"/>
          <w:szCs w:val="20"/>
          <w:color w:val="auto"/>
        </w:rPr>
      </w:pPr>
      <w:r>
        <w:rPr>
          <w:rFonts w:ascii="Arial" w:cs="Arial" w:eastAsia="Arial" w:hAnsi="Arial"/>
          <w:sz w:val="12"/>
          <w:szCs w:val="12"/>
          <w:color w:val="auto"/>
        </w:rPr>
        <w:t>General, U.S. Air Force (Retired) and Former</w:t>
      </w:r>
    </w:p>
    <w:p>
      <w:pPr>
        <w:ind w:left="180"/>
        <w:spacing w:after="0" w:line="186" w:lineRule="auto"/>
        <w:tabs>
          <w:tab w:leader="none" w:pos="4480" w:val="left"/>
        </w:tabs>
        <w:rPr>
          <w:sz w:val="20"/>
          <w:szCs w:val="20"/>
          <w:color w:val="auto"/>
        </w:rPr>
      </w:pPr>
      <w:r>
        <w:rPr>
          <w:rFonts w:ascii="Arial" w:cs="Arial" w:eastAsia="Arial" w:hAnsi="Arial"/>
          <w:sz w:val="9"/>
          <w:szCs w:val="9"/>
          <w:color w:val="auto"/>
        </w:rPr>
        <w:t>Commander, Air Force Materiel Command</w:t>
      </w:r>
      <w:r>
        <w:rPr>
          <w:sz w:val="20"/>
          <w:szCs w:val="20"/>
          <w:color w:val="auto"/>
        </w:rPr>
        <w:tab/>
      </w:r>
      <w:r>
        <w:rPr>
          <w:rFonts w:ascii="Arial" w:cs="Arial" w:eastAsia="Arial" w:hAnsi="Arial"/>
          <w:sz w:val="18"/>
          <w:szCs w:val="18"/>
          <w:b w:val="1"/>
          <w:bCs w:val="1"/>
          <w:color w:val="auto"/>
          <w:vertAlign w:val="superscript"/>
        </w:rPr>
        <w:t>BOARD COMMITTEES</w:t>
      </w:r>
    </w:p>
    <w:p>
      <w:pPr>
        <w:ind w:left="4500"/>
        <w:spacing w:after="0"/>
        <w:rPr>
          <w:sz w:val="20"/>
          <w:szCs w:val="20"/>
          <w:color w:val="auto"/>
        </w:rPr>
      </w:pPr>
      <w:r>
        <w:rPr>
          <w:rFonts w:ascii="Arial" w:cs="Arial" w:eastAsia="Arial" w:hAnsi="Arial"/>
          <w:sz w:val="14"/>
          <w:szCs w:val="14"/>
          <w:b w:val="1"/>
          <w:bCs w:val="1"/>
          <w:color w:val="auto"/>
        </w:rPr>
        <w:t>Audit, Special Activities</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CE0F2D"/>
        </w:rPr>
        <w:t>Key Skills and Expertise</w:t>
      </w:r>
    </w:p>
    <w:p>
      <w:pPr>
        <w:sectPr>
          <w:pgSz w:w="11900" w:h="16838" w:orient="portrait"/>
          <w:cols w:equalWidth="0" w:num="1">
            <w:col w:w="112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ind w:right="60"/>
        <w:spacing w:after="0" w:line="242" w:lineRule="auto"/>
        <w:rPr>
          <w:sz w:val="20"/>
          <w:szCs w:val="20"/>
          <w:color w:val="auto"/>
        </w:rPr>
      </w:pPr>
      <w:r>
        <w:rPr>
          <w:rFonts w:ascii="Arial" w:cs="Arial" w:eastAsia="Arial" w:hAnsi="Arial"/>
          <w:sz w:val="14"/>
          <w:szCs w:val="14"/>
          <w:color w:val="auto"/>
        </w:rPr>
        <w:t>General Pawlikowski delivers deep defense industry-specific expertise, senior leadership experience, and understanding of leading-edge science and technology through her extensive military service, including as Commander, U.S. Air Force Materiel Command. She provides the Board with important insights regarding warfighter critical mission needs, advanced weapons systems management, and acquisition and national security policy.</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hanging="233"/>
        <w:spacing w:after="0" w:line="254" w:lineRule="auto"/>
        <w:tabs>
          <w:tab w:leader="none" w:pos="240" w:val="left"/>
        </w:tabs>
        <w:numPr>
          <w:ilvl w:val="0"/>
          <w:numId w:val="73"/>
        </w:numPr>
        <w:rPr>
          <w:rFonts w:ascii="Arial" w:cs="Arial" w:eastAsia="Arial" w:hAnsi="Arial"/>
          <w:sz w:val="14"/>
          <w:szCs w:val="14"/>
          <w:color w:val="CE0F2D"/>
        </w:rPr>
      </w:pPr>
      <w:r>
        <w:rPr>
          <w:rFonts w:ascii="Arial" w:cs="Arial" w:eastAsia="Arial" w:hAnsi="Arial"/>
          <w:sz w:val="14"/>
          <w:szCs w:val="14"/>
          <w:color w:val="auto"/>
        </w:rPr>
        <w:t>Judge Widney Professor of Systems Architecting and Engineering, University of Southern California (higher education), since 2019</w:t>
      </w:r>
    </w:p>
    <w:p>
      <w:pPr>
        <w:spacing w:after="0" w:line="34" w:lineRule="exact"/>
        <w:rPr>
          <w:rFonts w:ascii="Arial" w:cs="Arial" w:eastAsia="Arial" w:hAnsi="Arial"/>
          <w:sz w:val="14"/>
          <w:szCs w:val="14"/>
          <w:color w:val="CE0F2D"/>
        </w:rPr>
      </w:pPr>
    </w:p>
    <w:p>
      <w:pPr>
        <w:ind w:left="240" w:right="600" w:hanging="233"/>
        <w:spacing w:after="0" w:line="254" w:lineRule="auto"/>
        <w:tabs>
          <w:tab w:leader="none" w:pos="240" w:val="left"/>
        </w:tabs>
        <w:numPr>
          <w:ilvl w:val="0"/>
          <w:numId w:val="73"/>
        </w:numPr>
        <w:rPr>
          <w:rFonts w:ascii="Arial" w:cs="Arial" w:eastAsia="Arial" w:hAnsi="Arial"/>
          <w:sz w:val="14"/>
          <w:szCs w:val="14"/>
          <w:color w:val="CE0F2D"/>
        </w:rPr>
      </w:pPr>
      <w:r>
        <w:rPr>
          <w:rFonts w:ascii="Arial" w:cs="Arial" w:eastAsia="Arial" w:hAnsi="Arial"/>
          <w:sz w:val="14"/>
          <w:szCs w:val="14"/>
          <w:color w:val="auto"/>
        </w:rPr>
        <w:t>Commander, Air Force Materiel Command (military leadership), 2015– 2018</w:t>
      </w:r>
    </w:p>
    <w:p>
      <w:pPr>
        <w:spacing w:after="0" w:line="34" w:lineRule="exact"/>
        <w:rPr>
          <w:rFonts w:ascii="Arial" w:cs="Arial" w:eastAsia="Arial" w:hAnsi="Arial"/>
          <w:sz w:val="14"/>
          <w:szCs w:val="14"/>
          <w:color w:val="CE0F2D"/>
        </w:rPr>
      </w:pPr>
    </w:p>
    <w:p>
      <w:pPr>
        <w:ind w:left="240" w:right="20" w:hanging="233"/>
        <w:spacing w:after="0" w:line="243" w:lineRule="auto"/>
        <w:tabs>
          <w:tab w:leader="none" w:pos="240" w:val="left"/>
        </w:tabs>
        <w:numPr>
          <w:ilvl w:val="0"/>
          <w:numId w:val="73"/>
        </w:numPr>
        <w:rPr>
          <w:rFonts w:ascii="Arial" w:cs="Arial" w:eastAsia="Arial" w:hAnsi="Arial"/>
          <w:sz w:val="14"/>
          <w:szCs w:val="14"/>
          <w:color w:val="CE0F2D"/>
        </w:rPr>
      </w:pPr>
      <w:r>
        <w:rPr>
          <w:rFonts w:ascii="Arial" w:cs="Arial" w:eastAsia="Arial" w:hAnsi="Arial"/>
          <w:sz w:val="14"/>
          <w:szCs w:val="14"/>
          <w:color w:val="auto"/>
        </w:rPr>
        <w:t>Various positions of increasing responsibility during a 36-year career in the U.S. Air Force, including Military Deputy for the Assistant Secretary for Acquisition; Commander/Program Executive Officer, Space and Missile Systems Center; Commander, Air Force Research Laboratory; Deputy Director and Chief Operating Officer, National Reconnaissance Office</w:t>
      </w:r>
    </w:p>
    <w:p>
      <w:pPr>
        <w:spacing w:after="0" w:line="93" w:lineRule="exact"/>
        <w:rPr>
          <w:sz w:val="20"/>
          <w:szCs w:val="20"/>
          <w:color w:val="auto"/>
        </w:rPr>
      </w:pPr>
    </w:p>
    <w:p>
      <w:pPr>
        <w:ind w:left="260" w:hanging="253"/>
        <w:spacing w:after="0"/>
        <w:tabs>
          <w:tab w:leader="none" w:pos="260" w:val="left"/>
        </w:tabs>
        <w:numPr>
          <w:ilvl w:val="0"/>
          <w:numId w:val="74"/>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21"/>
        <w:spacing w:after="0"/>
        <w:tabs>
          <w:tab w:leader="none" w:pos="240" w:val="left"/>
        </w:tabs>
        <w:numPr>
          <w:ilvl w:val="0"/>
          <w:numId w:val="75"/>
        </w:numPr>
        <w:rPr>
          <w:rFonts w:ascii="Arial" w:cs="Arial" w:eastAsia="Arial" w:hAnsi="Arial"/>
          <w:sz w:val="14"/>
          <w:szCs w:val="14"/>
          <w:color w:val="CE0F2D"/>
        </w:rPr>
      </w:pPr>
      <w:r>
        <w:rPr>
          <w:rFonts w:ascii="Arial" w:cs="Arial" w:eastAsia="Arial" w:hAnsi="Arial"/>
          <w:sz w:val="14"/>
          <w:szCs w:val="14"/>
          <w:color w:val="auto"/>
        </w:rPr>
        <w:t>Velo3D, Inc., effective March 15, 2022</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0"/>
          <w:numId w:val="75"/>
        </w:numPr>
        <w:rPr>
          <w:rFonts w:ascii="Arial" w:cs="Arial" w:eastAsia="Arial" w:hAnsi="Arial"/>
          <w:sz w:val="14"/>
          <w:szCs w:val="14"/>
          <w:color w:val="CE0F2D"/>
        </w:rPr>
      </w:pPr>
      <w:r>
        <w:rPr>
          <w:rFonts w:ascii="Arial" w:cs="Arial" w:eastAsia="Arial" w:hAnsi="Arial"/>
          <w:sz w:val="14"/>
          <w:szCs w:val="14"/>
          <w:color w:val="auto"/>
        </w:rPr>
        <w:t>Applied Research Associates (non-public)</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0"/>
          <w:numId w:val="75"/>
        </w:numPr>
        <w:rPr>
          <w:rFonts w:ascii="Arial" w:cs="Arial" w:eastAsia="Arial" w:hAnsi="Arial"/>
          <w:sz w:val="14"/>
          <w:szCs w:val="14"/>
          <w:color w:val="CE0F2D"/>
        </w:rPr>
      </w:pPr>
      <w:r>
        <w:rPr>
          <w:rFonts w:ascii="Arial" w:cs="Arial" w:eastAsia="Arial" w:hAnsi="Arial"/>
          <w:sz w:val="14"/>
          <w:szCs w:val="14"/>
          <w:color w:val="auto"/>
        </w:rPr>
        <w:t>SRI International (non-public)</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0"/>
          <w:numId w:val="75"/>
        </w:numPr>
        <w:rPr>
          <w:rFonts w:ascii="Arial" w:cs="Arial" w:eastAsia="Arial" w:hAnsi="Arial"/>
          <w:sz w:val="14"/>
          <w:szCs w:val="14"/>
          <w:color w:val="CE0F2D"/>
        </w:rPr>
      </w:pPr>
      <w:r>
        <w:rPr>
          <w:rFonts w:ascii="Arial" w:cs="Arial" w:eastAsia="Arial" w:hAnsi="Arial"/>
          <w:sz w:val="14"/>
          <w:szCs w:val="14"/>
          <w:color w:val="auto"/>
        </w:rPr>
        <w:t>CEM Defense Materials (non-public)</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80" w:lineRule="exact"/>
        <w:rPr>
          <w:sz w:val="20"/>
          <w:szCs w:val="20"/>
          <w:color w:val="auto"/>
        </w:rPr>
      </w:pPr>
    </w:p>
    <w:p>
      <w:pPr>
        <w:ind w:left="240" w:hanging="221"/>
        <w:spacing w:after="0"/>
        <w:tabs>
          <w:tab w:leader="none" w:pos="240" w:val="left"/>
        </w:tabs>
        <w:numPr>
          <w:ilvl w:val="0"/>
          <w:numId w:val="76"/>
        </w:numPr>
        <w:rPr>
          <w:rFonts w:ascii="Arial" w:cs="Arial" w:eastAsia="Arial" w:hAnsi="Arial"/>
          <w:sz w:val="14"/>
          <w:szCs w:val="14"/>
          <w:color w:val="CE0F2D"/>
        </w:rPr>
      </w:pPr>
      <w:r>
        <w:rPr>
          <w:rFonts w:ascii="Arial" w:cs="Arial" w:eastAsia="Arial" w:hAnsi="Arial"/>
          <w:sz w:val="14"/>
          <w:szCs w:val="14"/>
          <w:color w:val="auto"/>
        </w:rPr>
        <w:t>Intelsat S.A., 2019–February 2022</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0"/>
          <w:numId w:val="76"/>
        </w:numPr>
        <w:rPr>
          <w:rFonts w:ascii="Arial" w:cs="Arial" w:eastAsia="Arial" w:hAnsi="Arial"/>
          <w:sz w:val="14"/>
          <w:szCs w:val="14"/>
          <w:color w:val="CE0F2D"/>
        </w:rPr>
      </w:pPr>
      <w:r>
        <w:rPr>
          <w:rFonts w:ascii="Arial" w:cs="Arial" w:eastAsia="Arial" w:hAnsi="Arial"/>
          <w:sz w:val="14"/>
          <w:szCs w:val="14"/>
          <w:color w:val="auto"/>
        </w:rPr>
        <w:t>Raytheon Company, 2018–2020</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21"/>
        <w:spacing w:after="0"/>
        <w:tabs>
          <w:tab w:leader="none" w:pos="240" w:val="left"/>
        </w:tabs>
        <w:numPr>
          <w:ilvl w:val="1"/>
          <w:numId w:val="77"/>
        </w:numPr>
        <w:rPr>
          <w:rFonts w:ascii="Arial" w:cs="Arial" w:eastAsia="Arial" w:hAnsi="Arial"/>
          <w:sz w:val="14"/>
          <w:szCs w:val="14"/>
          <w:color w:val="CE0F2D"/>
        </w:rPr>
      </w:pPr>
      <w:r>
        <w:rPr>
          <w:rFonts w:ascii="Arial" w:cs="Arial" w:eastAsia="Arial" w:hAnsi="Arial"/>
          <w:sz w:val="14"/>
          <w:szCs w:val="14"/>
          <w:color w:val="auto"/>
        </w:rPr>
        <w:t>Fellow, American Institute of Aeronautics and Astronautics</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1"/>
          <w:numId w:val="77"/>
        </w:numPr>
        <w:rPr>
          <w:rFonts w:ascii="Arial" w:cs="Arial" w:eastAsia="Arial" w:hAnsi="Arial"/>
          <w:sz w:val="14"/>
          <w:szCs w:val="14"/>
          <w:color w:val="CE0F2D"/>
        </w:rPr>
      </w:pPr>
      <w:r>
        <w:rPr>
          <w:rFonts w:ascii="Arial" w:cs="Arial" w:eastAsia="Arial" w:hAnsi="Arial"/>
          <w:sz w:val="14"/>
          <w:szCs w:val="14"/>
          <w:color w:val="auto"/>
        </w:rPr>
        <w:t>Member, National Academy of Engineers</w:t>
      </w:r>
    </w:p>
    <w:p>
      <w:pPr>
        <w:spacing w:after="0" w:line="53" w:lineRule="exact"/>
        <w:rPr>
          <w:rFonts w:ascii="Arial" w:cs="Arial" w:eastAsia="Arial" w:hAnsi="Arial"/>
          <w:sz w:val="14"/>
          <w:szCs w:val="14"/>
          <w:color w:val="CE0F2D"/>
        </w:rPr>
      </w:pPr>
    </w:p>
    <w:p>
      <w:pPr>
        <w:ind w:left="240" w:hanging="221"/>
        <w:spacing w:after="0"/>
        <w:tabs>
          <w:tab w:leader="none" w:pos="240" w:val="left"/>
        </w:tabs>
        <w:numPr>
          <w:ilvl w:val="1"/>
          <w:numId w:val="77"/>
        </w:numPr>
        <w:rPr>
          <w:rFonts w:ascii="Arial" w:cs="Arial" w:eastAsia="Arial" w:hAnsi="Arial"/>
          <w:sz w:val="14"/>
          <w:szCs w:val="14"/>
          <w:color w:val="CE0F2D"/>
        </w:rPr>
      </w:pPr>
      <w:r>
        <w:rPr>
          <w:rFonts w:ascii="Arial" w:cs="Arial" w:eastAsia="Arial" w:hAnsi="Arial"/>
          <w:sz w:val="14"/>
          <w:szCs w:val="14"/>
          <w:color w:val="auto"/>
        </w:rPr>
        <w:t>Chairperson, Air Force Studies Board</w:t>
      </w:r>
    </w:p>
    <w:p>
      <w:pPr>
        <w:spacing w:after="0" w:line="122"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2"/>
          <w:szCs w:val="12"/>
          <w:color w:val="auto"/>
        </w:rPr>
        <w:t>* Reflects service as RTN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330835</wp:posOffset>
            </wp:positionV>
            <wp:extent cx="715454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280" w:space="560"/>
            <w:col w:w="5400"/>
          </w:cols>
          <w:pgMar w:left="320" w:top="118" w:right="3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3590" cy="12585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3590" cy="1258570"/>
                    </a:xfrm>
                    <a:prstGeom prst="rect">
                      <a:avLst/>
                    </a:prstGeom>
                    <a:noFill/>
                  </pic:spPr>
                </pic:pic>
              </a:graphicData>
            </a:graphic>
          </wp:anchor>
        </w:drawing>
      </w:r>
    </w:p>
    <w:p>
      <w:pPr>
        <w:spacing w:after="0" w:line="25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Denise L. Ramos</w:t>
      </w:r>
    </w:p>
    <w:p>
      <w:pPr>
        <w:spacing w:after="0" w:line="113"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5"/>
          <w:szCs w:val="15"/>
          <w:color w:val="auto"/>
        </w:rPr>
        <w:t>INDEPENDENT DIRECTOR</w:t>
      </w:r>
      <w:r>
        <w:rPr>
          <w:sz w:val="20"/>
          <w:szCs w:val="20"/>
          <w:color w:val="auto"/>
        </w:rPr>
        <w:tab/>
      </w:r>
      <w:r>
        <w:rPr>
          <w:rFonts w:ascii="Arial" w:cs="Arial" w:eastAsia="Arial" w:hAnsi="Arial"/>
          <w:sz w:val="14"/>
          <w:szCs w:val="14"/>
          <w:b w:val="1"/>
          <w:bCs w:val="1"/>
          <w:color w:val="auto"/>
        </w:rPr>
        <w:t>AGE 65</w:t>
      </w:r>
    </w:p>
    <w:p>
      <w:pPr>
        <w:spacing w:after="0" w:line="69"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Retired Chief Executive Officer &amp;</w:t>
            </w:r>
          </w:p>
        </w:tc>
        <w:tc>
          <w:tcPr>
            <w:tcW w:w="3600" w:type="dxa"/>
            <w:vAlign w:val="bottom"/>
          </w:tcPr>
          <w:p>
            <w:pPr>
              <w:ind w:left="980"/>
              <w:spacing w:after="0"/>
              <w:rPr>
                <w:sz w:val="20"/>
                <w:szCs w:val="20"/>
                <w:color w:val="auto"/>
              </w:rPr>
            </w:pPr>
            <w:r>
              <w:rPr>
                <w:rFonts w:ascii="Arial" w:cs="Arial" w:eastAsia="Arial" w:hAnsi="Arial"/>
                <w:sz w:val="14"/>
                <w:szCs w:val="14"/>
                <w:b w:val="1"/>
                <w:bCs w:val="1"/>
                <w:color w:val="auto"/>
              </w:rPr>
              <w:t>DIRECTOR SINCE 2018</w:t>
            </w:r>
          </w:p>
        </w:tc>
      </w:tr>
      <w:tr>
        <w:trPr>
          <w:trHeight w:val="201"/>
        </w:trPr>
        <w:tc>
          <w:tcPr>
            <w:tcW w:w="3340" w:type="dxa"/>
            <w:vAlign w:val="bottom"/>
          </w:tcPr>
          <w:p>
            <w:pPr>
              <w:spacing w:after="0"/>
              <w:rPr>
                <w:sz w:val="20"/>
                <w:szCs w:val="20"/>
                <w:color w:val="auto"/>
              </w:rPr>
            </w:pPr>
            <w:r>
              <w:rPr>
                <w:rFonts w:ascii="Arial" w:cs="Arial" w:eastAsia="Arial" w:hAnsi="Arial"/>
                <w:sz w:val="16"/>
                <w:szCs w:val="16"/>
                <w:color w:val="auto"/>
              </w:rPr>
              <w:t>President, ITT Inc.</w:t>
            </w:r>
          </w:p>
        </w:tc>
        <w:tc>
          <w:tcPr>
            <w:tcW w:w="3600" w:type="dxa"/>
            <w:vAlign w:val="bottom"/>
          </w:tcPr>
          <w:p>
            <w:pPr>
              <w:ind w:left="980"/>
              <w:spacing w:after="0"/>
              <w:rPr>
                <w:sz w:val="20"/>
                <w:szCs w:val="20"/>
                <w:color w:val="auto"/>
              </w:rPr>
            </w:pPr>
            <w:r>
              <w:rPr>
                <w:rFonts w:ascii="Arial" w:cs="Arial" w:eastAsia="Arial" w:hAnsi="Arial"/>
                <w:sz w:val="14"/>
                <w:szCs w:val="14"/>
                <w:b w:val="1"/>
                <w:bCs w:val="1"/>
                <w:color w:val="auto"/>
              </w:rPr>
              <w:t>BOARD COMMITTEES</w:t>
            </w:r>
          </w:p>
        </w:tc>
      </w:tr>
      <w:tr>
        <w:trPr>
          <w:trHeight w:val="174"/>
        </w:trPr>
        <w:tc>
          <w:tcPr>
            <w:tcW w:w="3340" w:type="dxa"/>
            <w:vAlign w:val="bottom"/>
          </w:tcPr>
          <w:p>
            <w:pPr>
              <w:spacing w:after="0"/>
              <w:rPr>
                <w:sz w:val="15"/>
                <w:szCs w:val="15"/>
                <w:color w:val="auto"/>
              </w:rPr>
            </w:pPr>
          </w:p>
        </w:tc>
        <w:tc>
          <w:tcPr>
            <w:tcW w:w="3600" w:type="dxa"/>
            <w:vAlign w:val="bottom"/>
          </w:tcPr>
          <w:p>
            <w:pPr>
              <w:ind w:left="980"/>
              <w:spacing w:after="0"/>
              <w:rPr>
                <w:sz w:val="20"/>
                <w:szCs w:val="20"/>
                <w:color w:val="auto"/>
              </w:rPr>
            </w:pPr>
            <w:r>
              <w:rPr>
                <w:rFonts w:ascii="Arial" w:cs="Arial" w:eastAsia="Arial" w:hAnsi="Arial"/>
                <w:sz w:val="14"/>
                <w:szCs w:val="14"/>
                <w:b w:val="1"/>
                <w:bCs w:val="1"/>
                <w:color w:val="auto"/>
              </w:rPr>
              <w:t>Audit, Human Capital &amp; Compensation</w:t>
            </w:r>
          </w:p>
        </w:tc>
      </w:tr>
    </w:tbl>
    <w:p>
      <w:pPr>
        <w:ind w:left="180"/>
        <w:spacing w:after="0"/>
        <w:rPr>
          <w:sz w:val="20"/>
          <w:szCs w:val="20"/>
          <w:color w:val="auto"/>
        </w:rPr>
      </w:pPr>
      <w:r>
        <w:rPr>
          <w:rFonts w:ascii="Arial" w:cs="Arial" w:eastAsia="Arial" w:hAnsi="Arial"/>
          <w:sz w:val="16"/>
          <w:szCs w:val="16"/>
          <w:b w:val="1"/>
          <w:bCs w:val="1"/>
          <w:color w:val="CE0F2D"/>
        </w:rPr>
        <w:t>Key Skills and Expertise</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ind w:right="20"/>
        <w:spacing w:after="0" w:line="242" w:lineRule="auto"/>
        <w:rPr>
          <w:sz w:val="20"/>
          <w:szCs w:val="20"/>
          <w:color w:val="auto"/>
        </w:rPr>
      </w:pPr>
      <w:r>
        <w:rPr>
          <w:rFonts w:ascii="Arial" w:cs="Arial" w:eastAsia="Arial" w:hAnsi="Arial"/>
          <w:sz w:val="14"/>
          <w:szCs w:val="14"/>
          <w:color w:val="auto"/>
        </w:rPr>
        <w:t>Ms. Ramos provides the Board with executive leadership and substantial global operational and management experience gained through her CEO and other leadership roles at ITT Inc. She has extensive financial expertise and experience in strategic planning and mergers and acquisitions, having served as the Chief Financial Officer at ITT and other large global companies. She also brings her experience and insights from her current and past service on boards of other public companies in a range of industries.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300" w:hanging="233"/>
        <w:spacing w:after="0" w:line="254" w:lineRule="auto"/>
        <w:tabs>
          <w:tab w:leader="none" w:pos="240" w:val="left"/>
        </w:tabs>
        <w:numPr>
          <w:ilvl w:val="0"/>
          <w:numId w:val="78"/>
        </w:numPr>
        <w:rPr>
          <w:rFonts w:ascii="Arial" w:cs="Arial" w:eastAsia="Arial" w:hAnsi="Arial"/>
          <w:sz w:val="14"/>
          <w:szCs w:val="14"/>
          <w:color w:val="CE0F2D"/>
        </w:rPr>
      </w:pPr>
      <w:r>
        <w:rPr>
          <w:rFonts w:ascii="Arial" w:cs="Arial" w:eastAsia="Arial" w:hAnsi="Arial"/>
          <w:sz w:val="14"/>
          <w:szCs w:val="14"/>
          <w:color w:val="auto"/>
        </w:rPr>
        <w:t>Chief Executive Officer &amp; President, ITT Inc. (formerly ITT Corporation— diversified manufacturer), 2011-2019</w:t>
      </w:r>
    </w:p>
    <w:p>
      <w:pPr>
        <w:spacing w:after="0" w:line="34" w:lineRule="exact"/>
        <w:rPr>
          <w:rFonts w:ascii="Arial" w:cs="Arial" w:eastAsia="Arial" w:hAnsi="Arial"/>
          <w:sz w:val="14"/>
          <w:szCs w:val="14"/>
          <w:color w:val="CE0F2D"/>
        </w:rPr>
      </w:pPr>
    </w:p>
    <w:p>
      <w:pPr>
        <w:ind w:left="240" w:right="380" w:hanging="233"/>
        <w:spacing w:after="0" w:line="254" w:lineRule="auto"/>
        <w:tabs>
          <w:tab w:leader="none" w:pos="240" w:val="left"/>
        </w:tabs>
        <w:numPr>
          <w:ilvl w:val="0"/>
          <w:numId w:val="78"/>
        </w:numPr>
        <w:rPr>
          <w:rFonts w:ascii="Arial" w:cs="Arial" w:eastAsia="Arial" w:hAnsi="Arial"/>
          <w:sz w:val="14"/>
          <w:szCs w:val="14"/>
          <w:color w:val="CE0F2D"/>
        </w:rPr>
      </w:pPr>
      <w:r>
        <w:rPr>
          <w:rFonts w:ascii="Arial" w:cs="Arial" w:eastAsia="Arial" w:hAnsi="Arial"/>
          <w:sz w:val="14"/>
          <w:szCs w:val="14"/>
          <w:color w:val="auto"/>
        </w:rPr>
        <w:t>Senior Vice President &amp; Chief Financial Officer, ITT Corporation, 2007–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4999355" cy="9690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99355" cy="969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40" w:right="100" w:hanging="231"/>
        <w:spacing w:after="0" w:line="254" w:lineRule="auto"/>
        <w:tabs>
          <w:tab w:leader="none" w:pos="240" w:val="left"/>
        </w:tabs>
        <w:numPr>
          <w:ilvl w:val="0"/>
          <w:numId w:val="79"/>
        </w:numPr>
        <w:rPr>
          <w:rFonts w:ascii="Arial" w:cs="Arial" w:eastAsia="Arial" w:hAnsi="Arial"/>
          <w:sz w:val="14"/>
          <w:szCs w:val="14"/>
          <w:color w:val="CE0F2D"/>
        </w:rPr>
      </w:pPr>
      <w:r>
        <w:rPr>
          <w:rFonts w:ascii="Arial" w:cs="Arial" w:eastAsia="Arial" w:hAnsi="Arial"/>
          <w:sz w:val="14"/>
          <w:szCs w:val="14"/>
          <w:color w:val="auto"/>
        </w:rPr>
        <w:t>Chief Financial Officer, Furniture Brands International (home furnishings), 2005– 2007</w:t>
      </w:r>
    </w:p>
    <w:p>
      <w:pPr>
        <w:spacing w:after="0" w:line="34" w:lineRule="exact"/>
        <w:rPr>
          <w:rFonts w:ascii="Arial" w:cs="Arial" w:eastAsia="Arial" w:hAnsi="Arial"/>
          <w:sz w:val="14"/>
          <w:szCs w:val="14"/>
          <w:color w:val="CE0F2D"/>
        </w:rPr>
      </w:pPr>
    </w:p>
    <w:p>
      <w:pPr>
        <w:ind w:left="240" w:right="440" w:hanging="231"/>
        <w:spacing w:after="0" w:line="254" w:lineRule="auto"/>
        <w:tabs>
          <w:tab w:leader="none" w:pos="240" w:val="left"/>
        </w:tabs>
        <w:numPr>
          <w:ilvl w:val="0"/>
          <w:numId w:val="79"/>
        </w:numPr>
        <w:rPr>
          <w:rFonts w:ascii="Arial" w:cs="Arial" w:eastAsia="Arial" w:hAnsi="Arial"/>
          <w:sz w:val="14"/>
          <w:szCs w:val="14"/>
          <w:color w:val="CE0F2D"/>
        </w:rPr>
      </w:pPr>
      <w:r>
        <w:rPr>
          <w:rFonts w:ascii="Arial" w:cs="Arial" w:eastAsia="Arial" w:hAnsi="Arial"/>
          <w:sz w:val="14"/>
          <w:szCs w:val="14"/>
          <w:color w:val="auto"/>
        </w:rPr>
        <w:t>Senior Vice President &amp; Corporate Treasurer, Yum! Brands, Inc., and Chief Financial Officer, KFC Corporation (U.S. Division), 2000–2005</w:t>
      </w:r>
    </w:p>
    <w:p>
      <w:pPr>
        <w:spacing w:after="0" w:line="34" w:lineRule="exact"/>
        <w:rPr>
          <w:rFonts w:ascii="Arial" w:cs="Arial" w:eastAsia="Arial" w:hAnsi="Arial"/>
          <w:sz w:val="14"/>
          <w:szCs w:val="14"/>
          <w:color w:val="CE0F2D"/>
        </w:rPr>
      </w:pPr>
    </w:p>
    <w:p>
      <w:pPr>
        <w:ind w:left="240" w:right="160" w:hanging="231"/>
        <w:spacing w:after="0" w:line="254" w:lineRule="auto"/>
        <w:tabs>
          <w:tab w:leader="none" w:pos="240" w:val="left"/>
        </w:tabs>
        <w:numPr>
          <w:ilvl w:val="0"/>
          <w:numId w:val="79"/>
        </w:numPr>
        <w:rPr>
          <w:rFonts w:ascii="Arial" w:cs="Arial" w:eastAsia="Arial" w:hAnsi="Arial"/>
          <w:sz w:val="14"/>
          <w:szCs w:val="14"/>
          <w:color w:val="CE0F2D"/>
        </w:rPr>
      </w:pPr>
      <w:r>
        <w:rPr>
          <w:rFonts w:ascii="Arial" w:cs="Arial" w:eastAsia="Arial" w:hAnsi="Arial"/>
          <w:sz w:val="14"/>
          <w:szCs w:val="14"/>
          <w:color w:val="auto"/>
        </w:rPr>
        <w:t>Various finance positions of increasing responsibility during more than 20 years at Atlantic Richfield Company</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80"/>
        </w:numPr>
        <w:rPr>
          <w:rFonts w:ascii="Arial" w:cs="Arial" w:eastAsia="Arial" w:hAnsi="Arial"/>
          <w:sz w:val="14"/>
          <w:szCs w:val="14"/>
          <w:color w:val="CE0F2D"/>
        </w:rPr>
      </w:pPr>
      <w:r>
        <w:rPr>
          <w:rFonts w:ascii="Arial" w:cs="Arial" w:eastAsia="Arial" w:hAnsi="Arial"/>
          <w:sz w:val="14"/>
          <w:szCs w:val="14"/>
          <w:color w:val="auto"/>
        </w:rPr>
        <w:t>Bank of America Corp., since 2019</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0"/>
        </w:numPr>
        <w:rPr>
          <w:rFonts w:ascii="Arial" w:cs="Arial" w:eastAsia="Arial" w:hAnsi="Arial"/>
          <w:sz w:val="14"/>
          <w:szCs w:val="14"/>
          <w:color w:val="CE0F2D"/>
        </w:rPr>
      </w:pPr>
      <w:r>
        <w:rPr>
          <w:rFonts w:ascii="Arial" w:cs="Arial" w:eastAsia="Arial" w:hAnsi="Arial"/>
          <w:sz w:val="14"/>
          <w:szCs w:val="14"/>
          <w:color w:val="auto"/>
        </w:rPr>
        <w:t>Phillips 66 Company, since 2016</w:t>
      </w:r>
    </w:p>
    <w:p>
      <w:pPr>
        <w:spacing w:after="0" w:line="30"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Former Public Company Directorships</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80"/>
        </w:numPr>
        <w:rPr>
          <w:rFonts w:ascii="Arial" w:cs="Arial" w:eastAsia="Arial" w:hAnsi="Arial"/>
          <w:sz w:val="14"/>
          <w:szCs w:val="14"/>
          <w:color w:val="CE0F2D"/>
        </w:rPr>
      </w:pPr>
      <w:r>
        <w:rPr>
          <w:rFonts w:ascii="Arial" w:cs="Arial" w:eastAsia="Arial" w:hAnsi="Arial"/>
          <w:sz w:val="14"/>
          <w:szCs w:val="14"/>
          <w:color w:val="auto"/>
        </w:rPr>
        <w:t>ITT Inc., 2011–2019</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0"/>
        </w:numPr>
        <w:rPr>
          <w:rFonts w:ascii="Arial" w:cs="Arial" w:eastAsia="Arial" w:hAnsi="Arial"/>
          <w:sz w:val="14"/>
          <w:szCs w:val="14"/>
          <w:color w:val="CE0F2D"/>
        </w:rPr>
      </w:pPr>
      <w:r>
        <w:rPr>
          <w:rFonts w:ascii="Arial" w:cs="Arial" w:eastAsia="Arial" w:hAnsi="Arial"/>
          <w:sz w:val="14"/>
          <w:szCs w:val="14"/>
          <w:color w:val="auto"/>
        </w:rPr>
        <w:t>Praxair, Inc., 2014–2016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132715</wp:posOffset>
            </wp:positionV>
            <wp:extent cx="2134235" cy="1181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134235" cy="11817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720"/>
            <w:col w:w="5400"/>
          </w:cols>
          <w:pgMar w:left="320" w:top="118" w:right="339" w:bottom="1440" w:gutter="0" w:footer="0" w:header="0"/>
          <w:type w:val="continuous"/>
        </w:sectPr>
      </w:pPr>
    </w:p>
    <w:p>
      <w:pPr>
        <w:spacing w:after="0" w:line="54"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Fredric G. Reynolds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500" w:type="dxa"/>
            <w:vAlign w:val="bottom"/>
          </w:tcPr>
          <w:p>
            <w:pPr>
              <w:ind w:left="180"/>
              <w:spacing w:after="0"/>
              <w:rPr>
                <w:sz w:val="20"/>
                <w:szCs w:val="20"/>
                <w:color w:val="auto"/>
              </w:rPr>
            </w:pPr>
            <w:r>
              <w:rPr>
                <w:rFonts w:ascii="Arial" w:cs="Arial" w:eastAsia="Arial" w:hAnsi="Arial"/>
                <w:sz w:val="14"/>
                <w:szCs w:val="14"/>
                <w:color w:val="auto"/>
              </w:rPr>
              <w:t>INDEPENDENT DIRECTOR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71</w:t>
            </w:r>
          </w:p>
        </w:tc>
        <w:tc>
          <w:tcPr>
            <w:tcW w:w="3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4500" w:type="dxa"/>
            <w:vAlign w:val="bottom"/>
          </w:tcPr>
          <w:p>
            <w:pPr>
              <w:ind w:left="180"/>
              <w:spacing w:after="0"/>
              <w:rPr>
                <w:sz w:val="20"/>
                <w:szCs w:val="20"/>
                <w:color w:val="auto"/>
              </w:rPr>
            </w:pPr>
            <w:r>
              <w:rPr>
                <w:rFonts w:ascii="Arial" w:cs="Arial" w:eastAsia="Arial" w:hAnsi="Arial"/>
                <w:sz w:val="16"/>
                <w:szCs w:val="16"/>
                <w:color w:val="auto"/>
              </w:rPr>
              <w:t>Retired Executive Vice President &amp; Chief</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2016</w:t>
            </w: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500" w:type="dxa"/>
            <w:vAlign w:val="bottom"/>
          </w:tcPr>
          <w:p>
            <w:pPr>
              <w:ind w:left="180"/>
              <w:spacing w:after="0"/>
              <w:rPr>
                <w:sz w:val="20"/>
                <w:szCs w:val="20"/>
                <w:color w:val="auto"/>
              </w:rPr>
            </w:pPr>
            <w:r>
              <w:rPr>
                <w:rFonts w:ascii="Arial" w:cs="Arial" w:eastAsia="Arial" w:hAnsi="Arial"/>
                <w:sz w:val="16"/>
                <w:szCs w:val="16"/>
                <w:color w:val="auto"/>
              </w:rPr>
              <w:t>Financial Officer, CBS Corporation</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50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Audit (Chair), Governance and Public Policy,</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vMerge w:val="continue"/>
          </w:tcPr>
          <w:p>
            <w:pPr>
              <w:spacing w:after="0"/>
              <w:rPr>
                <w:sz w:val="16"/>
                <w:szCs w:val="16"/>
                <w:color w:val="auto"/>
              </w:rPr>
            </w:pP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Human Capital &amp; Compensation</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4500" w:type="dxa"/>
            <w:vAlign w:val="bottom"/>
          </w:tcPr>
          <w:p>
            <w:pPr>
              <w:spacing w:after="0"/>
              <w:rPr>
                <w:sz w:val="5"/>
                <w:szCs w:val="5"/>
                <w:color w:val="auto"/>
              </w:rPr>
            </w:pPr>
          </w:p>
        </w:tc>
        <w:tc>
          <w:tcPr>
            <w:tcW w:w="3380" w:type="dxa"/>
            <w:vAlign w:val="bottom"/>
            <w:shd w:val="clear" w:color="auto" w:fill="EDEDED"/>
          </w:tcPr>
          <w:p>
            <w:pPr>
              <w:spacing w:after="0"/>
              <w:rPr>
                <w:sz w:val="5"/>
                <w:szCs w:val="5"/>
                <w:color w:val="auto"/>
              </w:rPr>
            </w:pPr>
          </w:p>
        </w:tc>
        <w:tc>
          <w:tcPr>
            <w:tcW w:w="3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4500" w:type="dxa"/>
            <w:vAlign w:val="bottom"/>
            <w:shd w:val="clear" w:color="auto" w:fill="EDEDED"/>
          </w:tcPr>
          <w:p>
            <w:pPr>
              <w:spacing w:after="0"/>
              <w:rPr>
                <w:sz w:val="24"/>
                <w:szCs w:val="24"/>
                <w:color w:val="auto"/>
              </w:rPr>
            </w:pP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00" w:type="dxa"/>
            <w:vAlign w:val="bottom"/>
            <w:shd w:val="clear" w:color="auto" w:fill="CE0F2D"/>
          </w:tcPr>
          <w:p>
            <w:pPr>
              <w:spacing w:after="0"/>
              <w:rPr>
                <w:sz w:val="6"/>
                <w:szCs w:val="6"/>
                <w:color w:val="auto"/>
              </w:rPr>
            </w:pPr>
          </w:p>
        </w:tc>
        <w:tc>
          <w:tcPr>
            <w:tcW w:w="338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-237490</wp:posOffset>
            </wp:positionV>
            <wp:extent cx="3808730" cy="153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808730" cy="1530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spacing w:after="0" w:line="242" w:lineRule="auto"/>
        <w:rPr>
          <w:sz w:val="20"/>
          <w:szCs w:val="20"/>
          <w:color w:val="auto"/>
        </w:rPr>
      </w:pPr>
      <w:r>
        <w:rPr>
          <w:rFonts w:ascii="Arial" w:cs="Arial" w:eastAsia="Arial" w:hAnsi="Arial"/>
          <w:sz w:val="14"/>
          <w:szCs w:val="14"/>
          <w:color w:val="auto"/>
        </w:rPr>
        <w:t>Mr. Reynolds brings to the Board substantial financial and risk management expertise, as well as executive leadership and strategic planning experience gained through his Chief Financial Officer and other leadership roles at large global companies CBS, Viacom and PepsiCo. He also brings his experience and insights from his current and past service on boards of other public companies in a range of industries.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120" w:hanging="233"/>
        <w:spacing w:after="0" w:line="254" w:lineRule="auto"/>
        <w:tabs>
          <w:tab w:leader="none" w:pos="240" w:val="left"/>
        </w:tabs>
        <w:numPr>
          <w:ilvl w:val="0"/>
          <w:numId w:val="81"/>
        </w:numPr>
        <w:rPr>
          <w:rFonts w:ascii="Arial" w:cs="Arial" w:eastAsia="Arial" w:hAnsi="Arial"/>
          <w:sz w:val="14"/>
          <w:szCs w:val="14"/>
          <w:color w:val="CE0F2D"/>
        </w:rPr>
      </w:pPr>
      <w:r>
        <w:rPr>
          <w:rFonts w:ascii="Arial" w:cs="Arial" w:eastAsia="Arial" w:hAnsi="Arial"/>
          <w:sz w:val="14"/>
          <w:szCs w:val="14"/>
          <w:color w:val="auto"/>
        </w:rPr>
        <w:t>Executive Vice President &amp; Chief Financial Officer, CBS Corporation (media), 2005–2009</w:t>
      </w:r>
    </w:p>
    <w:p>
      <w:pPr>
        <w:spacing w:after="0" w:line="34" w:lineRule="exact"/>
        <w:rPr>
          <w:rFonts w:ascii="Arial" w:cs="Arial" w:eastAsia="Arial" w:hAnsi="Arial"/>
          <w:sz w:val="14"/>
          <w:szCs w:val="14"/>
          <w:color w:val="CE0F2D"/>
        </w:rPr>
      </w:pPr>
    </w:p>
    <w:p>
      <w:pPr>
        <w:ind w:left="240" w:right="180" w:hanging="233"/>
        <w:spacing w:after="0" w:line="254" w:lineRule="auto"/>
        <w:tabs>
          <w:tab w:leader="none" w:pos="240" w:val="left"/>
        </w:tabs>
        <w:numPr>
          <w:ilvl w:val="0"/>
          <w:numId w:val="81"/>
        </w:numPr>
        <w:rPr>
          <w:rFonts w:ascii="Arial" w:cs="Arial" w:eastAsia="Arial" w:hAnsi="Arial"/>
          <w:sz w:val="14"/>
          <w:szCs w:val="14"/>
          <w:color w:val="CE0F2D"/>
        </w:rPr>
      </w:pPr>
      <w:r>
        <w:rPr>
          <w:rFonts w:ascii="Arial" w:cs="Arial" w:eastAsia="Arial" w:hAnsi="Arial"/>
          <w:sz w:val="14"/>
          <w:szCs w:val="14"/>
          <w:color w:val="auto"/>
        </w:rPr>
        <w:t>President &amp; Chief Executive Officer, Viacom Television Stations Group (CBS predecessor), 2001–2005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left="240" w:right="660" w:hanging="231"/>
        <w:spacing w:after="0" w:line="254" w:lineRule="auto"/>
        <w:tabs>
          <w:tab w:leader="none" w:pos="240" w:val="left"/>
        </w:tabs>
        <w:numPr>
          <w:ilvl w:val="0"/>
          <w:numId w:val="82"/>
        </w:numPr>
        <w:rPr>
          <w:rFonts w:ascii="Arial" w:cs="Arial" w:eastAsia="Arial" w:hAnsi="Arial"/>
          <w:sz w:val="14"/>
          <w:szCs w:val="14"/>
          <w:color w:val="CE0F2D"/>
        </w:rPr>
      </w:pPr>
      <w:r>
        <w:rPr>
          <w:rFonts w:ascii="Arial" w:cs="Arial" w:eastAsia="Arial" w:hAnsi="Arial"/>
          <w:sz w:val="14"/>
          <w:szCs w:val="14"/>
          <w:color w:val="auto"/>
        </w:rPr>
        <w:t>Executive Vice President &amp; Chief Financial Officer, Viacom, Inc., 2000– 2001</w:t>
      </w:r>
    </w:p>
    <w:p>
      <w:pPr>
        <w:spacing w:after="0" w:line="34" w:lineRule="exact"/>
        <w:rPr>
          <w:rFonts w:ascii="Arial" w:cs="Arial" w:eastAsia="Arial" w:hAnsi="Arial"/>
          <w:sz w:val="14"/>
          <w:szCs w:val="14"/>
          <w:color w:val="CE0F2D"/>
        </w:rPr>
      </w:pPr>
    </w:p>
    <w:p>
      <w:pPr>
        <w:ind w:left="240" w:right="520" w:hanging="231"/>
        <w:spacing w:after="0" w:line="254" w:lineRule="auto"/>
        <w:tabs>
          <w:tab w:leader="none" w:pos="240" w:val="left"/>
        </w:tabs>
        <w:numPr>
          <w:ilvl w:val="0"/>
          <w:numId w:val="82"/>
        </w:numPr>
        <w:rPr>
          <w:rFonts w:ascii="Arial" w:cs="Arial" w:eastAsia="Arial" w:hAnsi="Arial"/>
          <w:sz w:val="14"/>
          <w:szCs w:val="14"/>
          <w:color w:val="CE0F2D"/>
        </w:rPr>
      </w:pPr>
      <w:r>
        <w:rPr>
          <w:rFonts w:ascii="Arial" w:cs="Arial" w:eastAsia="Arial" w:hAnsi="Arial"/>
          <w:sz w:val="14"/>
          <w:szCs w:val="14"/>
          <w:color w:val="auto"/>
        </w:rPr>
        <w:t>Executive Vice President &amp; Chief Financial Officer, Westinghouse Electric Corporation, 1994–2000</w:t>
      </w:r>
    </w:p>
    <w:p>
      <w:pPr>
        <w:spacing w:after="0" w:line="34" w:lineRule="exact"/>
        <w:rPr>
          <w:rFonts w:ascii="Arial" w:cs="Arial" w:eastAsia="Arial" w:hAnsi="Arial"/>
          <w:sz w:val="14"/>
          <w:szCs w:val="14"/>
          <w:color w:val="CE0F2D"/>
        </w:rPr>
      </w:pPr>
    </w:p>
    <w:p>
      <w:pPr>
        <w:ind w:left="240" w:hanging="231"/>
        <w:spacing w:after="0"/>
        <w:tabs>
          <w:tab w:leader="none" w:pos="240" w:val="left"/>
        </w:tabs>
        <w:numPr>
          <w:ilvl w:val="0"/>
          <w:numId w:val="82"/>
        </w:numPr>
        <w:rPr>
          <w:rFonts w:ascii="Arial" w:cs="Arial" w:eastAsia="Arial" w:hAnsi="Arial"/>
          <w:sz w:val="14"/>
          <w:szCs w:val="14"/>
          <w:color w:val="CE0F2D"/>
        </w:rPr>
      </w:pPr>
      <w:r>
        <w:rPr>
          <w:rFonts w:ascii="Arial" w:cs="Arial" w:eastAsia="Arial" w:hAnsi="Arial"/>
          <w:sz w:val="14"/>
          <w:szCs w:val="14"/>
          <w:color w:val="auto"/>
        </w:rPr>
        <w:t>Various positions at PepsiCo, Inc., 1982–1994</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83"/>
        </w:numPr>
        <w:rPr>
          <w:rFonts w:ascii="Arial" w:cs="Arial" w:eastAsia="Arial" w:hAnsi="Arial"/>
          <w:sz w:val="14"/>
          <w:szCs w:val="14"/>
          <w:color w:val="CE0F2D"/>
        </w:rPr>
      </w:pPr>
      <w:r>
        <w:rPr>
          <w:rFonts w:ascii="Arial" w:cs="Arial" w:eastAsia="Arial" w:hAnsi="Arial"/>
          <w:sz w:val="14"/>
          <w:szCs w:val="14"/>
          <w:color w:val="auto"/>
        </w:rPr>
        <w:t>Mondelēz International, Inc., since 2007</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3"/>
        </w:numPr>
        <w:rPr>
          <w:rFonts w:ascii="Arial" w:cs="Arial" w:eastAsia="Arial" w:hAnsi="Arial"/>
          <w:sz w:val="14"/>
          <w:szCs w:val="14"/>
          <w:color w:val="CE0F2D"/>
        </w:rPr>
      </w:pPr>
      <w:r>
        <w:rPr>
          <w:rFonts w:ascii="Arial" w:cs="Arial" w:eastAsia="Arial" w:hAnsi="Arial"/>
          <w:sz w:val="14"/>
          <w:szCs w:val="14"/>
          <w:color w:val="auto"/>
        </w:rPr>
        <w:t>Pinterest, Inc., since 2017</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3"/>
        </w:numPr>
        <w:rPr>
          <w:rFonts w:ascii="Arial" w:cs="Arial" w:eastAsia="Arial" w:hAnsi="Arial"/>
          <w:sz w:val="14"/>
          <w:szCs w:val="14"/>
          <w:color w:val="CE0F2D"/>
        </w:rPr>
      </w:pPr>
      <w:r>
        <w:rPr>
          <w:rFonts w:ascii="Arial" w:cs="Arial" w:eastAsia="Arial" w:hAnsi="Arial"/>
          <w:sz w:val="14"/>
          <w:szCs w:val="14"/>
          <w:color w:val="auto"/>
        </w:rPr>
        <w:t>MGM Holdings, Inc. (non-public)</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Former Public Company Directorships</w:t>
      </w:r>
    </w:p>
    <w:p>
      <w:pPr>
        <w:spacing w:after="0" w:line="80" w:lineRule="exact"/>
        <w:rPr>
          <w:sz w:val="20"/>
          <w:szCs w:val="20"/>
          <w:color w:val="auto"/>
        </w:rPr>
      </w:pPr>
    </w:p>
    <w:p>
      <w:pPr>
        <w:ind w:left="240" w:hanging="231"/>
        <w:spacing w:after="0"/>
        <w:tabs>
          <w:tab w:leader="none" w:pos="240" w:val="left"/>
        </w:tabs>
        <w:numPr>
          <w:ilvl w:val="0"/>
          <w:numId w:val="84"/>
        </w:numPr>
        <w:rPr>
          <w:rFonts w:ascii="Arial" w:cs="Arial" w:eastAsia="Arial" w:hAnsi="Arial"/>
          <w:sz w:val="14"/>
          <w:szCs w:val="14"/>
          <w:color w:val="CE0F2D"/>
        </w:rPr>
      </w:pPr>
      <w:r>
        <w:rPr>
          <w:rFonts w:ascii="Arial" w:cs="Arial" w:eastAsia="Arial" w:hAnsi="Arial"/>
          <w:sz w:val="14"/>
          <w:szCs w:val="14"/>
          <w:color w:val="auto"/>
        </w:rPr>
        <w:t>AOL, Inc., 2009–2015</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4"/>
        </w:numPr>
        <w:rPr>
          <w:rFonts w:ascii="Arial" w:cs="Arial" w:eastAsia="Arial" w:hAnsi="Arial"/>
          <w:sz w:val="14"/>
          <w:szCs w:val="14"/>
          <w:color w:val="CE0F2D"/>
        </w:rPr>
      </w:pPr>
      <w:r>
        <w:rPr>
          <w:rFonts w:ascii="Arial" w:cs="Arial" w:eastAsia="Arial" w:hAnsi="Arial"/>
          <w:sz w:val="14"/>
          <w:szCs w:val="14"/>
          <w:color w:val="auto"/>
        </w:rPr>
        <w:t>Hess Corporation, 2013–2019</w:t>
      </w:r>
    </w:p>
    <w:p>
      <w:pPr>
        <w:spacing w:after="0" w:line="11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79375</wp:posOffset>
            </wp:positionV>
            <wp:extent cx="7154545"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240" w:space="600"/>
            <w:col w:w="5400"/>
          </w:cols>
          <w:pgMar w:left="320" w:top="118" w:right="3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231140</wp:posOffset>
            </wp:positionV>
            <wp:extent cx="7133590" cy="12160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3590" cy="1216025"/>
                    </a:xfrm>
                    <a:prstGeom prst="rect">
                      <a:avLst/>
                    </a:prstGeom>
                    <a:noFill/>
                  </pic:spPr>
                </pic:pic>
              </a:graphicData>
            </a:graphic>
          </wp:anchor>
        </w:drawing>
      </w:r>
    </w:p>
    <w:p>
      <w:pPr>
        <w:spacing w:after="0" w:line="389"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Brian C. Rogers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ind w:left="180"/>
              <w:spacing w:after="0"/>
              <w:rPr>
                <w:sz w:val="20"/>
                <w:szCs w:val="20"/>
                <w:color w:val="auto"/>
              </w:rPr>
            </w:pPr>
            <w:r>
              <w:rPr>
                <w:rFonts w:ascii="Arial" w:cs="Arial" w:eastAsia="Arial" w:hAnsi="Arial"/>
                <w:sz w:val="15"/>
                <w:szCs w:val="15"/>
                <w:color w:val="auto"/>
              </w:rPr>
              <w:t>INDEPENDENT DIRECTOR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66</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4500" w:type="dxa"/>
            <w:vAlign w:val="bottom"/>
            <w:vMerge w:val="restart"/>
          </w:tcPr>
          <w:p>
            <w:pPr>
              <w:ind w:left="180"/>
              <w:spacing w:after="0"/>
              <w:rPr>
                <w:sz w:val="20"/>
                <w:szCs w:val="20"/>
                <w:color w:val="auto"/>
              </w:rPr>
            </w:pPr>
            <w:r>
              <w:rPr>
                <w:rFonts w:ascii="Arial" w:cs="Arial" w:eastAsia="Arial" w:hAnsi="Arial"/>
                <w:sz w:val="16"/>
                <w:szCs w:val="16"/>
                <w:color w:val="auto"/>
              </w:rPr>
              <w:t>Retired Chairman,</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2016</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4500" w:type="dxa"/>
            <w:vAlign w:val="bottom"/>
            <w:vMerge w:val="continue"/>
          </w:tcPr>
          <w:p>
            <w:pPr>
              <w:spacing w:after="0"/>
              <w:rPr>
                <w:sz w:val="4"/>
                <w:szCs w:val="4"/>
                <w:color w:val="auto"/>
              </w:rPr>
            </w:pPr>
          </w:p>
        </w:tc>
        <w:tc>
          <w:tcPr>
            <w:tcW w:w="3380" w:type="dxa"/>
            <w:vAlign w:val="bottom"/>
            <w:vMerge w:val="restart"/>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500" w:type="dxa"/>
            <w:vAlign w:val="bottom"/>
          </w:tcPr>
          <w:p>
            <w:pPr>
              <w:ind w:left="180"/>
              <w:spacing w:after="0"/>
              <w:rPr>
                <w:sz w:val="20"/>
                <w:szCs w:val="20"/>
                <w:color w:val="auto"/>
              </w:rPr>
            </w:pPr>
            <w:r>
              <w:rPr>
                <w:rFonts w:ascii="Arial" w:cs="Arial" w:eastAsia="Arial" w:hAnsi="Arial"/>
                <w:sz w:val="16"/>
                <w:szCs w:val="16"/>
                <w:color w:val="auto"/>
              </w:rPr>
              <w:t>T. Rowe Price Group, Inc.</w:t>
            </w:r>
          </w:p>
        </w:tc>
        <w:tc>
          <w:tcPr>
            <w:tcW w:w="3380" w:type="dxa"/>
            <w:vAlign w:val="bottom"/>
            <w:vMerge w:val="continue"/>
            <w:shd w:val="clear" w:color="auto" w:fill="EDEDED"/>
          </w:tcPr>
          <w:p>
            <w:pPr>
              <w:spacing w:after="0"/>
              <w:rPr>
                <w:sz w:val="16"/>
                <w:szCs w:val="16"/>
                <w:color w:val="auto"/>
              </w:rPr>
            </w:pP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50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Finance (Chair), Human Capital &amp; Compensation</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500" w:type="dxa"/>
            <w:vAlign w:val="bottom"/>
            <w:vMerge w:val="continue"/>
          </w:tcPr>
          <w:p>
            <w:pPr>
              <w:spacing w:after="0"/>
              <w:rPr>
                <w:sz w:val="15"/>
                <w:szCs w:val="15"/>
                <w:color w:val="auto"/>
              </w:rPr>
            </w:pPr>
          </w:p>
        </w:tc>
        <w:tc>
          <w:tcPr>
            <w:tcW w:w="3380" w:type="dxa"/>
            <w:vAlign w:val="bottom"/>
            <w:shd w:val="clear" w:color="auto" w:fill="EDEDED"/>
          </w:tcPr>
          <w:p>
            <w:pPr>
              <w:spacing w:after="0"/>
              <w:rPr>
                <w:sz w:val="15"/>
                <w:szCs w:val="15"/>
                <w:color w:val="auto"/>
              </w:rPr>
            </w:pPr>
          </w:p>
        </w:tc>
        <w:tc>
          <w:tcPr>
            <w:tcW w:w="3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4500" w:type="dxa"/>
            <w:vAlign w:val="bottom"/>
          </w:tcPr>
          <w:p>
            <w:pPr>
              <w:spacing w:after="0"/>
              <w:rPr>
                <w:sz w:val="7"/>
                <w:szCs w:val="7"/>
                <w:color w:val="auto"/>
              </w:rPr>
            </w:pPr>
          </w:p>
        </w:tc>
        <w:tc>
          <w:tcPr>
            <w:tcW w:w="3380" w:type="dxa"/>
            <w:vAlign w:val="bottom"/>
            <w:shd w:val="clear" w:color="auto" w:fill="EDEDED"/>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500" w:type="dxa"/>
            <w:vAlign w:val="bottom"/>
            <w:shd w:val="clear" w:color="auto" w:fill="EDEDED"/>
          </w:tcPr>
          <w:p>
            <w:pPr>
              <w:spacing w:after="0"/>
              <w:rPr>
                <w:sz w:val="24"/>
                <w:szCs w:val="24"/>
                <w:color w:val="auto"/>
              </w:rPr>
            </w:pP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00" w:type="dxa"/>
            <w:vAlign w:val="bottom"/>
            <w:shd w:val="clear" w:color="auto" w:fill="CE0F2D"/>
          </w:tcPr>
          <w:p>
            <w:pPr>
              <w:spacing w:after="0"/>
              <w:rPr>
                <w:sz w:val="6"/>
                <w:szCs w:val="6"/>
                <w:color w:val="auto"/>
              </w:rPr>
            </w:pPr>
          </w:p>
        </w:tc>
        <w:tc>
          <w:tcPr>
            <w:tcW w:w="338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-254635</wp:posOffset>
            </wp:positionV>
            <wp:extent cx="3808730" cy="153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clrChange>
                        <a:clrFrom>
                          <a:srgbClr val="000000"/>
                        </a:clrFrom>
                        <a:clrTo>
                          <a:srgbClr val="000000">
                            <a:alpha val="0"/>
                          </a:srgbClr>
                        </a:clrTo>
                      </a:clrChange>
                      <a:extLst>
                        <a:ext uri="{28A0092B-C50C-407E-A947-70E740481C1C}"/>
                      </a:extLst>
                    </a:blip>
                    <a:srcRect/>
                    <a:stretch>
                      <a:fillRect/>
                    </a:stretch>
                  </pic:blipFill>
                  <pic:spPr bwMode="auto">
                    <a:xfrm>
                      <a:off x="0" y="0"/>
                      <a:ext cx="3808730" cy="153035"/>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-254635</wp:posOffset>
            </wp:positionV>
            <wp:extent cx="3808730" cy="153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3808730" cy="15303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ind w:right="100"/>
        <w:spacing w:after="0" w:line="242" w:lineRule="auto"/>
        <w:rPr>
          <w:sz w:val="20"/>
          <w:szCs w:val="20"/>
          <w:color w:val="auto"/>
        </w:rPr>
      </w:pPr>
      <w:r>
        <w:rPr>
          <w:rFonts w:ascii="Arial" w:cs="Arial" w:eastAsia="Arial" w:hAnsi="Arial"/>
          <w:sz w:val="14"/>
          <w:szCs w:val="14"/>
          <w:color w:val="auto"/>
        </w:rPr>
        <w:t>Mr. Rogers provides the Board with extensive financial and investment expertise and risk management experience through his Chief Investment Officer and other investment management roles at T. Rowe Price, as well as significant executive leadership and governance experience gained through his service as the Chairman of the Board of T. Rowe Price. Mr. Rogers also provides the Board with important insights into the perspectives of institutional investors.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right="300" w:hanging="233"/>
        <w:spacing w:after="0" w:line="254" w:lineRule="auto"/>
        <w:tabs>
          <w:tab w:leader="none" w:pos="240" w:val="left"/>
        </w:tabs>
        <w:numPr>
          <w:ilvl w:val="0"/>
          <w:numId w:val="85"/>
        </w:numPr>
        <w:rPr>
          <w:rFonts w:ascii="Arial" w:cs="Arial" w:eastAsia="Arial" w:hAnsi="Arial"/>
          <w:sz w:val="14"/>
          <w:szCs w:val="14"/>
          <w:color w:val="CE0F2D"/>
        </w:rPr>
      </w:pPr>
      <w:r>
        <w:rPr>
          <w:rFonts w:ascii="Arial" w:cs="Arial" w:eastAsia="Arial" w:hAnsi="Arial"/>
          <w:sz w:val="14"/>
          <w:szCs w:val="14"/>
          <w:color w:val="auto"/>
        </w:rPr>
        <w:t>Chairman of the Board of Directors, T. Rowe Price Group, Inc. (investment management), 2007–2017</w:t>
      </w:r>
    </w:p>
    <w:p>
      <w:pPr>
        <w:spacing w:after="0" w:line="34" w:lineRule="exact"/>
        <w:rPr>
          <w:rFonts w:ascii="Arial" w:cs="Arial" w:eastAsia="Arial" w:hAnsi="Arial"/>
          <w:sz w:val="14"/>
          <w:szCs w:val="14"/>
          <w:color w:val="CE0F2D"/>
        </w:rPr>
      </w:pPr>
    </w:p>
    <w:p>
      <w:pPr>
        <w:ind w:left="240" w:hanging="233"/>
        <w:spacing w:after="0"/>
        <w:tabs>
          <w:tab w:leader="none" w:pos="240" w:val="left"/>
        </w:tabs>
        <w:numPr>
          <w:ilvl w:val="0"/>
          <w:numId w:val="85"/>
        </w:numPr>
        <w:rPr>
          <w:rFonts w:ascii="Arial" w:cs="Arial" w:eastAsia="Arial" w:hAnsi="Arial"/>
          <w:sz w:val="14"/>
          <w:szCs w:val="14"/>
          <w:color w:val="CE0F2D"/>
        </w:rPr>
      </w:pPr>
      <w:r>
        <w:rPr>
          <w:rFonts w:ascii="Arial" w:cs="Arial" w:eastAsia="Arial" w:hAnsi="Arial"/>
          <w:sz w:val="14"/>
          <w:szCs w:val="14"/>
          <w:color w:val="auto"/>
        </w:rPr>
        <w:t>Chief Investment Officer, T. Rowe Price Group, Inc., 2004–2017</w:t>
      </w:r>
    </w:p>
    <w:p>
      <w:pPr>
        <w:spacing w:after="0" w:line="53" w:lineRule="exact"/>
        <w:rPr>
          <w:rFonts w:ascii="Arial" w:cs="Arial" w:eastAsia="Arial" w:hAnsi="Arial"/>
          <w:sz w:val="14"/>
          <w:szCs w:val="14"/>
          <w:color w:val="CE0F2D"/>
        </w:rPr>
      </w:pPr>
    </w:p>
    <w:p>
      <w:pPr>
        <w:ind w:left="240" w:hanging="233"/>
        <w:spacing w:after="0" w:line="254" w:lineRule="auto"/>
        <w:tabs>
          <w:tab w:leader="none" w:pos="240" w:val="left"/>
        </w:tabs>
        <w:numPr>
          <w:ilvl w:val="0"/>
          <w:numId w:val="85"/>
        </w:numPr>
        <w:rPr>
          <w:rFonts w:ascii="Arial" w:cs="Arial" w:eastAsia="Arial" w:hAnsi="Arial"/>
          <w:sz w:val="14"/>
          <w:szCs w:val="14"/>
          <w:color w:val="CE0F2D"/>
        </w:rPr>
      </w:pPr>
      <w:r>
        <w:rPr>
          <w:rFonts w:ascii="Arial" w:cs="Arial" w:eastAsia="Arial" w:hAnsi="Arial"/>
          <w:sz w:val="14"/>
          <w:szCs w:val="14"/>
          <w:color w:val="auto"/>
        </w:rPr>
        <w:t>Various other senior leadership roles since joining T. Rowe Price Group, Inc., in 1982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4999355" cy="13519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99355" cy="13519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86"/>
        </w:numPr>
        <w:rPr>
          <w:rFonts w:ascii="Arial" w:cs="Arial" w:eastAsia="Arial" w:hAnsi="Arial"/>
          <w:sz w:val="14"/>
          <w:szCs w:val="14"/>
          <w:color w:val="CE0F2D"/>
        </w:rPr>
      </w:pPr>
      <w:r>
        <w:rPr>
          <w:rFonts w:ascii="Arial" w:cs="Arial" w:eastAsia="Arial" w:hAnsi="Arial"/>
          <w:sz w:val="14"/>
          <w:szCs w:val="14"/>
          <w:color w:val="auto"/>
        </w:rPr>
        <w:t>Lowe’s Companies, Inc., since 2018</w:t>
      </w:r>
    </w:p>
    <w:p>
      <w:pPr>
        <w:spacing w:after="0" w:line="30"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Former Public Company Directorships</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86"/>
        </w:numPr>
        <w:rPr>
          <w:rFonts w:ascii="Arial" w:cs="Arial" w:eastAsia="Arial" w:hAnsi="Arial"/>
          <w:sz w:val="14"/>
          <w:szCs w:val="14"/>
          <w:color w:val="CE0F2D"/>
        </w:rPr>
      </w:pPr>
      <w:r>
        <w:rPr>
          <w:rFonts w:ascii="Arial" w:cs="Arial" w:eastAsia="Arial" w:hAnsi="Arial"/>
          <w:sz w:val="14"/>
          <w:szCs w:val="14"/>
          <w:color w:val="auto"/>
        </w:rPr>
        <w:t>Chairman of the Board (non-executive), T. Rowe Price Group, Inc., 2017–2019</w:t>
      </w:r>
    </w:p>
    <w:p>
      <w:pPr>
        <w:spacing w:after="0" w:line="30"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Other Leadership Experience and Service</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86"/>
        </w:numPr>
        <w:rPr>
          <w:rFonts w:ascii="Arial" w:cs="Arial" w:eastAsia="Arial" w:hAnsi="Arial"/>
          <w:sz w:val="14"/>
          <w:szCs w:val="14"/>
          <w:color w:val="CE0F2D"/>
        </w:rPr>
      </w:pPr>
      <w:r>
        <w:rPr>
          <w:rFonts w:ascii="Arial" w:cs="Arial" w:eastAsia="Arial" w:hAnsi="Arial"/>
          <w:sz w:val="14"/>
          <w:szCs w:val="14"/>
          <w:color w:val="auto"/>
        </w:rPr>
        <w:t>Trustee, Brookings Institution</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6"/>
        </w:numPr>
        <w:rPr>
          <w:rFonts w:ascii="Arial" w:cs="Arial" w:eastAsia="Arial" w:hAnsi="Arial"/>
          <w:sz w:val="14"/>
          <w:szCs w:val="14"/>
          <w:color w:val="CE0F2D"/>
        </w:rPr>
      </w:pPr>
      <w:r>
        <w:rPr>
          <w:rFonts w:ascii="Arial" w:cs="Arial" w:eastAsia="Arial" w:hAnsi="Arial"/>
          <w:sz w:val="14"/>
          <w:szCs w:val="14"/>
          <w:color w:val="auto"/>
        </w:rPr>
        <w:t>Board of Directors, Harvard Management Company</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6"/>
        </w:numPr>
        <w:rPr>
          <w:rFonts w:ascii="Arial" w:cs="Arial" w:eastAsia="Arial" w:hAnsi="Arial"/>
          <w:sz w:val="14"/>
          <w:szCs w:val="14"/>
          <w:color w:val="CE0F2D"/>
        </w:rPr>
      </w:pPr>
      <w:r>
        <w:rPr>
          <w:rFonts w:ascii="Arial" w:cs="Arial" w:eastAsia="Arial" w:hAnsi="Arial"/>
          <w:sz w:val="14"/>
          <w:szCs w:val="14"/>
          <w:color w:val="auto"/>
        </w:rPr>
        <w:t>Trustee, Johns Hopkins Medicine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1295400</wp:posOffset>
            </wp:positionH>
            <wp:positionV relativeFrom="paragraph">
              <wp:posOffset>558165</wp:posOffset>
            </wp:positionV>
            <wp:extent cx="2134235" cy="1564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34235" cy="1564640"/>
                    </a:xfrm>
                    <a:prstGeom prst="rect">
                      <a:avLst/>
                    </a:prstGeom>
                    <a:noFill/>
                  </pic:spPr>
                </pic:pic>
              </a:graphicData>
            </a:graphic>
          </wp:anchor>
        </w:drawing>
      </w:r>
    </w:p>
    <w:p>
      <w:pPr>
        <w:spacing w:after="0" w:line="888" w:lineRule="exact"/>
        <w:rPr>
          <w:sz w:val="20"/>
          <w:szCs w:val="20"/>
          <w:color w:val="auto"/>
        </w:rPr>
      </w:pPr>
    </w:p>
    <w:p>
      <w:pPr>
        <w:sectPr>
          <w:pgSz w:w="11900" w:h="16838" w:orient="portrait"/>
          <w:cols w:equalWidth="0" w:num="2">
            <w:col w:w="5240" w:space="600"/>
            <w:col w:w="5400"/>
          </w:cols>
          <w:pgMar w:left="320" w:top="118" w:right="339" w:bottom="1440" w:gutter="0" w:footer="0" w:header="0"/>
          <w:type w:val="continuous"/>
        </w:sectPr>
      </w:pPr>
    </w:p>
    <w:p>
      <w:pPr>
        <w:spacing w:after="0" w:line="3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James A. Winnefeld, Jr.</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4500" w:type="dxa"/>
            <w:vAlign w:val="bottom"/>
          </w:tcPr>
          <w:p>
            <w:pPr>
              <w:ind w:left="180"/>
              <w:spacing w:after="0"/>
              <w:rPr>
                <w:sz w:val="20"/>
                <w:szCs w:val="20"/>
                <w:color w:val="auto"/>
              </w:rPr>
            </w:pPr>
            <w:r>
              <w:rPr>
                <w:rFonts w:ascii="Arial" w:cs="Arial" w:eastAsia="Arial" w:hAnsi="Arial"/>
                <w:sz w:val="15"/>
                <w:szCs w:val="15"/>
                <w:color w:val="auto"/>
              </w:rPr>
              <w:t>INDEPENDENT DIRECTOR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65</w:t>
            </w:r>
          </w:p>
        </w:tc>
        <w:tc>
          <w:tcPr>
            <w:tcW w:w="3360" w:type="dxa"/>
            <w:vAlign w:val="bottom"/>
          </w:tcPr>
          <w:p>
            <w:pPr>
              <w:spacing w:after="0"/>
              <w:rPr>
                <w:sz w:val="24"/>
                <w:szCs w:val="24"/>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Admiral, U.S. Navy (Retired) and Former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2020 (2017*)</w:t>
            </w:r>
          </w:p>
        </w:tc>
        <w:tc>
          <w:tcPr>
            <w:tcW w:w="3360" w:type="dxa"/>
            <w:vAlign w:val="bottom"/>
          </w:tcPr>
          <w:p>
            <w:pPr>
              <w:spacing w:after="0"/>
              <w:rPr>
                <w:sz w:val="20"/>
                <w:szCs w:val="20"/>
                <w:color w:val="auto"/>
              </w:rPr>
            </w:pPr>
          </w:p>
        </w:tc>
      </w:tr>
      <w:tr>
        <w:trPr>
          <w:trHeight w:val="209"/>
        </w:trPr>
        <w:tc>
          <w:tcPr>
            <w:tcW w:w="4500" w:type="dxa"/>
            <w:vAlign w:val="bottom"/>
          </w:tcPr>
          <w:p>
            <w:pPr>
              <w:ind w:left="180"/>
              <w:spacing w:after="0"/>
              <w:rPr>
                <w:sz w:val="20"/>
                <w:szCs w:val="20"/>
                <w:color w:val="auto"/>
              </w:rPr>
            </w:pPr>
            <w:r>
              <w:rPr>
                <w:rFonts w:ascii="Arial" w:cs="Arial" w:eastAsia="Arial" w:hAnsi="Arial"/>
                <w:sz w:val="16"/>
                <w:szCs w:val="16"/>
                <w:color w:val="auto"/>
              </w:rPr>
              <w:t>Vice Chairman of the Joint Chiefs of Staff</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8"/>
                <w:szCs w:val="18"/>
                <w:color w:val="auto"/>
              </w:rPr>
            </w:pPr>
          </w:p>
        </w:tc>
      </w:tr>
      <w:tr>
        <w:trPr>
          <w:trHeight w:val="195"/>
        </w:trPr>
        <w:tc>
          <w:tcPr>
            <w:tcW w:w="4500" w:type="dxa"/>
            <w:vAlign w:val="bottom"/>
          </w:tcPr>
          <w:p>
            <w:pPr>
              <w:spacing w:after="0"/>
              <w:rPr>
                <w:sz w:val="16"/>
                <w:szCs w:val="16"/>
                <w:color w:val="auto"/>
              </w:rPr>
            </w:pP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Special Activities (Chair), Human Capital &amp;</w:t>
            </w:r>
          </w:p>
        </w:tc>
        <w:tc>
          <w:tcPr>
            <w:tcW w:w="3360" w:type="dxa"/>
            <w:vAlign w:val="bottom"/>
          </w:tcPr>
          <w:p>
            <w:pPr>
              <w:spacing w:after="0"/>
              <w:rPr>
                <w:sz w:val="16"/>
                <w:szCs w:val="16"/>
                <w:color w:val="auto"/>
              </w:rPr>
            </w:pPr>
          </w:p>
        </w:tc>
      </w:tr>
      <w:tr>
        <w:trPr>
          <w:trHeight w:val="214"/>
        </w:trPr>
        <w:tc>
          <w:tcPr>
            <w:tcW w:w="4500" w:type="dxa"/>
            <w:vAlign w:val="bottom"/>
          </w:tcPr>
          <w:p>
            <w:pPr>
              <w:spacing w:after="0"/>
              <w:rPr>
                <w:sz w:val="18"/>
                <w:szCs w:val="18"/>
                <w:color w:val="auto"/>
              </w:rPr>
            </w:pP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Compensation, Finance</w:t>
            </w:r>
          </w:p>
        </w:tc>
        <w:tc>
          <w:tcPr>
            <w:tcW w:w="3360" w:type="dxa"/>
            <w:vAlign w:val="bottom"/>
          </w:tcPr>
          <w:p>
            <w:pPr>
              <w:spacing w:after="0"/>
              <w:rPr>
                <w:sz w:val="18"/>
                <w:szCs w:val="18"/>
                <w:color w:val="auto"/>
              </w:rPr>
            </w:pPr>
          </w:p>
        </w:tc>
      </w:tr>
      <w:tr>
        <w:trPr>
          <w:trHeight w:val="448"/>
        </w:trPr>
        <w:tc>
          <w:tcPr>
            <w:tcW w:w="4500" w:type="dxa"/>
            <w:vAlign w:val="bottom"/>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r>
      <w:tr>
        <w:trPr>
          <w:trHeight w:val="86"/>
        </w:trPr>
        <w:tc>
          <w:tcPr>
            <w:tcW w:w="4500" w:type="dxa"/>
            <w:vAlign w:val="bottom"/>
          </w:tcPr>
          <w:p>
            <w:pPr>
              <w:spacing w:after="0"/>
              <w:rPr>
                <w:sz w:val="7"/>
                <w:szCs w:val="7"/>
                <w:color w:val="auto"/>
              </w:rPr>
            </w:pPr>
          </w:p>
        </w:tc>
        <w:tc>
          <w:tcPr>
            <w:tcW w:w="3380" w:type="dxa"/>
            <w:vAlign w:val="bottom"/>
            <w:shd w:val="clear" w:color="auto" w:fill="EDEDED"/>
          </w:tcPr>
          <w:p>
            <w:pPr>
              <w:spacing w:after="0"/>
              <w:rPr>
                <w:sz w:val="7"/>
                <w:szCs w:val="7"/>
                <w:color w:val="auto"/>
              </w:rPr>
            </w:pPr>
          </w:p>
        </w:tc>
        <w:tc>
          <w:tcPr>
            <w:tcW w:w="3360" w:type="dxa"/>
            <w:vAlign w:val="bottom"/>
          </w:tcPr>
          <w:p>
            <w:pPr>
              <w:spacing w:after="0"/>
              <w:rPr>
                <w:sz w:val="7"/>
                <w:szCs w:val="7"/>
                <w:color w:val="auto"/>
              </w:rPr>
            </w:pPr>
          </w:p>
        </w:tc>
      </w:tr>
      <w:tr>
        <w:trPr>
          <w:trHeight w:val="295"/>
        </w:trPr>
        <w:tc>
          <w:tcPr>
            <w:tcW w:w="4500" w:type="dxa"/>
            <w:vAlign w:val="bottom"/>
            <w:shd w:val="clear" w:color="auto" w:fill="EDEDED"/>
          </w:tcPr>
          <w:p>
            <w:pPr>
              <w:spacing w:after="0"/>
              <w:rPr>
                <w:sz w:val="24"/>
                <w:szCs w:val="24"/>
                <w:color w:val="auto"/>
              </w:rPr>
            </w:pP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r>
      <w:tr>
        <w:trPr>
          <w:trHeight w:val="80"/>
        </w:trPr>
        <w:tc>
          <w:tcPr>
            <w:tcW w:w="4500" w:type="dxa"/>
            <w:vAlign w:val="bottom"/>
            <w:shd w:val="clear" w:color="auto" w:fill="CE0F2D"/>
          </w:tcPr>
          <w:p>
            <w:pPr>
              <w:spacing w:after="0"/>
              <w:rPr>
                <w:sz w:val="6"/>
                <w:szCs w:val="6"/>
                <w:color w:val="auto"/>
              </w:rPr>
            </w:pPr>
          </w:p>
        </w:tc>
        <w:tc>
          <w:tcPr>
            <w:tcW w:w="338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-237490</wp:posOffset>
            </wp:positionV>
            <wp:extent cx="3808730"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808730" cy="135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ind w:right="260"/>
        <w:spacing w:after="0" w:line="242" w:lineRule="auto"/>
        <w:rPr>
          <w:sz w:val="20"/>
          <w:szCs w:val="20"/>
          <w:color w:val="auto"/>
        </w:rPr>
      </w:pPr>
      <w:r>
        <w:rPr>
          <w:rFonts w:ascii="Arial" w:cs="Arial" w:eastAsia="Arial" w:hAnsi="Arial"/>
          <w:sz w:val="14"/>
          <w:szCs w:val="14"/>
          <w:color w:val="auto"/>
        </w:rPr>
        <w:t>Admiral Winnefeld brings extensive senior leadership, strategic planning and management experience developed through his various roles of increasing responsibility in the U.S. military, culminating in his service as the Ninth Vice Chairman of the Joint Chiefs of Staff. He provides the Board with deep defense industry-specific domain knowledge and expertise with respect to the global security environment and our core defense customers.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hanging="233"/>
        <w:spacing w:after="0"/>
        <w:tabs>
          <w:tab w:leader="none" w:pos="240" w:val="left"/>
        </w:tabs>
        <w:numPr>
          <w:ilvl w:val="0"/>
          <w:numId w:val="87"/>
        </w:numPr>
        <w:rPr>
          <w:rFonts w:ascii="Arial" w:cs="Arial" w:eastAsia="Arial" w:hAnsi="Arial"/>
          <w:sz w:val="14"/>
          <w:szCs w:val="14"/>
          <w:color w:val="CE0F2D"/>
        </w:rPr>
      </w:pPr>
      <w:r>
        <w:rPr>
          <w:rFonts w:ascii="Arial" w:cs="Arial" w:eastAsia="Arial" w:hAnsi="Arial"/>
          <w:sz w:val="14"/>
          <w:szCs w:val="14"/>
          <w:color w:val="auto"/>
        </w:rPr>
        <w:t>Vice Chairman of the Joint Chiefs of Staff (military leadership), 2011–2015</w:t>
      </w:r>
    </w:p>
    <w:p>
      <w:pPr>
        <w:spacing w:after="0" w:line="53" w:lineRule="exact"/>
        <w:rPr>
          <w:rFonts w:ascii="Arial" w:cs="Arial" w:eastAsia="Arial" w:hAnsi="Arial"/>
          <w:sz w:val="14"/>
          <w:szCs w:val="14"/>
          <w:color w:val="CE0F2D"/>
        </w:rPr>
      </w:pPr>
    </w:p>
    <w:p>
      <w:pPr>
        <w:ind w:left="240" w:hanging="233"/>
        <w:spacing w:after="0" w:line="244" w:lineRule="auto"/>
        <w:tabs>
          <w:tab w:leader="none" w:pos="240" w:val="left"/>
        </w:tabs>
        <w:numPr>
          <w:ilvl w:val="0"/>
          <w:numId w:val="87"/>
        </w:numPr>
        <w:rPr>
          <w:rFonts w:ascii="Arial" w:cs="Arial" w:eastAsia="Arial" w:hAnsi="Arial"/>
          <w:sz w:val="14"/>
          <w:szCs w:val="14"/>
          <w:color w:val="CE0F2D"/>
        </w:rPr>
      </w:pPr>
      <w:r>
        <w:rPr>
          <w:rFonts w:ascii="Arial" w:cs="Arial" w:eastAsia="Arial" w:hAnsi="Arial"/>
          <w:sz w:val="14"/>
          <w:szCs w:val="14"/>
          <w:color w:val="auto"/>
        </w:rPr>
        <w:t>Various positions of increasing responsibility during a 37-year career in the U.S. Navy, including Commander, U.S. Northern Command (USNORTHCOM); Commander, North American Aerospace Defense Command (NORAD); Commander, U.S. Sixth Fleet; and Commander, Allied Joint Command Lisbon</w:t>
      </w:r>
    </w:p>
    <w:p>
      <w:pPr>
        <w:spacing w:after="0" w:line="200" w:lineRule="exact"/>
        <w:rPr>
          <w:sz w:val="20"/>
          <w:szCs w:val="20"/>
          <w:color w:val="auto"/>
        </w:rPr>
      </w:pPr>
    </w:p>
    <w:p>
      <w:pPr>
        <w:spacing w:after="0" w:line="214" w:lineRule="exact"/>
        <w:rPr>
          <w:sz w:val="20"/>
          <w:szCs w:val="20"/>
          <w:color w:val="auto"/>
        </w:rPr>
      </w:pPr>
    </w:p>
    <w:p>
      <w:pPr>
        <w:ind w:left="260" w:hanging="253"/>
        <w:spacing w:after="0"/>
        <w:tabs>
          <w:tab w:leader="none" w:pos="260" w:val="left"/>
        </w:tabs>
        <w:numPr>
          <w:ilvl w:val="0"/>
          <w:numId w:val="88"/>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89"/>
        </w:numPr>
        <w:rPr>
          <w:rFonts w:ascii="Arial" w:cs="Arial" w:eastAsia="Arial" w:hAnsi="Arial"/>
          <w:sz w:val="14"/>
          <w:szCs w:val="14"/>
          <w:color w:val="CE0F2D"/>
        </w:rPr>
      </w:pPr>
      <w:r>
        <w:rPr>
          <w:rFonts w:ascii="Arial" w:cs="Arial" w:eastAsia="Arial" w:hAnsi="Arial"/>
          <w:sz w:val="14"/>
          <w:szCs w:val="14"/>
          <w:color w:val="auto"/>
        </w:rPr>
        <w:t>Molson Coors Beverage Company, since 2020</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9"/>
        </w:numPr>
        <w:rPr>
          <w:rFonts w:ascii="Arial" w:cs="Arial" w:eastAsia="Arial" w:hAnsi="Arial"/>
          <w:sz w:val="14"/>
          <w:szCs w:val="14"/>
          <w:color w:val="CE0F2D"/>
        </w:rPr>
      </w:pPr>
      <w:r>
        <w:rPr>
          <w:rFonts w:ascii="Arial" w:cs="Arial" w:eastAsia="Arial" w:hAnsi="Arial"/>
          <w:sz w:val="14"/>
          <w:szCs w:val="14"/>
          <w:color w:val="auto"/>
        </w:rPr>
        <w:t>Alliance Laundry Systems LLC (non-public)</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9"/>
        </w:numPr>
        <w:rPr>
          <w:rFonts w:ascii="Arial" w:cs="Arial" w:eastAsia="Arial" w:hAnsi="Arial"/>
          <w:sz w:val="14"/>
          <w:szCs w:val="14"/>
          <w:color w:val="CE0F2D"/>
        </w:rPr>
      </w:pPr>
      <w:r>
        <w:rPr>
          <w:rFonts w:ascii="Arial" w:cs="Arial" w:eastAsia="Arial" w:hAnsi="Arial"/>
          <w:sz w:val="14"/>
          <w:szCs w:val="14"/>
          <w:color w:val="auto"/>
        </w:rPr>
        <w:t>CEM Defense Materials (non-public)</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89"/>
        </w:numPr>
        <w:rPr>
          <w:rFonts w:ascii="Arial" w:cs="Arial" w:eastAsia="Arial" w:hAnsi="Arial"/>
          <w:sz w:val="14"/>
          <w:szCs w:val="14"/>
          <w:color w:val="CE0F2D"/>
        </w:rPr>
      </w:pPr>
      <w:r>
        <w:rPr>
          <w:rFonts w:ascii="Arial" w:cs="Arial" w:eastAsia="Arial" w:hAnsi="Arial"/>
          <w:sz w:val="14"/>
          <w:szCs w:val="14"/>
          <w:color w:val="auto"/>
        </w:rPr>
        <w:t>Enterprise Holdings, Inc. (non-public)</w:t>
      </w:r>
    </w:p>
    <w:p>
      <w:pPr>
        <w:spacing w:after="0" w:line="30"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Former Public Company Directorships</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89"/>
        </w:numPr>
        <w:rPr>
          <w:rFonts w:ascii="Arial" w:cs="Arial" w:eastAsia="Arial" w:hAnsi="Arial"/>
          <w:sz w:val="14"/>
          <w:szCs w:val="14"/>
          <w:color w:val="CE0F2D"/>
        </w:rPr>
      </w:pPr>
      <w:r>
        <w:rPr>
          <w:rFonts w:ascii="Arial" w:cs="Arial" w:eastAsia="Arial" w:hAnsi="Arial"/>
          <w:sz w:val="14"/>
          <w:szCs w:val="14"/>
          <w:color w:val="auto"/>
        </w:rPr>
        <w:t>Raytheon Company, 2017–2020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hanging="231"/>
        <w:spacing w:after="0"/>
        <w:tabs>
          <w:tab w:leader="none" w:pos="240" w:val="left"/>
        </w:tabs>
        <w:numPr>
          <w:ilvl w:val="0"/>
          <w:numId w:val="90"/>
        </w:numPr>
        <w:rPr>
          <w:rFonts w:ascii="Arial" w:cs="Arial" w:eastAsia="Arial" w:hAnsi="Arial"/>
          <w:sz w:val="14"/>
          <w:szCs w:val="14"/>
          <w:color w:val="CE0F2D"/>
        </w:rPr>
      </w:pPr>
      <w:r>
        <w:rPr>
          <w:rFonts w:ascii="Arial" w:cs="Arial" w:eastAsia="Arial" w:hAnsi="Arial"/>
          <w:sz w:val="14"/>
          <w:szCs w:val="14"/>
          <w:color w:val="auto"/>
        </w:rPr>
        <w:t>Co-founder and Co-chair, SAFE Project</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0"/>
        </w:numPr>
        <w:rPr>
          <w:rFonts w:ascii="Arial" w:cs="Arial" w:eastAsia="Arial" w:hAnsi="Arial"/>
          <w:sz w:val="14"/>
          <w:szCs w:val="14"/>
          <w:color w:val="CE0F2D"/>
        </w:rPr>
      </w:pPr>
      <w:r>
        <w:rPr>
          <w:rFonts w:ascii="Arial" w:cs="Arial" w:eastAsia="Arial" w:hAnsi="Arial"/>
          <w:sz w:val="14"/>
          <w:szCs w:val="14"/>
          <w:color w:val="auto"/>
        </w:rPr>
        <w:t>Board of Advisors, Georgia Institute of Technology</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0"/>
        </w:numPr>
        <w:rPr>
          <w:rFonts w:ascii="Arial" w:cs="Arial" w:eastAsia="Arial" w:hAnsi="Arial"/>
          <w:sz w:val="14"/>
          <w:szCs w:val="14"/>
          <w:color w:val="CE0F2D"/>
        </w:rPr>
      </w:pPr>
      <w:r>
        <w:rPr>
          <w:rFonts w:ascii="Arial" w:cs="Arial" w:eastAsia="Arial" w:hAnsi="Arial"/>
          <w:sz w:val="14"/>
          <w:szCs w:val="14"/>
          <w:color w:val="auto"/>
        </w:rPr>
        <w:t>Trustee, Georgia Tech Foundation</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 Reflects service as RTN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-3705225</wp:posOffset>
            </wp:positionH>
            <wp:positionV relativeFrom="paragraph">
              <wp:posOffset>236855</wp:posOffset>
            </wp:positionV>
            <wp:extent cx="715454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260" w:space="580"/>
            <w:col w:w="5400"/>
          </w:cols>
          <w:pgMar w:left="320" w:top="118" w:right="3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PROPOSAL 1: ELECTION OF DIRECTORS </w:t>
      </w:r>
      <w:r>
        <w:rPr>
          <w:rFonts w:ascii="Arial" w:cs="Arial" w:eastAsia="Arial" w:hAnsi="Arial"/>
          <w:sz w:val="12"/>
          <w:szCs w:val="12"/>
          <w:color w:val="000000"/>
        </w:rPr>
        <w:t>|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402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3590" cy="1402715"/>
                    </a:xfrm>
                    <a:prstGeom prst="rect">
                      <a:avLst/>
                    </a:prstGeom>
                    <a:noFill/>
                  </pic:spPr>
                </pic:pic>
              </a:graphicData>
            </a:graphic>
          </wp:anchor>
        </w:drawing>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27"/>
          <w:szCs w:val="27"/>
          <w:b w:val="1"/>
          <w:bCs w:val="1"/>
          <w:color w:val="CE0F2D"/>
        </w:rPr>
        <w:t>Robert O. Work</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332"/>
        </w:trPr>
        <w:tc>
          <w:tcPr>
            <w:tcW w:w="4500" w:type="dxa"/>
            <w:vAlign w:val="bottom"/>
          </w:tcPr>
          <w:p>
            <w:pPr>
              <w:ind w:left="180"/>
              <w:spacing w:after="0"/>
              <w:rPr>
                <w:sz w:val="20"/>
                <w:szCs w:val="20"/>
                <w:color w:val="auto"/>
              </w:rPr>
            </w:pPr>
            <w:r>
              <w:rPr>
                <w:rFonts w:ascii="Arial" w:cs="Arial" w:eastAsia="Arial" w:hAnsi="Arial"/>
                <w:sz w:val="15"/>
                <w:szCs w:val="15"/>
                <w:color w:val="auto"/>
              </w:rPr>
              <w:t>INDEPENDENT DIRECTOR</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AGE 69</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500" w:type="dxa"/>
            <w:vAlign w:val="bottom"/>
          </w:tcPr>
          <w:p>
            <w:pPr>
              <w:ind w:left="180"/>
              <w:spacing w:after="0"/>
              <w:rPr>
                <w:sz w:val="20"/>
                <w:szCs w:val="20"/>
                <w:color w:val="auto"/>
              </w:rPr>
            </w:pPr>
            <w:r>
              <w:rPr>
                <w:rFonts w:ascii="Arial" w:cs="Arial" w:eastAsia="Arial" w:hAnsi="Arial"/>
                <w:sz w:val="16"/>
                <w:szCs w:val="16"/>
                <w:color w:val="auto"/>
              </w:rPr>
              <w:t>Retired Deputy Secretary of Defense,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DIRECTOR SINCE 2020 (2017*)</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500" w:type="dxa"/>
            <w:vAlign w:val="bottom"/>
          </w:tcPr>
          <w:p>
            <w:pPr>
              <w:ind w:left="180"/>
              <w:spacing w:after="0"/>
              <w:rPr>
                <w:sz w:val="20"/>
                <w:szCs w:val="20"/>
                <w:color w:val="auto"/>
              </w:rPr>
            </w:pPr>
            <w:r>
              <w:rPr>
                <w:rFonts w:ascii="Arial" w:cs="Arial" w:eastAsia="Arial" w:hAnsi="Arial"/>
                <w:sz w:val="16"/>
                <w:szCs w:val="16"/>
                <w:color w:val="auto"/>
              </w:rPr>
              <w:t>U.S. Department of Defense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BOARD COMMITTEES</w:t>
            </w: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500" w:type="dxa"/>
            <w:vAlign w:val="bottom"/>
          </w:tcPr>
          <w:p>
            <w:pPr>
              <w:spacing w:after="0"/>
              <w:rPr>
                <w:sz w:val="14"/>
                <w:szCs w:val="14"/>
                <w:color w:val="auto"/>
              </w:rPr>
            </w:pP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Governance and Public Policy (Chair), Audit,</w:t>
            </w:r>
          </w:p>
        </w:tc>
        <w:tc>
          <w:tcPr>
            <w:tcW w:w="3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500" w:type="dxa"/>
            <w:vAlign w:val="bottom"/>
            <w:vMerge w:val="restart"/>
          </w:tcPr>
          <w:p>
            <w:pPr>
              <w:ind w:left="180"/>
              <w:spacing w:after="0"/>
              <w:rPr>
                <w:sz w:val="20"/>
                <w:szCs w:val="20"/>
                <w:color w:val="auto"/>
              </w:rPr>
            </w:pPr>
            <w:r>
              <w:rPr>
                <w:rFonts w:ascii="Arial" w:cs="Arial" w:eastAsia="Arial" w:hAnsi="Arial"/>
                <w:sz w:val="16"/>
                <w:szCs w:val="16"/>
                <w:b w:val="1"/>
                <w:bCs w:val="1"/>
                <w:color w:val="CE0F2D"/>
              </w:rPr>
              <w:t>Key Skills and Expertise</w:t>
            </w:r>
          </w:p>
        </w:tc>
        <w:tc>
          <w:tcPr>
            <w:tcW w:w="3380" w:type="dxa"/>
            <w:vAlign w:val="bottom"/>
            <w:shd w:val="clear" w:color="auto" w:fill="EDEDED"/>
          </w:tcPr>
          <w:p>
            <w:pPr>
              <w:spacing w:after="0"/>
              <w:rPr>
                <w:sz w:val="20"/>
                <w:szCs w:val="20"/>
                <w:color w:val="auto"/>
              </w:rPr>
            </w:pPr>
            <w:r>
              <w:rPr>
                <w:rFonts w:ascii="Arial" w:cs="Arial" w:eastAsia="Arial" w:hAnsi="Arial"/>
                <w:sz w:val="14"/>
                <w:szCs w:val="14"/>
                <w:b w:val="1"/>
                <w:bCs w:val="1"/>
                <w:color w:val="auto"/>
              </w:rPr>
              <w:t>Special Activities</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00" w:type="dxa"/>
            <w:vAlign w:val="bottom"/>
            <w:vMerge w:val="continue"/>
          </w:tcPr>
          <w:p>
            <w:pPr>
              <w:spacing w:after="0"/>
              <w:rPr>
                <w:sz w:val="17"/>
                <w:szCs w:val="17"/>
                <w:color w:val="auto"/>
              </w:rPr>
            </w:pPr>
          </w:p>
        </w:tc>
        <w:tc>
          <w:tcPr>
            <w:tcW w:w="3380" w:type="dxa"/>
            <w:vAlign w:val="bottom"/>
            <w:shd w:val="clear" w:color="auto" w:fill="EDEDED"/>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4500" w:type="dxa"/>
            <w:vAlign w:val="bottom"/>
          </w:tcPr>
          <w:p>
            <w:pPr>
              <w:spacing w:after="0"/>
              <w:rPr>
                <w:sz w:val="7"/>
                <w:szCs w:val="7"/>
                <w:color w:val="auto"/>
              </w:rPr>
            </w:pPr>
          </w:p>
        </w:tc>
        <w:tc>
          <w:tcPr>
            <w:tcW w:w="3380" w:type="dxa"/>
            <w:vAlign w:val="bottom"/>
            <w:shd w:val="clear" w:color="auto" w:fill="EDEDED"/>
          </w:tcPr>
          <w:p>
            <w:pPr>
              <w:spacing w:after="0"/>
              <w:rPr>
                <w:sz w:val="7"/>
                <w:szCs w:val="7"/>
                <w:color w:val="auto"/>
              </w:rPr>
            </w:pPr>
          </w:p>
        </w:tc>
        <w:tc>
          <w:tcPr>
            <w:tcW w:w="3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35"/>
        </w:trPr>
        <w:tc>
          <w:tcPr>
            <w:tcW w:w="4500" w:type="dxa"/>
            <w:vAlign w:val="bottom"/>
            <w:shd w:val="clear" w:color="auto" w:fill="EDEDED"/>
          </w:tcPr>
          <w:p>
            <w:pPr>
              <w:spacing w:after="0"/>
              <w:rPr>
                <w:sz w:val="24"/>
                <w:szCs w:val="24"/>
                <w:color w:val="auto"/>
              </w:rPr>
            </w:pPr>
          </w:p>
        </w:tc>
        <w:tc>
          <w:tcPr>
            <w:tcW w:w="3380" w:type="dxa"/>
            <w:vAlign w:val="bottom"/>
            <w:shd w:val="clear" w:color="auto" w:fill="EDEDED"/>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4500" w:type="dxa"/>
            <w:vAlign w:val="bottom"/>
            <w:shd w:val="clear" w:color="auto" w:fill="CE0F2D"/>
          </w:tcPr>
          <w:p>
            <w:pPr>
              <w:spacing w:after="0"/>
              <w:rPr>
                <w:sz w:val="6"/>
                <w:szCs w:val="6"/>
                <w:color w:val="auto"/>
              </w:rPr>
            </w:pPr>
          </w:p>
        </w:tc>
        <w:tc>
          <w:tcPr>
            <w:tcW w:w="3380" w:type="dxa"/>
            <w:vAlign w:val="bottom"/>
            <w:shd w:val="clear" w:color="auto" w:fill="CE0F2D"/>
          </w:tcPr>
          <w:p>
            <w:pPr>
              <w:spacing w:after="0"/>
              <w:rPr>
                <w:sz w:val="6"/>
                <w:szCs w:val="6"/>
                <w:color w:val="auto"/>
              </w:rPr>
            </w:pPr>
          </w:p>
        </w:tc>
        <w:tc>
          <w:tcPr>
            <w:tcW w:w="3360" w:type="dxa"/>
            <w:vAlign w:val="bottom"/>
            <w:shd w:val="clear" w:color="auto" w:fill="CE0F2D"/>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-262890</wp:posOffset>
            </wp:positionV>
            <wp:extent cx="3808730" cy="161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000000"/>
                        </a:clrFrom>
                        <a:clrTo>
                          <a:srgbClr val="000000">
                            <a:alpha val="0"/>
                          </a:srgbClr>
                        </a:clrTo>
                      </a:clrChange>
                      <a:extLst>
                        <a:ext uri="{28A0092B-C50C-407E-A947-70E740481C1C}"/>
                      </a:extLst>
                    </a:blip>
                    <a:srcRect/>
                    <a:stretch>
                      <a:fillRect/>
                    </a:stretch>
                  </pic:blipFill>
                  <pic:spPr bwMode="auto">
                    <a:xfrm>
                      <a:off x="0" y="0"/>
                      <a:ext cx="3808730" cy="1612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-262890</wp:posOffset>
            </wp:positionV>
            <wp:extent cx="3808730" cy="1612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3808730" cy="1612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Qualifications</w:t>
      </w:r>
    </w:p>
    <w:p>
      <w:pPr>
        <w:spacing w:after="0" w:line="80" w:lineRule="exact"/>
        <w:rPr>
          <w:sz w:val="20"/>
          <w:szCs w:val="20"/>
          <w:color w:val="auto"/>
        </w:rPr>
      </w:pPr>
    </w:p>
    <w:p>
      <w:pPr>
        <w:ind w:right="140"/>
        <w:spacing w:after="0" w:line="242" w:lineRule="auto"/>
        <w:rPr>
          <w:sz w:val="20"/>
          <w:szCs w:val="20"/>
          <w:color w:val="auto"/>
        </w:rPr>
      </w:pPr>
      <w:r>
        <w:rPr>
          <w:rFonts w:ascii="Arial" w:cs="Arial" w:eastAsia="Arial" w:hAnsi="Arial"/>
          <w:sz w:val="14"/>
          <w:szCs w:val="14"/>
          <w:color w:val="auto"/>
        </w:rPr>
        <w:t>Mr. Work provides the Board with significant insight into customer needs acquired through his command, leadership and management positions, including as an officer in the U.S. Marine Corps, Undersecretary of the Navy and Deputy Secretary of Defense. He has broad expertise in global security matters, including in the areas of defense strategy, advanced technologies, international studies and acquisition reform.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Experience</w:t>
      </w:r>
    </w:p>
    <w:p>
      <w:pPr>
        <w:spacing w:after="0" w:line="80" w:lineRule="exact"/>
        <w:rPr>
          <w:sz w:val="20"/>
          <w:szCs w:val="20"/>
          <w:color w:val="auto"/>
        </w:rPr>
      </w:pPr>
    </w:p>
    <w:p>
      <w:pPr>
        <w:ind w:left="240" w:hanging="233"/>
        <w:spacing w:after="0"/>
        <w:tabs>
          <w:tab w:leader="none" w:pos="240" w:val="left"/>
        </w:tabs>
        <w:numPr>
          <w:ilvl w:val="0"/>
          <w:numId w:val="91"/>
        </w:numPr>
        <w:rPr>
          <w:rFonts w:ascii="Arial" w:cs="Arial" w:eastAsia="Arial" w:hAnsi="Arial"/>
          <w:sz w:val="14"/>
          <w:szCs w:val="14"/>
          <w:color w:val="CE0F2D"/>
        </w:rPr>
      </w:pPr>
      <w:r>
        <w:rPr>
          <w:rFonts w:ascii="Arial" w:cs="Arial" w:eastAsia="Arial" w:hAnsi="Arial"/>
          <w:sz w:val="14"/>
          <w:szCs w:val="14"/>
          <w:color w:val="auto"/>
        </w:rPr>
        <w:t>U.S. Deputy Secretary of Defense (executive department leadership), 2014–2017</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91"/>
        </w:numPr>
        <w:rPr>
          <w:rFonts w:ascii="Arial" w:cs="Arial" w:eastAsia="Arial" w:hAnsi="Arial"/>
          <w:sz w:val="14"/>
          <w:szCs w:val="14"/>
          <w:color w:val="CE0F2D"/>
        </w:rPr>
      </w:pPr>
      <w:r>
        <w:rPr>
          <w:rFonts w:ascii="Arial" w:cs="Arial" w:eastAsia="Arial" w:hAnsi="Arial"/>
          <w:sz w:val="14"/>
          <w:szCs w:val="14"/>
          <w:color w:val="auto"/>
        </w:rPr>
        <w:t>Chief Executive Officer, Center for a New American Security, 2013–2014</w:t>
      </w:r>
    </w:p>
    <w:p>
      <w:pPr>
        <w:spacing w:after="0" w:line="53" w:lineRule="exact"/>
        <w:rPr>
          <w:rFonts w:ascii="Arial" w:cs="Arial" w:eastAsia="Arial" w:hAnsi="Arial"/>
          <w:sz w:val="14"/>
          <w:szCs w:val="14"/>
          <w:color w:val="CE0F2D"/>
        </w:rPr>
      </w:pPr>
    </w:p>
    <w:p>
      <w:pPr>
        <w:ind w:left="240" w:hanging="233"/>
        <w:spacing w:after="0"/>
        <w:tabs>
          <w:tab w:leader="none" w:pos="240" w:val="left"/>
        </w:tabs>
        <w:numPr>
          <w:ilvl w:val="0"/>
          <w:numId w:val="91"/>
        </w:numPr>
        <w:rPr>
          <w:rFonts w:ascii="Arial" w:cs="Arial" w:eastAsia="Arial" w:hAnsi="Arial"/>
          <w:sz w:val="14"/>
          <w:szCs w:val="14"/>
          <w:color w:val="CE0F2D"/>
        </w:rPr>
      </w:pPr>
      <w:r>
        <w:rPr>
          <w:rFonts w:ascii="Arial" w:cs="Arial" w:eastAsia="Arial" w:hAnsi="Arial"/>
          <w:sz w:val="14"/>
          <w:szCs w:val="14"/>
          <w:color w:val="auto"/>
        </w:rPr>
        <w:t>Undersecretary of the U.S. Navy, 2009–2013</w:t>
      </w:r>
    </w:p>
    <w:p>
      <w:pPr>
        <w:spacing w:after="0" w:line="53" w:lineRule="exact"/>
        <w:rPr>
          <w:rFonts w:ascii="Arial" w:cs="Arial" w:eastAsia="Arial" w:hAnsi="Arial"/>
          <w:sz w:val="14"/>
          <w:szCs w:val="14"/>
          <w:color w:val="CE0F2D"/>
        </w:rPr>
      </w:pPr>
    </w:p>
    <w:p>
      <w:pPr>
        <w:ind w:left="240" w:right="20" w:hanging="233"/>
        <w:spacing w:after="0" w:line="247" w:lineRule="auto"/>
        <w:tabs>
          <w:tab w:leader="none" w:pos="240" w:val="left"/>
        </w:tabs>
        <w:numPr>
          <w:ilvl w:val="0"/>
          <w:numId w:val="91"/>
        </w:numPr>
        <w:rPr>
          <w:rFonts w:ascii="Arial" w:cs="Arial" w:eastAsia="Arial" w:hAnsi="Arial"/>
          <w:sz w:val="14"/>
          <w:szCs w:val="14"/>
          <w:color w:val="CE0F2D"/>
        </w:rPr>
      </w:pPr>
      <w:r>
        <w:rPr>
          <w:rFonts w:ascii="Arial" w:cs="Arial" w:eastAsia="Arial" w:hAnsi="Arial"/>
          <w:sz w:val="14"/>
          <w:szCs w:val="14"/>
          <w:color w:val="auto"/>
        </w:rPr>
        <w:t>Positions with the Center for Strategic and Budgetary Assessments: serving in positions of increasing responsibility from 2002 to 2009, culminating in service as Vice President for Strategic Studies</w:t>
      </w:r>
    </w:p>
    <w:p>
      <w:pPr>
        <w:spacing w:after="0" w:line="38" w:lineRule="exact"/>
        <w:rPr>
          <w:rFonts w:ascii="Arial" w:cs="Arial" w:eastAsia="Arial" w:hAnsi="Arial"/>
          <w:sz w:val="14"/>
          <w:szCs w:val="14"/>
          <w:color w:val="CE0F2D"/>
        </w:rPr>
      </w:pPr>
    </w:p>
    <w:p>
      <w:pPr>
        <w:ind w:left="240" w:right="40" w:hanging="233"/>
        <w:spacing w:after="0" w:line="247" w:lineRule="auto"/>
        <w:tabs>
          <w:tab w:leader="none" w:pos="240" w:val="left"/>
        </w:tabs>
        <w:numPr>
          <w:ilvl w:val="0"/>
          <w:numId w:val="91"/>
        </w:numPr>
        <w:rPr>
          <w:rFonts w:ascii="Arial" w:cs="Arial" w:eastAsia="Arial" w:hAnsi="Arial"/>
          <w:sz w:val="14"/>
          <w:szCs w:val="14"/>
          <w:color w:val="CE0F2D"/>
        </w:rPr>
      </w:pPr>
      <w:r>
        <w:rPr>
          <w:rFonts w:ascii="Arial" w:cs="Arial" w:eastAsia="Arial" w:hAnsi="Arial"/>
          <w:sz w:val="14"/>
          <w:szCs w:val="14"/>
          <w:color w:val="auto"/>
        </w:rPr>
        <w:t>Various positions of increasing responsibility during a 27-year career in the U.S. Marine Corps, including artillery battery commander; battalion commander; Base Commander, Camp Fuji, Japan; and Senior Aide to the Secretary of the Navy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Current Directorships</w:t>
      </w:r>
    </w:p>
    <w:p>
      <w:pPr>
        <w:spacing w:after="0" w:line="80" w:lineRule="exact"/>
        <w:rPr>
          <w:sz w:val="20"/>
          <w:szCs w:val="20"/>
          <w:color w:val="auto"/>
        </w:rPr>
      </w:pPr>
    </w:p>
    <w:p>
      <w:pPr>
        <w:ind w:left="240" w:hanging="231"/>
        <w:spacing w:after="0"/>
        <w:tabs>
          <w:tab w:leader="none" w:pos="240" w:val="left"/>
        </w:tabs>
        <w:numPr>
          <w:ilvl w:val="0"/>
          <w:numId w:val="92"/>
        </w:numPr>
        <w:rPr>
          <w:rFonts w:ascii="Arial" w:cs="Arial" w:eastAsia="Arial" w:hAnsi="Arial"/>
          <w:sz w:val="14"/>
          <w:szCs w:val="14"/>
          <w:color w:val="CE0F2D"/>
        </w:rPr>
      </w:pPr>
      <w:r>
        <w:rPr>
          <w:rFonts w:ascii="Arial" w:cs="Arial" w:eastAsia="Arial" w:hAnsi="Arial"/>
          <w:sz w:val="14"/>
          <w:szCs w:val="14"/>
          <w:color w:val="auto"/>
        </w:rPr>
        <w:t>System High (non-public)</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2"/>
        </w:numPr>
        <w:rPr>
          <w:rFonts w:ascii="Arial" w:cs="Arial" w:eastAsia="Arial" w:hAnsi="Arial"/>
          <w:sz w:val="14"/>
          <w:szCs w:val="14"/>
          <w:color w:val="CE0F2D"/>
        </w:rPr>
      </w:pPr>
      <w:r>
        <w:rPr>
          <w:rFonts w:ascii="Arial" w:cs="Arial" w:eastAsia="Arial" w:hAnsi="Arial"/>
          <w:sz w:val="14"/>
          <w:szCs w:val="14"/>
          <w:color w:val="auto"/>
        </w:rPr>
        <w:t>Govini, Chairman (non-public)</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2"/>
        </w:numPr>
        <w:rPr>
          <w:rFonts w:ascii="Arial" w:cs="Arial" w:eastAsia="Arial" w:hAnsi="Arial"/>
          <w:sz w:val="14"/>
          <w:szCs w:val="14"/>
          <w:color w:val="CE0F2D"/>
        </w:rPr>
      </w:pPr>
      <w:r>
        <w:rPr>
          <w:rFonts w:ascii="Arial" w:cs="Arial" w:eastAsia="Arial" w:hAnsi="Arial"/>
          <w:sz w:val="14"/>
          <w:szCs w:val="14"/>
          <w:color w:val="auto"/>
        </w:rPr>
        <w:t>SparkCognition Government Services, Chairman (non-public)</w:t>
      </w:r>
    </w:p>
    <w:p>
      <w:pPr>
        <w:spacing w:after="0" w:line="30" w:lineRule="exact"/>
        <w:rPr>
          <w:rFonts w:ascii="Arial" w:cs="Arial" w:eastAsia="Arial" w:hAnsi="Arial"/>
          <w:sz w:val="14"/>
          <w:szCs w:val="14"/>
          <w:color w:val="CE0F2D"/>
        </w:rPr>
      </w:pPr>
    </w:p>
    <w:p>
      <w:pPr>
        <w:spacing w:after="0"/>
        <w:rPr>
          <w:rFonts w:ascii="Arial" w:cs="Arial" w:eastAsia="Arial" w:hAnsi="Arial"/>
          <w:sz w:val="14"/>
          <w:szCs w:val="14"/>
          <w:color w:val="CE0F2D"/>
        </w:rPr>
      </w:pPr>
      <w:r>
        <w:rPr>
          <w:rFonts w:ascii="Arial" w:cs="Arial" w:eastAsia="Arial" w:hAnsi="Arial"/>
          <w:sz w:val="16"/>
          <w:szCs w:val="16"/>
          <w:b w:val="1"/>
          <w:bCs w:val="1"/>
          <w:color w:val="CE0F2D"/>
        </w:rPr>
        <w:t>Former Public Company Directorships</w:t>
      </w:r>
    </w:p>
    <w:p>
      <w:pPr>
        <w:spacing w:after="0" w:line="79" w:lineRule="exact"/>
        <w:rPr>
          <w:rFonts w:ascii="Arial" w:cs="Arial" w:eastAsia="Arial" w:hAnsi="Arial"/>
          <w:sz w:val="14"/>
          <w:szCs w:val="14"/>
          <w:color w:val="CE0F2D"/>
        </w:rPr>
      </w:pPr>
    </w:p>
    <w:p>
      <w:pPr>
        <w:ind w:left="240" w:hanging="231"/>
        <w:spacing w:after="0"/>
        <w:tabs>
          <w:tab w:leader="none" w:pos="240" w:val="left"/>
        </w:tabs>
        <w:numPr>
          <w:ilvl w:val="0"/>
          <w:numId w:val="92"/>
        </w:numPr>
        <w:rPr>
          <w:rFonts w:ascii="Arial" w:cs="Arial" w:eastAsia="Arial" w:hAnsi="Arial"/>
          <w:sz w:val="14"/>
          <w:szCs w:val="14"/>
          <w:color w:val="CE0F2D"/>
        </w:rPr>
      </w:pPr>
      <w:r>
        <w:rPr>
          <w:rFonts w:ascii="Arial" w:cs="Arial" w:eastAsia="Arial" w:hAnsi="Arial"/>
          <w:sz w:val="14"/>
          <w:szCs w:val="14"/>
          <w:color w:val="auto"/>
        </w:rPr>
        <w:t>Raytheon Company, 2017–2020</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Other Leadership Experience and Service</w:t>
      </w:r>
    </w:p>
    <w:p>
      <w:pPr>
        <w:spacing w:after="0" w:line="80" w:lineRule="exact"/>
        <w:rPr>
          <w:sz w:val="20"/>
          <w:szCs w:val="20"/>
          <w:color w:val="auto"/>
        </w:rPr>
      </w:pPr>
    </w:p>
    <w:p>
      <w:pPr>
        <w:ind w:left="240" w:right="380" w:hanging="231"/>
        <w:spacing w:after="0" w:line="254" w:lineRule="auto"/>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Senior Counselor for Defense, Distinguished Senior Fellow for Defense and National Security, Center for a New American Security</w:t>
      </w:r>
    </w:p>
    <w:p>
      <w:pPr>
        <w:spacing w:after="0" w:line="34"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Principal, WestExec Advisors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Senior Counselor, Telemus Group</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Senior Fellow, Johns Hopkins Applied Physics Laboratory</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Visiting Fellow, MITRE Corporation</w:t>
      </w:r>
    </w:p>
    <w:p>
      <w:pPr>
        <w:spacing w:after="0" w:line="53" w:lineRule="exact"/>
        <w:rPr>
          <w:rFonts w:ascii="Arial" w:cs="Arial" w:eastAsia="Arial" w:hAnsi="Arial"/>
          <w:sz w:val="14"/>
          <w:szCs w:val="14"/>
          <w:color w:val="CE0F2D"/>
        </w:rPr>
      </w:pPr>
    </w:p>
    <w:p>
      <w:pPr>
        <w:ind w:left="240" w:right="80" w:hanging="231"/>
        <w:spacing w:after="0" w:line="254" w:lineRule="auto"/>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Board of Advisors, U.S. Chamber of Commerce, Defense and Aerospace Export Council</w:t>
      </w:r>
    </w:p>
    <w:p>
      <w:pPr>
        <w:spacing w:after="0" w:line="34"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Consultant, Deloitte (defense practice)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Chair, U.S. Naval Institute Board of Directors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Senior Advisor, Blackstone</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Board of Advisors, SparkCognition</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Board of Advisors, Special Competitive Studies Project</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Member, Council on Foreign Relations</w:t>
      </w:r>
    </w:p>
    <w:p>
      <w:pPr>
        <w:spacing w:after="0" w:line="53" w:lineRule="exact"/>
        <w:rPr>
          <w:rFonts w:ascii="Arial" w:cs="Arial" w:eastAsia="Arial" w:hAnsi="Arial"/>
          <w:sz w:val="14"/>
          <w:szCs w:val="14"/>
          <w:color w:val="CE0F2D"/>
        </w:rPr>
      </w:pPr>
    </w:p>
    <w:p>
      <w:pPr>
        <w:ind w:left="240" w:hanging="231"/>
        <w:spacing w:after="0"/>
        <w:tabs>
          <w:tab w:leader="none" w:pos="240" w:val="left"/>
        </w:tabs>
        <w:numPr>
          <w:ilvl w:val="0"/>
          <w:numId w:val="93"/>
        </w:numPr>
        <w:rPr>
          <w:rFonts w:ascii="Arial" w:cs="Arial" w:eastAsia="Arial" w:hAnsi="Arial"/>
          <w:sz w:val="14"/>
          <w:szCs w:val="14"/>
          <w:color w:val="CE0F2D"/>
        </w:rPr>
      </w:pPr>
      <w:r>
        <w:rPr>
          <w:rFonts w:ascii="Arial" w:cs="Arial" w:eastAsia="Arial" w:hAnsi="Arial"/>
          <w:sz w:val="14"/>
          <w:szCs w:val="14"/>
          <w:color w:val="auto"/>
        </w:rPr>
        <w:t>Member, International Institute for Strategic Studies</w:t>
      </w:r>
    </w:p>
    <w:p>
      <w:pPr>
        <w:spacing w:after="0" w:line="43" w:lineRule="exact"/>
        <w:rPr>
          <w:sz w:val="20"/>
          <w:szCs w:val="20"/>
          <w:color w:val="auto"/>
        </w:rPr>
      </w:pPr>
    </w:p>
    <w:p>
      <w:pPr>
        <w:spacing w:after="0"/>
        <w:rPr>
          <w:sz w:val="20"/>
          <w:szCs w:val="20"/>
          <w:color w:val="auto"/>
        </w:rPr>
      </w:pPr>
      <w:r>
        <w:rPr>
          <w:rFonts w:ascii="Arial" w:cs="Arial" w:eastAsia="Arial" w:hAnsi="Arial"/>
          <w:sz w:val="12"/>
          <w:szCs w:val="12"/>
          <w:color w:val="auto"/>
        </w:rPr>
        <w:t>* Reflects service as RTN director.</w:t>
      </w:r>
    </w:p>
    <w:p>
      <w:pPr>
        <w:spacing w:after="0" w:line="200" w:lineRule="exact"/>
        <w:rPr>
          <w:sz w:val="20"/>
          <w:szCs w:val="20"/>
          <w:color w:val="auto"/>
        </w:rPr>
      </w:pPr>
    </w:p>
    <w:p>
      <w:pPr>
        <w:sectPr>
          <w:pgSz w:w="11900" w:h="16838" w:orient="portrait"/>
          <w:cols w:equalWidth="0" w:num="2">
            <w:col w:w="5380" w:space="460"/>
            <w:col w:w="5400"/>
          </w:cols>
          <w:pgMar w:left="320" w:top="118" w:right="339" w:bottom="1440" w:gutter="0" w:footer="0" w:header="0"/>
          <w:type w:val="continuous"/>
        </w:sectPr>
      </w:pPr>
    </w:p>
    <w:p>
      <w:pPr>
        <w:spacing w:after="0" w:line="58"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928110" cy="508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928110" cy="50800"/>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Continuing Commitment to Sound Corporate Governance</w:t>
      </w:r>
    </w:p>
    <w:p>
      <w:pPr>
        <w:spacing w:after="0" w:line="205" w:lineRule="exact"/>
        <w:rPr>
          <w:sz w:val="20"/>
          <w:szCs w:val="20"/>
          <w:color w:val="auto"/>
        </w:rPr>
      </w:pPr>
    </w:p>
    <w:p>
      <w:pPr>
        <w:ind w:right="120"/>
        <w:spacing w:after="0" w:line="231" w:lineRule="auto"/>
        <w:rPr>
          <w:sz w:val="20"/>
          <w:szCs w:val="20"/>
          <w:color w:val="auto"/>
        </w:rPr>
      </w:pPr>
      <w:r>
        <w:rPr>
          <w:rFonts w:ascii="Arial" w:cs="Arial" w:eastAsia="Arial" w:hAnsi="Arial"/>
          <w:sz w:val="20"/>
          <w:szCs w:val="20"/>
          <w:color w:val="CE0F2D"/>
        </w:rPr>
        <w:t>RTX is committed to strong corporate governance practices that are designed to maintain high standards of oversight, accountability, integrity and ethics and that go beyond legal and regulatory requirements. The Board believes this commitment promotes long-term shareowner value.</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 AND CORPORATE GOVERNANCE GUIDELINES</w:t>
      </w:r>
    </w:p>
    <w:p>
      <w:pPr>
        <w:spacing w:after="0" w:line="215"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This commitment to sound governance is reflected in our Code of Conduct and Corporate Governance Guidelines, which reinforce our values and high standards.</w:t>
      </w:r>
    </w:p>
    <w:p>
      <w:pPr>
        <w:sectPr>
          <w:pgSz w:w="11900" w:h="16838" w:orient="portrait"/>
          <w:cols w:equalWidth="0" w:num="1">
            <w:col w:w="11040"/>
          </w:cols>
          <w:pgMar w:left="320" w:top="118" w:right="539" w:bottom="1440" w:gutter="0" w:footer="0" w:header="0"/>
        </w:sectPr>
      </w:pPr>
    </w:p>
    <w:p>
      <w:pPr>
        <w:spacing w:after="0" w:line="10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Code of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451860"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51860" cy="25400"/>
                    </a:xfrm>
                    <a:prstGeom prst="rect">
                      <a:avLst/>
                    </a:prstGeom>
                    <a:noFill/>
                  </pic:spPr>
                </pic:pic>
              </a:graphicData>
            </a:graphic>
          </wp:anchor>
        </w:drawing>
      </w:r>
    </w:p>
    <w:p>
      <w:pPr>
        <w:spacing w:after="0" w:line="161" w:lineRule="exact"/>
        <w:rPr>
          <w:sz w:val="20"/>
          <w:szCs w:val="20"/>
          <w:color w:val="auto"/>
        </w:rPr>
      </w:pPr>
    </w:p>
    <w:p>
      <w:pPr>
        <w:ind w:left="180" w:hanging="173"/>
        <w:spacing w:after="0" w:line="256" w:lineRule="auto"/>
        <w:tabs>
          <w:tab w:leader="none" w:pos="188" w:val="left"/>
        </w:tabs>
        <w:numPr>
          <w:ilvl w:val="0"/>
          <w:numId w:val="94"/>
        </w:numPr>
        <w:rPr>
          <w:rFonts w:ascii="Arial" w:cs="Arial" w:eastAsia="Arial" w:hAnsi="Arial"/>
          <w:sz w:val="16"/>
          <w:szCs w:val="16"/>
          <w:color w:val="CE0F2D"/>
        </w:rPr>
      </w:pPr>
      <w:r>
        <w:rPr>
          <w:rFonts w:ascii="Arial" w:cs="Arial" w:eastAsia="Arial" w:hAnsi="Arial"/>
          <w:sz w:val="16"/>
          <w:szCs w:val="16"/>
          <w:color w:val="auto"/>
        </w:rPr>
        <w:t>Explains how our values of Trust, Respect, Accountability, Collaboration and Innovation must inform our actions.</w:t>
      </w:r>
    </w:p>
    <w:p>
      <w:pPr>
        <w:spacing w:after="0" w:line="143" w:lineRule="exact"/>
        <w:rPr>
          <w:rFonts w:ascii="Arial" w:cs="Arial" w:eastAsia="Arial" w:hAnsi="Arial"/>
          <w:sz w:val="16"/>
          <w:szCs w:val="16"/>
          <w:color w:val="CE0F2D"/>
        </w:rPr>
      </w:pPr>
    </w:p>
    <w:p>
      <w:pPr>
        <w:ind w:left="180" w:right="60" w:hanging="173"/>
        <w:spacing w:after="0" w:line="256" w:lineRule="auto"/>
        <w:tabs>
          <w:tab w:leader="none" w:pos="188" w:val="left"/>
        </w:tabs>
        <w:numPr>
          <w:ilvl w:val="0"/>
          <w:numId w:val="94"/>
        </w:numPr>
        <w:rPr>
          <w:rFonts w:ascii="Arial" w:cs="Arial" w:eastAsia="Arial" w:hAnsi="Arial"/>
          <w:sz w:val="16"/>
          <w:szCs w:val="16"/>
          <w:color w:val="CE0F2D"/>
        </w:rPr>
      </w:pPr>
      <w:r>
        <w:rPr>
          <w:rFonts w:ascii="Arial" w:cs="Arial" w:eastAsia="Arial" w:hAnsi="Arial"/>
          <w:sz w:val="16"/>
          <w:szCs w:val="16"/>
          <w:color w:val="auto"/>
        </w:rPr>
        <w:t>Guides employees’ conduct with each other, our business partners and our communities.</w:t>
      </w:r>
    </w:p>
    <w:p>
      <w:pPr>
        <w:spacing w:after="0" w:line="143" w:lineRule="exact"/>
        <w:rPr>
          <w:rFonts w:ascii="Arial" w:cs="Arial" w:eastAsia="Arial" w:hAnsi="Arial"/>
          <w:sz w:val="16"/>
          <w:szCs w:val="16"/>
          <w:color w:val="CE0F2D"/>
        </w:rPr>
      </w:pPr>
    </w:p>
    <w:p>
      <w:pPr>
        <w:ind w:left="180" w:right="100" w:hanging="173"/>
        <w:spacing w:after="0" w:line="250" w:lineRule="auto"/>
        <w:tabs>
          <w:tab w:leader="none" w:pos="188" w:val="left"/>
        </w:tabs>
        <w:numPr>
          <w:ilvl w:val="0"/>
          <w:numId w:val="94"/>
        </w:numPr>
        <w:rPr>
          <w:rFonts w:ascii="Arial" w:cs="Arial" w:eastAsia="Arial" w:hAnsi="Arial"/>
          <w:sz w:val="16"/>
          <w:szCs w:val="16"/>
          <w:color w:val="CE0F2D"/>
        </w:rPr>
      </w:pPr>
      <w:r>
        <w:rPr>
          <w:rFonts w:ascii="Arial" w:cs="Arial" w:eastAsia="Arial" w:hAnsi="Arial"/>
          <w:sz w:val="16"/>
          <w:szCs w:val="16"/>
          <w:color w:val="auto"/>
        </w:rPr>
        <w:t>Emphasizes the responsibility to conduct our business with integrity, to respect and protect human rights, and to report violations of the Code without fear of retaliation.</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left="9"/>
        <w:spacing w:after="0"/>
        <w:rPr>
          <w:sz w:val="20"/>
          <w:szCs w:val="20"/>
          <w:color w:val="auto"/>
        </w:rPr>
      </w:pPr>
      <w:r>
        <w:rPr>
          <w:rFonts w:ascii="Arial" w:cs="Arial" w:eastAsia="Arial" w:hAnsi="Arial"/>
          <w:sz w:val="21"/>
          <w:szCs w:val="21"/>
          <w:b w:val="1"/>
          <w:bCs w:val="1"/>
          <w:color w:val="auto"/>
        </w:rPr>
        <w:t>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536950"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536950" cy="25400"/>
                    </a:xfrm>
                    <a:prstGeom prst="rect">
                      <a:avLst/>
                    </a:prstGeom>
                    <a:noFill/>
                  </pic:spPr>
                </pic:pic>
              </a:graphicData>
            </a:graphic>
          </wp:anchor>
        </w:drawing>
      </w:r>
    </w:p>
    <w:p>
      <w:pPr>
        <w:spacing w:after="0" w:line="161" w:lineRule="exact"/>
        <w:rPr>
          <w:sz w:val="20"/>
          <w:szCs w:val="20"/>
          <w:color w:val="auto"/>
        </w:rPr>
      </w:pPr>
    </w:p>
    <w:p>
      <w:pPr>
        <w:ind w:left="9" w:right="300"/>
        <w:spacing w:after="0" w:line="250" w:lineRule="auto"/>
        <w:rPr>
          <w:sz w:val="20"/>
          <w:szCs w:val="20"/>
          <w:color w:val="auto"/>
        </w:rPr>
      </w:pPr>
      <w:r>
        <w:rPr>
          <w:rFonts w:ascii="Arial" w:cs="Arial" w:eastAsia="Arial" w:hAnsi="Arial"/>
          <w:sz w:val="16"/>
          <w:szCs w:val="16"/>
          <w:color w:val="auto"/>
        </w:rPr>
        <w:t>Governs the structure and functioning of the Board and incorporates numerous leading practices that reflect our high governance standards, including:</w:t>
      </w:r>
    </w:p>
    <w:p>
      <w:pPr>
        <w:spacing w:after="0" w:line="148" w:lineRule="exact"/>
        <w:rPr>
          <w:sz w:val="20"/>
          <w:szCs w:val="20"/>
          <w:color w:val="auto"/>
        </w:rPr>
      </w:pPr>
    </w:p>
    <w:p>
      <w:pPr>
        <w:ind w:left="169" w:right="120" w:hanging="169"/>
        <w:spacing w:after="0" w:line="250" w:lineRule="auto"/>
        <w:tabs>
          <w:tab w:leader="none" w:pos="186" w:val="left"/>
        </w:tabs>
        <w:numPr>
          <w:ilvl w:val="0"/>
          <w:numId w:val="95"/>
        </w:numPr>
        <w:rPr>
          <w:rFonts w:ascii="Arial" w:cs="Arial" w:eastAsia="Arial" w:hAnsi="Arial"/>
          <w:sz w:val="16"/>
          <w:szCs w:val="16"/>
          <w:color w:val="CE0F2D"/>
        </w:rPr>
      </w:pPr>
      <w:r>
        <w:rPr>
          <w:rFonts w:ascii="Arial" w:cs="Arial" w:eastAsia="Arial" w:hAnsi="Arial"/>
          <w:sz w:val="16"/>
          <w:szCs w:val="16"/>
          <w:color w:val="auto"/>
        </w:rPr>
        <w:t>A clear approval process for outside directorships or paid consulting/advisory engagements that could potentially raise conflicts of interest or detract from a director’s focus on Board duties.</w:t>
      </w:r>
    </w:p>
    <w:p>
      <w:pPr>
        <w:spacing w:after="0" w:line="148" w:lineRule="exact"/>
        <w:rPr>
          <w:rFonts w:ascii="Arial" w:cs="Arial" w:eastAsia="Arial" w:hAnsi="Arial"/>
          <w:sz w:val="16"/>
          <w:szCs w:val="16"/>
          <w:color w:val="CE0F2D"/>
        </w:rPr>
      </w:pPr>
    </w:p>
    <w:p>
      <w:pPr>
        <w:ind w:left="189" w:hanging="189"/>
        <w:spacing w:after="0"/>
        <w:tabs>
          <w:tab w:leader="none" w:pos="189" w:val="left"/>
        </w:tabs>
        <w:numPr>
          <w:ilvl w:val="0"/>
          <w:numId w:val="95"/>
        </w:numPr>
        <w:rPr>
          <w:rFonts w:ascii="Arial" w:cs="Arial" w:eastAsia="Arial" w:hAnsi="Arial"/>
          <w:sz w:val="16"/>
          <w:szCs w:val="16"/>
          <w:color w:val="CE0F2D"/>
        </w:rPr>
      </w:pPr>
      <w:r>
        <w:rPr>
          <w:rFonts w:ascii="Arial" w:cs="Arial" w:eastAsia="Arial" w:hAnsi="Arial"/>
          <w:sz w:val="16"/>
          <w:szCs w:val="16"/>
          <w:color w:val="auto"/>
        </w:rPr>
        <w:t>Regular review of director tenure in light of the Board’s evolving needs.</w:t>
      </w:r>
    </w:p>
    <w:p>
      <w:pPr>
        <w:spacing w:after="0" w:line="164" w:lineRule="exact"/>
        <w:rPr>
          <w:rFonts w:ascii="Arial" w:cs="Arial" w:eastAsia="Arial" w:hAnsi="Arial"/>
          <w:sz w:val="16"/>
          <w:szCs w:val="16"/>
          <w:color w:val="CE0F2D"/>
        </w:rPr>
      </w:pPr>
    </w:p>
    <w:p>
      <w:pPr>
        <w:ind w:left="169" w:right="400" w:hanging="169"/>
        <w:spacing w:after="0" w:line="256" w:lineRule="auto"/>
        <w:tabs>
          <w:tab w:leader="none" w:pos="186" w:val="left"/>
        </w:tabs>
        <w:numPr>
          <w:ilvl w:val="0"/>
          <w:numId w:val="95"/>
        </w:numPr>
        <w:rPr>
          <w:rFonts w:ascii="Arial" w:cs="Arial" w:eastAsia="Arial" w:hAnsi="Arial"/>
          <w:sz w:val="16"/>
          <w:szCs w:val="16"/>
          <w:color w:val="CE0F2D"/>
        </w:rPr>
      </w:pPr>
      <w:r>
        <w:rPr>
          <w:rFonts w:ascii="Arial" w:cs="Arial" w:eastAsia="Arial" w:hAnsi="Arial"/>
          <w:sz w:val="16"/>
          <w:szCs w:val="16"/>
          <w:color w:val="auto"/>
        </w:rPr>
        <w:t>Annual self-evaluation of the performance of the Board, its standing committees and our directors (see page 23).</w:t>
      </w:r>
    </w:p>
    <w:p>
      <w:pPr>
        <w:spacing w:after="0" w:line="143" w:lineRule="exact"/>
        <w:rPr>
          <w:sz w:val="20"/>
          <w:szCs w:val="20"/>
          <w:color w:val="auto"/>
        </w:rPr>
      </w:pPr>
    </w:p>
    <w:p>
      <w:pPr>
        <w:sectPr>
          <w:pgSz w:w="11900" w:h="16838" w:orient="portrait"/>
          <w:cols w:equalWidth="0" w:num="2">
            <w:col w:w="5300" w:space="371"/>
            <w:col w:w="5369"/>
          </w:cols>
          <w:pgMar w:left="320" w:top="118" w:right="539" w:bottom="1440" w:gutter="0" w:footer="0" w:header="0"/>
          <w:type w:val="continuous"/>
        </w:sectPr>
      </w:pPr>
    </w:p>
    <w:p>
      <w:pPr>
        <w:spacing w:after="0"/>
        <w:rPr>
          <w:sz w:val="20"/>
          <w:szCs w:val="20"/>
          <w:color w:val="auto"/>
        </w:rPr>
      </w:pPr>
      <w:r>
        <w:rPr>
          <w:rFonts w:ascii="Arial" w:cs="Arial" w:eastAsia="Arial" w:hAnsi="Arial"/>
          <w:sz w:val="16"/>
          <w:szCs w:val="16"/>
          <w:color w:val="auto"/>
        </w:rPr>
        <w:t>We encourage you to visit the Corporate Governance section of our website (</w:t>
      </w:r>
      <w:r>
        <w:rPr>
          <w:rFonts w:ascii="Arial" w:cs="Arial" w:eastAsia="Arial" w:hAnsi="Arial"/>
          <w:sz w:val="16"/>
          <w:szCs w:val="16"/>
          <w:u w:val="single" w:color="auto"/>
          <w:color w:val="CE0F2D"/>
        </w:rPr>
        <w:t>www.rtx.com</w:t>
      </w:r>
      <w:r>
        <w:rPr>
          <w:rFonts w:ascii="Arial" w:cs="Arial" w:eastAsia="Arial" w:hAnsi="Arial"/>
          <w:sz w:val="16"/>
          <w:szCs w:val="16"/>
          <w:color w:val="auto"/>
        </w:rPr>
        <w:t>) for more information about corporate governance at RTX.</w:t>
      </w:r>
    </w:p>
    <w:p>
      <w:pPr>
        <w:spacing w:after="0" w:line="1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Leadership Structure</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Under the terms of the Merger, we established an Executive Chairman and Chief Executive Officer leadership structure which was designed to provide the most effective leadership of the newly formed company for a transitional period of up to two years following the Merger. In light of the Company’s significant progress in its integration efforts in the first year after the Merger, Thomas A. Kennedy retired as Executive Chairman in June 2021, at which time the Board appointed Mr. Hayes to serve as Chairman of the Board in addition to CEO.</w:t>
      </w:r>
    </w:p>
    <w:p>
      <w:pPr>
        <w:spacing w:after="0" w:line="150"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The Board believes the interests of all shareowners are best served at this time through the current combined Chairman and CEO leadership structure. It provides the appropriate balance between an empowered independent Lead Director with well-defined responsibilities and a Chairman and CEO with responsibilities for day-to-day management, Board leadership and setting long-term strategy.</w:t>
      </w:r>
    </w:p>
    <w:p>
      <w:pPr>
        <w:spacing w:after="0" w:line="148"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Governance Committee regularly reviews our board leadership structure. Under our Corporate Governance Guidelines, the Board does not have a set policy on whether a CEO may also serve as Chairman of the Board. Instead, the Board selects the structure that it believes will provide the most effective leadership and oversight for the Company in the circumstances. In making this decision, the Board considers a range of factors, including: the Company’s operating and financial performance; any recent or anticipated changes in the CEO role; the effectiveness of the processes and structures for Board interaction with and oversight of management; and the importance of maintaining a single voice in leadership communications and Board oversight, both internally and with investors and customers.</w:t>
      </w:r>
    </w:p>
    <w:p>
      <w:pPr>
        <w:spacing w:after="0" w:line="154" w:lineRule="exact"/>
        <w:rPr>
          <w:sz w:val="20"/>
          <w:szCs w:val="20"/>
          <w:color w:val="auto"/>
        </w:rPr>
      </w:pPr>
    </w:p>
    <w:p>
      <w:pPr>
        <w:ind w:left="260" w:hanging="253"/>
        <w:spacing w:after="0"/>
        <w:tabs>
          <w:tab w:leader="none" w:pos="260" w:val="left"/>
        </w:tabs>
        <w:numPr>
          <w:ilvl w:val="0"/>
          <w:numId w:val="9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040"/>
          </w:cols>
          <w:pgMar w:left="320" w:top="118" w:right="5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7820"/>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BOARD SELF-EVALUATION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LEAD DIRECTOR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Board has designated Mr. Paliwal to serve as the Lead Director.</w:t>
      </w:r>
    </w:p>
    <w:p>
      <w:pPr>
        <w:spacing w:after="0" w:line="164"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color w:val="auto"/>
        </w:rPr>
        <w:t>Our Corporate Governance Guidelines set forth the roles and responsibilities of the Lead Director, which are designed to promote strong, independent oversight of RTX’s management and affairs. Among these roles and responsibilities, the Lead Director:</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280" w:type="dxa"/>
            <w:vAlign w:val="bottom"/>
            <w:tcBorders>
              <w:top w:val="single" w:sz="8" w:color="CE0F2D"/>
            </w:tcBorders>
            <w:shd w:val="clear" w:color="auto" w:fill="ECEDEF"/>
          </w:tcPr>
          <w:p>
            <w:pPr>
              <w:ind w:left="160"/>
              <w:spacing w:after="0"/>
              <w:rPr>
                <w:sz w:val="20"/>
                <w:szCs w:val="20"/>
                <w:color w:val="auto"/>
              </w:rPr>
            </w:pPr>
            <w:r>
              <w:rPr>
                <w:rFonts w:ascii="Arial" w:cs="Arial" w:eastAsia="Arial" w:hAnsi="Arial"/>
                <w:sz w:val="16"/>
                <w:szCs w:val="16"/>
                <w:color w:val="CE0F2D"/>
              </w:rPr>
              <w:t>●</w:t>
            </w:r>
          </w:p>
        </w:tc>
        <w:tc>
          <w:tcPr>
            <w:tcW w:w="40" w:type="dxa"/>
            <w:vAlign w:val="bottom"/>
            <w:tcBorders>
              <w:top w:val="single" w:sz="8" w:color="CE0F2D"/>
            </w:tcBorders>
            <w:shd w:val="clear" w:color="auto" w:fill="ECEDEF"/>
          </w:tcPr>
          <w:p>
            <w:pPr>
              <w:spacing w:after="0"/>
              <w:rPr>
                <w:sz w:val="24"/>
                <w:szCs w:val="24"/>
                <w:color w:val="auto"/>
              </w:rPr>
            </w:pPr>
          </w:p>
        </w:tc>
        <w:tc>
          <w:tcPr>
            <w:tcW w:w="5140" w:type="dxa"/>
            <w:vAlign w:val="bottom"/>
            <w:tcBorders>
              <w:top w:val="single" w:sz="8" w:color="CE0F2D"/>
            </w:tcBorders>
            <w:shd w:val="clear" w:color="auto" w:fill="ECEDEF"/>
          </w:tcPr>
          <w:p>
            <w:pPr>
              <w:ind w:left="20"/>
              <w:spacing w:after="0"/>
              <w:rPr>
                <w:sz w:val="20"/>
                <w:szCs w:val="20"/>
                <w:color w:val="auto"/>
              </w:rPr>
            </w:pPr>
            <w:r>
              <w:rPr>
                <w:rFonts w:ascii="Arial" w:cs="Arial" w:eastAsia="Arial" w:hAnsi="Arial"/>
                <w:sz w:val="16"/>
                <w:szCs w:val="16"/>
                <w:color w:val="auto"/>
                <w:shd w:val="clear" w:color="auto" w:fill="ECEDEF"/>
              </w:rPr>
              <w:t>May call and preside over private sessions of the independent directors</w:t>
            </w:r>
          </w:p>
        </w:tc>
        <w:tc>
          <w:tcPr>
            <w:tcW w:w="380" w:type="dxa"/>
            <w:vAlign w:val="bottom"/>
            <w:tcBorders>
              <w:top w:val="single" w:sz="8" w:color="CE0F2D"/>
            </w:tcBorders>
            <w:shd w:val="clear" w:color="auto" w:fill="ECEDEF"/>
          </w:tcPr>
          <w:p>
            <w:pPr>
              <w:ind w:left="220"/>
              <w:spacing w:after="0"/>
              <w:rPr>
                <w:sz w:val="20"/>
                <w:szCs w:val="20"/>
                <w:color w:val="auto"/>
              </w:rPr>
            </w:pPr>
            <w:r>
              <w:rPr>
                <w:rFonts w:ascii="Arial" w:cs="Arial" w:eastAsia="Arial" w:hAnsi="Arial"/>
                <w:sz w:val="16"/>
                <w:szCs w:val="16"/>
                <w:color w:val="CE0F2D"/>
              </w:rPr>
              <w:t>●</w:t>
            </w:r>
          </w:p>
        </w:tc>
        <w:tc>
          <w:tcPr>
            <w:tcW w:w="5400" w:type="dxa"/>
            <w:vAlign w:val="bottom"/>
            <w:tcBorders>
              <w:top w:val="single" w:sz="8" w:color="CE0F2D"/>
            </w:tcBorders>
            <w:shd w:val="clear" w:color="auto" w:fill="ECEDEF"/>
          </w:tcPr>
          <w:p>
            <w:pPr>
              <w:ind w:left="40"/>
              <w:spacing w:after="0"/>
              <w:rPr>
                <w:sz w:val="20"/>
                <w:szCs w:val="20"/>
                <w:color w:val="auto"/>
              </w:rPr>
            </w:pPr>
            <w:r>
              <w:rPr>
                <w:rFonts w:ascii="Arial" w:cs="Arial" w:eastAsia="Arial" w:hAnsi="Arial"/>
                <w:sz w:val="16"/>
                <w:szCs w:val="16"/>
                <w:color w:val="auto"/>
              </w:rPr>
              <w:t>Facilitates succession planning and management development</w:t>
            </w:r>
          </w:p>
        </w:tc>
        <w:tc>
          <w:tcPr>
            <w:tcW w:w="0" w:type="dxa"/>
            <w:vAlign w:val="bottom"/>
          </w:tcPr>
          <w:p>
            <w:pPr>
              <w:spacing w:after="0"/>
              <w:rPr>
                <w:sz w:val="1"/>
                <w:szCs w:val="1"/>
                <w:color w:val="auto"/>
              </w:rPr>
            </w:pPr>
          </w:p>
        </w:tc>
      </w:tr>
      <w:tr>
        <w:trPr>
          <w:trHeight w:val="348"/>
        </w:trPr>
        <w:tc>
          <w:tcPr>
            <w:tcW w:w="320" w:type="dxa"/>
            <w:vAlign w:val="bottom"/>
            <w:gridSpan w:val="2"/>
            <w:shd w:val="clear" w:color="auto" w:fill="ECEDEF"/>
          </w:tcPr>
          <w:p>
            <w:pPr>
              <w:ind w:left="160"/>
              <w:spacing w:after="0"/>
              <w:rPr>
                <w:sz w:val="20"/>
                <w:szCs w:val="20"/>
                <w:color w:val="auto"/>
              </w:rPr>
            </w:pPr>
            <w:r>
              <w:rPr>
                <w:rFonts w:ascii="Arial" w:cs="Arial" w:eastAsia="Arial" w:hAnsi="Arial"/>
                <w:sz w:val="16"/>
                <w:szCs w:val="16"/>
                <w:color w:val="CE0F2D"/>
              </w:rPr>
              <w:t>●</w:t>
            </w:r>
          </w:p>
        </w:tc>
        <w:tc>
          <w:tcPr>
            <w:tcW w:w="5140" w:type="dxa"/>
            <w:vAlign w:val="bottom"/>
            <w:shd w:val="clear" w:color="auto" w:fill="ECEDEF"/>
          </w:tcPr>
          <w:p>
            <w:pPr>
              <w:ind w:left="20"/>
              <w:spacing w:after="0"/>
              <w:rPr>
                <w:sz w:val="20"/>
                <w:szCs w:val="20"/>
                <w:color w:val="auto"/>
              </w:rPr>
            </w:pPr>
            <w:r>
              <w:rPr>
                <w:rFonts w:ascii="Arial" w:cs="Arial" w:eastAsia="Arial" w:hAnsi="Arial"/>
                <w:sz w:val="16"/>
                <w:szCs w:val="16"/>
                <w:color w:val="auto"/>
              </w:rPr>
              <w:t>Serves as Chairman of the Board when the Chairman is not present</w:t>
            </w:r>
          </w:p>
        </w:tc>
        <w:tc>
          <w:tcPr>
            <w:tcW w:w="380" w:type="dxa"/>
            <w:vAlign w:val="bottom"/>
            <w:shd w:val="clear" w:color="auto" w:fill="ECEDEF"/>
          </w:tcPr>
          <w:p>
            <w:pPr>
              <w:ind w:left="220"/>
              <w:spacing w:after="0"/>
              <w:rPr>
                <w:sz w:val="20"/>
                <w:szCs w:val="20"/>
                <w:color w:val="auto"/>
              </w:rPr>
            </w:pPr>
            <w:r>
              <w:rPr>
                <w:rFonts w:ascii="Arial" w:cs="Arial" w:eastAsia="Arial" w:hAnsi="Arial"/>
                <w:sz w:val="16"/>
                <w:szCs w:val="16"/>
                <w:color w:val="CE0F2D"/>
              </w:rPr>
              <w:t>●</w:t>
            </w:r>
          </w:p>
        </w:tc>
        <w:tc>
          <w:tcPr>
            <w:tcW w:w="5400" w:type="dxa"/>
            <w:vAlign w:val="bottom"/>
            <w:shd w:val="clear" w:color="auto" w:fill="ECEDEF"/>
          </w:tcPr>
          <w:p>
            <w:pPr>
              <w:ind w:left="40"/>
              <w:spacing w:after="0"/>
              <w:rPr>
                <w:sz w:val="20"/>
                <w:szCs w:val="20"/>
                <w:color w:val="auto"/>
              </w:rPr>
            </w:pPr>
            <w:r>
              <w:rPr>
                <w:rFonts w:ascii="Arial" w:cs="Arial" w:eastAsia="Arial" w:hAnsi="Arial"/>
                <w:sz w:val="16"/>
                <w:szCs w:val="16"/>
                <w:color w:val="auto"/>
              </w:rPr>
              <w:t>Works with the Chair of the Governance Committee to lead the Board’s</w:t>
            </w:r>
          </w:p>
        </w:tc>
        <w:tc>
          <w:tcPr>
            <w:tcW w:w="0" w:type="dxa"/>
            <w:vAlign w:val="bottom"/>
          </w:tcPr>
          <w:p>
            <w:pPr>
              <w:spacing w:after="0"/>
              <w:rPr>
                <w:sz w:val="1"/>
                <w:szCs w:val="1"/>
                <w:color w:val="auto"/>
              </w:rPr>
            </w:pPr>
          </w:p>
        </w:tc>
      </w:tr>
      <w:tr>
        <w:trPr>
          <w:trHeight w:val="161"/>
        </w:trPr>
        <w:tc>
          <w:tcPr>
            <w:tcW w:w="280" w:type="dxa"/>
            <w:vAlign w:val="bottom"/>
            <w:vMerge w:val="restart"/>
            <w:shd w:val="clear" w:color="auto" w:fill="ECEDEF"/>
          </w:tcPr>
          <w:p>
            <w:pPr>
              <w:ind w:left="160"/>
              <w:spacing w:after="0"/>
              <w:rPr>
                <w:sz w:val="20"/>
                <w:szCs w:val="20"/>
                <w:color w:val="auto"/>
              </w:rPr>
            </w:pPr>
            <w:r>
              <w:rPr>
                <w:rFonts w:ascii="Arial" w:cs="Arial" w:eastAsia="Arial" w:hAnsi="Arial"/>
                <w:sz w:val="16"/>
                <w:szCs w:val="16"/>
                <w:color w:val="CE0F2D"/>
              </w:rPr>
              <w:t>●</w:t>
            </w:r>
          </w:p>
        </w:tc>
        <w:tc>
          <w:tcPr>
            <w:tcW w:w="40" w:type="dxa"/>
            <w:vAlign w:val="bottom"/>
            <w:shd w:val="clear" w:color="auto" w:fill="ECEDEF"/>
          </w:tcPr>
          <w:p>
            <w:pPr>
              <w:spacing w:after="0"/>
              <w:rPr>
                <w:sz w:val="13"/>
                <w:szCs w:val="13"/>
                <w:color w:val="auto"/>
              </w:rPr>
            </w:pPr>
          </w:p>
        </w:tc>
        <w:tc>
          <w:tcPr>
            <w:tcW w:w="5140" w:type="dxa"/>
            <w:vAlign w:val="bottom"/>
            <w:vMerge w:val="restart"/>
            <w:shd w:val="clear" w:color="auto" w:fill="ECEDEF"/>
          </w:tcPr>
          <w:p>
            <w:pPr>
              <w:ind w:left="20"/>
              <w:spacing w:after="0"/>
              <w:rPr>
                <w:sz w:val="20"/>
                <w:szCs w:val="20"/>
                <w:color w:val="auto"/>
              </w:rPr>
            </w:pPr>
            <w:r>
              <w:rPr>
                <w:rFonts w:ascii="Arial" w:cs="Arial" w:eastAsia="Arial" w:hAnsi="Arial"/>
                <w:sz w:val="16"/>
                <w:szCs w:val="16"/>
                <w:color w:val="auto"/>
              </w:rPr>
              <w:t>Engages with significant constituencies, as requested</w:t>
            </w:r>
          </w:p>
        </w:tc>
        <w:tc>
          <w:tcPr>
            <w:tcW w:w="380" w:type="dxa"/>
            <w:vAlign w:val="bottom"/>
            <w:shd w:val="clear" w:color="auto" w:fill="ECEDEF"/>
          </w:tcPr>
          <w:p>
            <w:pPr>
              <w:spacing w:after="0"/>
              <w:rPr>
                <w:sz w:val="13"/>
                <w:szCs w:val="13"/>
                <w:color w:val="auto"/>
              </w:rPr>
            </w:pPr>
          </w:p>
        </w:tc>
        <w:tc>
          <w:tcPr>
            <w:tcW w:w="5400" w:type="dxa"/>
            <w:vAlign w:val="bottom"/>
            <w:shd w:val="clear" w:color="auto" w:fill="ECEDEF"/>
          </w:tcPr>
          <w:p>
            <w:pPr>
              <w:spacing w:after="0" w:line="161" w:lineRule="exact"/>
              <w:rPr>
                <w:sz w:val="20"/>
                <w:szCs w:val="20"/>
                <w:color w:val="auto"/>
              </w:rPr>
            </w:pPr>
            <w:r>
              <w:rPr>
                <w:rFonts w:ascii="Arial" w:cs="Arial" w:eastAsia="Arial" w:hAnsi="Arial"/>
                <w:sz w:val="16"/>
                <w:szCs w:val="16"/>
                <w:color w:val="auto"/>
              </w:rPr>
              <w:t>annual self-evaluation process and review any director’s request to accept</w:t>
            </w:r>
          </w:p>
        </w:tc>
        <w:tc>
          <w:tcPr>
            <w:tcW w:w="0" w:type="dxa"/>
            <w:vAlign w:val="bottom"/>
          </w:tcPr>
          <w:p>
            <w:pPr>
              <w:spacing w:after="0"/>
              <w:rPr>
                <w:sz w:val="1"/>
                <w:szCs w:val="1"/>
                <w:color w:val="auto"/>
              </w:rPr>
            </w:pPr>
          </w:p>
        </w:tc>
      </w:tr>
      <w:tr>
        <w:trPr>
          <w:trHeight w:val="187"/>
        </w:trPr>
        <w:tc>
          <w:tcPr>
            <w:tcW w:w="280" w:type="dxa"/>
            <w:vAlign w:val="bottom"/>
            <w:vMerge w:val="continue"/>
            <w:shd w:val="clear" w:color="auto" w:fill="ECEDEF"/>
          </w:tcPr>
          <w:p>
            <w:pPr>
              <w:spacing w:after="0"/>
              <w:rPr>
                <w:sz w:val="16"/>
                <w:szCs w:val="16"/>
                <w:color w:val="auto"/>
              </w:rPr>
            </w:pPr>
          </w:p>
        </w:tc>
        <w:tc>
          <w:tcPr>
            <w:tcW w:w="40" w:type="dxa"/>
            <w:vAlign w:val="bottom"/>
            <w:shd w:val="clear" w:color="auto" w:fill="ECEDEF"/>
          </w:tcPr>
          <w:p>
            <w:pPr>
              <w:spacing w:after="0"/>
              <w:rPr>
                <w:sz w:val="16"/>
                <w:szCs w:val="16"/>
                <w:color w:val="auto"/>
              </w:rPr>
            </w:pPr>
          </w:p>
        </w:tc>
        <w:tc>
          <w:tcPr>
            <w:tcW w:w="5140" w:type="dxa"/>
            <w:vAlign w:val="bottom"/>
            <w:vMerge w:val="continue"/>
            <w:shd w:val="clear" w:color="auto" w:fill="ECEDEF"/>
          </w:tcPr>
          <w:p>
            <w:pPr>
              <w:spacing w:after="0"/>
              <w:rPr>
                <w:sz w:val="16"/>
                <w:szCs w:val="16"/>
                <w:color w:val="auto"/>
              </w:rPr>
            </w:pPr>
          </w:p>
        </w:tc>
        <w:tc>
          <w:tcPr>
            <w:tcW w:w="380" w:type="dxa"/>
            <w:vAlign w:val="bottom"/>
            <w:shd w:val="clear" w:color="auto" w:fill="ECEDEF"/>
          </w:tcPr>
          <w:p>
            <w:pPr>
              <w:spacing w:after="0"/>
              <w:rPr>
                <w:sz w:val="16"/>
                <w:szCs w:val="16"/>
                <w:color w:val="auto"/>
              </w:rPr>
            </w:pPr>
          </w:p>
        </w:tc>
        <w:tc>
          <w:tcPr>
            <w:tcW w:w="5400" w:type="dxa"/>
            <w:vAlign w:val="bottom"/>
            <w:shd w:val="clear" w:color="auto" w:fill="ECEDEF"/>
          </w:tcPr>
          <w:p>
            <w:pPr>
              <w:spacing w:after="0"/>
              <w:rPr>
                <w:sz w:val="20"/>
                <w:szCs w:val="20"/>
                <w:color w:val="auto"/>
              </w:rPr>
            </w:pPr>
            <w:r>
              <w:rPr>
                <w:rFonts w:ascii="Arial" w:cs="Arial" w:eastAsia="Arial" w:hAnsi="Arial"/>
                <w:sz w:val="16"/>
                <w:szCs w:val="16"/>
                <w:color w:val="auto"/>
              </w:rPr>
              <w:t>a new outside directorship or other paid engagement per the Corporate</w:t>
            </w:r>
          </w:p>
        </w:tc>
        <w:tc>
          <w:tcPr>
            <w:tcW w:w="0" w:type="dxa"/>
            <w:vAlign w:val="bottom"/>
          </w:tcPr>
          <w:p>
            <w:pPr>
              <w:spacing w:after="0"/>
              <w:rPr>
                <w:sz w:val="1"/>
                <w:szCs w:val="1"/>
                <w:color w:val="auto"/>
              </w:rPr>
            </w:pPr>
          </w:p>
        </w:tc>
      </w:tr>
      <w:tr>
        <w:trPr>
          <w:trHeight w:val="214"/>
        </w:trPr>
        <w:tc>
          <w:tcPr>
            <w:tcW w:w="280" w:type="dxa"/>
            <w:vAlign w:val="bottom"/>
            <w:vMerge w:val="restart"/>
            <w:shd w:val="clear" w:color="auto" w:fill="ECEDEF"/>
          </w:tcPr>
          <w:p>
            <w:pPr>
              <w:ind w:left="160"/>
              <w:spacing w:after="0"/>
              <w:rPr>
                <w:sz w:val="20"/>
                <w:szCs w:val="20"/>
                <w:color w:val="auto"/>
              </w:rPr>
            </w:pPr>
            <w:r>
              <w:rPr>
                <w:rFonts w:ascii="Arial" w:cs="Arial" w:eastAsia="Arial" w:hAnsi="Arial"/>
                <w:sz w:val="16"/>
                <w:szCs w:val="16"/>
                <w:color w:val="CE0F2D"/>
              </w:rPr>
              <w:t>●</w:t>
            </w:r>
          </w:p>
        </w:tc>
        <w:tc>
          <w:tcPr>
            <w:tcW w:w="40" w:type="dxa"/>
            <w:vAlign w:val="bottom"/>
            <w:shd w:val="clear" w:color="auto" w:fill="ECEDEF"/>
          </w:tcPr>
          <w:p>
            <w:pPr>
              <w:spacing w:after="0"/>
              <w:rPr>
                <w:sz w:val="18"/>
                <w:szCs w:val="18"/>
                <w:color w:val="auto"/>
              </w:rPr>
            </w:pPr>
          </w:p>
        </w:tc>
        <w:tc>
          <w:tcPr>
            <w:tcW w:w="5140" w:type="dxa"/>
            <w:vAlign w:val="bottom"/>
            <w:vMerge w:val="restart"/>
            <w:shd w:val="clear" w:color="auto" w:fill="ECEDEF"/>
          </w:tcPr>
          <w:p>
            <w:pPr>
              <w:ind w:left="20"/>
              <w:spacing w:after="0"/>
              <w:rPr>
                <w:sz w:val="20"/>
                <w:szCs w:val="20"/>
                <w:color w:val="auto"/>
              </w:rPr>
            </w:pPr>
            <w:r>
              <w:rPr>
                <w:rFonts w:ascii="Arial" w:cs="Arial" w:eastAsia="Arial" w:hAnsi="Arial"/>
                <w:sz w:val="16"/>
                <w:szCs w:val="16"/>
                <w:color w:val="auto"/>
              </w:rPr>
              <w:t>Collaborates with the CEO to plan and set the agenda for Board</w:t>
            </w:r>
          </w:p>
        </w:tc>
        <w:tc>
          <w:tcPr>
            <w:tcW w:w="380" w:type="dxa"/>
            <w:vAlign w:val="bottom"/>
            <w:shd w:val="clear" w:color="auto" w:fill="ECEDEF"/>
          </w:tcPr>
          <w:p>
            <w:pPr>
              <w:spacing w:after="0"/>
              <w:rPr>
                <w:sz w:val="18"/>
                <w:szCs w:val="18"/>
                <w:color w:val="auto"/>
              </w:rPr>
            </w:pPr>
          </w:p>
        </w:tc>
        <w:tc>
          <w:tcPr>
            <w:tcW w:w="5400" w:type="dxa"/>
            <w:vAlign w:val="bottom"/>
            <w:shd w:val="clear" w:color="auto" w:fill="ECEDEF"/>
          </w:tcPr>
          <w:p>
            <w:pPr>
              <w:spacing w:after="0"/>
              <w:rPr>
                <w:sz w:val="20"/>
                <w:szCs w:val="20"/>
                <w:color w:val="auto"/>
              </w:rPr>
            </w:pPr>
            <w:r>
              <w:rPr>
                <w:rFonts w:ascii="Arial" w:cs="Arial" w:eastAsia="Arial" w:hAnsi="Arial"/>
                <w:sz w:val="16"/>
                <w:szCs w:val="16"/>
                <w:color w:val="auto"/>
              </w:rPr>
              <w:t>Governance Guidelines</w:t>
            </w:r>
          </w:p>
        </w:tc>
        <w:tc>
          <w:tcPr>
            <w:tcW w:w="0" w:type="dxa"/>
            <w:vAlign w:val="bottom"/>
          </w:tcPr>
          <w:p>
            <w:pPr>
              <w:spacing w:after="0"/>
              <w:rPr>
                <w:sz w:val="1"/>
                <w:szCs w:val="1"/>
                <w:color w:val="auto"/>
              </w:rPr>
            </w:pPr>
          </w:p>
        </w:tc>
      </w:tr>
      <w:tr>
        <w:trPr>
          <w:trHeight w:val="136"/>
        </w:trPr>
        <w:tc>
          <w:tcPr>
            <w:tcW w:w="280" w:type="dxa"/>
            <w:vAlign w:val="bottom"/>
            <w:vMerge w:val="continue"/>
            <w:shd w:val="clear" w:color="auto" w:fill="ECEDEF"/>
          </w:tcPr>
          <w:p>
            <w:pPr>
              <w:spacing w:after="0"/>
              <w:rPr>
                <w:sz w:val="11"/>
                <w:szCs w:val="11"/>
                <w:color w:val="auto"/>
              </w:rPr>
            </w:pPr>
          </w:p>
        </w:tc>
        <w:tc>
          <w:tcPr>
            <w:tcW w:w="40" w:type="dxa"/>
            <w:vAlign w:val="bottom"/>
            <w:shd w:val="clear" w:color="auto" w:fill="ECEDEF"/>
          </w:tcPr>
          <w:p>
            <w:pPr>
              <w:spacing w:after="0"/>
              <w:rPr>
                <w:sz w:val="11"/>
                <w:szCs w:val="11"/>
                <w:color w:val="auto"/>
              </w:rPr>
            </w:pPr>
          </w:p>
        </w:tc>
        <w:tc>
          <w:tcPr>
            <w:tcW w:w="5140" w:type="dxa"/>
            <w:vAlign w:val="bottom"/>
            <w:vMerge w:val="continue"/>
            <w:shd w:val="clear" w:color="auto" w:fill="ECEDEF"/>
          </w:tcPr>
          <w:p>
            <w:pPr>
              <w:spacing w:after="0"/>
              <w:rPr>
                <w:sz w:val="11"/>
                <w:szCs w:val="11"/>
                <w:color w:val="auto"/>
              </w:rPr>
            </w:pPr>
          </w:p>
        </w:tc>
        <w:tc>
          <w:tcPr>
            <w:tcW w:w="380" w:type="dxa"/>
            <w:vAlign w:val="bottom"/>
            <w:shd w:val="clear" w:color="auto" w:fill="ECEDEF"/>
          </w:tcPr>
          <w:p>
            <w:pPr>
              <w:spacing w:after="0"/>
              <w:rPr>
                <w:sz w:val="11"/>
                <w:szCs w:val="11"/>
                <w:color w:val="auto"/>
              </w:rPr>
            </w:pPr>
          </w:p>
        </w:tc>
        <w:tc>
          <w:tcPr>
            <w:tcW w:w="5400" w:type="dxa"/>
            <w:vAlign w:val="bottom"/>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80" w:type="dxa"/>
            <w:vAlign w:val="bottom"/>
            <w:shd w:val="clear" w:color="auto" w:fill="ECEDEF"/>
          </w:tcPr>
          <w:p>
            <w:pPr>
              <w:spacing w:after="0"/>
              <w:rPr>
                <w:sz w:val="16"/>
                <w:szCs w:val="16"/>
                <w:color w:val="auto"/>
              </w:rPr>
            </w:pPr>
          </w:p>
        </w:tc>
        <w:tc>
          <w:tcPr>
            <w:tcW w:w="40" w:type="dxa"/>
            <w:vAlign w:val="bottom"/>
            <w:shd w:val="clear" w:color="auto" w:fill="ECEDEF"/>
          </w:tcPr>
          <w:p>
            <w:pPr>
              <w:spacing w:after="0"/>
              <w:rPr>
                <w:sz w:val="16"/>
                <w:szCs w:val="16"/>
                <w:color w:val="auto"/>
              </w:rPr>
            </w:pPr>
          </w:p>
        </w:tc>
        <w:tc>
          <w:tcPr>
            <w:tcW w:w="5140" w:type="dxa"/>
            <w:vAlign w:val="bottom"/>
            <w:shd w:val="clear" w:color="auto" w:fill="ECEDEF"/>
          </w:tcPr>
          <w:p>
            <w:pPr>
              <w:spacing w:after="0"/>
              <w:rPr>
                <w:sz w:val="20"/>
                <w:szCs w:val="20"/>
                <w:color w:val="auto"/>
              </w:rPr>
            </w:pPr>
            <w:r>
              <w:rPr>
                <w:rFonts w:ascii="Arial" w:cs="Arial" w:eastAsia="Arial" w:hAnsi="Arial"/>
                <w:sz w:val="16"/>
                <w:szCs w:val="16"/>
                <w:color w:val="auto"/>
              </w:rPr>
              <w:t>meetings</w:t>
            </w:r>
          </w:p>
        </w:tc>
        <w:tc>
          <w:tcPr>
            <w:tcW w:w="380" w:type="dxa"/>
            <w:vAlign w:val="bottom"/>
            <w:shd w:val="clear" w:color="auto" w:fill="ECEDEF"/>
          </w:tcPr>
          <w:p>
            <w:pPr>
              <w:ind w:left="220"/>
              <w:spacing w:after="0"/>
              <w:rPr>
                <w:sz w:val="20"/>
                <w:szCs w:val="20"/>
                <w:color w:val="auto"/>
              </w:rPr>
            </w:pPr>
            <w:r>
              <w:rPr>
                <w:rFonts w:ascii="Arial" w:cs="Arial" w:eastAsia="Arial" w:hAnsi="Arial"/>
                <w:sz w:val="16"/>
                <w:szCs w:val="16"/>
                <w:color w:val="CE0F2D"/>
              </w:rPr>
              <w:t>●</w:t>
            </w:r>
          </w:p>
        </w:tc>
        <w:tc>
          <w:tcPr>
            <w:tcW w:w="5400" w:type="dxa"/>
            <w:vAlign w:val="bottom"/>
            <w:shd w:val="clear" w:color="auto" w:fill="ECEDEF"/>
          </w:tcPr>
          <w:p>
            <w:pPr>
              <w:ind w:left="20"/>
              <w:spacing w:after="0"/>
              <w:rPr>
                <w:sz w:val="20"/>
                <w:szCs w:val="20"/>
                <w:color w:val="auto"/>
              </w:rPr>
            </w:pPr>
            <w:r>
              <w:rPr>
                <w:rFonts w:ascii="Arial" w:cs="Arial" w:eastAsia="Arial" w:hAnsi="Arial"/>
                <w:sz w:val="16"/>
                <w:szCs w:val="16"/>
                <w:color w:val="auto"/>
              </w:rPr>
              <w:t>Authorizes retention of outside advisors and consultants who report to the</w:t>
            </w:r>
          </w:p>
        </w:tc>
        <w:tc>
          <w:tcPr>
            <w:tcW w:w="0" w:type="dxa"/>
            <w:vAlign w:val="bottom"/>
          </w:tcPr>
          <w:p>
            <w:pPr>
              <w:spacing w:after="0"/>
              <w:rPr>
                <w:sz w:val="1"/>
                <w:szCs w:val="1"/>
                <w:color w:val="auto"/>
              </w:rPr>
            </w:pPr>
          </w:p>
        </w:tc>
      </w:tr>
      <w:tr>
        <w:trPr>
          <w:trHeight w:val="214"/>
        </w:trPr>
        <w:tc>
          <w:tcPr>
            <w:tcW w:w="320" w:type="dxa"/>
            <w:vAlign w:val="bottom"/>
            <w:gridSpan w:val="2"/>
            <w:vMerge w:val="restart"/>
            <w:shd w:val="clear" w:color="auto" w:fill="ECEDEF"/>
          </w:tcPr>
          <w:p>
            <w:pPr>
              <w:ind w:left="160"/>
              <w:spacing w:after="0"/>
              <w:rPr>
                <w:sz w:val="20"/>
                <w:szCs w:val="20"/>
                <w:color w:val="auto"/>
              </w:rPr>
            </w:pPr>
            <w:r>
              <w:rPr>
                <w:rFonts w:ascii="Arial" w:cs="Arial" w:eastAsia="Arial" w:hAnsi="Arial"/>
                <w:sz w:val="16"/>
                <w:szCs w:val="16"/>
                <w:color w:val="CE0F2D"/>
              </w:rPr>
              <w:t>●</w:t>
            </w:r>
          </w:p>
        </w:tc>
        <w:tc>
          <w:tcPr>
            <w:tcW w:w="5140" w:type="dxa"/>
            <w:vAlign w:val="bottom"/>
            <w:vMerge w:val="restart"/>
            <w:shd w:val="clear" w:color="auto" w:fill="ECEDEF"/>
          </w:tcPr>
          <w:p>
            <w:pPr>
              <w:ind w:left="20"/>
              <w:spacing w:after="0"/>
              <w:rPr>
                <w:sz w:val="20"/>
                <w:szCs w:val="20"/>
                <w:color w:val="auto"/>
              </w:rPr>
            </w:pPr>
            <w:r>
              <w:rPr>
                <w:rFonts w:ascii="Arial" w:cs="Arial" w:eastAsia="Arial" w:hAnsi="Arial"/>
                <w:sz w:val="16"/>
                <w:szCs w:val="16"/>
                <w:color w:val="auto"/>
              </w:rPr>
              <w:t>Oversees the performance evaluation and compensation for our CEO</w:t>
            </w:r>
          </w:p>
        </w:tc>
        <w:tc>
          <w:tcPr>
            <w:tcW w:w="380" w:type="dxa"/>
            <w:vAlign w:val="bottom"/>
            <w:shd w:val="clear" w:color="auto" w:fill="ECEDEF"/>
          </w:tcPr>
          <w:p>
            <w:pPr>
              <w:spacing w:after="0"/>
              <w:rPr>
                <w:sz w:val="18"/>
                <w:szCs w:val="18"/>
                <w:color w:val="auto"/>
              </w:rPr>
            </w:pPr>
          </w:p>
        </w:tc>
        <w:tc>
          <w:tcPr>
            <w:tcW w:w="5400" w:type="dxa"/>
            <w:vAlign w:val="bottom"/>
            <w:shd w:val="clear" w:color="auto" w:fill="ECEDEF"/>
          </w:tcPr>
          <w:p>
            <w:pPr>
              <w:spacing w:after="0"/>
              <w:rPr>
                <w:sz w:val="20"/>
                <w:szCs w:val="20"/>
                <w:color w:val="auto"/>
              </w:rPr>
            </w:pPr>
            <w:r>
              <w:rPr>
                <w:rFonts w:ascii="Arial" w:cs="Arial" w:eastAsia="Arial" w:hAnsi="Arial"/>
                <w:sz w:val="16"/>
                <w:szCs w:val="16"/>
                <w:color w:val="auto"/>
              </w:rPr>
              <w:t>Board on board-wide issues</w:t>
            </w:r>
          </w:p>
        </w:tc>
        <w:tc>
          <w:tcPr>
            <w:tcW w:w="0" w:type="dxa"/>
            <w:vAlign w:val="bottom"/>
          </w:tcPr>
          <w:p>
            <w:pPr>
              <w:spacing w:after="0"/>
              <w:rPr>
                <w:sz w:val="1"/>
                <w:szCs w:val="1"/>
                <w:color w:val="auto"/>
              </w:rPr>
            </w:pPr>
          </w:p>
        </w:tc>
      </w:tr>
      <w:tr>
        <w:trPr>
          <w:trHeight w:val="134"/>
        </w:trPr>
        <w:tc>
          <w:tcPr>
            <w:tcW w:w="320" w:type="dxa"/>
            <w:vAlign w:val="bottom"/>
            <w:gridSpan w:val="2"/>
            <w:vMerge w:val="continue"/>
            <w:shd w:val="clear" w:color="auto" w:fill="ECEDEF"/>
          </w:tcPr>
          <w:p>
            <w:pPr>
              <w:spacing w:after="0"/>
              <w:rPr>
                <w:sz w:val="11"/>
                <w:szCs w:val="11"/>
                <w:color w:val="auto"/>
              </w:rPr>
            </w:pPr>
          </w:p>
        </w:tc>
        <w:tc>
          <w:tcPr>
            <w:tcW w:w="5140" w:type="dxa"/>
            <w:vAlign w:val="bottom"/>
            <w:vMerge w:val="continue"/>
            <w:shd w:val="clear" w:color="auto" w:fill="ECEDEF"/>
          </w:tcPr>
          <w:p>
            <w:pPr>
              <w:spacing w:after="0"/>
              <w:rPr>
                <w:sz w:val="11"/>
                <w:szCs w:val="11"/>
                <w:color w:val="auto"/>
              </w:rPr>
            </w:pPr>
          </w:p>
        </w:tc>
        <w:tc>
          <w:tcPr>
            <w:tcW w:w="380" w:type="dxa"/>
            <w:vAlign w:val="bottom"/>
            <w:shd w:val="clear" w:color="auto" w:fill="ECEDEF"/>
          </w:tcPr>
          <w:p>
            <w:pPr>
              <w:spacing w:after="0"/>
              <w:rPr>
                <w:sz w:val="11"/>
                <w:szCs w:val="11"/>
                <w:color w:val="auto"/>
              </w:rPr>
            </w:pPr>
          </w:p>
        </w:tc>
        <w:tc>
          <w:tcPr>
            <w:tcW w:w="5400" w:type="dxa"/>
            <w:vAlign w:val="bottom"/>
            <w:shd w:val="clear" w:color="auto" w:fill="ECEDEF"/>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80" w:type="dxa"/>
            <w:vAlign w:val="bottom"/>
            <w:shd w:val="clear" w:color="auto" w:fill="ECEDEF"/>
          </w:tcPr>
          <w:p>
            <w:pPr>
              <w:spacing w:after="0"/>
              <w:rPr>
                <w:sz w:val="16"/>
                <w:szCs w:val="16"/>
                <w:color w:val="auto"/>
              </w:rPr>
            </w:pPr>
          </w:p>
        </w:tc>
        <w:tc>
          <w:tcPr>
            <w:tcW w:w="40" w:type="dxa"/>
            <w:vAlign w:val="bottom"/>
            <w:shd w:val="clear" w:color="auto" w:fill="ECEDEF"/>
          </w:tcPr>
          <w:p>
            <w:pPr>
              <w:spacing w:after="0"/>
              <w:rPr>
                <w:sz w:val="16"/>
                <w:szCs w:val="16"/>
                <w:color w:val="auto"/>
              </w:rPr>
            </w:pPr>
          </w:p>
        </w:tc>
        <w:tc>
          <w:tcPr>
            <w:tcW w:w="5140" w:type="dxa"/>
            <w:vAlign w:val="bottom"/>
            <w:shd w:val="clear" w:color="auto" w:fill="ECEDEF"/>
          </w:tcPr>
          <w:p>
            <w:pPr>
              <w:spacing w:after="0"/>
              <w:rPr>
                <w:sz w:val="16"/>
                <w:szCs w:val="16"/>
                <w:color w:val="auto"/>
              </w:rPr>
            </w:pPr>
          </w:p>
        </w:tc>
        <w:tc>
          <w:tcPr>
            <w:tcW w:w="380" w:type="dxa"/>
            <w:vAlign w:val="bottom"/>
            <w:shd w:val="clear" w:color="auto" w:fill="ECEDEF"/>
          </w:tcPr>
          <w:p>
            <w:pPr>
              <w:spacing w:after="0"/>
              <w:rPr>
                <w:sz w:val="16"/>
                <w:szCs w:val="16"/>
                <w:color w:val="auto"/>
              </w:rPr>
            </w:pPr>
          </w:p>
        </w:tc>
        <w:tc>
          <w:tcPr>
            <w:tcW w:w="540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RTX’s independent directors meet in private sessions without management. These sessions are held on a regular schedule, and the Lead Director may call extra sessions as needed.</w:t>
      </w:r>
    </w:p>
    <w:p>
      <w:pPr>
        <w:spacing w:after="0" w:line="11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Self-Evaluation</w:t>
      </w:r>
    </w:p>
    <w:p>
      <w:pPr>
        <w:spacing w:after="0" w:line="210" w:lineRule="exact"/>
        <w:rPr>
          <w:sz w:val="20"/>
          <w:szCs w:val="20"/>
          <w:color w:val="auto"/>
        </w:rPr>
      </w:pPr>
    </w:p>
    <w:p>
      <w:pPr>
        <w:jc w:val="both"/>
        <w:ind w:right="240"/>
        <w:spacing w:after="0" w:line="256" w:lineRule="auto"/>
        <w:rPr>
          <w:sz w:val="20"/>
          <w:szCs w:val="20"/>
          <w:color w:val="auto"/>
        </w:rPr>
      </w:pPr>
      <w:r>
        <w:rPr>
          <w:rFonts w:ascii="Arial" w:cs="Arial" w:eastAsia="Arial" w:hAnsi="Arial"/>
          <w:sz w:val="16"/>
          <w:szCs w:val="16"/>
          <w:color w:val="auto"/>
        </w:rPr>
        <w:t>The Board believes that robust and constructive self-evaluation is an essential element of good corporate governance, Board effectiveness and continuous improvement. To this end, the Board annually evaluates its own performance and the performance of the standing committees and each individual director.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THE SELF-EVALUATION PROCESS</w:t>
      </w:r>
    </w:p>
    <w:p>
      <w:pPr>
        <w:sectPr>
          <w:pgSz w:w="11900" w:h="16838" w:orient="portrait"/>
          <w:cols w:equalWidth="0" w:num="1">
            <w:col w:w="11240"/>
          </w:cols>
          <w:pgMar w:left="320" w:top="118"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Oversight and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2397760"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97760" cy="254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it works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4591050"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91050" cy="25400"/>
                    </a:xfrm>
                    <a:prstGeom prst="rect">
                      <a:avLst/>
                    </a:prstGeom>
                    <a:noFill/>
                  </pic:spPr>
                </pic:pic>
              </a:graphicData>
            </a:graphic>
          </wp:anchor>
        </w:drawing>
      </w:r>
    </w:p>
    <w:p>
      <w:pPr>
        <w:spacing w:after="0" w:line="134" w:lineRule="exact"/>
        <w:rPr>
          <w:sz w:val="20"/>
          <w:szCs w:val="20"/>
          <w:color w:val="auto"/>
        </w:rPr>
      </w:pPr>
    </w:p>
    <w:p>
      <w:pPr>
        <w:sectPr>
          <w:pgSz w:w="11900" w:h="16838" w:orient="portrait"/>
          <w:cols w:equalWidth="0" w:num="2">
            <w:col w:w="3300" w:space="720"/>
            <w:col w:w="7220"/>
          </w:cols>
          <w:pgMar w:left="320" w:top="118" w:right="339" w:bottom="1440" w:gutter="0" w:footer="0" w:header="0"/>
          <w:type w:val="continuous"/>
        </w:sectPr>
      </w:pPr>
    </w:p>
    <w:p>
      <w:pPr>
        <w:spacing w:after="0"/>
        <w:tabs>
          <w:tab w:leader="none" w:pos="1740" w:val="left"/>
        </w:tabs>
        <w:rPr>
          <w:sz w:val="20"/>
          <w:szCs w:val="20"/>
          <w:color w:val="auto"/>
        </w:rPr>
      </w:pPr>
      <w:r>
        <w:rPr>
          <w:rFonts w:ascii="Arial" w:cs="Arial" w:eastAsia="Arial" w:hAnsi="Arial"/>
          <w:sz w:val="16"/>
          <w:szCs w:val="16"/>
          <w:b w:val="1"/>
          <w:bCs w:val="1"/>
          <w:color w:val="CE0F2D"/>
        </w:rPr>
        <w:t>The Governance</w:t>
      </w:r>
      <w:r>
        <w:rPr>
          <w:sz w:val="20"/>
          <w:szCs w:val="20"/>
          <w:color w:val="auto"/>
        </w:rPr>
        <w:tab/>
      </w:r>
      <w:r>
        <w:rPr>
          <w:rFonts w:ascii="Arial" w:cs="Arial" w:eastAsia="Arial" w:hAnsi="Arial"/>
          <w:sz w:val="16"/>
          <w:szCs w:val="16"/>
          <w:color w:val="auto"/>
        </w:rPr>
        <w:t>The Lead Director and the</w:t>
      </w:r>
    </w:p>
    <w:p>
      <w:pPr>
        <w:spacing w:after="0" w:line="23"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CE0F2D"/>
        </w:rPr>
        <w:t>Committee is</w:t>
      </w:r>
      <w:r>
        <w:rPr>
          <w:sz w:val="20"/>
          <w:szCs w:val="20"/>
          <w:color w:val="auto"/>
        </w:rPr>
        <w:tab/>
      </w:r>
      <w:r>
        <w:rPr>
          <w:rFonts w:ascii="Arial" w:cs="Arial" w:eastAsia="Arial" w:hAnsi="Arial"/>
          <w:sz w:val="16"/>
          <w:szCs w:val="16"/>
          <w:color w:val="auto"/>
        </w:rPr>
        <w:t>Governance Committee</w:t>
      </w:r>
    </w:p>
    <w:p>
      <w:pPr>
        <w:spacing w:after="0" w:line="3"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CE0F2D"/>
        </w:rPr>
        <w:t>responsible for,</w:t>
      </w:r>
      <w:r>
        <w:rPr>
          <w:sz w:val="20"/>
          <w:szCs w:val="20"/>
          <w:color w:val="auto"/>
        </w:rPr>
        <w:tab/>
      </w:r>
      <w:r>
        <w:rPr>
          <w:rFonts w:ascii="Arial" w:cs="Arial" w:eastAsia="Arial" w:hAnsi="Arial"/>
          <w:sz w:val="16"/>
          <w:szCs w:val="16"/>
          <w:color w:val="auto"/>
        </w:rPr>
        <w:t>Chair jointly lead the self-</w:t>
      </w:r>
    </w:p>
    <w:p>
      <w:pPr>
        <w:spacing w:after="0" w:line="3" w:lineRule="exact"/>
        <w:rPr>
          <w:sz w:val="20"/>
          <w:szCs w:val="20"/>
          <w:color w:val="auto"/>
        </w:rPr>
      </w:pPr>
    </w:p>
    <w:p>
      <w:pPr>
        <w:spacing w:after="0"/>
        <w:tabs>
          <w:tab w:leader="none" w:pos="1740" w:val="left"/>
        </w:tabs>
        <w:rPr>
          <w:sz w:val="20"/>
          <w:szCs w:val="20"/>
          <w:color w:val="auto"/>
        </w:rPr>
      </w:pPr>
      <w:r>
        <w:rPr>
          <w:rFonts w:ascii="Arial" w:cs="Arial" w:eastAsia="Arial" w:hAnsi="Arial"/>
          <w:sz w:val="16"/>
          <w:szCs w:val="16"/>
          <w:b w:val="1"/>
          <w:bCs w:val="1"/>
          <w:color w:val="CE0F2D"/>
        </w:rPr>
        <w:t>designs and</w:t>
      </w:r>
      <w:r>
        <w:rPr>
          <w:sz w:val="20"/>
          <w:szCs w:val="20"/>
          <w:color w:val="auto"/>
        </w:rPr>
        <w:tab/>
      </w:r>
      <w:r>
        <w:rPr>
          <w:rFonts w:ascii="Arial" w:cs="Arial" w:eastAsia="Arial" w:hAnsi="Arial"/>
          <w:sz w:val="16"/>
          <w:szCs w:val="16"/>
          <w:color w:val="auto"/>
        </w:rPr>
        <w:t>evaluation process.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oversees the annual</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self-evaluation</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process.</w:t>
      </w:r>
    </w:p>
    <w:p>
      <w:pPr>
        <w:spacing w:after="0" w:line="20" w:lineRule="exact"/>
        <w:rPr>
          <w:sz w:val="20"/>
          <w:szCs w:val="20"/>
          <w:color w:val="auto"/>
        </w:rPr>
      </w:pPr>
      <w:r>
        <w:rPr>
          <w:sz w:val="20"/>
          <w:szCs w:val="20"/>
          <w:color w:val="auto"/>
        </w:rPr>
        <w:br w:type="column"/>
      </w:r>
    </w:p>
    <w:p>
      <w:pPr>
        <w:spacing w:after="0" w:line="254" w:lineRule="auto"/>
        <w:rPr>
          <w:sz w:val="20"/>
          <w:szCs w:val="20"/>
          <w:color w:val="auto"/>
        </w:rPr>
      </w:pPr>
      <w:r>
        <w:rPr>
          <w:rFonts w:ascii="Arial" w:cs="Arial" w:eastAsia="Arial" w:hAnsi="Arial"/>
          <w:sz w:val="16"/>
          <w:szCs w:val="16"/>
          <w:b w:val="1"/>
          <w:bCs w:val="1"/>
          <w:color w:val="CE0F2D"/>
        </w:rPr>
        <w:t>Each independent director confers with the Lead Director or the Chair of the Governance Committee to provide feedback, including candid assessment of peer contributions and performance.</w:t>
      </w:r>
    </w:p>
    <w:p>
      <w:pPr>
        <w:spacing w:after="0" w:line="20" w:lineRule="exact"/>
        <w:rPr>
          <w:sz w:val="20"/>
          <w:szCs w:val="20"/>
          <w:color w:val="auto"/>
        </w:rPr>
      </w:pPr>
      <w:r>
        <w:rPr>
          <w:sz w:val="20"/>
          <w:szCs w:val="20"/>
          <w:color w:val="auto"/>
        </w:rPr>
        <w:br w:type="column"/>
      </w:r>
    </w:p>
    <w:p>
      <w:pPr>
        <w:ind w:right="120"/>
        <w:spacing w:after="0" w:line="246" w:lineRule="auto"/>
        <w:rPr>
          <w:sz w:val="20"/>
          <w:szCs w:val="20"/>
          <w:color w:val="auto"/>
        </w:rPr>
      </w:pPr>
      <w:r>
        <w:rPr>
          <w:rFonts w:ascii="Arial" w:cs="Arial" w:eastAsia="Arial" w:hAnsi="Arial"/>
          <w:sz w:val="16"/>
          <w:szCs w:val="16"/>
          <w:color w:val="auto"/>
        </w:rPr>
        <w:t>The Lead Director and the Chair of the Governance Committee then provide to the full Board a summary of the results of the self-evaluation process, and facilitate a Board discussion about potential areas of improvement and actions that might be taken.</w:t>
      </w:r>
    </w:p>
    <w:p>
      <w:pPr>
        <w:spacing w:after="0" w:line="377" w:lineRule="exact"/>
        <w:rPr>
          <w:sz w:val="20"/>
          <w:szCs w:val="20"/>
          <w:color w:val="auto"/>
        </w:rPr>
      </w:pPr>
    </w:p>
    <w:p>
      <w:pPr>
        <w:sectPr>
          <w:pgSz w:w="11900" w:h="16838" w:orient="portrait"/>
          <w:cols w:equalWidth="0" w:num="3">
            <w:col w:w="3620" w:space="400"/>
            <w:col w:w="3420" w:space="240"/>
            <w:col w:w="3560"/>
          </w:cols>
          <w:pgMar w:left="320" w:top="118"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How it contributes to 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The self-evaluation informs the Board’s consideration of:</w:t>
      </w:r>
    </w:p>
    <w:p>
      <w:pPr>
        <w:spacing w:after="0" w:line="184" w:lineRule="exact"/>
        <w:rPr>
          <w:sz w:val="20"/>
          <w:szCs w:val="20"/>
          <w:color w:val="auto"/>
        </w:rPr>
      </w:pPr>
    </w:p>
    <w:p>
      <w:pPr>
        <w:ind w:left="200" w:hanging="193"/>
        <w:spacing w:after="0"/>
        <w:tabs>
          <w:tab w:leader="none" w:pos="200" w:val="left"/>
        </w:tabs>
        <w:numPr>
          <w:ilvl w:val="0"/>
          <w:numId w:val="97"/>
        </w:numPr>
        <w:rPr>
          <w:rFonts w:ascii="Arial" w:cs="Arial" w:eastAsia="Arial" w:hAnsi="Arial"/>
          <w:sz w:val="16"/>
          <w:szCs w:val="16"/>
          <w:color w:val="CE0F2D"/>
        </w:rPr>
      </w:pPr>
      <w:r>
        <w:rPr>
          <w:rFonts w:ascii="Arial" w:cs="Arial" w:eastAsia="Arial" w:hAnsi="Arial"/>
          <w:sz w:val="16"/>
          <w:szCs w:val="16"/>
          <w:color w:val="auto"/>
        </w:rPr>
        <w:t>Board roles</w:t>
      </w:r>
    </w:p>
    <w:p>
      <w:pPr>
        <w:spacing w:after="0" w:line="164" w:lineRule="exact"/>
        <w:rPr>
          <w:rFonts w:ascii="Arial" w:cs="Arial" w:eastAsia="Arial" w:hAnsi="Arial"/>
          <w:sz w:val="16"/>
          <w:szCs w:val="16"/>
          <w:color w:val="CE0F2D"/>
        </w:rPr>
      </w:pPr>
    </w:p>
    <w:p>
      <w:pPr>
        <w:ind w:left="200" w:hanging="193"/>
        <w:spacing w:after="0"/>
        <w:tabs>
          <w:tab w:leader="none" w:pos="200" w:val="left"/>
        </w:tabs>
        <w:numPr>
          <w:ilvl w:val="0"/>
          <w:numId w:val="97"/>
        </w:numPr>
        <w:rPr>
          <w:rFonts w:ascii="Arial" w:cs="Arial" w:eastAsia="Arial" w:hAnsi="Arial"/>
          <w:sz w:val="16"/>
          <w:szCs w:val="16"/>
          <w:color w:val="CE0F2D"/>
        </w:rPr>
      </w:pPr>
      <w:r>
        <w:rPr>
          <w:rFonts w:ascii="Arial" w:cs="Arial" w:eastAsia="Arial" w:hAnsi="Arial"/>
          <w:sz w:val="16"/>
          <w:szCs w:val="16"/>
          <w:color w:val="auto"/>
        </w:rPr>
        <w:t>Board effectiveness and priorities</w:t>
      </w:r>
    </w:p>
    <w:p>
      <w:pPr>
        <w:spacing w:after="0" w:line="164" w:lineRule="exact"/>
        <w:rPr>
          <w:rFonts w:ascii="Arial" w:cs="Arial" w:eastAsia="Arial" w:hAnsi="Arial"/>
          <w:sz w:val="16"/>
          <w:szCs w:val="16"/>
          <w:color w:val="CE0F2D"/>
        </w:rPr>
      </w:pPr>
    </w:p>
    <w:p>
      <w:pPr>
        <w:ind w:left="200" w:hanging="193"/>
        <w:spacing w:after="0"/>
        <w:tabs>
          <w:tab w:leader="none" w:pos="200" w:val="left"/>
        </w:tabs>
        <w:numPr>
          <w:ilvl w:val="0"/>
          <w:numId w:val="97"/>
        </w:numPr>
        <w:rPr>
          <w:rFonts w:ascii="Arial" w:cs="Arial" w:eastAsia="Arial" w:hAnsi="Arial"/>
          <w:sz w:val="16"/>
          <w:szCs w:val="16"/>
          <w:color w:val="CE0F2D"/>
        </w:rPr>
      </w:pPr>
      <w:r>
        <w:rPr>
          <w:rFonts w:ascii="Arial" w:cs="Arial" w:eastAsia="Arial" w:hAnsi="Arial"/>
          <w:sz w:val="16"/>
          <w:szCs w:val="16"/>
          <w:color w:val="auto"/>
        </w:rPr>
        <w:t>Committee performance</w:t>
      </w:r>
    </w:p>
    <w:p>
      <w:pPr>
        <w:spacing w:after="0" w:line="164" w:lineRule="exact"/>
        <w:rPr>
          <w:rFonts w:ascii="Arial" w:cs="Arial" w:eastAsia="Arial" w:hAnsi="Arial"/>
          <w:sz w:val="16"/>
          <w:szCs w:val="16"/>
          <w:color w:val="CE0F2D"/>
        </w:rPr>
      </w:pPr>
    </w:p>
    <w:p>
      <w:pPr>
        <w:ind w:left="200" w:hanging="193"/>
        <w:spacing w:after="0"/>
        <w:tabs>
          <w:tab w:leader="none" w:pos="200" w:val="left"/>
        </w:tabs>
        <w:numPr>
          <w:ilvl w:val="0"/>
          <w:numId w:val="97"/>
        </w:numPr>
        <w:rPr>
          <w:rFonts w:ascii="Arial" w:cs="Arial" w:eastAsia="Arial" w:hAnsi="Arial"/>
          <w:sz w:val="16"/>
          <w:szCs w:val="16"/>
          <w:color w:val="CE0F2D"/>
        </w:rPr>
      </w:pPr>
      <w:r>
        <w:rPr>
          <w:rFonts w:ascii="Arial" w:cs="Arial" w:eastAsia="Arial" w:hAnsi="Arial"/>
          <w:sz w:val="16"/>
          <w:szCs w:val="16"/>
          <w:color w:val="auto"/>
        </w:rPr>
        <w:t>Refreshment objectives, including composition and diversity</w:t>
      </w:r>
    </w:p>
    <w:p>
      <w:pPr>
        <w:spacing w:after="0" w:line="164" w:lineRule="exact"/>
        <w:rPr>
          <w:rFonts w:ascii="Arial" w:cs="Arial" w:eastAsia="Arial" w:hAnsi="Arial"/>
          <w:sz w:val="16"/>
          <w:szCs w:val="16"/>
          <w:color w:val="CE0F2D"/>
        </w:rPr>
      </w:pPr>
    </w:p>
    <w:p>
      <w:pPr>
        <w:ind w:left="200" w:hanging="193"/>
        <w:spacing w:after="0"/>
        <w:tabs>
          <w:tab w:leader="none" w:pos="200" w:val="left"/>
        </w:tabs>
        <w:numPr>
          <w:ilvl w:val="0"/>
          <w:numId w:val="97"/>
        </w:numPr>
        <w:rPr>
          <w:rFonts w:ascii="Arial" w:cs="Arial" w:eastAsia="Arial" w:hAnsi="Arial"/>
          <w:sz w:val="16"/>
          <w:szCs w:val="16"/>
          <w:color w:val="CE0F2D"/>
        </w:rPr>
      </w:pPr>
      <w:r>
        <w:rPr>
          <w:rFonts w:ascii="Arial" w:cs="Arial" w:eastAsia="Arial" w:hAnsi="Arial"/>
          <w:sz w:val="16"/>
          <w:szCs w:val="16"/>
          <w:color w:val="auto"/>
        </w:rPr>
        <w:t>Director succession planning</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ind w:left="9" w:right="220"/>
        <w:spacing w:after="0" w:line="282" w:lineRule="auto"/>
        <w:rPr>
          <w:sz w:val="20"/>
          <w:szCs w:val="20"/>
          <w:color w:val="auto"/>
        </w:rPr>
      </w:pPr>
      <w:r>
        <w:rPr>
          <w:rFonts w:ascii="Arial" w:cs="Arial" w:eastAsia="Arial" w:hAnsi="Arial"/>
          <w:sz w:val="16"/>
          <w:szCs w:val="16"/>
          <w:b w:val="1"/>
          <w:bCs w:val="1"/>
          <w:color w:val="CE0F2D"/>
        </w:rPr>
        <w:t>It has generated improvements to our corporate governance practices and the Board’s effectiveness, including:</w:t>
      </w:r>
    </w:p>
    <w:p>
      <w:pPr>
        <w:spacing w:after="0" w:line="123" w:lineRule="exact"/>
        <w:rPr>
          <w:sz w:val="20"/>
          <w:szCs w:val="20"/>
          <w:color w:val="auto"/>
        </w:rPr>
      </w:pPr>
    </w:p>
    <w:p>
      <w:pPr>
        <w:ind w:left="189" w:hanging="189"/>
        <w:spacing w:after="0"/>
        <w:tabs>
          <w:tab w:leader="none" w:pos="189" w:val="left"/>
        </w:tabs>
        <w:numPr>
          <w:ilvl w:val="0"/>
          <w:numId w:val="98"/>
        </w:numPr>
        <w:rPr>
          <w:rFonts w:ascii="Arial" w:cs="Arial" w:eastAsia="Arial" w:hAnsi="Arial"/>
          <w:sz w:val="16"/>
          <w:szCs w:val="16"/>
          <w:color w:val="CE0F2D"/>
        </w:rPr>
      </w:pPr>
      <w:r>
        <w:rPr>
          <w:rFonts w:ascii="Arial" w:cs="Arial" w:eastAsia="Arial" w:hAnsi="Arial"/>
          <w:sz w:val="16"/>
          <w:szCs w:val="16"/>
          <w:color w:val="auto"/>
        </w:rPr>
        <w:t>Allocating more time to private sessions of the independent directors</w:t>
      </w:r>
    </w:p>
    <w:p>
      <w:pPr>
        <w:spacing w:after="0" w:line="164" w:lineRule="exact"/>
        <w:rPr>
          <w:rFonts w:ascii="Arial" w:cs="Arial" w:eastAsia="Arial" w:hAnsi="Arial"/>
          <w:sz w:val="16"/>
          <w:szCs w:val="16"/>
          <w:color w:val="CE0F2D"/>
        </w:rPr>
      </w:pPr>
    </w:p>
    <w:p>
      <w:pPr>
        <w:ind w:left="169" w:right="20" w:hanging="169"/>
        <w:spacing w:after="0" w:line="256" w:lineRule="auto"/>
        <w:tabs>
          <w:tab w:leader="none" w:pos="177" w:val="left"/>
        </w:tabs>
        <w:numPr>
          <w:ilvl w:val="0"/>
          <w:numId w:val="98"/>
        </w:numPr>
        <w:rPr>
          <w:rFonts w:ascii="Arial" w:cs="Arial" w:eastAsia="Arial" w:hAnsi="Arial"/>
          <w:sz w:val="16"/>
          <w:szCs w:val="16"/>
          <w:color w:val="CE0F2D"/>
        </w:rPr>
      </w:pPr>
      <w:r>
        <w:rPr>
          <w:rFonts w:ascii="Arial" w:cs="Arial" w:eastAsia="Arial" w:hAnsi="Arial"/>
          <w:sz w:val="16"/>
          <w:szCs w:val="16"/>
          <w:color w:val="auto"/>
        </w:rPr>
        <w:t>Restructuring the standing committees and their responsibilities in order to free up additional time at Board meetings for strategy and other discussions</w:t>
      </w:r>
    </w:p>
    <w:p>
      <w:pPr>
        <w:spacing w:after="0" w:line="143" w:lineRule="exact"/>
        <w:rPr>
          <w:rFonts w:ascii="Arial" w:cs="Arial" w:eastAsia="Arial" w:hAnsi="Arial"/>
          <w:sz w:val="16"/>
          <w:szCs w:val="16"/>
          <w:color w:val="CE0F2D"/>
        </w:rPr>
      </w:pPr>
    </w:p>
    <w:p>
      <w:pPr>
        <w:ind w:left="189" w:hanging="189"/>
        <w:spacing w:after="0"/>
        <w:tabs>
          <w:tab w:leader="none" w:pos="189" w:val="left"/>
        </w:tabs>
        <w:numPr>
          <w:ilvl w:val="0"/>
          <w:numId w:val="98"/>
        </w:numPr>
        <w:rPr>
          <w:rFonts w:ascii="Arial" w:cs="Arial" w:eastAsia="Arial" w:hAnsi="Arial"/>
          <w:sz w:val="16"/>
          <w:szCs w:val="16"/>
          <w:color w:val="CE0F2D"/>
        </w:rPr>
      </w:pPr>
      <w:r>
        <w:rPr>
          <w:rFonts w:ascii="Arial" w:cs="Arial" w:eastAsia="Arial" w:hAnsi="Arial"/>
          <w:sz w:val="16"/>
          <w:szCs w:val="16"/>
          <w:color w:val="auto"/>
        </w:rPr>
        <w:t>Improving the Board’s self-evaluation process itself</w:t>
      </w:r>
    </w:p>
    <w:p>
      <w:pPr>
        <w:spacing w:after="0" w:line="200" w:lineRule="exact"/>
        <w:rPr>
          <w:sz w:val="20"/>
          <w:szCs w:val="20"/>
          <w:color w:val="auto"/>
        </w:rPr>
      </w:pPr>
    </w:p>
    <w:p>
      <w:pPr>
        <w:spacing w:after="0" w:line="232"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-3597910</wp:posOffset>
            </wp:positionH>
            <wp:positionV relativeFrom="paragraph">
              <wp:posOffset>71120</wp:posOffset>
            </wp:positionV>
            <wp:extent cx="715454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4951" w:space="720"/>
            <w:col w:w="5569"/>
          </w:cols>
          <w:pgMar w:left="320" w:top="118" w:right="3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BOARD COMMITTEES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In the 2021 self-evaluation process, the Board focused on:</w:t>
      </w:r>
    </w:p>
    <w:p>
      <w:pPr>
        <w:spacing w:after="0" w:line="184" w:lineRule="exact"/>
        <w:rPr>
          <w:sz w:val="20"/>
          <w:szCs w:val="20"/>
          <w:color w:val="auto"/>
        </w:rPr>
      </w:pPr>
    </w:p>
    <w:p>
      <w:pPr>
        <w:ind w:left="180" w:right="180" w:hanging="173"/>
        <w:spacing w:after="0" w:line="250" w:lineRule="auto"/>
        <w:tabs>
          <w:tab w:leader="none" w:pos="188" w:val="left"/>
        </w:tabs>
        <w:numPr>
          <w:ilvl w:val="0"/>
          <w:numId w:val="99"/>
        </w:numPr>
        <w:rPr>
          <w:rFonts w:ascii="Arial" w:cs="Arial" w:eastAsia="Arial" w:hAnsi="Arial"/>
          <w:sz w:val="16"/>
          <w:szCs w:val="16"/>
          <w:color w:val="CE0F2D"/>
        </w:rPr>
      </w:pPr>
      <w:r>
        <w:rPr>
          <w:rFonts w:ascii="Arial" w:cs="Arial" w:eastAsia="Arial" w:hAnsi="Arial"/>
          <w:sz w:val="16"/>
          <w:szCs w:val="16"/>
          <w:color w:val="auto"/>
        </w:rPr>
        <w:t>The Board’s approach to its oversight of product safety and potential enhancements and clarifications to that approach, including the confirmation of the Governance Committee’s primary oversight role as well as the Special Activities Committee’s role in support of the Governance Committee relating to classified products;</w:t>
      </w:r>
    </w:p>
    <w:p>
      <w:pPr>
        <w:spacing w:after="0" w:line="148" w:lineRule="exact"/>
        <w:rPr>
          <w:rFonts w:ascii="Arial" w:cs="Arial" w:eastAsia="Arial" w:hAnsi="Arial"/>
          <w:sz w:val="16"/>
          <w:szCs w:val="16"/>
          <w:color w:val="CE0F2D"/>
        </w:rPr>
      </w:pPr>
    </w:p>
    <w:p>
      <w:pPr>
        <w:ind w:left="200" w:hanging="193"/>
        <w:spacing w:after="0"/>
        <w:tabs>
          <w:tab w:leader="none" w:pos="200" w:val="left"/>
        </w:tabs>
        <w:numPr>
          <w:ilvl w:val="0"/>
          <w:numId w:val="99"/>
        </w:numPr>
        <w:rPr>
          <w:rFonts w:ascii="Arial" w:cs="Arial" w:eastAsia="Arial" w:hAnsi="Arial"/>
          <w:sz w:val="16"/>
          <w:szCs w:val="16"/>
          <w:color w:val="CE0F2D"/>
        </w:rPr>
      </w:pPr>
      <w:r>
        <w:rPr>
          <w:rFonts w:ascii="Arial" w:cs="Arial" w:eastAsia="Arial" w:hAnsi="Arial"/>
          <w:sz w:val="16"/>
          <w:szCs w:val="16"/>
          <w:color w:val="auto"/>
        </w:rPr>
        <w:t>The Board’s review and consideration of CEO and senior management succession planning; and</w:t>
      </w:r>
    </w:p>
    <w:p>
      <w:pPr>
        <w:spacing w:after="0" w:line="164" w:lineRule="exact"/>
        <w:rPr>
          <w:rFonts w:ascii="Arial" w:cs="Arial" w:eastAsia="Arial" w:hAnsi="Arial"/>
          <w:sz w:val="16"/>
          <w:szCs w:val="16"/>
          <w:color w:val="CE0F2D"/>
        </w:rPr>
      </w:pPr>
    </w:p>
    <w:p>
      <w:pPr>
        <w:ind w:left="180" w:right="200" w:hanging="173"/>
        <w:spacing w:after="0" w:line="256" w:lineRule="auto"/>
        <w:tabs>
          <w:tab w:leader="none" w:pos="188" w:val="left"/>
        </w:tabs>
        <w:numPr>
          <w:ilvl w:val="0"/>
          <w:numId w:val="99"/>
        </w:numPr>
        <w:rPr>
          <w:rFonts w:ascii="Arial" w:cs="Arial" w:eastAsia="Arial" w:hAnsi="Arial"/>
          <w:sz w:val="16"/>
          <w:szCs w:val="16"/>
          <w:color w:val="CE0F2D"/>
        </w:rPr>
      </w:pPr>
      <w:r>
        <w:rPr>
          <w:rFonts w:ascii="Arial" w:cs="Arial" w:eastAsia="Arial" w:hAnsi="Arial"/>
          <w:sz w:val="16"/>
          <w:szCs w:val="16"/>
          <w:color w:val="auto"/>
        </w:rPr>
        <w:t>Potential changes to the Board’s committees, with the expected removal of the Merger-related committee composition requirements from our Corporate Governance Guidelines and Bylaws following the 2022 Annual Meeting.</w:t>
      </w:r>
    </w:p>
    <w:p>
      <w:pPr>
        <w:spacing w:after="0" w:line="11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Board Committees</w:t>
      </w:r>
    </w:p>
    <w:p>
      <w:pPr>
        <w:spacing w:after="0" w:line="210" w:lineRule="exact"/>
        <w:rPr>
          <w:sz w:val="20"/>
          <w:szCs w:val="20"/>
          <w:color w:val="auto"/>
        </w:rPr>
      </w:pPr>
    </w:p>
    <w:p>
      <w:pPr>
        <w:jc w:val="both"/>
        <w:ind w:right="80"/>
        <w:spacing w:after="0" w:line="248" w:lineRule="auto"/>
        <w:rPr>
          <w:sz w:val="20"/>
          <w:szCs w:val="20"/>
          <w:color w:val="auto"/>
        </w:rPr>
      </w:pPr>
      <w:r>
        <w:rPr>
          <w:rFonts w:ascii="Arial" w:cs="Arial" w:eastAsia="Arial" w:hAnsi="Arial"/>
          <w:sz w:val="16"/>
          <w:szCs w:val="16"/>
          <w:color w:val="auto"/>
        </w:rPr>
        <w:t>Our Board currently has the following standing committees: the Audit Committee, the Committee on Governance and Public Policy, the Finance Committee, the Human Capital &amp; Compensation Committee, and the Special Activities Committee. Under the terms of the Merger, our Board was required to maintain a specified composition of committee members and chairs until April 3, 2022. The Board plans to remove these requirements from our Corporate Governance Guidelines and Bylaws following the 2022 Annual Meeting, and then will consider whether to make any changes to committee composition or chairs.</w:t>
      </w:r>
    </w:p>
    <w:p>
      <w:pPr>
        <w:spacing w:after="0" w:line="150"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The Audit, Governance and Public Policy, and Human Capital &amp; Compensation Committees are each composed exclusively of independent directors. Our CEO and our former Special Advisor to the Office of the CEO serve on the Finance and Special Activities Committees (which are not required committees under New York Stock Exchange (“NYSE”) or Securities and Exchange Commission (“SEC”) rules), because the Board believes these individuals bring particular insights on topics within these committees’ responsibilities. Each standing committee has the authority to retain independent advisors, to approve the fees paid to those advisors, and to terminate their engagements.</w:t>
      </w:r>
    </w:p>
    <w:p>
      <w:pPr>
        <w:spacing w:after="0" w:line="151"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auto"/>
        </w:rPr>
        <w:t>Each committee operates under a charter that it reviews annually. These charters are available on the Corporate Governance section of our website (</w:t>
      </w:r>
      <w:r>
        <w:rPr>
          <w:rFonts w:ascii="Arial" w:cs="Arial" w:eastAsia="Arial" w:hAnsi="Arial"/>
          <w:sz w:val="16"/>
          <w:szCs w:val="16"/>
          <w:u w:val="single" w:color="auto"/>
          <w:color w:val="CE0F2D"/>
        </w:rPr>
        <w:t>www.rtx.com</w:t>
      </w:r>
      <w:r>
        <w:rPr>
          <w:rFonts w:ascii="Arial" w:cs="Arial" w:eastAsia="Arial" w:hAnsi="Arial"/>
          <w:sz w:val="16"/>
          <w:szCs w:val="16"/>
          <w:color w:val="auto"/>
        </w:rPr>
        <w:t>).</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2021, the Board amended the charters of the Governance and Public Policy Committee and the Human Capital &amp; Compensation Committee to clarify and enhance those committees’ oversight responsibilities for certain ESG topics that are among the most important to RTX. Specifically, the Board:</w:t>
      </w:r>
    </w:p>
    <w:p>
      <w:pPr>
        <w:spacing w:after="0" w:line="143" w:lineRule="exact"/>
        <w:rPr>
          <w:sz w:val="20"/>
          <w:szCs w:val="20"/>
          <w:color w:val="auto"/>
        </w:rPr>
      </w:pPr>
    </w:p>
    <w:p>
      <w:pPr>
        <w:ind w:left="180" w:right="60" w:hanging="173"/>
        <w:spacing w:after="0" w:line="250" w:lineRule="auto"/>
        <w:tabs>
          <w:tab w:leader="none" w:pos="188" w:val="left"/>
        </w:tabs>
        <w:numPr>
          <w:ilvl w:val="0"/>
          <w:numId w:val="100"/>
        </w:numPr>
        <w:rPr>
          <w:rFonts w:ascii="Arial" w:cs="Arial" w:eastAsia="Arial" w:hAnsi="Arial"/>
          <w:sz w:val="16"/>
          <w:szCs w:val="16"/>
          <w:color w:val="CE0F2D"/>
        </w:rPr>
      </w:pPr>
      <w:r>
        <w:rPr>
          <w:rFonts w:ascii="Arial" w:cs="Arial" w:eastAsia="Arial" w:hAnsi="Arial"/>
          <w:sz w:val="16"/>
          <w:szCs w:val="16"/>
          <w:color w:val="auto"/>
        </w:rPr>
        <w:t>Renamed the Human Capital &amp; Compensation Committee (formerly called the Compensation Committee) to reflect its oversight of human capital management, and expanded the Committee’s responsibilities to include oversight of recruiting, retention, career development, DE&amp;I, and other aspects of human capital management.</w:t>
      </w:r>
    </w:p>
    <w:p>
      <w:pPr>
        <w:spacing w:after="0" w:line="148" w:lineRule="exact"/>
        <w:rPr>
          <w:rFonts w:ascii="Arial" w:cs="Arial" w:eastAsia="Arial" w:hAnsi="Arial"/>
          <w:sz w:val="16"/>
          <w:szCs w:val="16"/>
          <w:color w:val="CE0F2D"/>
        </w:rPr>
      </w:pPr>
    </w:p>
    <w:p>
      <w:pPr>
        <w:ind w:left="180" w:hanging="173"/>
        <w:spacing w:after="0" w:line="256" w:lineRule="auto"/>
        <w:tabs>
          <w:tab w:leader="none" w:pos="188" w:val="left"/>
        </w:tabs>
        <w:numPr>
          <w:ilvl w:val="0"/>
          <w:numId w:val="100"/>
        </w:numPr>
        <w:rPr>
          <w:rFonts w:ascii="Arial" w:cs="Arial" w:eastAsia="Arial" w:hAnsi="Arial"/>
          <w:sz w:val="16"/>
          <w:szCs w:val="16"/>
          <w:color w:val="CE0F2D"/>
        </w:rPr>
      </w:pPr>
      <w:r>
        <w:rPr>
          <w:rFonts w:ascii="Arial" w:cs="Arial" w:eastAsia="Arial" w:hAnsi="Arial"/>
          <w:sz w:val="16"/>
          <w:szCs w:val="16"/>
          <w:color w:val="auto"/>
        </w:rPr>
        <w:t>Confirmed the Committee on Governance and Public Policy’s oversight responsibilities with respect to ESG topics such as sustainability, workplace safety, human rights, and elements of DE&amp;I other than human capital management.</w:t>
      </w:r>
    </w:p>
    <w:p>
      <w:pPr>
        <w:spacing w:after="0" w:line="143"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Additionally, in connection with its consideration of RTX’s enterprise risk management program and its risk oversight role, the Board amended the charter of the Governance Committee in February 2022 to confirm the Committee’s oversight responsibility for Company product safety risks (with the Special Activities Committee assisting on classified product safety).</w:t>
      </w:r>
    </w:p>
    <w:p>
      <w:pPr>
        <w:spacing w:after="0" w:line="148" w:lineRule="exact"/>
        <w:rPr>
          <w:sz w:val="20"/>
          <w:szCs w:val="20"/>
          <w:color w:val="auto"/>
        </w:rPr>
      </w:pPr>
    </w:p>
    <w:p>
      <w:pPr>
        <w:ind w:left="260" w:hanging="253"/>
        <w:spacing w:after="0"/>
        <w:tabs>
          <w:tab w:leader="none" w:pos="260" w:val="left"/>
        </w:tabs>
        <w:numPr>
          <w:ilvl w:val="0"/>
          <w:numId w:val="101"/>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028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3590" cy="1028700"/>
                    </a:xfrm>
                    <a:prstGeom prst="rect">
                      <a:avLst/>
                    </a:prstGeom>
                    <a:noFill/>
                  </pic:spPr>
                </pic:pic>
              </a:graphicData>
            </a:graphic>
          </wp:anchor>
        </w:drawing>
      </w:r>
    </w:p>
    <w:p>
      <w:pPr>
        <w:spacing w:after="0" w:line="348" w:lineRule="exact"/>
        <w:rPr>
          <w:sz w:val="20"/>
          <w:szCs w:val="20"/>
          <w:color w:val="auto"/>
        </w:rPr>
      </w:pPr>
    </w:p>
    <w:p>
      <w:pPr>
        <w:ind w:left="2680"/>
        <w:spacing w:after="0"/>
        <w:rPr>
          <w:sz w:val="20"/>
          <w:szCs w:val="20"/>
          <w:color w:val="auto"/>
        </w:rPr>
      </w:pPr>
      <w:r>
        <w:rPr>
          <w:rFonts w:ascii="Arial" w:cs="Arial" w:eastAsia="Arial" w:hAnsi="Arial"/>
          <w:sz w:val="32"/>
          <w:szCs w:val="32"/>
          <w:b w:val="1"/>
          <w:bCs w:val="1"/>
          <w:color w:val="CE0F2D"/>
        </w:rPr>
        <w:t>Audit</w:t>
      </w:r>
    </w:p>
    <w:p>
      <w:pPr>
        <w:spacing w:after="0" w:line="391"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CE0F2D"/>
        </w:rPr>
        <w:t>Fredric G. Reynolds</w:t>
      </w:r>
    </w:p>
    <w:p>
      <w:pPr>
        <w:spacing w:after="0" w:line="1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Chair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line="460" w:lineRule="auto"/>
        <w:rPr>
          <w:sz w:val="20"/>
          <w:szCs w:val="20"/>
          <w:color w:val="auto"/>
        </w:rPr>
      </w:pPr>
      <w:r>
        <w:rPr>
          <w:rFonts w:ascii="Arial" w:cs="Arial" w:eastAsia="Arial" w:hAnsi="Arial"/>
          <w:sz w:val="17"/>
          <w:szCs w:val="17"/>
          <w:color w:val="auto"/>
        </w:rPr>
        <w:t xml:space="preserve">2021 MEETINGS: </w:t>
      </w:r>
      <w:r>
        <w:rPr>
          <w:rFonts w:ascii="Arial" w:cs="Arial" w:eastAsia="Arial" w:hAnsi="Arial"/>
          <w:sz w:val="17"/>
          <w:szCs w:val="17"/>
          <w:b w:val="1"/>
          <w:bCs w:val="1"/>
          <w:color w:val="CE0F2D"/>
        </w:rPr>
        <w:t>12</w:t>
      </w:r>
      <w:r>
        <w:rPr>
          <w:rFonts w:ascii="Arial" w:cs="Arial" w:eastAsia="Arial" w:hAnsi="Arial"/>
          <w:sz w:val="17"/>
          <w:szCs w:val="17"/>
          <w:color w:val="auto"/>
        </w:rPr>
        <w:t xml:space="preserve"> COMMITTEE MEMBERS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Tracy A. Atkinson</w:t>
      </w:r>
    </w:p>
    <w:p>
      <w:pPr>
        <w:spacing w:after="0"/>
        <w:rPr>
          <w:sz w:val="20"/>
          <w:szCs w:val="20"/>
          <w:color w:val="auto"/>
        </w:rPr>
      </w:pPr>
      <w:r>
        <w:rPr>
          <w:rFonts w:ascii="Arial" w:cs="Arial" w:eastAsia="Arial" w:hAnsi="Arial"/>
          <w:sz w:val="14"/>
          <w:szCs w:val="14"/>
          <w:color w:val="auto"/>
        </w:rPr>
        <w:t>Bernard A. Harris, Jr.</w:t>
      </w:r>
    </w:p>
    <w:p>
      <w:pPr>
        <w:spacing w:after="0"/>
        <w:rPr>
          <w:sz w:val="20"/>
          <w:szCs w:val="20"/>
          <w:color w:val="auto"/>
        </w:rPr>
      </w:pPr>
      <w:r>
        <w:rPr>
          <w:rFonts w:ascii="Arial" w:cs="Arial" w:eastAsia="Arial" w:hAnsi="Arial"/>
          <w:sz w:val="14"/>
          <w:szCs w:val="14"/>
          <w:color w:val="auto"/>
        </w:rPr>
        <w:t>Ellen M. Pawlikowski</w:t>
      </w:r>
    </w:p>
    <w:p>
      <w:pPr>
        <w:spacing w:after="0"/>
        <w:rPr>
          <w:sz w:val="20"/>
          <w:szCs w:val="20"/>
          <w:color w:val="auto"/>
        </w:rPr>
      </w:pPr>
      <w:r>
        <w:rPr>
          <w:rFonts w:ascii="Arial" w:cs="Arial" w:eastAsia="Arial" w:hAnsi="Arial"/>
          <w:sz w:val="14"/>
          <w:szCs w:val="14"/>
          <w:color w:val="auto"/>
        </w:rPr>
        <w:t>Denise L. Ramos</w:t>
      </w:r>
    </w:p>
    <w:p>
      <w:pPr>
        <w:spacing w:after="0"/>
        <w:rPr>
          <w:sz w:val="20"/>
          <w:szCs w:val="20"/>
          <w:color w:val="auto"/>
        </w:rPr>
      </w:pPr>
      <w:r>
        <w:rPr>
          <w:rFonts w:ascii="Arial" w:cs="Arial" w:eastAsia="Arial" w:hAnsi="Arial"/>
          <w:sz w:val="14"/>
          <w:szCs w:val="14"/>
          <w:color w:val="auto"/>
        </w:rPr>
        <w:t>Robert O. 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180" w:right="160" w:hanging="175"/>
        <w:spacing w:after="0" w:line="248" w:lineRule="auto"/>
        <w:tabs>
          <w:tab w:leader="none" w:pos="179" w:val="left"/>
        </w:tabs>
        <w:numPr>
          <w:ilvl w:val="0"/>
          <w:numId w:val="102"/>
        </w:numPr>
        <w:rPr>
          <w:rFonts w:ascii="Arial" w:cs="Arial" w:eastAsia="Arial" w:hAnsi="Arial"/>
          <w:sz w:val="16"/>
          <w:szCs w:val="16"/>
          <w:color w:val="CE0F2D"/>
        </w:rPr>
      </w:pPr>
      <w:r>
        <w:rPr>
          <w:rFonts w:ascii="Arial" w:cs="Arial" w:eastAsia="Arial" w:hAnsi="Arial"/>
          <w:sz w:val="16"/>
          <w:szCs w:val="16"/>
          <w:color w:val="auto"/>
        </w:rPr>
        <w:t>Assists the Board in overseeing: the integrity of RTX’s financial statements; the independence, qualifications and performance of RTX’s internal and external auditors; the Company’s compliance with its policies and procedures, internal controls, Code of Conduct, and applicable laws and regulations; and policies and procedures relating to risk assessment and management</w:t>
      </w:r>
    </w:p>
    <w:p>
      <w:pPr>
        <w:spacing w:after="0" w:line="150" w:lineRule="exact"/>
        <w:rPr>
          <w:rFonts w:ascii="Arial" w:cs="Arial" w:eastAsia="Arial" w:hAnsi="Arial"/>
          <w:sz w:val="16"/>
          <w:szCs w:val="16"/>
          <w:color w:val="CE0F2D"/>
        </w:rPr>
      </w:pPr>
    </w:p>
    <w:p>
      <w:pPr>
        <w:ind w:left="180" w:right="540" w:hanging="175"/>
        <w:spacing w:after="0" w:line="256" w:lineRule="auto"/>
        <w:tabs>
          <w:tab w:leader="none" w:pos="188" w:val="left"/>
        </w:tabs>
        <w:numPr>
          <w:ilvl w:val="0"/>
          <w:numId w:val="102"/>
        </w:numPr>
        <w:rPr>
          <w:rFonts w:ascii="Arial" w:cs="Arial" w:eastAsia="Arial" w:hAnsi="Arial"/>
          <w:sz w:val="16"/>
          <w:szCs w:val="16"/>
          <w:color w:val="CE0F2D"/>
        </w:rPr>
      </w:pPr>
      <w:r>
        <w:rPr>
          <w:rFonts w:ascii="Arial" w:cs="Arial" w:eastAsia="Arial" w:hAnsi="Arial"/>
          <w:sz w:val="16"/>
          <w:szCs w:val="16"/>
          <w:color w:val="auto"/>
        </w:rPr>
        <w:t>Nominates (for shareowner approval) an accounting firm to serve as RTX’s independent auditor and maintains responsibility for compensation, retention and oversight of the auditor</w:t>
      </w:r>
    </w:p>
    <w:p>
      <w:pPr>
        <w:spacing w:after="0" w:line="143" w:lineRule="exact"/>
        <w:rPr>
          <w:rFonts w:ascii="Arial" w:cs="Arial" w:eastAsia="Arial" w:hAnsi="Arial"/>
          <w:sz w:val="16"/>
          <w:szCs w:val="16"/>
          <w:color w:val="CE0F2D"/>
        </w:rPr>
      </w:pPr>
    </w:p>
    <w:p>
      <w:pPr>
        <w:ind w:left="180" w:right="460" w:hanging="175"/>
        <w:spacing w:after="0" w:line="256" w:lineRule="auto"/>
        <w:tabs>
          <w:tab w:leader="none" w:pos="188" w:val="left"/>
        </w:tabs>
        <w:numPr>
          <w:ilvl w:val="0"/>
          <w:numId w:val="102"/>
        </w:numPr>
        <w:rPr>
          <w:rFonts w:ascii="Arial" w:cs="Arial" w:eastAsia="Arial" w:hAnsi="Arial"/>
          <w:sz w:val="16"/>
          <w:szCs w:val="16"/>
          <w:color w:val="CE0F2D"/>
        </w:rPr>
      </w:pPr>
      <w:r>
        <w:rPr>
          <w:rFonts w:ascii="Arial" w:cs="Arial" w:eastAsia="Arial" w:hAnsi="Arial"/>
          <w:sz w:val="16"/>
          <w:szCs w:val="16"/>
          <w:color w:val="auto"/>
        </w:rPr>
        <w:t>Pre-approves all auditing services and permitted non-audit services to be performed for RTX by its independent auditor</w:t>
      </w:r>
    </w:p>
    <w:p>
      <w:pPr>
        <w:spacing w:after="0" w:line="143" w:lineRule="exact"/>
        <w:rPr>
          <w:rFonts w:ascii="Arial" w:cs="Arial" w:eastAsia="Arial" w:hAnsi="Arial"/>
          <w:sz w:val="16"/>
          <w:szCs w:val="16"/>
          <w:color w:val="CE0F2D"/>
        </w:rPr>
      </w:pPr>
    </w:p>
    <w:p>
      <w:pPr>
        <w:ind w:left="200" w:hanging="195"/>
        <w:spacing w:after="0"/>
        <w:tabs>
          <w:tab w:leader="none" w:pos="200" w:val="left"/>
        </w:tabs>
        <w:numPr>
          <w:ilvl w:val="0"/>
          <w:numId w:val="102"/>
        </w:numPr>
        <w:rPr>
          <w:rFonts w:ascii="Arial" w:cs="Arial" w:eastAsia="Arial" w:hAnsi="Arial"/>
          <w:sz w:val="16"/>
          <w:szCs w:val="16"/>
          <w:color w:val="CE0F2D"/>
        </w:rPr>
      </w:pPr>
      <w:r>
        <w:rPr>
          <w:rFonts w:ascii="Arial" w:cs="Arial" w:eastAsia="Arial" w:hAnsi="Arial"/>
          <w:sz w:val="16"/>
          <w:szCs w:val="16"/>
          <w:color w:val="auto"/>
        </w:rPr>
        <w:t>Reviews and approves the appointment and replacement of the senior Internal Audit executive</w:t>
      </w:r>
    </w:p>
    <w:p>
      <w:pPr>
        <w:spacing w:after="0" w:line="164" w:lineRule="exact"/>
        <w:rPr>
          <w:sz w:val="20"/>
          <w:szCs w:val="20"/>
          <w:color w:val="auto"/>
        </w:rPr>
      </w:pPr>
    </w:p>
    <w:p>
      <w:pPr>
        <w:ind w:right="640"/>
        <w:spacing w:after="0" w:line="256" w:lineRule="auto"/>
        <w:rPr>
          <w:sz w:val="20"/>
          <w:szCs w:val="20"/>
          <w:color w:val="auto"/>
        </w:rPr>
      </w:pPr>
      <w:r>
        <w:rPr>
          <w:rFonts w:ascii="Arial" w:cs="Arial" w:eastAsia="Arial" w:hAnsi="Arial"/>
          <w:sz w:val="16"/>
          <w:szCs w:val="16"/>
          <w:color w:val="auto"/>
        </w:rPr>
        <w:t>The Board has determined that Mr. Reynolds, Ms. Atkinson and Ms. Ramos each are “audit committee financial experts,” as that term is defined in the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-1696720</wp:posOffset>
            </wp:positionH>
            <wp:positionV relativeFrom="paragraph">
              <wp:posOffset>-11430</wp:posOffset>
            </wp:positionV>
            <wp:extent cx="7133590" cy="114808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3590" cy="1148080"/>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Governance and Public Policy</w:t>
      </w:r>
    </w:p>
    <w:p>
      <w:pPr>
        <w:spacing w:after="0" w:line="351" w:lineRule="exact"/>
        <w:rPr>
          <w:sz w:val="20"/>
          <w:szCs w:val="20"/>
          <w:color w:val="auto"/>
        </w:rPr>
      </w:pPr>
    </w:p>
    <w:p>
      <w:pPr>
        <w:spacing w:after="0"/>
        <w:rPr>
          <w:sz w:val="20"/>
          <w:szCs w:val="20"/>
          <w:color w:val="auto"/>
        </w:rPr>
      </w:pPr>
      <w:r>
        <w:rPr>
          <w:rFonts w:ascii="Arial" w:cs="Arial" w:eastAsia="Arial" w:hAnsi="Arial"/>
          <w:sz w:val="14"/>
          <w:szCs w:val="14"/>
          <w:b w:val="1"/>
          <w:bCs w:val="1"/>
          <w:color w:val="CE0F2D"/>
        </w:rPr>
        <w:t>Robert O. Work</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color w:val="auto"/>
        </w:rPr>
        <w:t>Chair</w:t>
      </w:r>
    </w:p>
    <w:p>
      <w:pPr>
        <w:spacing w:after="0" w:line="200" w:lineRule="exact"/>
        <w:rPr>
          <w:sz w:val="20"/>
          <w:szCs w:val="20"/>
          <w:color w:val="auto"/>
        </w:rPr>
      </w:pPr>
    </w:p>
    <w:p>
      <w:pPr>
        <w:sectPr>
          <w:pgSz w:w="11900" w:h="16838" w:orient="portrait"/>
          <w:cols w:equalWidth="0" w:num="2">
            <w:col w:w="2020" w:space="660"/>
            <w:col w:w="8560"/>
          </w:cols>
          <w:pgMar w:left="320" w:top="118" w:right="339" w:bottom="1440" w:gutter="0" w:footer="0" w:header="0"/>
          <w:type w:val="continuous"/>
        </w:sectPr>
      </w:pPr>
    </w:p>
    <w:p>
      <w:pPr>
        <w:spacing w:after="0" w:line="308" w:lineRule="exact"/>
        <w:rPr>
          <w:sz w:val="20"/>
          <w:szCs w:val="20"/>
          <w:color w:val="auto"/>
        </w:rPr>
      </w:pPr>
    </w:p>
    <w:p>
      <w:pPr>
        <w:spacing w:after="0" w:line="460" w:lineRule="auto"/>
        <w:rPr>
          <w:sz w:val="20"/>
          <w:szCs w:val="20"/>
          <w:color w:val="auto"/>
        </w:rPr>
      </w:pPr>
      <w:r>
        <w:rPr>
          <w:rFonts w:ascii="Arial" w:cs="Arial" w:eastAsia="Arial" w:hAnsi="Arial"/>
          <w:sz w:val="17"/>
          <w:szCs w:val="17"/>
          <w:color w:val="auto"/>
        </w:rPr>
        <w:t xml:space="preserve">2021 MEETINGS: </w:t>
      </w:r>
      <w:r>
        <w:rPr>
          <w:rFonts w:ascii="Arial" w:cs="Arial" w:eastAsia="Arial" w:hAnsi="Arial"/>
          <w:sz w:val="17"/>
          <w:szCs w:val="17"/>
          <w:b w:val="1"/>
          <w:bCs w:val="1"/>
          <w:color w:val="CE0F2D"/>
        </w:rPr>
        <w:t>5</w:t>
      </w:r>
      <w:r>
        <w:rPr>
          <w:rFonts w:ascii="Arial" w:cs="Arial" w:eastAsia="Arial" w:hAnsi="Arial"/>
          <w:sz w:val="17"/>
          <w:szCs w:val="17"/>
          <w:color w:val="auto"/>
        </w:rPr>
        <w:t xml:space="preserve"> COMMITTEE MEMBERS</w:t>
      </w:r>
    </w:p>
    <w:p>
      <w:pPr>
        <w:spacing w:after="0" w:line="1" w:lineRule="exact"/>
        <w:rPr>
          <w:sz w:val="20"/>
          <w:szCs w:val="20"/>
          <w:color w:val="auto"/>
        </w:rPr>
      </w:pPr>
    </w:p>
    <w:p>
      <w:pPr>
        <w:ind w:right="600"/>
        <w:spacing w:after="0" w:line="243" w:lineRule="auto"/>
        <w:rPr>
          <w:sz w:val="20"/>
          <w:szCs w:val="20"/>
          <w:color w:val="auto"/>
        </w:rPr>
      </w:pPr>
      <w:r>
        <w:rPr>
          <w:rFonts w:ascii="Arial" w:cs="Arial" w:eastAsia="Arial" w:hAnsi="Arial"/>
          <w:sz w:val="14"/>
          <w:szCs w:val="14"/>
          <w:color w:val="auto"/>
        </w:rPr>
        <w:t>Marshall O. Larsen George R. Oliver Margaret L. O’Sullivan Dinesh C. Paliwal Fredric G. Reynolds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ind w:left="175" w:right="80" w:hanging="175"/>
        <w:spacing w:after="0" w:line="250" w:lineRule="auto"/>
        <w:tabs>
          <w:tab w:leader="none" w:pos="183"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Reviews and oversees RTX’s positions on significant public issues and corporate social responsibility, including sustainability, product and workplace safety, human rights, and elements of DE&amp;I that do not fall under human capital management</w:t>
      </w:r>
    </w:p>
    <w:p>
      <w:pPr>
        <w:spacing w:after="0" w:line="148"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Develops and recommends modifications to our Corporate Governance Guidelines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Identifies and recommends qualified candidates for election to the Board</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Makes recommendations to the Board for committee assignments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Reviews and monitors the orientation of new Board members and the continuing education of all directors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Oversees the design and conduct of the annual self-evaluation of the Board, its committees and individual directors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3"/>
        </w:numPr>
        <w:rPr>
          <w:rFonts w:ascii="Arial" w:cs="Arial" w:eastAsia="Arial" w:hAnsi="Arial"/>
          <w:sz w:val="16"/>
          <w:szCs w:val="16"/>
          <w:color w:val="CE0F2D"/>
        </w:rPr>
      </w:pPr>
      <w:r>
        <w:rPr>
          <w:rFonts w:ascii="Arial" w:cs="Arial" w:eastAsia="Arial" w:hAnsi="Arial"/>
          <w:sz w:val="16"/>
          <w:szCs w:val="16"/>
          <w:color w:val="auto"/>
        </w:rPr>
        <w:t>Recommends to the Board appropriate compensation of non-employee directors</w:t>
      </w:r>
    </w:p>
    <w:p>
      <w:pPr>
        <w:spacing w:after="0" w:line="97" w:lineRule="exact"/>
        <w:rPr>
          <w:sz w:val="20"/>
          <w:szCs w:val="20"/>
          <w:color w:val="auto"/>
        </w:rPr>
      </w:pPr>
    </w:p>
    <w:p>
      <w:pPr>
        <w:sectPr>
          <w:pgSz w:w="11900" w:h="16838" w:orient="portrait"/>
          <w:cols w:equalWidth="0" w:num="2">
            <w:col w:w="2020" w:space="665"/>
            <w:col w:w="8555"/>
          </w:cols>
          <w:pgMar w:left="320" w:top="118" w:right="339" w:bottom="1440" w:gutter="0" w:footer="0" w:header="0"/>
          <w:type w:val="continuous"/>
        </w:sectPr>
      </w:pPr>
    </w:p>
    <w:p>
      <w:pPr>
        <w:ind w:left="8020"/>
        <w:spacing w:after="0"/>
        <w:rPr>
          <w:sz w:val="20"/>
          <w:szCs w:val="20"/>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r>
        <w:rPr>
          <w:rFonts w:ascii="Arial" w:cs="Arial" w:eastAsia="Arial" w:hAnsi="Arial"/>
          <w:sz w:val="10"/>
          <w:szCs w:val="10"/>
          <w:color w:val="CE0F2D"/>
        </w:rPr>
        <w:t xml:space="preserve"> </w:t>
      </w:r>
      <w:r>
        <w:rPr>
          <w:rFonts w:ascii="Arial" w:cs="Arial" w:eastAsia="Arial" w:hAnsi="Arial"/>
          <w:sz w:val="10"/>
          <w:szCs w:val="10"/>
          <w:b w:val="1"/>
          <w:bCs w:val="1"/>
          <w:color w:val="00000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93980</wp:posOffset>
            </wp:positionV>
            <wp:extent cx="715454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0795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3590" cy="1079500"/>
                    </a:xfrm>
                    <a:prstGeom prst="rect">
                      <a:avLst/>
                    </a:prstGeom>
                    <a:noFill/>
                  </pic:spPr>
                </pic:pic>
              </a:graphicData>
            </a:graphic>
          </wp:anchor>
        </w:drawing>
      </w:r>
    </w:p>
    <w:p>
      <w:pPr>
        <w:spacing w:after="0" w:line="348" w:lineRule="exact"/>
        <w:rPr>
          <w:sz w:val="20"/>
          <w:szCs w:val="20"/>
          <w:color w:val="auto"/>
        </w:rPr>
      </w:pPr>
    </w:p>
    <w:p>
      <w:pPr>
        <w:jc w:val="right"/>
        <w:ind w:right="7280"/>
        <w:spacing w:after="0"/>
        <w:rPr>
          <w:sz w:val="20"/>
          <w:szCs w:val="20"/>
          <w:color w:val="auto"/>
        </w:rPr>
      </w:pPr>
      <w:r>
        <w:rPr>
          <w:rFonts w:ascii="Arial" w:cs="Arial" w:eastAsia="Arial" w:hAnsi="Arial"/>
          <w:sz w:val="32"/>
          <w:szCs w:val="32"/>
          <w:b w:val="1"/>
          <w:bCs w:val="1"/>
          <w:color w:val="CE0F2D"/>
        </w:rPr>
        <w:t>Finance</w:t>
      </w:r>
    </w:p>
    <w:p>
      <w:pPr>
        <w:spacing w:after="0" w:line="351"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CE0F2D"/>
        </w:rPr>
        <w:t>Brian C. Rogers</w:t>
      </w:r>
    </w:p>
    <w:p>
      <w:pPr>
        <w:spacing w:after="0" w:line="1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Chair</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spacing w:after="0" w:line="460" w:lineRule="auto"/>
        <w:rPr>
          <w:sz w:val="20"/>
          <w:szCs w:val="20"/>
          <w:color w:val="auto"/>
        </w:rPr>
      </w:pPr>
      <w:r>
        <w:rPr>
          <w:rFonts w:ascii="Arial" w:cs="Arial" w:eastAsia="Arial" w:hAnsi="Arial"/>
          <w:sz w:val="17"/>
          <w:szCs w:val="17"/>
          <w:color w:val="auto"/>
        </w:rPr>
        <w:t xml:space="preserve">2021 MEETINGS: </w:t>
      </w:r>
      <w:r>
        <w:rPr>
          <w:rFonts w:ascii="Arial" w:cs="Arial" w:eastAsia="Arial" w:hAnsi="Arial"/>
          <w:sz w:val="17"/>
          <w:szCs w:val="17"/>
          <w:b w:val="1"/>
          <w:bCs w:val="1"/>
          <w:color w:val="CE0F2D"/>
        </w:rPr>
        <w:t>6</w:t>
      </w:r>
      <w:r>
        <w:rPr>
          <w:rFonts w:ascii="Arial" w:cs="Arial" w:eastAsia="Arial" w:hAnsi="Arial"/>
          <w:sz w:val="17"/>
          <w:szCs w:val="17"/>
          <w:color w:val="auto"/>
        </w:rPr>
        <w:t xml:space="preserve"> COMMITTEE MEMBERS</w:t>
      </w:r>
    </w:p>
    <w:p>
      <w:pPr>
        <w:spacing w:after="0" w:line="1" w:lineRule="exact"/>
        <w:rPr>
          <w:sz w:val="20"/>
          <w:szCs w:val="20"/>
          <w:color w:val="auto"/>
        </w:rPr>
      </w:pPr>
    </w:p>
    <w:p>
      <w:pPr>
        <w:ind w:right="520"/>
        <w:spacing w:after="0" w:line="242" w:lineRule="auto"/>
        <w:rPr>
          <w:sz w:val="20"/>
          <w:szCs w:val="20"/>
          <w:color w:val="auto"/>
        </w:rPr>
      </w:pPr>
      <w:r>
        <w:rPr>
          <w:rFonts w:ascii="Arial" w:cs="Arial" w:eastAsia="Arial" w:hAnsi="Arial"/>
          <w:sz w:val="14"/>
          <w:szCs w:val="14"/>
          <w:color w:val="auto"/>
        </w:rPr>
        <w:t>Tracy A. Atkinson Gregory J. Hayes Marshall O. Larsen George R. Oliver Robert K. Ortberg James A. Winnefeld,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ind w:left="195" w:hanging="195"/>
        <w:spacing w:after="0"/>
        <w:tabs>
          <w:tab w:leader="none" w:pos="195"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Reviews and monitors the management of RTX’s financial resources and financial risks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Considers plans for significant acquisitions and divestitures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Monitors progress on pending and completed acquisitions and divestitures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Reviews significant financing programs in support of business objectives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Reviews significant capital appropriations</w:t>
      </w:r>
    </w:p>
    <w:p>
      <w:pPr>
        <w:spacing w:after="0" w:line="164" w:lineRule="exact"/>
        <w:rPr>
          <w:rFonts w:ascii="Arial" w:cs="Arial" w:eastAsia="Arial" w:hAnsi="Arial"/>
          <w:sz w:val="16"/>
          <w:szCs w:val="16"/>
          <w:color w:val="CE0F2D"/>
        </w:rPr>
      </w:pPr>
    </w:p>
    <w:p>
      <w:pPr>
        <w:ind w:left="175" w:hanging="175"/>
        <w:spacing w:after="0" w:line="250" w:lineRule="auto"/>
        <w:tabs>
          <w:tab w:leader="none" w:pos="183" w:val="left"/>
        </w:tabs>
        <w:numPr>
          <w:ilvl w:val="0"/>
          <w:numId w:val="104"/>
        </w:numPr>
        <w:rPr>
          <w:rFonts w:ascii="Arial" w:cs="Arial" w:eastAsia="Arial" w:hAnsi="Arial"/>
          <w:sz w:val="16"/>
          <w:szCs w:val="16"/>
          <w:color w:val="CE0F2D"/>
        </w:rPr>
      </w:pPr>
      <w:r>
        <w:rPr>
          <w:rFonts w:ascii="Arial" w:cs="Arial" w:eastAsia="Arial" w:hAnsi="Arial"/>
          <w:sz w:val="16"/>
          <w:szCs w:val="16"/>
          <w:color w:val="auto"/>
        </w:rPr>
        <w:t>Reviews policies and programs related to: dividends and share repurchases; financing, working and long-term capital requirements; managing foreign exchange exposure, interest rates and raw material prices; investment of pension assets; and insurance and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-1699895</wp:posOffset>
            </wp:positionH>
            <wp:positionV relativeFrom="paragraph">
              <wp:posOffset>109855</wp:posOffset>
            </wp:positionV>
            <wp:extent cx="7133590" cy="10629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3590" cy="10629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20" w:space="665"/>
            <w:col w:w="8495"/>
          </w:cols>
          <w:pgMar w:left="320" w:top="118" w:right="399" w:bottom="1440" w:gutter="0" w:footer="0" w:header="0"/>
          <w:type w:val="continuous"/>
        </w:sectPr>
      </w:pPr>
    </w:p>
    <w:p>
      <w:pPr>
        <w:spacing w:after="0" w:line="191" w:lineRule="exact"/>
        <w:rPr>
          <w:sz w:val="20"/>
          <w:szCs w:val="20"/>
          <w:color w:val="auto"/>
        </w:rPr>
      </w:pPr>
    </w:p>
    <w:p>
      <w:pPr>
        <w:ind w:left="2680"/>
        <w:spacing w:after="0"/>
        <w:rPr>
          <w:sz w:val="20"/>
          <w:szCs w:val="20"/>
          <w:color w:val="auto"/>
        </w:rPr>
      </w:pPr>
      <w:r>
        <w:rPr>
          <w:rFonts w:ascii="Arial" w:cs="Arial" w:eastAsia="Arial" w:hAnsi="Arial"/>
          <w:sz w:val="32"/>
          <w:szCs w:val="32"/>
          <w:b w:val="1"/>
          <w:bCs w:val="1"/>
          <w:color w:val="CE0F2D"/>
        </w:rPr>
        <w:t>Human Capital &amp; Compensation</w:t>
      </w:r>
    </w:p>
    <w:p>
      <w:pPr>
        <w:spacing w:after="0" w:line="351"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CE0F2D"/>
        </w:rPr>
        <w:t>Tracy A. Atkinson</w:t>
      </w:r>
    </w:p>
    <w:p>
      <w:pPr>
        <w:spacing w:after="0" w:line="1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Chair</w:t>
      </w:r>
    </w:p>
    <w:p>
      <w:pPr>
        <w:sectPr>
          <w:pgSz w:w="11900" w:h="16838" w:orient="portrait"/>
          <w:cols w:equalWidth="0" w:num="1">
            <w:col w:w="11180"/>
          </w:cols>
          <w:pgMar w:left="320" w:top="118" w:right="39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spacing w:after="0" w:line="460" w:lineRule="auto"/>
        <w:rPr>
          <w:sz w:val="20"/>
          <w:szCs w:val="20"/>
          <w:color w:val="auto"/>
        </w:rPr>
      </w:pPr>
      <w:r>
        <w:rPr>
          <w:rFonts w:ascii="Arial" w:cs="Arial" w:eastAsia="Arial" w:hAnsi="Arial"/>
          <w:sz w:val="17"/>
          <w:szCs w:val="17"/>
          <w:color w:val="auto"/>
        </w:rPr>
        <w:t xml:space="preserve">2021 MEETINGS: </w:t>
      </w:r>
      <w:r>
        <w:rPr>
          <w:rFonts w:ascii="Arial" w:cs="Arial" w:eastAsia="Arial" w:hAnsi="Arial"/>
          <w:sz w:val="17"/>
          <w:szCs w:val="17"/>
          <w:b w:val="1"/>
          <w:bCs w:val="1"/>
          <w:color w:val="CE0F2D"/>
        </w:rPr>
        <w:t>5</w:t>
      </w:r>
      <w:r>
        <w:rPr>
          <w:rFonts w:ascii="Arial" w:cs="Arial" w:eastAsia="Arial" w:hAnsi="Arial"/>
          <w:sz w:val="17"/>
          <w:szCs w:val="17"/>
          <w:color w:val="auto"/>
        </w:rPr>
        <w:t xml:space="preserve"> COMMITTEE MEMBERS</w:t>
      </w:r>
    </w:p>
    <w:p>
      <w:pPr>
        <w:spacing w:after="0" w:line="1" w:lineRule="exact"/>
        <w:rPr>
          <w:sz w:val="20"/>
          <w:szCs w:val="20"/>
          <w:color w:val="auto"/>
        </w:rPr>
      </w:pPr>
    </w:p>
    <w:p>
      <w:pPr>
        <w:ind w:right="520"/>
        <w:spacing w:after="0" w:line="243" w:lineRule="auto"/>
        <w:rPr>
          <w:sz w:val="20"/>
          <w:szCs w:val="20"/>
          <w:color w:val="auto"/>
        </w:rPr>
      </w:pPr>
      <w:r>
        <w:rPr>
          <w:rFonts w:ascii="Arial" w:cs="Arial" w:eastAsia="Arial" w:hAnsi="Arial"/>
          <w:sz w:val="14"/>
          <w:szCs w:val="14"/>
          <w:color w:val="auto"/>
        </w:rPr>
        <w:t>Dinesh C. Paliwal Denise L. Ramos Fredric G. Reynolds Brian C. Rogers James A. Winnefeld,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ind w:left="175" w:hanging="175"/>
        <w:spacing w:after="0" w:line="256" w:lineRule="auto"/>
        <w:tabs>
          <w:tab w:leader="none" w:pos="183"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Reviews RTX’s executive compensation policies and practices to ensure that they adequately and appropriately align executive and shareowner interests</w:t>
      </w:r>
    </w:p>
    <w:p>
      <w:pPr>
        <w:spacing w:after="0" w:line="143" w:lineRule="exact"/>
        <w:rPr>
          <w:rFonts w:ascii="Arial" w:cs="Arial" w:eastAsia="Arial" w:hAnsi="Arial"/>
          <w:sz w:val="16"/>
          <w:szCs w:val="16"/>
          <w:color w:val="CE0F2D"/>
        </w:rPr>
      </w:pPr>
    </w:p>
    <w:p>
      <w:pPr>
        <w:ind w:left="175" w:right="140" w:hanging="175"/>
        <w:spacing w:after="0" w:line="256" w:lineRule="auto"/>
        <w:tabs>
          <w:tab w:leader="none" w:pos="183"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Reviews and approves the design of, and sets performance goals for, the annual and long-term incentive programs for executives</w:t>
      </w:r>
    </w:p>
    <w:p>
      <w:pPr>
        <w:spacing w:after="0" w:line="143" w:lineRule="exact"/>
        <w:rPr>
          <w:rFonts w:ascii="Arial" w:cs="Arial" w:eastAsia="Arial" w:hAnsi="Arial"/>
          <w:sz w:val="16"/>
          <w:szCs w:val="16"/>
          <w:color w:val="CE0F2D"/>
        </w:rPr>
      </w:pPr>
    </w:p>
    <w:p>
      <w:pPr>
        <w:ind w:left="175" w:right="300" w:hanging="175"/>
        <w:spacing w:after="0" w:line="256" w:lineRule="auto"/>
        <w:tabs>
          <w:tab w:leader="none" w:pos="183"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Evaluates the performance of RTX, the business units and the NEOs relative to the performance goals set by the Committee for the annual and long-term incentive programs</w:t>
      </w:r>
    </w:p>
    <w:p>
      <w:pPr>
        <w:spacing w:after="0" w:line="143" w:lineRule="exact"/>
        <w:rPr>
          <w:rFonts w:ascii="Arial" w:cs="Arial" w:eastAsia="Arial" w:hAnsi="Arial"/>
          <w:sz w:val="16"/>
          <w:szCs w:val="16"/>
          <w:color w:val="CE0F2D"/>
        </w:rPr>
      </w:pPr>
    </w:p>
    <w:p>
      <w:pPr>
        <w:ind w:left="195" w:hanging="195"/>
        <w:spacing w:after="0"/>
        <w:tabs>
          <w:tab w:leader="none" w:pos="195"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Reviews and approves compensation for the CEO and other executive officers of the Company</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Reviews a risk assessment of RTX’s compensation policies, plans and practices</w:t>
      </w:r>
    </w:p>
    <w:p>
      <w:pPr>
        <w:spacing w:after="0" w:line="164" w:lineRule="exact"/>
        <w:rPr>
          <w:rFonts w:ascii="Arial" w:cs="Arial" w:eastAsia="Arial" w:hAnsi="Arial"/>
          <w:sz w:val="16"/>
          <w:szCs w:val="16"/>
          <w:color w:val="CE0F2D"/>
        </w:rPr>
      </w:pPr>
    </w:p>
    <w:p>
      <w:pPr>
        <w:ind w:left="175" w:right="200" w:hanging="175"/>
        <w:spacing w:after="0" w:line="256" w:lineRule="auto"/>
        <w:tabs>
          <w:tab w:leader="none" w:pos="183" w:val="left"/>
        </w:tabs>
        <w:numPr>
          <w:ilvl w:val="0"/>
          <w:numId w:val="105"/>
        </w:numPr>
        <w:rPr>
          <w:rFonts w:ascii="Arial" w:cs="Arial" w:eastAsia="Arial" w:hAnsi="Arial"/>
          <w:sz w:val="16"/>
          <w:szCs w:val="16"/>
          <w:color w:val="CE0F2D"/>
        </w:rPr>
      </w:pPr>
      <w:r>
        <w:rPr>
          <w:rFonts w:ascii="Arial" w:cs="Arial" w:eastAsia="Arial" w:hAnsi="Arial"/>
          <w:sz w:val="16"/>
          <w:szCs w:val="16"/>
          <w:color w:val="auto"/>
        </w:rPr>
        <w:t>Reviews the Company’s initiatives relating to recruiting, retention, career development, DE&amp;I, and other aspects of human capital management</w:t>
      </w:r>
    </w:p>
    <w:p>
      <w:pPr>
        <w:spacing w:after="0" w:line="90" w:lineRule="exact"/>
        <w:rPr>
          <w:sz w:val="20"/>
          <w:szCs w:val="20"/>
          <w:color w:val="auto"/>
        </w:rPr>
      </w:pPr>
    </w:p>
    <w:p>
      <w:pPr>
        <w:sectPr>
          <w:pgSz w:w="11900" w:h="16838" w:orient="portrait"/>
          <w:cols w:equalWidth="0" w:num="2">
            <w:col w:w="2020" w:space="665"/>
            <w:col w:w="8495"/>
          </w:cols>
          <w:pgMar w:left="320" w:top="118" w:right="399" w:bottom="1440" w:gutter="0" w:footer="0" w:header="0"/>
          <w:type w:val="continuous"/>
        </w:sectPr>
      </w:pPr>
    </w:p>
    <w:p>
      <w:pPr>
        <w:ind w:left="260" w:hanging="253"/>
        <w:spacing w:after="0"/>
        <w:tabs>
          <w:tab w:leader="none" w:pos="260" w:val="left"/>
        </w:tabs>
        <w:numPr>
          <w:ilvl w:val="0"/>
          <w:numId w:val="106"/>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85090</wp:posOffset>
            </wp:positionV>
            <wp:extent cx="715454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9779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3590" cy="977900"/>
                    </a:xfrm>
                    <a:prstGeom prst="rect">
                      <a:avLst/>
                    </a:prstGeom>
                    <a:noFill/>
                  </pic:spPr>
                </pic:pic>
              </a:graphicData>
            </a:graphic>
          </wp:anchor>
        </w:drawing>
      </w:r>
    </w:p>
    <w:p>
      <w:pPr>
        <w:spacing w:after="0" w:line="308" w:lineRule="exact"/>
        <w:rPr>
          <w:sz w:val="20"/>
          <w:szCs w:val="20"/>
          <w:color w:val="auto"/>
        </w:rPr>
      </w:pPr>
    </w:p>
    <w:p>
      <w:pPr>
        <w:ind w:left="2680"/>
        <w:spacing w:after="0"/>
        <w:rPr>
          <w:sz w:val="20"/>
          <w:szCs w:val="20"/>
          <w:color w:val="auto"/>
        </w:rPr>
      </w:pPr>
      <w:r>
        <w:rPr>
          <w:rFonts w:ascii="Arial" w:cs="Arial" w:eastAsia="Arial" w:hAnsi="Arial"/>
          <w:sz w:val="32"/>
          <w:szCs w:val="32"/>
          <w:b w:val="1"/>
          <w:bCs w:val="1"/>
          <w:color w:val="CE0F2D"/>
        </w:rPr>
        <w:t>Special Activities</w:t>
      </w:r>
    </w:p>
    <w:p>
      <w:pPr>
        <w:spacing w:after="0" w:line="351" w:lineRule="exact"/>
        <w:rPr>
          <w:sz w:val="20"/>
          <w:szCs w:val="20"/>
          <w:color w:val="auto"/>
        </w:rPr>
      </w:pPr>
    </w:p>
    <w:p>
      <w:pPr>
        <w:ind w:left="2680"/>
        <w:spacing w:after="0"/>
        <w:rPr>
          <w:sz w:val="20"/>
          <w:szCs w:val="20"/>
          <w:color w:val="auto"/>
        </w:rPr>
      </w:pPr>
      <w:r>
        <w:rPr>
          <w:rFonts w:ascii="Arial" w:cs="Arial" w:eastAsia="Arial" w:hAnsi="Arial"/>
          <w:sz w:val="14"/>
          <w:szCs w:val="14"/>
          <w:b w:val="1"/>
          <w:bCs w:val="1"/>
          <w:color w:val="CE0F2D"/>
        </w:rPr>
        <w:t>James A. Winnefeld, Jr.</w:t>
      </w:r>
    </w:p>
    <w:p>
      <w:pPr>
        <w:spacing w:after="0" w:line="18" w:lineRule="exact"/>
        <w:rPr>
          <w:sz w:val="20"/>
          <w:szCs w:val="20"/>
          <w:color w:val="auto"/>
        </w:rPr>
      </w:pPr>
    </w:p>
    <w:p>
      <w:pPr>
        <w:ind w:left="2680"/>
        <w:spacing w:after="0"/>
        <w:rPr>
          <w:sz w:val="20"/>
          <w:szCs w:val="20"/>
          <w:color w:val="auto"/>
        </w:rPr>
      </w:pPr>
      <w:r>
        <w:rPr>
          <w:rFonts w:ascii="Arial" w:cs="Arial" w:eastAsia="Arial" w:hAnsi="Arial"/>
          <w:sz w:val="14"/>
          <w:szCs w:val="14"/>
          <w:color w:val="auto"/>
        </w:rPr>
        <w:t>Chair</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line="460" w:lineRule="auto"/>
        <w:rPr>
          <w:sz w:val="20"/>
          <w:szCs w:val="20"/>
          <w:color w:val="auto"/>
        </w:rPr>
      </w:pPr>
      <w:r>
        <w:rPr>
          <w:rFonts w:ascii="Arial" w:cs="Arial" w:eastAsia="Arial" w:hAnsi="Arial"/>
          <w:sz w:val="17"/>
          <w:szCs w:val="17"/>
          <w:color w:val="auto"/>
        </w:rPr>
        <w:t xml:space="preserve">2021 MEETINGS: </w:t>
      </w:r>
      <w:r>
        <w:rPr>
          <w:rFonts w:ascii="Arial" w:cs="Arial" w:eastAsia="Arial" w:hAnsi="Arial"/>
          <w:sz w:val="17"/>
          <w:szCs w:val="17"/>
          <w:b w:val="1"/>
          <w:bCs w:val="1"/>
          <w:color w:val="CE0F2D"/>
        </w:rPr>
        <w:t>6</w:t>
      </w:r>
      <w:r>
        <w:rPr>
          <w:rFonts w:ascii="Arial" w:cs="Arial" w:eastAsia="Arial" w:hAnsi="Arial"/>
          <w:sz w:val="17"/>
          <w:szCs w:val="17"/>
          <w:color w:val="auto"/>
        </w:rPr>
        <w:t xml:space="preserve"> COMMITTEE MEMBERS</w:t>
      </w:r>
    </w:p>
    <w:p>
      <w:pPr>
        <w:spacing w:after="0" w:line="1" w:lineRule="exact"/>
        <w:rPr>
          <w:sz w:val="20"/>
          <w:szCs w:val="20"/>
          <w:color w:val="auto"/>
        </w:rPr>
      </w:pPr>
    </w:p>
    <w:p>
      <w:pPr>
        <w:ind w:right="600"/>
        <w:spacing w:after="0" w:line="242" w:lineRule="auto"/>
        <w:rPr>
          <w:sz w:val="20"/>
          <w:szCs w:val="20"/>
          <w:color w:val="auto"/>
        </w:rPr>
      </w:pPr>
      <w:r>
        <w:rPr>
          <w:rFonts w:ascii="Arial" w:cs="Arial" w:eastAsia="Arial" w:hAnsi="Arial"/>
          <w:sz w:val="14"/>
          <w:szCs w:val="14"/>
          <w:color w:val="auto"/>
        </w:rPr>
        <w:t>Bernard A. Harris, Jr. Gregory J. Hayes Robert K. Ortberg Margaret L. O’Sullivan Ellen M. Pawlikowski Robert O. Work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ind w:left="195" w:hanging="195"/>
        <w:spacing w:after="0"/>
        <w:tabs>
          <w:tab w:leader="none" w:pos="195" w:val="left"/>
        </w:tabs>
        <w:numPr>
          <w:ilvl w:val="0"/>
          <w:numId w:val="107"/>
        </w:numPr>
        <w:rPr>
          <w:rFonts w:ascii="Arial" w:cs="Arial" w:eastAsia="Arial" w:hAnsi="Arial"/>
          <w:sz w:val="16"/>
          <w:szCs w:val="16"/>
          <w:color w:val="CE0F2D"/>
        </w:rPr>
      </w:pPr>
      <w:r>
        <w:rPr>
          <w:rFonts w:ascii="Arial" w:cs="Arial" w:eastAsia="Arial" w:hAnsi="Arial"/>
          <w:sz w:val="16"/>
          <w:szCs w:val="16"/>
          <w:color w:val="auto"/>
        </w:rPr>
        <w:t>Reviews and monitors activities involving classified business of RTX</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7"/>
        </w:numPr>
        <w:rPr>
          <w:rFonts w:ascii="Arial" w:cs="Arial" w:eastAsia="Arial" w:hAnsi="Arial"/>
          <w:sz w:val="16"/>
          <w:szCs w:val="16"/>
          <w:color w:val="CE0F2D"/>
        </w:rPr>
      </w:pPr>
      <w:r>
        <w:rPr>
          <w:rFonts w:ascii="Arial" w:cs="Arial" w:eastAsia="Arial" w:hAnsi="Arial"/>
          <w:sz w:val="16"/>
          <w:szCs w:val="16"/>
          <w:color w:val="auto"/>
        </w:rPr>
        <w:t>Reviews policies, processes and internal controls applicable to classified business</w:t>
      </w:r>
    </w:p>
    <w:p>
      <w:pPr>
        <w:spacing w:after="0" w:line="164" w:lineRule="exact"/>
        <w:rPr>
          <w:rFonts w:ascii="Arial" w:cs="Arial" w:eastAsia="Arial" w:hAnsi="Arial"/>
          <w:sz w:val="16"/>
          <w:szCs w:val="16"/>
          <w:color w:val="CE0F2D"/>
        </w:rPr>
      </w:pPr>
    </w:p>
    <w:p>
      <w:pPr>
        <w:ind w:left="195" w:hanging="195"/>
        <w:spacing w:after="0"/>
        <w:tabs>
          <w:tab w:leader="none" w:pos="195" w:val="left"/>
        </w:tabs>
        <w:numPr>
          <w:ilvl w:val="0"/>
          <w:numId w:val="107"/>
        </w:numPr>
        <w:rPr>
          <w:rFonts w:ascii="Arial" w:cs="Arial" w:eastAsia="Arial" w:hAnsi="Arial"/>
          <w:sz w:val="16"/>
          <w:szCs w:val="16"/>
          <w:color w:val="CE0F2D"/>
        </w:rPr>
      </w:pPr>
      <w:r>
        <w:rPr>
          <w:rFonts w:ascii="Arial" w:cs="Arial" w:eastAsia="Arial" w:hAnsi="Arial"/>
          <w:sz w:val="16"/>
          <w:szCs w:val="16"/>
          <w:color w:val="auto"/>
        </w:rPr>
        <w:t>Reviews RTX’s cybersecurity risk exposure and management’s efforts to manage that exposure</w:t>
      </w:r>
    </w:p>
    <w:p>
      <w:pPr>
        <w:spacing w:after="0" w:line="164" w:lineRule="exact"/>
        <w:rPr>
          <w:rFonts w:ascii="Arial" w:cs="Arial" w:eastAsia="Arial" w:hAnsi="Arial"/>
          <w:sz w:val="16"/>
          <w:szCs w:val="16"/>
          <w:color w:val="CE0F2D"/>
        </w:rPr>
      </w:pPr>
    </w:p>
    <w:p>
      <w:pPr>
        <w:ind w:left="175" w:right="940" w:hanging="175"/>
        <w:spacing w:after="0" w:line="256" w:lineRule="auto"/>
        <w:tabs>
          <w:tab w:leader="none" w:pos="174" w:val="left"/>
        </w:tabs>
        <w:numPr>
          <w:ilvl w:val="0"/>
          <w:numId w:val="107"/>
        </w:numPr>
        <w:rPr>
          <w:rFonts w:ascii="Arial" w:cs="Arial" w:eastAsia="Arial" w:hAnsi="Arial"/>
          <w:sz w:val="16"/>
          <w:szCs w:val="16"/>
          <w:color w:val="CE0F2D"/>
        </w:rPr>
      </w:pPr>
      <w:r>
        <w:rPr>
          <w:rFonts w:ascii="Arial" w:cs="Arial" w:eastAsia="Arial" w:hAnsi="Arial"/>
          <w:sz w:val="16"/>
          <w:szCs w:val="16"/>
          <w:color w:val="auto"/>
        </w:rPr>
        <w:t>Assists other committees of the Board with their activities and oversight related to product safety risk and development of technical talent</w:t>
      </w:r>
    </w:p>
    <w:p>
      <w:pPr>
        <w:spacing w:after="0" w:line="143" w:lineRule="exact"/>
        <w:rPr>
          <w:rFonts w:ascii="Arial" w:cs="Arial" w:eastAsia="Arial" w:hAnsi="Arial"/>
          <w:sz w:val="16"/>
          <w:szCs w:val="16"/>
          <w:color w:val="CE0F2D"/>
        </w:rPr>
      </w:pPr>
    </w:p>
    <w:p>
      <w:pPr>
        <w:ind w:left="175" w:right="120" w:hanging="175"/>
        <w:spacing w:after="0" w:line="256" w:lineRule="auto"/>
        <w:tabs>
          <w:tab w:leader="none" w:pos="183" w:val="left"/>
        </w:tabs>
        <w:numPr>
          <w:ilvl w:val="0"/>
          <w:numId w:val="107"/>
        </w:numPr>
        <w:rPr>
          <w:rFonts w:ascii="Arial" w:cs="Arial" w:eastAsia="Arial" w:hAnsi="Arial"/>
          <w:sz w:val="16"/>
          <w:szCs w:val="16"/>
          <w:color w:val="CE0F2D"/>
        </w:rPr>
      </w:pPr>
      <w:r>
        <w:rPr>
          <w:rFonts w:ascii="Arial" w:cs="Arial" w:eastAsia="Arial" w:hAnsi="Arial"/>
          <w:sz w:val="16"/>
          <w:szCs w:val="16"/>
          <w:color w:val="auto"/>
        </w:rPr>
        <w:t>Monitors critical technology gaps and reviews the investments, talent development and other efforts by management to address those gaps</w:t>
      </w:r>
    </w:p>
    <w:p>
      <w:pPr>
        <w:spacing w:after="0" w:line="110" w:lineRule="exact"/>
        <w:rPr>
          <w:sz w:val="20"/>
          <w:szCs w:val="20"/>
          <w:color w:val="auto"/>
        </w:rPr>
      </w:pPr>
    </w:p>
    <w:p>
      <w:pPr>
        <w:sectPr>
          <w:pgSz w:w="11900" w:h="16838" w:orient="portrait"/>
          <w:cols w:equalWidth="0" w:num="2">
            <w:col w:w="2020" w:space="665"/>
            <w:col w:w="8555"/>
          </w:cols>
          <w:pgMar w:left="320" w:top="118" w:right="339" w:bottom="1440" w:gutter="0" w:footer="0" w:header="0"/>
          <w:type w:val="continuous"/>
        </w:sectPr>
      </w:pPr>
    </w:p>
    <w:p>
      <w:pPr>
        <w:spacing w:after="0"/>
        <w:rPr>
          <w:sz w:val="20"/>
          <w:szCs w:val="20"/>
          <w:color w:val="auto"/>
        </w:rPr>
      </w:pPr>
      <w:r>
        <w:rPr>
          <w:rFonts w:ascii="Arial" w:cs="Arial" w:eastAsia="Arial" w:hAnsi="Arial"/>
          <w:sz w:val="30"/>
          <w:szCs w:val="30"/>
          <w:b w:val="1"/>
          <w:bCs w:val="1"/>
          <w:color w:val="auto"/>
        </w:rPr>
        <w:t>Director Independence</w:t>
      </w:r>
    </w:p>
    <w:p>
      <w:pPr>
        <w:spacing w:after="0" w:line="210"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Under RTX’s Director Independence Policy and the NYSE listing standards, a majority of our directors must be independent, meaning that they do not have a direct or indirect material relationship with RTX (other than as a director). The Director Independence Policy guides the independence determination and defines certain categories of relationships that the Board has determined not to be material relationships that would impair a director’s independence. The policy is available on the Corporate Governance section of our website (</w:t>
      </w:r>
      <w:r>
        <w:rPr>
          <w:rFonts w:ascii="Arial" w:cs="Arial" w:eastAsia="Arial" w:hAnsi="Arial"/>
          <w:sz w:val="16"/>
          <w:szCs w:val="16"/>
          <w:u w:val="single" w:color="auto"/>
          <w:color w:val="CE0F2D"/>
        </w:rPr>
        <w:t>www.rtx.com</w:t>
      </w:r>
      <w:r>
        <w:rPr>
          <w:rFonts w:ascii="Arial" w:cs="Arial" w:eastAsia="Arial" w:hAnsi="Arial"/>
          <w:sz w:val="16"/>
          <w:szCs w:val="16"/>
          <w:color w:val="auto"/>
        </w:rPr>
        <w:t>).</w:t>
      </w:r>
    </w:p>
    <w:p>
      <w:pPr>
        <w:spacing w:after="0" w:line="150"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Before joining the Board and each year thereafter, each director or nominee completes a questionnaire about relationships and transactions that may require disclosure, may affect the independence determination for that individual, or may affect our ability to meet the heightened independence standards for members of the Audit and Human Capital &amp; Compensation Committees. The Governance Committee’s assessment of independence considers all known relevant facts and circumstances about the relationships bearing on the independence of a director or nominee. The assessment also considers sales and purchases of products and services, in the ordinary course of business, between RTX (including its subsidiaries) and other companies or charitable organizations where a director or a nominee (or immediate family members) may have relationships pertinent to the independence determination.</w:t>
      </w:r>
    </w:p>
    <w:p>
      <w:pPr>
        <w:spacing w:after="0" w:line="15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In accordance with the Director Independence Policy and the NYSE listing standards, the Board has determined that, other than Mr. Hayes (who is a current employee of RTX) and Mr. Ortberg (who is a former employee of RTX), none of the nominees for election at the 2022 Annual Meeting has, directly or indirectly, a material relationship with RTX, or any direct or indirect material interest in any transaction involving RTX. Other than Messrs. Hayes and Ortberg, each nominee satisfies our independence criteria.</w:t>
      </w:r>
    </w:p>
    <w:p>
      <w:pPr>
        <w:spacing w:after="0" w:line="13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THE BOARD’S ROLE</w:t>
      </w:r>
    </w:p>
    <w:p>
      <w:pPr>
        <w:spacing w:after="0" w:line="19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The Board’s Role</w:t>
      </w:r>
    </w:p>
    <w:p>
      <w:pPr>
        <w:spacing w:after="0" w:line="210"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Our Board provides active and independent oversight and guidance to management regarding the Company’s long-term strategy and priorities, risk management, CEO and senior management succession planning and ESG, as well as other aspects of our business and affairs. Further, the Board has adopted robust governance practices to enhance its effectiveness and is engaged on behalf of our shareowners.</w:t>
      </w:r>
    </w:p>
    <w:p>
      <w:pPr>
        <w:spacing w:after="0" w:line="202"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As part of its oversight role, the Board annually reviews the Company’s long-term plan and objectives and those of its four business units and engages in periodic discussions of strategic matters, including significant business portfolio transformation transactions. It also receives regular updates on management’s progress and execution of the Company’s strategy and reviews and approves the Company’s annual operating plan.</w:t>
      </w:r>
    </w:p>
    <w:p>
      <w:pPr>
        <w:spacing w:after="0" w:line="20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2021, our Board worked closely with management to provide effective oversight of management’s execution on key priorities that underpin our business strategy, including our COVID-19 pandemic response, our focus on operational excellence, our strategic investments in technology and innovation, the management of our business portfolio, and the advancement of our ESG commitments. The Board and its committees also provided strong oversight in other important areas as discussed below.</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MANAGEMENT OVERSIGHT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current allocation of general risk oversight functions between management and the Board:</w:t>
      </w:r>
    </w:p>
    <w:p>
      <w:pPr>
        <w:sectPr>
          <w:pgSz w:w="11900" w:h="16838" w:orient="portrait"/>
          <w:cols w:equalWidth="0" w:num="1">
            <w:col w:w="11180"/>
          </w:cols>
          <w:pgMar w:left="320" w:top="118" w:right="399" w:bottom="144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46075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60750" cy="34290"/>
                    </a:xfrm>
                    <a:prstGeom prst="rect">
                      <a:avLst/>
                    </a:prstGeom>
                    <a:noFill/>
                  </pic:spPr>
                </pic:pic>
              </a:graphicData>
            </a:graphic>
          </wp:anchor>
        </w:drawing>
      </w:r>
    </w:p>
    <w:p>
      <w:pPr>
        <w:spacing w:after="0" w:line="155" w:lineRule="exact"/>
        <w:rPr>
          <w:sz w:val="20"/>
          <w:szCs w:val="20"/>
          <w:color w:val="auto"/>
        </w:rPr>
      </w:pPr>
    </w:p>
    <w:p>
      <w:pPr>
        <w:ind w:right="40"/>
        <w:spacing w:after="0" w:line="282" w:lineRule="auto"/>
        <w:rPr>
          <w:sz w:val="20"/>
          <w:szCs w:val="20"/>
          <w:color w:val="auto"/>
        </w:rPr>
      </w:pPr>
      <w:r>
        <w:rPr>
          <w:rFonts w:ascii="Arial" w:cs="Arial" w:eastAsia="Arial" w:hAnsi="Arial"/>
          <w:sz w:val="16"/>
          <w:szCs w:val="16"/>
          <w:b w:val="1"/>
          <w:bCs w:val="1"/>
          <w:color w:val="CE0F2D"/>
        </w:rPr>
        <w:t>Responsible for identifying, assessing, prioritizing, and managing the various risks that the Company faces</w:t>
      </w:r>
    </w:p>
    <w:p>
      <w:pPr>
        <w:spacing w:after="0" w:line="70" w:lineRule="exact"/>
        <w:rPr>
          <w:sz w:val="20"/>
          <w:szCs w:val="20"/>
          <w:color w:val="auto"/>
        </w:rPr>
      </w:pPr>
    </w:p>
    <w:p>
      <w:pPr>
        <w:ind w:left="180" w:hanging="173"/>
        <w:spacing w:after="0"/>
        <w:tabs>
          <w:tab w:leader="none" w:pos="180" w:val="left"/>
        </w:tabs>
        <w:numPr>
          <w:ilvl w:val="0"/>
          <w:numId w:val="108"/>
        </w:numPr>
        <w:rPr>
          <w:rFonts w:ascii="Arial" w:cs="Arial" w:eastAsia="Arial" w:hAnsi="Arial"/>
          <w:sz w:val="16"/>
          <w:szCs w:val="16"/>
          <w:color w:val="CE0F2D"/>
        </w:rPr>
      </w:pPr>
      <w:r>
        <w:rPr>
          <w:rFonts w:ascii="Arial" w:cs="Arial" w:eastAsia="Arial" w:hAnsi="Arial"/>
          <w:sz w:val="16"/>
          <w:szCs w:val="16"/>
          <w:color w:val="auto"/>
        </w:rPr>
        <w:t>Employs a comprehensive enterprise risk management (“ERM”) program</w:t>
      </w:r>
    </w:p>
    <w:p>
      <w:pPr>
        <w:spacing w:after="0" w:line="110" w:lineRule="exact"/>
        <w:rPr>
          <w:rFonts w:ascii="Arial" w:cs="Arial" w:eastAsia="Arial" w:hAnsi="Arial"/>
          <w:sz w:val="16"/>
          <w:szCs w:val="16"/>
          <w:color w:val="CE0F2D"/>
        </w:rPr>
      </w:pPr>
    </w:p>
    <w:p>
      <w:pPr>
        <w:ind w:left="180" w:right="380" w:hanging="173"/>
        <w:spacing w:after="0" w:line="256" w:lineRule="auto"/>
        <w:tabs>
          <w:tab w:leader="none" w:pos="180" w:val="left"/>
        </w:tabs>
        <w:numPr>
          <w:ilvl w:val="0"/>
          <w:numId w:val="108"/>
        </w:numPr>
        <w:rPr>
          <w:rFonts w:ascii="Arial" w:cs="Arial" w:eastAsia="Arial" w:hAnsi="Arial"/>
          <w:sz w:val="16"/>
          <w:szCs w:val="16"/>
          <w:color w:val="CE0F2D"/>
        </w:rPr>
      </w:pPr>
      <w:r>
        <w:rPr>
          <w:rFonts w:ascii="Arial" w:cs="Arial" w:eastAsia="Arial" w:hAnsi="Arial"/>
          <w:sz w:val="16"/>
          <w:szCs w:val="16"/>
          <w:color w:val="auto"/>
        </w:rPr>
        <w:t>Maintains robust internal processes and an effective internal control environment</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477260"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77260" cy="34290"/>
                    </a:xfrm>
                    <a:prstGeom prst="rect">
                      <a:avLst/>
                    </a:prstGeom>
                    <a:noFill/>
                  </pic:spPr>
                </pic:pic>
              </a:graphicData>
            </a:graphic>
          </wp:anchor>
        </w:drawing>
      </w:r>
    </w:p>
    <w:p>
      <w:pPr>
        <w:spacing w:after="0" w:line="155" w:lineRule="exact"/>
        <w:rPr>
          <w:sz w:val="20"/>
          <w:szCs w:val="20"/>
          <w:color w:val="auto"/>
        </w:rPr>
      </w:pPr>
    </w:p>
    <w:p>
      <w:pPr>
        <w:spacing w:after="0" w:line="282" w:lineRule="auto"/>
        <w:rPr>
          <w:sz w:val="20"/>
          <w:szCs w:val="20"/>
          <w:color w:val="auto"/>
        </w:rPr>
      </w:pPr>
      <w:r>
        <w:rPr>
          <w:rFonts w:ascii="Arial" w:cs="Arial" w:eastAsia="Arial" w:hAnsi="Arial"/>
          <w:sz w:val="16"/>
          <w:szCs w:val="16"/>
          <w:b w:val="1"/>
          <w:bCs w:val="1"/>
          <w:color w:val="CE0F2D"/>
        </w:rPr>
        <w:t>Responsible for Board/committee risk oversight governance, including allocation of risk oversight responsibilities</w:t>
      </w:r>
    </w:p>
    <w:p>
      <w:pPr>
        <w:spacing w:after="0" w:line="70" w:lineRule="exact"/>
        <w:rPr>
          <w:sz w:val="20"/>
          <w:szCs w:val="20"/>
          <w:color w:val="auto"/>
        </w:rPr>
      </w:pPr>
    </w:p>
    <w:p>
      <w:pPr>
        <w:ind w:left="180" w:hanging="175"/>
        <w:spacing w:after="0"/>
        <w:tabs>
          <w:tab w:leader="none" w:pos="180" w:val="left"/>
        </w:tabs>
        <w:numPr>
          <w:ilvl w:val="0"/>
          <w:numId w:val="109"/>
        </w:numPr>
        <w:rPr>
          <w:rFonts w:ascii="Arial" w:cs="Arial" w:eastAsia="Arial" w:hAnsi="Arial"/>
          <w:sz w:val="16"/>
          <w:szCs w:val="16"/>
          <w:color w:val="CE0F2D"/>
        </w:rPr>
      </w:pPr>
      <w:r>
        <w:rPr>
          <w:rFonts w:ascii="Arial" w:cs="Arial" w:eastAsia="Arial" w:hAnsi="Arial"/>
          <w:sz w:val="16"/>
          <w:szCs w:val="16"/>
          <w:color w:val="auto"/>
        </w:rPr>
        <w:t>Audit Committee oversees management’s ERM program</w:t>
      </w:r>
    </w:p>
    <w:p>
      <w:pPr>
        <w:spacing w:after="0" w:line="110" w:lineRule="exact"/>
        <w:rPr>
          <w:rFonts w:ascii="Arial" w:cs="Arial" w:eastAsia="Arial" w:hAnsi="Arial"/>
          <w:sz w:val="16"/>
          <w:szCs w:val="16"/>
          <w:color w:val="CE0F2D"/>
        </w:rPr>
      </w:pPr>
    </w:p>
    <w:p>
      <w:pPr>
        <w:ind w:left="180" w:right="540" w:hanging="175"/>
        <w:spacing w:after="0" w:line="256" w:lineRule="auto"/>
        <w:tabs>
          <w:tab w:leader="none" w:pos="180" w:val="left"/>
        </w:tabs>
        <w:numPr>
          <w:ilvl w:val="0"/>
          <w:numId w:val="109"/>
        </w:numPr>
        <w:rPr>
          <w:rFonts w:ascii="Arial" w:cs="Arial" w:eastAsia="Arial" w:hAnsi="Arial"/>
          <w:sz w:val="16"/>
          <w:szCs w:val="16"/>
          <w:color w:val="CE0F2D"/>
        </w:rPr>
      </w:pPr>
      <w:r>
        <w:rPr>
          <w:rFonts w:ascii="Arial" w:cs="Arial" w:eastAsia="Arial" w:hAnsi="Arial"/>
          <w:sz w:val="16"/>
          <w:szCs w:val="16"/>
          <w:color w:val="auto"/>
        </w:rPr>
        <w:t>Board has allocated responsibilities to itself and its committees for overseeing particular risks,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-3227070</wp:posOffset>
            </wp:positionH>
            <wp:positionV relativeFrom="paragraph">
              <wp:posOffset>123825</wp:posOffset>
            </wp:positionV>
            <wp:extent cx="6291580" cy="3562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1580" cy="3562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00"/>
            <w:col w:w="5420"/>
          </w:cols>
          <w:pgMar w:left="320" w:top="118"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60" w:hanging="253"/>
        <w:spacing w:after="0"/>
        <w:tabs>
          <w:tab w:leader="none" w:pos="260" w:val="left"/>
        </w:tabs>
        <w:numPr>
          <w:ilvl w:val="0"/>
          <w:numId w:val="110"/>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15454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THE BOARD’S ROLE</w:t>
      </w:r>
    </w:p>
    <w:p>
      <w:pPr>
        <w:spacing w:after="0" w:line="232" w:lineRule="exact"/>
        <w:rPr>
          <w:sz w:val="20"/>
          <w:szCs w:val="20"/>
          <w:color w:val="auto"/>
        </w:rPr>
      </w:pPr>
    </w:p>
    <w:p>
      <w:pPr>
        <w:jc w:val="both"/>
        <w:ind w:right="600"/>
        <w:spacing w:after="0" w:line="250" w:lineRule="auto"/>
        <w:rPr>
          <w:sz w:val="20"/>
          <w:szCs w:val="20"/>
          <w:color w:val="auto"/>
        </w:rPr>
      </w:pPr>
      <w:r>
        <w:rPr>
          <w:rFonts w:ascii="Arial" w:cs="Arial" w:eastAsia="Arial" w:hAnsi="Arial"/>
          <w:sz w:val="16"/>
          <w:szCs w:val="16"/>
          <w:color w:val="auto"/>
        </w:rPr>
        <w:t>The Board’s risk oversight governance framework is designed to enable it to understand critical risks in the Company’s business and strategy, allocate responsibilities for risk oversight among the full Board and its committees, evaluate the Company’s risk management processes and whether they are functioning adequately, and engage in regular communications regarding risk trends and developments with management.</w:t>
      </w:r>
    </w:p>
    <w:p>
      <w:pPr>
        <w:spacing w:after="0" w:line="20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Company operates an ERM program that conforms to the Enterprise Risk—Management Integrated Framework established by the Committee of Sponsoring Organizations of the Treadway Commission (“COSO”) and covers the full range of significant risks to RTX, including legal, compliance, financial, operational, strategic and reputational risks. The Company also maintains robust internal processes and an effective internal control environment that facilitate the identification and management of risks and regular communication with the Board. This includes reporting to the Board by the Chief Financial Officer and General Counsel at least annually on the Company’s most significant risks under its ERM program and the associated mitigation plans. Management also regularly reviews significant risks, including trends and developments, with the Board and its committees, providing updates through annual long-range planning and strategic reviews, regular reviews of annual operating plans, financial performance, market environment updates, and presentations on specific risks.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Cybersecurity Risk Oversight</w:t>
      </w:r>
    </w:p>
    <w:p>
      <w:pPr>
        <w:spacing w:after="0" w:line="18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Given the nature of our business, management is highly focused on identifying and managing a broad range of cybersecurity risks. These risks include those relating to RTX internal systems as well as to RTX products, services and programs for customers. Our Special Activities Committee has primary oversight responsibility for cybersecurity risks, and is regularly briefed by management on cybersecurity risks relating to the Company’s information and operational technology systems, suppliers and partners, as well as our products and services. The full Board also is briefed by management on the Company’s cybersecurity program.</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Product Safety Risk Oversight</w:t>
      </w:r>
    </w:p>
    <w:p>
      <w:pPr>
        <w:spacing w:after="0" w:line="181"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Management fosters a strong safety culture and maintains robust safety programs across our businesses. Product safety is covered by our ERM program, and the Board has also provided direct oversight over product safety incidents and issues. In connection with its consideration of the ERM program and its risk oversight role, the Board recently amended the charter of the Governance Committee to confirm the Committee’s oversight responsibility for Company product safety risks (with the Special Activities Committee assisting on classified product safety). The Company has established processes for regular reviews with the Governance Committee on product safety matters, including incident metrics and managed safety issues, as well as for immediate reporting in the event of certain significant product safety incidents.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Compensation Risk Oversight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Human Capital &amp; Compensation Committee believes that executive compensation payouts must:</w:t>
      </w:r>
    </w:p>
    <w:p>
      <w:pPr>
        <w:spacing w:after="0" w:line="218" w:lineRule="exact"/>
        <w:rPr>
          <w:sz w:val="20"/>
          <w:szCs w:val="20"/>
          <w:color w:val="auto"/>
        </w:rPr>
      </w:pPr>
    </w:p>
    <w:p>
      <w:pPr>
        <w:ind w:left="240" w:hanging="233"/>
        <w:spacing w:after="0"/>
        <w:tabs>
          <w:tab w:leader="none" w:pos="240" w:val="left"/>
        </w:tabs>
        <w:numPr>
          <w:ilvl w:val="0"/>
          <w:numId w:val="111"/>
        </w:numPr>
        <w:rPr>
          <w:rFonts w:ascii="Arial" w:cs="Arial" w:eastAsia="Arial" w:hAnsi="Arial"/>
          <w:sz w:val="16"/>
          <w:szCs w:val="16"/>
          <w:color w:val="CE0F2D"/>
        </w:rPr>
      </w:pPr>
      <w:r>
        <w:rPr>
          <w:rFonts w:ascii="Arial" w:cs="Arial" w:eastAsia="Arial" w:hAnsi="Arial"/>
          <w:sz w:val="16"/>
          <w:szCs w:val="16"/>
          <w:color w:val="auto"/>
        </w:rPr>
        <w:t>align with the Company’s financial performance;</w:t>
      </w:r>
    </w:p>
    <w:p>
      <w:pPr>
        <w:spacing w:after="0" w:line="110" w:lineRule="exact"/>
        <w:rPr>
          <w:rFonts w:ascii="Arial" w:cs="Arial" w:eastAsia="Arial" w:hAnsi="Arial"/>
          <w:sz w:val="16"/>
          <w:szCs w:val="16"/>
          <w:color w:val="CE0F2D"/>
        </w:rPr>
      </w:pPr>
    </w:p>
    <w:p>
      <w:pPr>
        <w:ind w:left="240" w:hanging="233"/>
        <w:spacing w:after="0"/>
        <w:tabs>
          <w:tab w:leader="none" w:pos="240" w:val="left"/>
        </w:tabs>
        <w:numPr>
          <w:ilvl w:val="0"/>
          <w:numId w:val="111"/>
        </w:numPr>
        <w:rPr>
          <w:rFonts w:ascii="Arial" w:cs="Arial" w:eastAsia="Arial" w:hAnsi="Arial"/>
          <w:sz w:val="16"/>
          <w:szCs w:val="16"/>
          <w:color w:val="CE0F2D"/>
        </w:rPr>
      </w:pPr>
      <w:r>
        <w:rPr>
          <w:rFonts w:ascii="Arial" w:cs="Arial" w:eastAsia="Arial" w:hAnsi="Arial"/>
          <w:sz w:val="16"/>
          <w:szCs w:val="16"/>
          <w:color w:val="auto"/>
        </w:rPr>
        <w:t>be earned in a manner consistent with RTX’s Code of Conduct;</w:t>
      </w:r>
    </w:p>
    <w:p>
      <w:pPr>
        <w:spacing w:after="0" w:line="110" w:lineRule="exact"/>
        <w:rPr>
          <w:rFonts w:ascii="Arial" w:cs="Arial" w:eastAsia="Arial" w:hAnsi="Arial"/>
          <w:sz w:val="16"/>
          <w:szCs w:val="16"/>
          <w:color w:val="CE0F2D"/>
        </w:rPr>
      </w:pPr>
    </w:p>
    <w:p>
      <w:pPr>
        <w:ind w:left="240" w:hanging="233"/>
        <w:spacing w:after="0"/>
        <w:tabs>
          <w:tab w:leader="none" w:pos="240" w:val="left"/>
        </w:tabs>
        <w:numPr>
          <w:ilvl w:val="0"/>
          <w:numId w:val="111"/>
        </w:numPr>
        <w:rPr>
          <w:rFonts w:ascii="Arial" w:cs="Arial" w:eastAsia="Arial" w:hAnsi="Arial"/>
          <w:sz w:val="16"/>
          <w:szCs w:val="16"/>
          <w:color w:val="CE0F2D"/>
        </w:rPr>
      </w:pPr>
      <w:r>
        <w:rPr>
          <w:rFonts w:ascii="Arial" w:cs="Arial" w:eastAsia="Arial" w:hAnsi="Arial"/>
          <w:sz w:val="16"/>
          <w:szCs w:val="16"/>
          <w:color w:val="auto"/>
        </w:rPr>
        <w:t>promote long-term, sustainable value for shareowners;</w:t>
      </w:r>
    </w:p>
    <w:p>
      <w:pPr>
        <w:spacing w:after="0" w:line="110" w:lineRule="exact"/>
        <w:rPr>
          <w:rFonts w:ascii="Arial" w:cs="Arial" w:eastAsia="Arial" w:hAnsi="Arial"/>
          <w:sz w:val="16"/>
          <w:szCs w:val="16"/>
          <w:color w:val="CE0F2D"/>
        </w:rPr>
      </w:pPr>
    </w:p>
    <w:p>
      <w:pPr>
        <w:ind w:left="240" w:hanging="233"/>
        <w:spacing w:after="0"/>
        <w:tabs>
          <w:tab w:leader="none" w:pos="240" w:val="left"/>
        </w:tabs>
        <w:numPr>
          <w:ilvl w:val="0"/>
          <w:numId w:val="111"/>
        </w:numPr>
        <w:rPr>
          <w:rFonts w:ascii="Arial" w:cs="Arial" w:eastAsia="Arial" w:hAnsi="Arial"/>
          <w:sz w:val="16"/>
          <w:szCs w:val="16"/>
          <w:color w:val="CE0F2D"/>
        </w:rPr>
      </w:pPr>
      <w:r>
        <w:rPr>
          <w:rFonts w:ascii="Arial" w:cs="Arial" w:eastAsia="Arial" w:hAnsi="Arial"/>
          <w:sz w:val="16"/>
          <w:szCs w:val="16"/>
          <w:color w:val="auto"/>
        </w:rPr>
        <w:t>provide fair and equitable pay regardless of race and gender; and</w:t>
      </w:r>
    </w:p>
    <w:p>
      <w:pPr>
        <w:spacing w:after="0" w:line="110" w:lineRule="exact"/>
        <w:rPr>
          <w:rFonts w:ascii="Arial" w:cs="Arial" w:eastAsia="Arial" w:hAnsi="Arial"/>
          <w:sz w:val="16"/>
          <w:szCs w:val="16"/>
          <w:color w:val="CE0F2D"/>
        </w:rPr>
      </w:pPr>
    </w:p>
    <w:p>
      <w:pPr>
        <w:ind w:left="240" w:hanging="233"/>
        <w:spacing w:after="0"/>
        <w:tabs>
          <w:tab w:leader="none" w:pos="240" w:val="left"/>
        </w:tabs>
        <w:numPr>
          <w:ilvl w:val="0"/>
          <w:numId w:val="111"/>
        </w:numPr>
        <w:rPr>
          <w:rFonts w:ascii="Arial" w:cs="Arial" w:eastAsia="Arial" w:hAnsi="Arial"/>
          <w:sz w:val="16"/>
          <w:szCs w:val="16"/>
          <w:color w:val="CE0F2D"/>
        </w:rPr>
      </w:pPr>
      <w:r>
        <w:rPr>
          <w:rFonts w:ascii="Arial" w:cs="Arial" w:eastAsia="Arial" w:hAnsi="Arial"/>
          <w:sz w:val="16"/>
          <w:szCs w:val="16"/>
          <w:color w:val="auto"/>
        </w:rPr>
        <w:t>strike a balance between appropriate levels of financial opportunity and risk.</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Through RTX’s ERM framework, the Committee identifies, monitors and mitigates compensation risk in the following ways: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713359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p>
      <w:pPr>
        <w:spacing w:after="0" w:line="305" w:lineRule="exact"/>
        <w:rPr>
          <w:sz w:val="20"/>
          <w:szCs w:val="20"/>
          <w:color w:val="auto"/>
        </w:rPr>
      </w:pPr>
    </w:p>
    <w:p>
      <w:pPr>
        <w:ind w:right="140"/>
        <w:spacing w:after="0" w:line="282" w:lineRule="auto"/>
        <w:rPr>
          <w:sz w:val="20"/>
          <w:szCs w:val="20"/>
          <w:color w:val="auto"/>
        </w:rPr>
      </w:pPr>
      <w:r>
        <w:rPr>
          <w:rFonts w:ascii="Arial" w:cs="Arial" w:eastAsia="Arial" w:hAnsi="Arial"/>
          <w:sz w:val="16"/>
          <w:szCs w:val="16"/>
          <w:b w:val="1"/>
          <w:bCs w:val="1"/>
          <w:color w:val="auto"/>
        </w:rPr>
        <w:t>Sound Incentive Plan Design</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Our annual and long-term incentive plans use complementary performance metrics that are essential indicators of the financial health of our Company. The Committee establishes financial performance goals that are challenging, yet realistic, and maintains the ability to use its discretion to adjust payouts under our annual incentive plan, to the extent it believes the calculated results do not accurately reflect the overall quality of performance for the year. Further, payouts for both annual incentive awards and PSUs are capped at 200%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-1328420</wp:posOffset>
            </wp:positionH>
            <wp:positionV relativeFrom="paragraph">
              <wp:posOffset>43815</wp:posOffset>
            </wp:positionV>
            <wp:extent cx="71335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145" w:lineRule="exact"/>
        <w:rPr>
          <w:sz w:val="20"/>
          <w:szCs w:val="20"/>
          <w:color w:val="auto"/>
        </w:rPr>
      </w:pPr>
    </w:p>
    <w:p>
      <w:pPr>
        <w:sectPr>
          <w:pgSz w:w="11900" w:h="16838" w:orient="portrait"/>
          <w:cols w:equalWidth="0" w:num="2">
            <w:col w:w="1380" w:space="720"/>
            <w:col w:w="9160"/>
          </w:cols>
          <w:pgMar w:left="320" w:top="118" w:right="319" w:bottom="1440" w:gutter="0" w:footer="0" w:header="0"/>
          <w:type w:val="continuous"/>
        </w:sectPr>
      </w:pPr>
    </w:p>
    <w:p>
      <w:pPr>
        <w:spacing w:after="0"/>
        <w:tabs>
          <w:tab w:leader="none" w:pos="2080" w:val="left"/>
        </w:tabs>
        <w:rPr>
          <w:sz w:val="20"/>
          <w:szCs w:val="20"/>
          <w:color w:val="auto"/>
        </w:rPr>
      </w:pPr>
      <w:r>
        <w:rPr>
          <w:rFonts w:ascii="Arial" w:cs="Arial" w:eastAsia="Arial" w:hAnsi="Arial"/>
          <w:sz w:val="16"/>
          <w:szCs w:val="16"/>
          <w:b w:val="1"/>
          <w:bCs w:val="1"/>
          <w:color w:val="auto"/>
        </w:rPr>
        <w:t>Emphasis on Long-Term</w:t>
      </w:r>
      <w:r>
        <w:rPr>
          <w:sz w:val="20"/>
          <w:szCs w:val="20"/>
          <w:color w:val="auto"/>
        </w:rPr>
        <w:tab/>
      </w:r>
      <w:r>
        <w:rPr>
          <w:rFonts w:ascii="Arial" w:cs="Arial" w:eastAsia="Arial" w:hAnsi="Arial"/>
          <w:sz w:val="16"/>
          <w:szCs w:val="16"/>
          <w:color w:val="auto"/>
        </w:rPr>
        <w:t>Long-term incentives are the cornerstone of RTX’s executive compensation program. Our LTI program incorporates long-term</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60" w:type="dxa"/>
            <w:vAlign w:val="bottom"/>
          </w:tcPr>
          <w:p>
            <w:pPr>
              <w:spacing w:after="0"/>
              <w:rPr>
                <w:sz w:val="20"/>
                <w:szCs w:val="20"/>
                <w:color w:val="auto"/>
              </w:rPr>
            </w:pPr>
            <w:r>
              <w:rPr>
                <w:rFonts w:ascii="Arial" w:cs="Arial" w:eastAsia="Arial" w:hAnsi="Arial"/>
                <w:sz w:val="16"/>
                <w:szCs w:val="16"/>
                <w:b w:val="1"/>
                <w:bCs w:val="1"/>
                <w:color w:val="auto"/>
              </w:rPr>
              <w:t>Performance</w:t>
            </w:r>
          </w:p>
        </w:tc>
        <w:tc>
          <w:tcPr>
            <w:tcW w:w="9600" w:type="dxa"/>
            <w:vAlign w:val="bottom"/>
            <w:gridSpan w:val="2"/>
          </w:tcPr>
          <w:p>
            <w:pPr>
              <w:ind w:left="440"/>
              <w:spacing w:after="0"/>
              <w:rPr>
                <w:sz w:val="20"/>
                <w:szCs w:val="20"/>
                <w:color w:val="auto"/>
              </w:rPr>
            </w:pPr>
            <w:r>
              <w:rPr>
                <w:rFonts w:ascii="Arial" w:cs="Arial" w:eastAsia="Arial" w:hAnsi="Arial"/>
                <w:sz w:val="16"/>
                <w:szCs w:val="16"/>
                <w:color w:val="auto"/>
              </w:rPr>
              <w:t>financial performance metrics that are designed to align executive interests with shareowner interests.</w:t>
            </w:r>
          </w:p>
        </w:tc>
      </w:tr>
      <w:tr>
        <w:trPr>
          <w:trHeight w:val="53"/>
        </w:trPr>
        <w:tc>
          <w:tcPr>
            <w:tcW w:w="1660" w:type="dxa"/>
            <w:vAlign w:val="bottom"/>
            <w:tcBorders>
              <w:bottom w:val="single" w:sz="8" w:color="auto"/>
            </w:tcBorders>
          </w:tcPr>
          <w:p>
            <w:pPr>
              <w:spacing w:after="0"/>
              <w:rPr>
                <w:sz w:val="4"/>
                <w:szCs w:val="4"/>
                <w:color w:val="auto"/>
              </w:rPr>
            </w:pPr>
          </w:p>
        </w:tc>
        <w:tc>
          <w:tcPr>
            <w:tcW w:w="958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6"/>
                <w:szCs w:val="16"/>
                <w:b w:val="1"/>
                <w:bCs w:val="1"/>
                <w:color w:val="auto"/>
              </w:rPr>
              <w:t>Rigorous Share</w:t>
            </w:r>
          </w:p>
        </w:tc>
        <w:tc>
          <w:tcPr>
            <w:tcW w:w="9600" w:type="dxa"/>
            <w:vAlign w:val="bottom"/>
            <w:gridSpan w:val="2"/>
          </w:tcPr>
          <w:p>
            <w:pPr>
              <w:ind w:left="440"/>
              <w:spacing w:after="0"/>
              <w:rPr>
                <w:sz w:val="20"/>
                <w:szCs w:val="20"/>
                <w:color w:val="auto"/>
              </w:rPr>
            </w:pPr>
            <w:r>
              <w:rPr>
                <w:rFonts w:ascii="Arial" w:cs="Arial" w:eastAsia="Arial" w:hAnsi="Arial"/>
                <w:sz w:val="16"/>
                <w:szCs w:val="16"/>
                <w:color w:val="auto"/>
              </w:rPr>
              <w:t>RTX maintains significant share ownership requirements for our senior executives and directors. These requirements are</w:t>
            </w:r>
          </w:p>
        </w:tc>
      </w:tr>
      <w:tr>
        <w:trPr>
          <w:trHeight w:val="187"/>
        </w:trPr>
        <w:tc>
          <w:tcPr>
            <w:tcW w:w="1660" w:type="dxa"/>
            <w:vAlign w:val="bottom"/>
          </w:tcPr>
          <w:p>
            <w:pPr>
              <w:spacing w:after="0"/>
              <w:rPr>
                <w:sz w:val="20"/>
                <w:szCs w:val="20"/>
                <w:color w:val="auto"/>
              </w:rPr>
            </w:pPr>
            <w:r>
              <w:rPr>
                <w:rFonts w:ascii="Arial" w:cs="Arial" w:eastAsia="Arial" w:hAnsi="Arial"/>
                <w:sz w:val="16"/>
                <w:szCs w:val="16"/>
                <w:b w:val="1"/>
                <w:bCs w:val="1"/>
                <w:color w:val="auto"/>
              </w:rPr>
              <w:t>Ownership</w:t>
            </w:r>
          </w:p>
        </w:tc>
        <w:tc>
          <w:tcPr>
            <w:tcW w:w="9600" w:type="dxa"/>
            <w:vAlign w:val="bottom"/>
            <w:gridSpan w:val="2"/>
          </w:tcPr>
          <w:p>
            <w:pPr>
              <w:ind w:left="440"/>
              <w:spacing w:after="0"/>
              <w:rPr>
                <w:sz w:val="20"/>
                <w:szCs w:val="20"/>
                <w:color w:val="auto"/>
              </w:rPr>
            </w:pPr>
            <w:r>
              <w:rPr>
                <w:rFonts w:ascii="Arial" w:cs="Arial" w:eastAsia="Arial" w:hAnsi="Arial"/>
                <w:sz w:val="16"/>
                <w:szCs w:val="16"/>
                <w:color w:val="auto"/>
              </w:rPr>
              <w:t>intended to reduce risk by aligning the economic interests of executives and directors with those of our shareowners. A</w:t>
            </w:r>
          </w:p>
        </w:tc>
      </w:tr>
      <w:tr>
        <w:trPr>
          <w:trHeight w:val="207"/>
        </w:trPr>
        <w:tc>
          <w:tcPr>
            <w:tcW w:w="1660" w:type="dxa"/>
            <w:vAlign w:val="bottom"/>
          </w:tcPr>
          <w:p>
            <w:pPr>
              <w:spacing w:after="0"/>
              <w:rPr>
                <w:sz w:val="20"/>
                <w:szCs w:val="20"/>
                <w:color w:val="auto"/>
              </w:rPr>
            </w:pPr>
            <w:r>
              <w:rPr>
                <w:rFonts w:ascii="Arial" w:cs="Arial" w:eastAsia="Arial" w:hAnsi="Arial"/>
                <w:sz w:val="16"/>
                <w:szCs w:val="16"/>
                <w:b w:val="1"/>
                <w:bCs w:val="1"/>
                <w:color w:val="auto"/>
              </w:rPr>
              <w:t>Requirements</w:t>
            </w:r>
          </w:p>
        </w:tc>
        <w:tc>
          <w:tcPr>
            <w:tcW w:w="9600" w:type="dxa"/>
            <w:vAlign w:val="bottom"/>
            <w:gridSpan w:val="2"/>
          </w:tcPr>
          <w:p>
            <w:pPr>
              <w:ind w:left="440"/>
              <w:spacing w:after="0"/>
              <w:rPr>
                <w:sz w:val="20"/>
                <w:szCs w:val="20"/>
                <w:color w:val="auto"/>
              </w:rPr>
            </w:pPr>
            <w:r>
              <w:rPr>
                <w:rFonts w:ascii="Arial" w:cs="Arial" w:eastAsia="Arial" w:hAnsi="Arial"/>
                <w:sz w:val="16"/>
                <w:szCs w:val="16"/>
                <w:color w:val="auto"/>
              </w:rPr>
              <w:t>significant stake in future performance discourages the pursuit of short-term opportunities that can create excessive risk. See</w:t>
            </w:r>
          </w:p>
        </w:tc>
      </w:tr>
      <w:tr>
        <w:trPr>
          <w:trHeight w:val="193"/>
        </w:trPr>
        <w:tc>
          <w:tcPr>
            <w:tcW w:w="1660" w:type="dxa"/>
            <w:vAlign w:val="bottom"/>
          </w:tcPr>
          <w:p>
            <w:pPr>
              <w:spacing w:after="0"/>
              <w:rPr>
                <w:sz w:val="16"/>
                <w:szCs w:val="16"/>
                <w:color w:val="auto"/>
              </w:rPr>
            </w:pPr>
          </w:p>
        </w:tc>
        <w:tc>
          <w:tcPr>
            <w:tcW w:w="9600" w:type="dxa"/>
            <w:vAlign w:val="bottom"/>
            <w:gridSpan w:val="2"/>
          </w:tcPr>
          <w:p>
            <w:pPr>
              <w:ind w:left="440"/>
              <w:spacing w:after="0"/>
              <w:rPr>
                <w:sz w:val="20"/>
                <w:szCs w:val="20"/>
                <w:color w:val="auto"/>
              </w:rPr>
            </w:pPr>
            <w:r>
              <w:rPr>
                <w:rFonts w:ascii="Arial" w:cs="Arial" w:eastAsia="Arial" w:hAnsi="Arial"/>
                <w:sz w:val="16"/>
                <w:szCs w:val="16"/>
                <w:color w:val="auto"/>
              </w:rPr>
              <w:t>page 35 for more information.</w:t>
            </w:r>
          </w:p>
        </w:tc>
      </w:tr>
      <w:tr>
        <w:trPr>
          <w:trHeight w:val="73"/>
        </w:trPr>
        <w:tc>
          <w:tcPr>
            <w:tcW w:w="1660" w:type="dxa"/>
            <w:vAlign w:val="bottom"/>
            <w:tcBorders>
              <w:bottom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r>
      <w:tr>
        <w:trPr>
          <w:trHeight w:val="349"/>
        </w:trPr>
        <w:tc>
          <w:tcPr>
            <w:tcW w:w="1660" w:type="dxa"/>
            <w:vAlign w:val="bottom"/>
          </w:tcPr>
          <w:p>
            <w:pPr>
              <w:spacing w:after="0"/>
              <w:rPr>
                <w:sz w:val="24"/>
                <w:szCs w:val="24"/>
                <w:color w:val="auto"/>
              </w:rPr>
            </w:pPr>
          </w:p>
        </w:tc>
        <w:tc>
          <w:tcPr>
            <w:tcW w:w="9600" w:type="dxa"/>
            <w:vAlign w:val="bottom"/>
            <w:gridSpan w:val="2"/>
          </w:tcPr>
          <w:p>
            <w:pPr>
              <w:ind w:left="6300"/>
              <w:spacing w:after="0"/>
              <w:rPr>
                <w:sz w:val="20"/>
                <w:szCs w:val="20"/>
                <w:color w:val="auto"/>
              </w:rPr>
            </w:pPr>
            <w:r>
              <w:rPr>
                <w:rFonts w:ascii="Arial" w:cs="Arial" w:eastAsia="Arial" w:hAnsi="Arial"/>
                <w:sz w:val="12"/>
                <w:szCs w:val="12"/>
                <w:color w:val="CE0F2D"/>
                <w:w w:val="97"/>
              </w:rPr>
              <w:t xml:space="preserve">RAYTHEON TECHNOLOGIES </w:t>
            </w:r>
            <w:r>
              <w:rPr>
                <w:rFonts w:ascii="Arial" w:cs="Arial" w:eastAsia="Arial" w:hAnsi="Arial"/>
                <w:sz w:val="12"/>
                <w:szCs w:val="12"/>
                <w:color w:val="000000"/>
                <w:w w:val="97"/>
              </w:rPr>
              <w:t>2022 PROXY STATEMENT</w:t>
            </w:r>
            <w:r>
              <w:rPr>
                <w:rFonts w:ascii="Arial" w:cs="Arial" w:eastAsia="Arial" w:hAnsi="Arial"/>
                <w:sz w:val="12"/>
                <w:szCs w:val="12"/>
                <w:color w:val="CE0F2D"/>
                <w:w w:val="97"/>
              </w:rPr>
              <w:t xml:space="preserve">  </w:t>
            </w:r>
            <w:r>
              <w:rPr>
                <w:rFonts w:ascii="Arial" w:cs="Arial" w:eastAsia="Arial" w:hAnsi="Arial"/>
                <w:sz w:val="12"/>
                <w:szCs w:val="12"/>
                <w:b w:val="1"/>
                <w:bCs w:val="1"/>
                <w:color w:val="000000"/>
                <w:w w:val="97"/>
              </w:rPr>
              <w:t>29</w:t>
            </w:r>
          </w:p>
        </w:tc>
      </w:tr>
      <w:tr>
        <w:trPr>
          <w:trHeight w:val="217"/>
        </w:trPr>
        <w:tc>
          <w:tcPr>
            <w:tcW w:w="1660" w:type="dxa"/>
            <w:vAlign w:val="bottom"/>
            <w:tcBorders>
              <w:bottom w:val="single" w:sz="8" w:color="808080"/>
            </w:tcBorders>
          </w:tcPr>
          <w:p>
            <w:pPr>
              <w:spacing w:after="0"/>
              <w:rPr>
                <w:sz w:val="18"/>
                <w:szCs w:val="18"/>
                <w:color w:val="auto"/>
              </w:rPr>
            </w:pPr>
          </w:p>
        </w:tc>
        <w:tc>
          <w:tcPr>
            <w:tcW w:w="95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THE BOARD’S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146050</wp:posOffset>
            </wp:positionV>
            <wp:extent cx="71335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auto"/>
              </w:rPr>
              <w:t>Prohibition on Short</w:t>
            </w:r>
          </w:p>
        </w:tc>
        <w:tc>
          <w:tcPr>
            <w:tcW w:w="9560" w:type="dxa"/>
            <w:vAlign w:val="bottom"/>
          </w:tcPr>
          <w:p>
            <w:pPr>
              <w:ind w:left="100"/>
              <w:spacing w:after="0"/>
              <w:rPr>
                <w:sz w:val="20"/>
                <w:szCs w:val="20"/>
                <w:color w:val="auto"/>
              </w:rPr>
            </w:pPr>
            <w:r>
              <w:rPr>
                <w:rFonts w:ascii="Arial" w:cs="Arial" w:eastAsia="Arial" w:hAnsi="Arial"/>
                <w:sz w:val="16"/>
                <w:szCs w:val="16"/>
                <w:color w:val="auto"/>
              </w:rPr>
              <w:t>RTX prohibits directors, officers and employees from entering into transactions involving short sales of our securities. Directors and</w:t>
            </w:r>
          </w:p>
        </w:tc>
      </w:t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auto"/>
              </w:rPr>
              <w:t>Sales, Pledging and</w:t>
            </w:r>
          </w:p>
        </w:tc>
        <w:tc>
          <w:tcPr>
            <w:tcW w:w="9560" w:type="dxa"/>
            <w:vAlign w:val="bottom"/>
          </w:tcPr>
          <w:p>
            <w:pPr>
              <w:ind w:left="100"/>
              <w:spacing w:after="0"/>
              <w:rPr>
                <w:sz w:val="20"/>
                <w:szCs w:val="20"/>
                <w:color w:val="auto"/>
              </w:rPr>
            </w:pPr>
            <w:r>
              <w:rPr>
                <w:rFonts w:ascii="Arial" w:cs="Arial" w:eastAsia="Arial" w:hAnsi="Arial"/>
                <w:sz w:val="16"/>
                <w:szCs w:val="16"/>
                <w:color w:val="auto"/>
              </w:rPr>
              <w:t>executive officers are also prohibited from pledging or assigning RTX stock, stock options or other equity interests as collateral for a</w:t>
            </w:r>
          </w:p>
        </w:tc>
      </w:tr>
      <w:tr>
        <w:trPr>
          <w:trHeight w:val="187"/>
        </w:trPr>
        <w:tc>
          <w:tcPr>
            <w:tcW w:w="1680" w:type="dxa"/>
            <w:vAlign w:val="bottom"/>
          </w:tcPr>
          <w:p>
            <w:pPr>
              <w:spacing w:after="0"/>
              <w:rPr>
                <w:sz w:val="20"/>
                <w:szCs w:val="20"/>
                <w:color w:val="auto"/>
              </w:rPr>
            </w:pPr>
            <w:r>
              <w:rPr>
                <w:rFonts w:ascii="Arial" w:cs="Arial" w:eastAsia="Arial" w:hAnsi="Arial"/>
                <w:sz w:val="16"/>
                <w:szCs w:val="16"/>
                <w:b w:val="1"/>
                <w:bCs w:val="1"/>
                <w:color w:val="auto"/>
              </w:rPr>
              <w:t>Hedging of RTX</w:t>
            </w:r>
          </w:p>
        </w:tc>
        <w:tc>
          <w:tcPr>
            <w:tcW w:w="9560" w:type="dxa"/>
            <w:vAlign w:val="bottom"/>
          </w:tcPr>
          <w:p>
            <w:pPr>
              <w:ind w:left="100"/>
              <w:spacing w:after="0"/>
              <w:rPr>
                <w:sz w:val="20"/>
                <w:szCs w:val="20"/>
                <w:color w:val="auto"/>
              </w:rPr>
            </w:pPr>
            <w:r>
              <w:rPr>
                <w:rFonts w:ascii="Arial" w:cs="Arial" w:eastAsia="Arial" w:hAnsi="Arial"/>
                <w:sz w:val="16"/>
                <w:szCs w:val="16"/>
                <w:color w:val="auto"/>
              </w:rPr>
              <w:t>loan. Transactions in put options, call options or other derivative securities that have the effect of hedging the value of RTX securities</w:t>
            </w:r>
          </w:p>
        </w:tc>
      </w:tr>
      <w:tr>
        <w:trPr>
          <w:trHeight w:val="213"/>
        </w:trPr>
        <w:tc>
          <w:tcPr>
            <w:tcW w:w="1680" w:type="dxa"/>
            <w:vAlign w:val="bottom"/>
          </w:tcPr>
          <w:p>
            <w:pPr>
              <w:spacing w:after="0"/>
              <w:rPr>
                <w:sz w:val="20"/>
                <w:szCs w:val="20"/>
                <w:color w:val="auto"/>
              </w:rPr>
            </w:pPr>
            <w:r>
              <w:rPr>
                <w:rFonts w:ascii="Arial" w:cs="Arial" w:eastAsia="Arial" w:hAnsi="Arial"/>
                <w:sz w:val="16"/>
                <w:szCs w:val="16"/>
                <w:b w:val="1"/>
                <w:bCs w:val="1"/>
                <w:color w:val="auto"/>
              </w:rPr>
              <w:t>Securities</w:t>
            </w:r>
          </w:p>
        </w:tc>
        <w:tc>
          <w:tcPr>
            <w:tcW w:w="9560" w:type="dxa"/>
            <w:vAlign w:val="bottom"/>
          </w:tcPr>
          <w:p>
            <w:pPr>
              <w:ind w:left="100"/>
              <w:spacing w:after="0"/>
              <w:rPr>
                <w:sz w:val="20"/>
                <w:szCs w:val="20"/>
                <w:color w:val="auto"/>
              </w:rPr>
            </w:pPr>
            <w:r>
              <w:rPr>
                <w:rFonts w:ascii="Arial" w:cs="Arial" w:eastAsia="Arial" w:hAnsi="Arial"/>
                <w:sz w:val="16"/>
                <w:szCs w:val="16"/>
                <w:color w:val="auto"/>
              </w:rPr>
              <w:t>also are prohibited, whether or not those securities were granted to or held, directly or indirectly, by a director, officer or employee.</w:t>
            </w:r>
          </w:p>
        </w:tc>
      </w:tr>
      <w:tr>
        <w:trPr>
          <w:trHeight w:val="73"/>
        </w:trPr>
        <w:tc>
          <w:tcPr>
            <w:tcW w:w="1680" w:type="dxa"/>
            <w:vAlign w:val="bottom"/>
            <w:tcBorders>
              <w:bottom w:val="single" w:sz="8" w:color="auto"/>
            </w:tcBorders>
          </w:tcPr>
          <w:p>
            <w:pPr>
              <w:spacing w:after="0"/>
              <w:rPr>
                <w:sz w:val="6"/>
                <w:szCs w:val="6"/>
                <w:color w:val="auto"/>
              </w:rPr>
            </w:pPr>
          </w:p>
        </w:tc>
        <w:tc>
          <w:tcPr>
            <w:tcW w:w="9560" w:type="dxa"/>
            <w:vAlign w:val="bottom"/>
            <w:tcBorders>
              <w:bottom w:val="single" w:sz="8" w:color="auto"/>
            </w:tcBorders>
          </w:tcPr>
          <w:p>
            <w:pPr>
              <w:spacing w:after="0"/>
              <w:rPr>
                <w:sz w:val="6"/>
                <w:szCs w:val="6"/>
                <w:color w:val="auto"/>
              </w:rPr>
            </w:pPr>
          </w:p>
        </w:tc>
      </w:tr>
      <w:tr>
        <w:trPr>
          <w:trHeight w:val="263"/>
        </w:trPr>
        <w:tc>
          <w:tcPr>
            <w:tcW w:w="1680" w:type="dxa"/>
            <w:vAlign w:val="bottom"/>
          </w:tcPr>
          <w:p>
            <w:pPr>
              <w:spacing w:after="0"/>
              <w:rPr>
                <w:sz w:val="20"/>
                <w:szCs w:val="20"/>
                <w:color w:val="auto"/>
              </w:rPr>
            </w:pPr>
            <w:r>
              <w:rPr>
                <w:rFonts w:ascii="Arial" w:cs="Arial" w:eastAsia="Arial" w:hAnsi="Arial"/>
                <w:sz w:val="16"/>
                <w:szCs w:val="16"/>
                <w:b w:val="1"/>
                <w:bCs w:val="1"/>
                <w:color w:val="auto"/>
              </w:rPr>
              <w:t>Clawback Policy</w:t>
            </w:r>
          </w:p>
        </w:tc>
        <w:tc>
          <w:tcPr>
            <w:tcW w:w="9560" w:type="dxa"/>
            <w:vAlign w:val="bottom"/>
          </w:tcPr>
          <w:p>
            <w:pPr>
              <w:ind w:left="100"/>
              <w:spacing w:after="0"/>
              <w:rPr>
                <w:sz w:val="20"/>
                <w:szCs w:val="20"/>
                <w:color w:val="auto"/>
              </w:rPr>
            </w:pPr>
            <w:r>
              <w:rPr>
                <w:rFonts w:ascii="Arial" w:cs="Arial" w:eastAsia="Arial" w:hAnsi="Arial"/>
                <w:sz w:val="16"/>
                <w:szCs w:val="16"/>
                <w:color w:val="auto"/>
              </w:rPr>
              <w:t>RTX maintains a comprehensive policy on recoupment of both annual and long-term incentive compensation (see page 64 for more</w:t>
            </w:r>
          </w:p>
        </w:tc>
      </w:tr>
      <w:tr>
        <w:trPr>
          <w:trHeight w:val="187"/>
        </w:trPr>
        <w:tc>
          <w:tcPr>
            <w:tcW w:w="1680" w:type="dxa"/>
            <w:vAlign w:val="bottom"/>
          </w:tcPr>
          <w:p>
            <w:pPr>
              <w:spacing w:after="0"/>
              <w:rPr>
                <w:sz w:val="16"/>
                <w:szCs w:val="16"/>
                <w:color w:val="auto"/>
              </w:rPr>
            </w:pPr>
          </w:p>
        </w:tc>
        <w:tc>
          <w:tcPr>
            <w:tcW w:w="9560" w:type="dxa"/>
            <w:vAlign w:val="bottom"/>
          </w:tcPr>
          <w:p>
            <w:pPr>
              <w:ind w:left="100"/>
              <w:spacing w:after="0"/>
              <w:rPr>
                <w:sz w:val="20"/>
                <w:szCs w:val="20"/>
                <w:color w:val="auto"/>
              </w:rPr>
            </w:pPr>
            <w:r>
              <w:rPr>
                <w:rFonts w:ascii="Arial" w:cs="Arial" w:eastAsia="Arial" w:hAnsi="Arial"/>
                <w:sz w:val="16"/>
                <w:szCs w:val="16"/>
                <w:color w:val="auto"/>
              </w:rPr>
              <w:t>details). The policy allows RTX to clawback compensation in a number of circumstances, including financial restatements,</w:t>
            </w:r>
          </w:p>
        </w:tc>
      </w:tr>
      <w:tr>
        <w:trPr>
          <w:trHeight w:val="187"/>
        </w:trPr>
        <w:tc>
          <w:tcPr>
            <w:tcW w:w="1680" w:type="dxa"/>
            <w:vAlign w:val="bottom"/>
          </w:tcPr>
          <w:p>
            <w:pPr>
              <w:spacing w:after="0"/>
              <w:rPr>
                <w:sz w:val="16"/>
                <w:szCs w:val="16"/>
                <w:color w:val="auto"/>
              </w:rPr>
            </w:pPr>
          </w:p>
        </w:tc>
        <w:tc>
          <w:tcPr>
            <w:tcW w:w="9560" w:type="dxa"/>
            <w:vAlign w:val="bottom"/>
          </w:tcPr>
          <w:p>
            <w:pPr>
              <w:ind w:left="100"/>
              <w:spacing w:after="0"/>
              <w:rPr>
                <w:sz w:val="20"/>
                <w:szCs w:val="20"/>
                <w:color w:val="auto"/>
              </w:rPr>
            </w:pPr>
            <w:r>
              <w:rPr>
                <w:rFonts w:ascii="Arial" w:cs="Arial" w:eastAsia="Arial" w:hAnsi="Arial"/>
                <w:sz w:val="16"/>
                <w:szCs w:val="16"/>
                <w:color w:val="auto"/>
              </w:rPr>
              <w:t>compensation earned as a result of financial miscalculations, violations of RTX’s Code of Conduct, and violations of post-</w:t>
            </w:r>
          </w:p>
        </w:tc>
      </w:tr>
      <w:tr>
        <w:trPr>
          <w:trHeight w:val="193"/>
        </w:trPr>
        <w:tc>
          <w:tcPr>
            <w:tcW w:w="1680" w:type="dxa"/>
            <w:vAlign w:val="bottom"/>
          </w:tcPr>
          <w:p>
            <w:pPr>
              <w:spacing w:after="0"/>
              <w:rPr>
                <w:sz w:val="16"/>
                <w:szCs w:val="16"/>
                <w:color w:val="auto"/>
              </w:rPr>
            </w:pPr>
          </w:p>
        </w:tc>
        <w:tc>
          <w:tcPr>
            <w:tcW w:w="9560" w:type="dxa"/>
            <w:vAlign w:val="bottom"/>
          </w:tcPr>
          <w:p>
            <w:pPr>
              <w:ind w:left="100"/>
              <w:spacing w:after="0"/>
              <w:rPr>
                <w:sz w:val="20"/>
                <w:szCs w:val="20"/>
                <w:color w:val="auto"/>
              </w:rPr>
            </w:pPr>
            <w:r>
              <w:rPr>
                <w:rFonts w:ascii="Arial" w:cs="Arial" w:eastAsia="Arial" w:hAnsi="Arial"/>
                <w:sz w:val="16"/>
                <w:szCs w:val="16"/>
                <w:color w:val="auto"/>
              </w:rPr>
              <w:t>employment restrictive covenants.</w:t>
            </w:r>
          </w:p>
        </w:tc>
      </w:tr>
      <w:tr>
        <w:trPr>
          <w:trHeight w:val="73"/>
        </w:trPr>
        <w:tc>
          <w:tcPr>
            <w:tcW w:w="1680" w:type="dxa"/>
            <w:vAlign w:val="bottom"/>
            <w:tcBorders>
              <w:bottom w:val="single" w:sz="8" w:color="auto"/>
            </w:tcBorders>
          </w:tcPr>
          <w:p>
            <w:pPr>
              <w:spacing w:after="0"/>
              <w:rPr>
                <w:sz w:val="6"/>
                <w:szCs w:val="6"/>
                <w:color w:val="auto"/>
              </w:rPr>
            </w:pPr>
          </w:p>
        </w:tc>
        <w:tc>
          <w:tcPr>
            <w:tcW w:w="9560" w:type="dxa"/>
            <w:vAlign w:val="bottom"/>
            <w:tcBorders>
              <w:bottom w:val="single" w:sz="8" w:color="auto"/>
            </w:tcBorders>
          </w:tcPr>
          <w:p>
            <w:pPr>
              <w:spacing w:after="0"/>
              <w:rPr>
                <w:sz w:val="6"/>
                <w:szCs w:val="6"/>
                <w:color w:val="auto"/>
              </w:rPr>
            </w:pPr>
          </w:p>
        </w:tc>
      </w:tr>
      <w:tr>
        <w:trPr>
          <w:trHeight w:val="243"/>
        </w:trPr>
        <w:tc>
          <w:tcPr>
            <w:tcW w:w="1680" w:type="dxa"/>
            <w:vAlign w:val="bottom"/>
          </w:tcPr>
          <w:p>
            <w:pPr>
              <w:spacing w:after="0"/>
              <w:rPr>
                <w:sz w:val="20"/>
                <w:szCs w:val="20"/>
                <w:color w:val="auto"/>
              </w:rPr>
            </w:pPr>
            <w:r>
              <w:rPr>
                <w:rFonts w:ascii="Arial" w:cs="Arial" w:eastAsia="Arial" w:hAnsi="Arial"/>
                <w:sz w:val="16"/>
                <w:szCs w:val="16"/>
                <w:b w:val="1"/>
                <w:bCs w:val="1"/>
                <w:color w:val="auto"/>
              </w:rPr>
              <w:t>Post-Employment</w:t>
            </w:r>
          </w:p>
        </w:tc>
        <w:tc>
          <w:tcPr>
            <w:tcW w:w="9560" w:type="dxa"/>
            <w:vAlign w:val="bottom"/>
          </w:tcPr>
          <w:p>
            <w:pPr>
              <w:ind w:left="100"/>
              <w:spacing w:after="0"/>
              <w:rPr>
                <w:sz w:val="20"/>
                <w:szCs w:val="20"/>
                <w:color w:val="auto"/>
              </w:rPr>
            </w:pPr>
            <w:r>
              <w:rPr>
                <w:rFonts w:ascii="Arial" w:cs="Arial" w:eastAsia="Arial" w:hAnsi="Arial"/>
                <w:sz w:val="16"/>
                <w:szCs w:val="16"/>
                <w:color w:val="auto"/>
              </w:rPr>
              <w:t>Members of the Company’s Executive Leadership Group (“ELG”), which includes each of our current NEOs, may not engage in post-</w:t>
            </w:r>
          </w:p>
        </w:tc>
      </w:tr>
      <w:tr>
        <w:trPr>
          <w:trHeight w:val="207"/>
        </w:trPr>
        <w:tc>
          <w:tcPr>
            <w:tcW w:w="1680" w:type="dxa"/>
            <w:vAlign w:val="bottom"/>
          </w:tcPr>
          <w:p>
            <w:pPr>
              <w:spacing w:after="0"/>
              <w:rPr>
                <w:sz w:val="20"/>
                <w:szCs w:val="20"/>
                <w:color w:val="auto"/>
              </w:rPr>
            </w:pPr>
            <w:r>
              <w:rPr>
                <w:rFonts w:ascii="Arial" w:cs="Arial" w:eastAsia="Arial" w:hAnsi="Arial"/>
                <w:sz w:val="16"/>
                <w:szCs w:val="16"/>
                <w:b w:val="1"/>
                <w:bCs w:val="1"/>
                <w:color w:val="auto"/>
              </w:rPr>
              <w:t>Covenants</w:t>
            </w:r>
          </w:p>
        </w:tc>
        <w:tc>
          <w:tcPr>
            <w:tcW w:w="9560" w:type="dxa"/>
            <w:vAlign w:val="bottom"/>
          </w:tcPr>
          <w:p>
            <w:pPr>
              <w:ind w:left="100"/>
              <w:spacing w:after="0"/>
              <w:rPr>
                <w:sz w:val="20"/>
                <w:szCs w:val="20"/>
                <w:color w:val="auto"/>
              </w:rPr>
            </w:pPr>
            <w:r>
              <w:rPr>
                <w:rFonts w:ascii="Arial" w:cs="Arial" w:eastAsia="Arial" w:hAnsi="Arial"/>
                <w:sz w:val="16"/>
                <w:szCs w:val="16"/>
                <w:color w:val="auto"/>
              </w:rPr>
              <w:t>employment activities detrimental to RTX, such as disclosing proprietary information, soliciting RTX employees or engaging in</w:t>
            </w:r>
          </w:p>
        </w:tc>
      </w:tr>
      <w:tr>
        <w:trPr>
          <w:trHeight w:val="193"/>
        </w:trPr>
        <w:tc>
          <w:tcPr>
            <w:tcW w:w="1680" w:type="dxa"/>
            <w:vAlign w:val="bottom"/>
          </w:tcPr>
          <w:p>
            <w:pPr>
              <w:spacing w:after="0"/>
              <w:rPr>
                <w:sz w:val="16"/>
                <w:szCs w:val="16"/>
                <w:color w:val="auto"/>
              </w:rPr>
            </w:pPr>
          </w:p>
        </w:tc>
        <w:tc>
          <w:tcPr>
            <w:tcW w:w="9560" w:type="dxa"/>
            <w:vAlign w:val="bottom"/>
          </w:tcPr>
          <w:p>
            <w:pPr>
              <w:ind w:left="100"/>
              <w:spacing w:after="0"/>
              <w:rPr>
                <w:sz w:val="20"/>
                <w:szCs w:val="20"/>
                <w:color w:val="auto"/>
              </w:rPr>
            </w:pPr>
            <w:r>
              <w:rPr>
                <w:rFonts w:ascii="Arial" w:cs="Arial" w:eastAsia="Arial" w:hAnsi="Arial"/>
                <w:sz w:val="16"/>
                <w:szCs w:val="16"/>
                <w:color w:val="auto"/>
              </w:rPr>
              <w:t>competitive activities (see page 64).</w:t>
            </w:r>
          </w:p>
        </w:tc>
      </w:tr>
      <w:tr>
        <w:trPr>
          <w:trHeight w:val="79"/>
        </w:trPr>
        <w:tc>
          <w:tcPr>
            <w:tcW w:w="1680" w:type="dxa"/>
            <w:vAlign w:val="bottom"/>
            <w:tcBorders>
              <w:bottom w:val="single" w:sz="8" w:color="636466"/>
            </w:tcBorders>
          </w:tcPr>
          <w:p>
            <w:pPr>
              <w:spacing w:after="0"/>
              <w:rPr>
                <w:sz w:val="6"/>
                <w:szCs w:val="6"/>
                <w:color w:val="auto"/>
              </w:rPr>
            </w:pPr>
          </w:p>
        </w:tc>
        <w:tc>
          <w:tcPr>
            <w:tcW w:w="9560" w:type="dxa"/>
            <w:vAlign w:val="bottom"/>
            <w:tcBorders>
              <w:bottom w:val="single" w:sz="8" w:color="636466"/>
            </w:tcBorders>
          </w:tcPr>
          <w:p>
            <w:pPr>
              <w:spacing w:after="0"/>
              <w:rPr>
                <w:sz w:val="6"/>
                <w:szCs w:val="6"/>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SUCCESSION PLANNING OVERSIGHT</w:t>
      </w:r>
    </w:p>
    <w:p>
      <w:pPr>
        <w:spacing w:after="0" w:line="174"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Board has primary responsibility for CEO and senior management succession planning and has been particularly focused on senior leadership succession planning in connection with and following the Merger. The Chairman &amp; CEO and the Executive Vice President &amp; Chief Human Resources Officer regularly brief the Board on succession planning for key senior leadership roles, including the CEO role. The Board’s views are incorporated into succession plans, which are updated annually based on this feedback. Succession plans include readiness assessments, biographical information and career development plans.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ESG INITIATIVES AND BOARD OVERSIGHT</w:t>
      </w:r>
    </w:p>
    <w:p>
      <w:pPr>
        <w:spacing w:after="0" w:line="17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As one of the world’s most advanced aerospace and defense systems providers, we are driven to create a safer and more connected world. We are committed to solving society’s toughest challenges by investing in our people, embracing their diverse skills and perspectives to advance sustainable technology, leading in environmental performance and product safety, and building resiliency for our industry, our communities and our planet. We understand that to continue operating at the highest levels of performance, we must create significant value for our people, our investors and our communities. We approach ESG performance through this multi-stakeholder lens.</w:t>
      </w:r>
    </w:p>
    <w:p>
      <w:pPr>
        <w:spacing w:after="0" w:line="20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This commitment starts at the top of our organization with our CEO, who is ultimately responsible for our ESG strategy and performance, and our Board of Directors who oversee our ESG efforts. In 2021, we conducted a comprehensive ESG prioritization assessment. We sought to understand the ESG issues that are most relevant to our stakeholders and our business by engaging with more than 50 internal and external stakeholders representing our employees, our customers, our communities, our investors, our regulators, our industry groups and our businesses. We used this feedback to establish our ESG strategy, which focuses on three critical areas: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673"/>
        </w:trPr>
        <w:tc>
          <w:tcPr>
            <w:tcW w:w="3540" w:type="dxa"/>
            <w:vAlign w:val="bottom"/>
            <w:tcBorders>
              <w:top w:val="single" w:sz="8" w:color="CE0F2D"/>
            </w:tcBorders>
            <w:shd w:val="clear" w:color="auto" w:fill="ECEDEF"/>
          </w:tcPr>
          <w:p>
            <w:pPr>
              <w:ind w:left="980"/>
              <w:spacing w:after="0"/>
              <w:rPr>
                <w:sz w:val="20"/>
                <w:szCs w:val="20"/>
                <w:color w:val="auto"/>
              </w:rPr>
            </w:pPr>
            <w:r>
              <w:rPr>
                <w:rFonts w:ascii="Arial" w:cs="Arial" w:eastAsia="Arial" w:hAnsi="Arial"/>
                <w:sz w:val="23"/>
                <w:szCs w:val="23"/>
                <w:b w:val="1"/>
                <w:bCs w:val="1"/>
                <w:color w:val="auto"/>
              </w:rPr>
              <w:t>People</w:t>
            </w:r>
          </w:p>
        </w:tc>
        <w:tc>
          <w:tcPr>
            <w:tcW w:w="260" w:type="dxa"/>
            <w:vAlign w:val="bottom"/>
            <w:tcBorders>
              <w:top w:val="single" w:sz="8" w:color="ECEDEF"/>
            </w:tcBorders>
            <w:shd w:val="clear" w:color="auto" w:fill="ECEDEF"/>
          </w:tcPr>
          <w:p>
            <w:pPr>
              <w:spacing w:after="0"/>
              <w:rPr>
                <w:sz w:val="24"/>
                <w:szCs w:val="24"/>
                <w:color w:val="auto"/>
              </w:rPr>
            </w:pPr>
          </w:p>
        </w:tc>
        <w:tc>
          <w:tcPr>
            <w:tcW w:w="3500" w:type="dxa"/>
            <w:vAlign w:val="bottom"/>
            <w:tcBorders>
              <w:top w:val="single" w:sz="8" w:color="CE0F2D"/>
            </w:tcBorders>
            <w:shd w:val="clear" w:color="auto" w:fill="ECEDEF"/>
          </w:tcPr>
          <w:p>
            <w:pPr>
              <w:ind w:left="1000"/>
              <w:spacing w:after="0"/>
              <w:rPr>
                <w:sz w:val="20"/>
                <w:szCs w:val="20"/>
                <w:color w:val="auto"/>
              </w:rPr>
            </w:pPr>
            <w:r>
              <w:rPr>
                <w:rFonts w:ascii="Arial" w:cs="Arial" w:eastAsia="Arial" w:hAnsi="Arial"/>
                <w:sz w:val="23"/>
                <w:szCs w:val="23"/>
                <w:b w:val="1"/>
                <w:bCs w:val="1"/>
                <w:color w:val="auto"/>
              </w:rPr>
              <w:t>Planet</w:t>
            </w:r>
          </w:p>
        </w:tc>
        <w:tc>
          <w:tcPr>
            <w:tcW w:w="240" w:type="dxa"/>
            <w:vAlign w:val="bottom"/>
            <w:tcBorders>
              <w:top w:val="single" w:sz="8" w:color="ECEDEF"/>
            </w:tcBorders>
            <w:shd w:val="clear" w:color="auto" w:fill="ECEDEF"/>
          </w:tcPr>
          <w:p>
            <w:pPr>
              <w:spacing w:after="0"/>
              <w:rPr>
                <w:sz w:val="24"/>
                <w:szCs w:val="24"/>
                <w:color w:val="auto"/>
              </w:rPr>
            </w:pPr>
          </w:p>
        </w:tc>
        <w:tc>
          <w:tcPr>
            <w:tcW w:w="3700" w:type="dxa"/>
            <w:vAlign w:val="bottom"/>
            <w:tcBorders>
              <w:top w:val="single" w:sz="8" w:color="CE0F2D"/>
            </w:tcBorders>
            <w:shd w:val="clear" w:color="auto" w:fill="ECEDEF"/>
          </w:tcPr>
          <w:p>
            <w:pPr>
              <w:ind w:left="1020"/>
              <w:spacing w:after="0"/>
              <w:rPr>
                <w:sz w:val="20"/>
                <w:szCs w:val="20"/>
                <w:color w:val="auto"/>
              </w:rPr>
            </w:pPr>
            <w:r>
              <w:rPr>
                <w:rFonts w:ascii="Arial" w:cs="Arial" w:eastAsia="Arial" w:hAnsi="Arial"/>
                <w:sz w:val="23"/>
                <w:szCs w:val="23"/>
                <w:b w:val="1"/>
                <w:bCs w:val="1"/>
                <w:color w:val="auto"/>
              </w:rPr>
              <w:t>Principles</w:t>
            </w:r>
          </w:p>
        </w:tc>
      </w:tr>
      <w:tr>
        <w:trPr>
          <w:trHeight w:val="492"/>
        </w:trPr>
        <w:tc>
          <w:tcPr>
            <w:tcW w:w="3540" w:type="dxa"/>
            <w:vAlign w:val="bottom"/>
            <w:shd w:val="clear" w:color="auto" w:fill="ECEDEF"/>
          </w:tcPr>
          <w:p>
            <w:pPr>
              <w:ind w:left="180"/>
              <w:spacing w:after="0"/>
              <w:rPr>
                <w:sz w:val="20"/>
                <w:szCs w:val="20"/>
                <w:color w:val="auto"/>
              </w:rPr>
            </w:pPr>
            <w:r>
              <w:rPr>
                <w:rFonts w:ascii="Arial" w:cs="Arial" w:eastAsia="Arial" w:hAnsi="Arial"/>
                <w:sz w:val="18"/>
                <w:szCs w:val="18"/>
                <w:color w:val="auto"/>
              </w:rPr>
              <w:t>Bringing together our talented, diverse</w:t>
            </w:r>
          </w:p>
        </w:tc>
        <w:tc>
          <w:tcPr>
            <w:tcW w:w="260" w:type="dxa"/>
            <w:vAlign w:val="bottom"/>
            <w:shd w:val="clear" w:color="auto" w:fill="ECEDEF"/>
          </w:tcPr>
          <w:p>
            <w:pPr>
              <w:spacing w:after="0"/>
              <w:rPr>
                <w:sz w:val="24"/>
                <w:szCs w:val="24"/>
                <w:color w:val="auto"/>
              </w:rPr>
            </w:pPr>
          </w:p>
        </w:tc>
        <w:tc>
          <w:tcPr>
            <w:tcW w:w="3740" w:type="dxa"/>
            <w:vAlign w:val="bottom"/>
            <w:gridSpan w:val="2"/>
            <w:shd w:val="clear" w:color="auto" w:fill="ECEDEF"/>
          </w:tcPr>
          <w:p>
            <w:pPr>
              <w:ind w:left="180"/>
              <w:spacing w:after="0"/>
              <w:rPr>
                <w:sz w:val="20"/>
                <w:szCs w:val="20"/>
                <w:color w:val="auto"/>
              </w:rPr>
            </w:pPr>
            <w:r>
              <w:rPr>
                <w:rFonts w:ascii="Arial" w:cs="Arial" w:eastAsia="Arial" w:hAnsi="Arial"/>
                <w:sz w:val="18"/>
                <w:szCs w:val="18"/>
                <w:color w:val="auto"/>
              </w:rPr>
              <w:t>Innovating new technologies and</w:t>
            </w:r>
          </w:p>
        </w:tc>
        <w:tc>
          <w:tcPr>
            <w:tcW w:w="3700" w:type="dxa"/>
            <w:vAlign w:val="bottom"/>
            <w:shd w:val="clear" w:color="auto" w:fill="ECEDEF"/>
          </w:tcPr>
          <w:p>
            <w:pPr>
              <w:ind w:left="180"/>
              <w:spacing w:after="0"/>
              <w:rPr>
                <w:sz w:val="20"/>
                <w:szCs w:val="20"/>
                <w:color w:val="auto"/>
              </w:rPr>
            </w:pPr>
            <w:r>
              <w:rPr>
                <w:rFonts w:ascii="Arial" w:cs="Arial" w:eastAsia="Arial" w:hAnsi="Arial"/>
                <w:sz w:val="18"/>
                <w:szCs w:val="18"/>
                <w:color w:val="auto"/>
              </w:rPr>
              <w:t>Operating our global business with</w:t>
            </w:r>
          </w:p>
        </w:tc>
      </w:tr>
      <w:tr>
        <w:trPr>
          <w:trHeight w:val="201"/>
        </w:trPr>
        <w:tc>
          <w:tcPr>
            <w:tcW w:w="354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workforce in an inclusive and innovative</w:t>
            </w:r>
          </w:p>
        </w:tc>
        <w:tc>
          <w:tcPr>
            <w:tcW w:w="260" w:type="dxa"/>
            <w:vAlign w:val="bottom"/>
            <w:shd w:val="clear" w:color="auto" w:fill="ECEDEF"/>
          </w:tcPr>
          <w:p>
            <w:pPr>
              <w:spacing w:after="0"/>
              <w:rPr>
                <w:sz w:val="17"/>
                <w:szCs w:val="17"/>
                <w:color w:val="auto"/>
              </w:rPr>
            </w:pPr>
          </w:p>
        </w:tc>
        <w:tc>
          <w:tcPr>
            <w:tcW w:w="3740" w:type="dxa"/>
            <w:vAlign w:val="bottom"/>
            <w:gridSpan w:val="2"/>
            <w:shd w:val="clear" w:color="auto" w:fill="ECEDEF"/>
          </w:tcPr>
          <w:p>
            <w:pPr>
              <w:ind w:left="180"/>
              <w:spacing w:after="0" w:line="201" w:lineRule="exact"/>
              <w:rPr>
                <w:sz w:val="20"/>
                <w:szCs w:val="20"/>
                <w:color w:val="auto"/>
              </w:rPr>
            </w:pPr>
            <w:r>
              <w:rPr>
                <w:rFonts w:ascii="Arial" w:cs="Arial" w:eastAsia="Arial" w:hAnsi="Arial"/>
                <w:sz w:val="18"/>
                <w:szCs w:val="18"/>
                <w:color w:val="auto"/>
              </w:rPr>
              <w:t>advancing our operations to help our</w:t>
            </w:r>
          </w:p>
        </w:tc>
        <w:tc>
          <w:tcPr>
            <w:tcW w:w="370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integrity and a long-term mindset to</w:t>
            </w:r>
          </w:p>
        </w:tc>
      </w:tr>
      <w:tr>
        <w:trPr>
          <w:trHeight w:val="201"/>
        </w:trPr>
        <w:tc>
          <w:tcPr>
            <w:tcW w:w="354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environment so that they can achieve</w:t>
            </w:r>
          </w:p>
        </w:tc>
        <w:tc>
          <w:tcPr>
            <w:tcW w:w="260" w:type="dxa"/>
            <w:vAlign w:val="bottom"/>
            <w:shd w:val="clear" w:color="auto" w:fill="ECEDEF"/>
          </w:tcPr>
          <w:p>
            <w:pPr>
              <w:spacing w:after="0"/>
              <w:rPr>
                <w:sz w:val="17"/>
                <w:szCs w:val="17"/>
                <w:color w:val="auto"/>
              </w:rPr>
            </w:pPr>
          </w:p>
        </w:tc>
        <w:tc>
          <w:tcPr>
            <w:tcW w:w="3740" w:type="dxa"/>
            <w:vAlign w:val="bottom"/>
            <w:gridSpan w:val="2"/>
            <w:shd w:val="clear" w:color="auto" w:fill="ECEDEF"/>
          </w:tcPr>
          <w:p>
            <w:pPr>
              <w:ind w:left="180"/>
              <w:spacing w:after="0" w:line="201" w:lineRule="exact"/>
              <w:rPr>
                <w:sz w:val="20"/>
                <w:szCs w:val="20"/>
                <w:color w:val="auto"/>
              </w:rPr>
            </w:pPr>
            <w:r>
              <w:rPr>
                <w:rFonts w:ascii="Arial" w:cs="Arial" w:eastAsia="Arial" w:hAnsi="Arial"/>
                <w:sz w:val="18"/>
                <w:szCs w:val="18"/>
                <w:color w:val="auto"/>
              </w:rPr>
              <w:t>customers, suppliers and communities</w:t>
            </w:r>
          </w:p>
        </w:tc>
        <w:tc>
          <w:tcPr>
            <w:tcW w:w="370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deliver on our promises by living our</w:t>
            </w:r>
          </w:p>
        </w:tc>
      </w:tr>
      <w:tr>
        <w:trPr>
          <w:trHeight w:val="201"/>
        </w:trPr>
        <w:tc>
          <w:tcPr>
            <w:tcW w:w="354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their full potential and create a positive</w:t>
            </w:r>
          </w:p>
        </w:tc>
        <w:tc>
          <w:tcPr>
            <w:tcW w:w="260" w:type="dxa"/>
            <w:vAlign w:val="bottom"/>
            <w:shd w:val="clear" w:color="auto" w:fill="ECEDEF"/>
          </w:tcPr>
          <w:p>
            <w:pPr>
              <w:spacing w:after="0"/>
              <w:rPr>
                <w:sz w:val="17"/>
                <w:szCs w:val="17"/>
                <w:color w:val="auto"/>
              </w:rPr>
            </w:pPr>
          </w:p>
        </w:tc>
        <w:tc>
          <w:tcPr>
            <w:tcW w:w="3740" w:type="dxa"/>
            <w:vAlign w:val="bottom"/>
            <w:gridSpan w:val="2"/>
            <w:shd w:val="clear" w:color="auto" w:fill="ECEDEF"/>
          </w:tcPr>
          <w:p>
            <w:pPr>
              <w:ind w:left="180"/>
              <w:spacing w:after="0" w:line="201" w:lineRule="exact"/>
              <w:rPr>
                <w:sz w:val="20"/>
                <w:szCs w:val="20"/>
                <w:color w:val="auto"/>
              </w:rPr>
            </w:pPr>
            <w:r>
              <w:rPr>
                <w:rFonts w:ascii="Arial" w:cs="Arial" w:eastAsia="Arial" w:hAnsi="Arial"/>
                <w:sz w:val="18"/>
                <w:szCs w:val="18"/>
                <w:color w:val="auto"/>
              </w:rPr>
              <w:t>reach their climate and sustainability</w:t>
            </w:r>
          </w:p>
        </w:tc>
        <w:tc>
          <w:tcPr>
            <w:tcW w:w="370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values of trust, respect, accountability,</w:t>
            </w:r>
          </w:p>
        </w:tc>
      </w:tr>
      <w:tr>
        <w:trPr>
          <w:trHeight w:val="201"/>
        </w:trPr>
        <w:tc>
          <w:tcPr>
            <w:tcW w:w="354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impact on society, including the</w:t>
            </w:r>
          </w:p>
        </w:tc>
        <w:tc>
          <w:tcPr>
            <w:tcW w:w="260" w:type="dxa"/>
            <w:vAlign w:val="bottom"/>
            <w:shd w:val="clear" w:color="auto" w:fill="ECEDEF"/>
          </w:tcPr>
          <w:p>
            <w:pPr>
              <w:spacing w:after="0"/>
              <w:rPr>
                <w:sz w:val="17"/>
                <w:szCs w:val="17"/>
                <w:color w:val="auto"/>
              </w:rPr>
            </w:pPr>
          </w:p>
        </w:tc>
        <w:tc>
          <w:tcPr>
            <w:tcW w:w="3740" w:type="dxa"/>
            <w:vAlign w:val="bottom"/>
            <w:gridSpan w:val="2"/>
            <w:shd w:val="clear" w:color="auto" w:fill="ECEDEF"/>
          </w:tcPr>
          <w:p>
            <w:pPr>
              <w:ind w:left="180"/>
              <w:spacing w:after="0" w:line="201" w:lineRule="exact"/>
              <w:rPr>
                <w:sz w:val="20"/>
                <w:szCs w:val="20"/>
                <w:color w:val="auto"/>
              </w:rPr>
            </w:pPr>
            <w:r>
              <w:rPr>
                <w:rFonts w:ascii="Arial" w:cs="Arial" w:eastAsia="Arial" w:hAnsi="Arial"/>
                <w:sz w:val="18"/>
                <w:szCs w:val="18"/>
                <w:color w:val="auto"/>
              </w:rPr>
              <w:t>goals and positively impact the world</w:t>
            </w:r>
          </w:p>
        </w:tc>
        <w:tc>
          <w:tcPr>
            <w:tcW w:w="3700" w:type="dxa"/>
            <w:vAlign w:val="bottom"/>
            <w:shd w:val="clear" w:color="auto" w:fill="ECEDEF"/>
          </w:tcPr>
          <w:p>
            <w:pPr>
              <w:ind w:left="180"/>
              <w:spacing w:after="0" w:line="201" w:lineRule="exact"/>
              <w:rPr>
                <w:sz w:val="20"/>
                <w:szCs w:val="20"/>
                <w:color w:val="auto"/>
              </w:rPr>
            </w:pPr>
            <w:r>
              <w:rPr>
                <w:rFonts w:ascii="Arial" w:cs="Arial" w:eastAsia="Arial" w:hAnsi="Arial"/>
                <w:sz w:val="18"/>
                <w:szCs w:val="18"/>
                <w:color w:val="auto"/>
              </w:rPr>
              <w:t>collaboration and innovation.</w:t>
            </w:r>
          </w:p>
        </w:tc>
      </w:tr>
      <w:tr>
        <w:trPr>
          <w:trHeight w:val="214"/>
        </w:trPr>
        <w:tc>
          <w:tcPr>
            <w:tcW w:w="3540" w:type="dxa"/>
            <w:vAlign w:val="bottom"/>
            <w:shd w:val="clear" w:color="auto" w:fill="ECEDEF"/>
          </w:tcPr>
          <w:p>
            <w:pPr>
              <w:ind w:left="180"/>
              <w:spacing w:after="0"/>
              <w:rPr>
                <w:sz w:val="20"/>
                <w:szCs w:val="20"/>
                <w:color w:val="auto"/>
              </w:rPr>
            </w:pPr>
            <w:r>
              <w:rPr>
                <w:rFonts w:ascii="Arial" w:cs="Arial" w:eastAsia="Arial" w:hAnsi="Arial"/>
                <w:sz w:val="18"/>
                <w:szCs w:val="18"/>
                <w:color w:val="auto"/>
              </w:rPr>
              <w:t>communities where we live and work.</w:t>
            </w:r>
          </w:p>
        </w:tc>
        <w:tc>
          <w:tcPr>
            <w:tcW w:w="260" w:type="dxa"/>
            <w:vAlign w:val="bottom"/>
            <w:shd w:val="clear" w:color="auto" w:fill="ECEDEF"/>
          </w:tcPr>
          <w:p>
            <w:pPr>
              <w:spacing w:after="0"/>
              <w:rPr>
                <w:sz w:val="18"/>
                <w:szCs w:val="18"/>
                <w:color w:val="auto"/>
              </w:rPr>
            </w:pPr>
          </w:p>
        </w:tc>
        <w:tc>
          <w:tcPr>
            <w:tcW w:w="3740" w:type="dxa"/>
            <w:vAlign w:val="bottom"/>
            <w:gridSpan w:val="2"/>
            <w:shd w:val="clear" w:color="auto" w:fill="ECEDEF"/>
          </w:tcPr>
          <w:p>
            <w:pPr>
              <w:ind w:left="180"/>
              <w:spacing w:after="0"/>
              <w:rPr>
                <w:sz w:val="20"/>
                <w:szCs w:val="20"/>
                <w:color w:val="auto"/>
              </w:rPr>
            </w:pPr>
            <w:r>
              <w:rPr>
                <w:rFonts w:ascii="Arial" w:cs="Arial" w:eastAsia="Arial" w:hAnsi="Arial"/>
                <w:sz w:val="18"/>
                <w:szCs w:val="18"/>
                <w:color w:val="auto"/>
              </w:rPr>
              <w:t>around us.</w:t>
            </w:r>
          </w:p>
        </w:tc>
        <w:tc>
          <w:tcPr>
            <w:tcW w:w="3700" w:type="dxa"/>
            <w:vAlign w:val="bottom"/>
            <w:shd w:val="clear" w:color="auto" w:fill="ECEDEF"/>
          </w:tcPr>
          <w:p>
            <w:pPr>
              <w:spacing w:after="0"/>
              <w:rPr>
                <w:sz w:val="18"/>
                <w:szCs w:val="18"/>
                <w:color w:val="auto"/>
              </w:rPr>
            </w:pPr>
          </w:p>
        </w:tc>
      </w:tr>
      <w:tr>
        <w:trPr>
          <w:trHeight w:val="162"/>
        </w:trPr>
        <w:tc>
          <w:tcPr>
            <w:tcW w:w="3540" w:type="dxa"/>
            <w:vAlign w:val="bottom"/>
            <w:shd w:val="clear" w:color="auto" w:fill="ECEDEF"/>
          </w:tcPr>
          <w:p>
            <w:pPr>
              <w:spacing w:after="0"/>
              <w:rPr>
                <w:sz w:val="14"/>
                <w:szCs w:val="14"/>
                <w:color w:val="auto"/>
              </w:rPr>
            </w:pPr>
          </w:p>
        </w:tc>
        <w:tc>
          <w:tcPr>
            <w:tcW w:w="260" w:type="dxa"/>
            <w:vAlign w:val="bottom"/>
            <w:shd w:val="clear" w:color="auto" w:fill="ECEDEF"/>
          </w:tcPr>
          <w:p>
            <w:pPr>
              <w:spacing w:after="0"/>
              <w:rPr>
                <w:sz w:val="14"/>
                <w:szCs w:val="14"/>
                <w:color w:val="auto"/>
              </w:rPr>
            </w:pPr>
          </w:p>
        </w:tc>
        <w:tc>
          <w:tcPr>
            <w:tcW w:w="3500" w:type="dxa"/>
            <w:vAlign w:val="bottom"/>
            <w:shd w:val="clear" w:color="auto" w:fill="ECEDEF"/>
          </w:tcPr>
          <w:p>
            <w:pPr>
              <w:spacing w:after="0"/>
              <w:rPr>
                <w:sz w:val="14"/>
                <w:szCs w:val="14"/>
                <w:color w:val="auto"/>
              </w:rPr>
            </w:pPr>
          </w:p>
        </w:tc>
        <w:tc>
          <w:tcPr>
            <w:tcW w:w="240" w:type="dxa"/>
            <w:vAlign w:val="bottom"/>
            <w:shd w:val="clear" w:color="auto" w:fill="ECEDEF"/>
          </w:tcPr>
          <w:p>
            <w:pPr>
              <w:spacing w:after="0"/>
              <w:rPr>
                <w:sz w:val="14"/>
                <w:szCs w:val="14"/>
                <w:color w:val="auto"/>
              </w:rPr>
            </w:pPr>
          </w:p>
        </w:tc>
        <w:tc>
          <w:tcPr>
            <w:tcW w:w="3700" w:type="dxa"/>
            <w:vAlign w:val="bottom"/>
            <w:shd w:val="clear" w:color="auto" w:fill="ECEDE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wp:posOffset>
            </wp:positionH>
            <wp:positionV relativeFrom="paragraph">
              <wp:posOffset>-1478915</wp:posOffset>
            </wp:positionV>
            <wp:extent cx="5194935" cy="14795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94935" cy="1479550"/>
                    </a:xfrm>
                    <a:prstGeom prst="rect">
                      <a:avLst/>
                    </a:prstGeom>
                    <a:noFill/>
                  </pic:spPr>
                </pic:pic>
              </a:graphicData>
            </a:graphic>
          </wp:anchor>
        </w:drawing>
      </w:r>
    </w:p>
    <w:p>
      <w:pPr>
        <w:spacing w:after="0" w:line="196" w:lineRule="exact"/>
        <w:rPr>
          <w:sz w:val="20"/>
          <w:szCs w:val="20"/>
          <w:color w:val="auto"/>
        </w:rPr>
      </w:pPr>
    </w:p>
    <w:p>
      <w:pPr>
        <w:ind w:left="260" w:hanging="253"/>
        <w:spacing w:after="0"/>
        <w:tabs>
          <w:tab w:leader="none" w:pos="260" w:val="left"/>
        </w:tabs>
        <w:numPr>
          <w:ilvl w:val="0"/>
          <w:numId w:val="112"/>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SHAREOWNER ENGAGEMENT AND RESPONSIVENESS</w:t>
      </w:r>
    </w:p>
    <w:p>
      <w:pPr>
        <w:spacing w:after="0" w:line="232"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With the Board’s engagement, we also developed an ESG roadmap with a focus on goal setting and disclosure. In the second quarter of 2022, we will be publishing our first ESG Report. This report will outline the progress we made in 2021 toward our three focus areas, in addition to our future aspirations.</w:t>
      </w:r>
    </w:p>
    <w:p>
      <w:pPr>
        <w:spacing w:after="0" w:line="197"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In furtherance of this commitment and to drive accountability across the organization, the Human Capital &amp; Compensation Committee approved the addition of a Corporate Responsibility Scorecard to our Executive Annual Incentive Plan—incentivizing leaders across the Company to strategically work toward our ESG priorities. See pages 48-51 for details.</w:t>
      </w:r>
    </w:p>
    <w:p>
      <w:pPr>
        <w:spacing w:after="0" w:line="202"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In addition, given the importance of ESG to our values and strategy and the initiatives underway, during 2021 the Board considered its oversight of ESG, and amended the charters of the Governance Committee and the Human Capital &amp; Compensation Committee to clarify and enhance oversight responsibility for certain ESG topics. The Governance Committee has primary oversight responsibility for several important ESG topics, including sustainability, health and safety and human rights and the Human Capital &amp; Compensation Committee now has oversight for the Company’s human capital function, including employee diversity, equity and inclusion. In addition, the Audit Committee and the Special Activities Committee also regularly review ESG topics for which they have responsibility.</w:t>
      </w:r>
    </w:p>
    <w:p>
      <w:pPr>
        <w:spacing w:after="0" w:line="17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Shareowner Engagement and Responsiveness</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The Board and management believe in transparent and open communication with investors. Over the years, these engagements have improved our corporate governance practices, increased shareowner rights, enhanced the Board’s composition, and improved the design and disclosure of our executive compensation program.</w:t>
      </w:r>
    </w:p>
    <w:p>
      <w:pPr>
        <w:spacing w:after="0" w:line="202"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We regularly communicate with our investors throughout the year, including through calls, one-on-one and small group meetings, our Investor Day event and other conferences and events. We also engage with our investors in the spring after our Proxy Statement is filed, as well as outside of proxy season, typically in the late summer and fall, when we solicit feedback on our executive compensation program, ESG initiatives, and corporate governance practices.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SHAREOWNER ENGAGEMENT IN 2021</w:t>
      </w:r>
    </w:p>
    <w:p>
      <w:pPr>
        <w:spacing w:after="0" w:line="194" w:lineRule="exact"/>
        <w:rPr>
          <w:sz w:val="20"/>
          <w:szCs w:val="20"/>
          <w:color w:val="auto"/>
        </w:rPr>
      </w:pPr>
    </w:p>
    <w:p>
      <w:pPr>
        <w:spacing w:after="0"/>
        <w:tabs>
          <w:tab w:leader="none" w:pos="1160" w:val="left"/>
          <w:tab w:leader="none" w:pos="2380" w:val="left"/>
          <w:tab w:leader="none" w:pos="5240" w:val="left"/>
          <w:tab w:leader="none" w:pos="8520" w:val="left"/>
        </w:tabs>
        <w:rPr>
          <w:sz w:val="20"/>
          <w:szCs w:val="20"/>
          <w:color w:val="auto"/>
        </w:rPr>
      </w:pPr>
      <w:r>
        <w:rPr>
          <w:rFonts w:ascii="Arial" w:cs="Arial" w:eastAsia="Arial" w:hAnsi="Arial"/>
          <w:sz w:val="21"/>
          <w:szCs w:val="21"/>
          <w:b w:val="1"/>
          <w:bCs w:val="1"/>
          <w:color w:val="auto"/>
        </w:rPr>
        <w:t>When</w:t>
      </w:r>
      <w:r>
        <w:rPr>
          <w:sz w:val="20"/>
          <w:szCs w:val="20"/>
          <w:color w:val="auto"/>
        </w:rPr>
        <w:tab/>
      </w:r>
      <w:r>
        <w:rPr>
          <w:rFonts w:ascii="Arial" w:cs="Arial" w:eastAsia="Arial" w:hAnsi="Arial"/>
          <w:sz w:val="21"/>
          <w:szCs w:val="21"/>
          <w:b w:val="1"/>
          <w:bCs w:val="1"/>
          <w:color w:val="auto"/>
        </w:rPr>
        <w:t>Who</w:t>
      </w:r>
      <w:r>
        <w:rPr>
          <w:sz w:val="20"/>
          <w:szCs w:val="20"/>
          <w:color w:val="auto"/>
        </w:rPr>
        <w:tab/>
      </w:r>
      <w:r>
        <w:rPr>
          <w:rFonts w:ascii="Arial" w:cs="Arial" w:eastAsia="Arial" w:hAnsi="Arial"/>
          <w:sz w:val="21"/>
          <w:szCs w:val="21"/>
          <w:b w:val="1"/>
          <w:bCs w:val="1"/>
          <w:color w:val="auto"/>
        </w:rPr>
        <w:t>Topics</w:t>
      </w:r>
      <w:r>
        <w:rPr>
          <w:sz w:val="20"/>
          <w:szCs w:val="20"/>
          <w:color w:val="auto"/>
        </w:rPr>
        <w:tab/>
      </w:r>
      <w:r>
        <w:rPr>
          <w:rFonts w:ascii="Arial" w:cs="Arial" w:eastAsia="Arial" w:hAnsi="Arial"/>
          <w:sz w:val="21"/>
          <w:szCs w:val="21"/>
          <w:b w:val="1"/>
          <w:bCs w:val="1"/>
          <w:color w:val="auto"/>
        </w:rPr>
        <w:t>Objectives</w:t>
      </w:r>
      <w:r>
        <w:rPr>
          <w:sz w:val="20"/>
          <w:szCs w:val="20"/>
          <w:color w:val="auto"/>
        </w:rPr>
        <w:tab/>
      </w:r>
      <w:r>
        <w:rPr>
          <w:rFonts w:ascii="Arial" w:cs="Arial" w:eastAsia="Arial" w:hAnsi="Arial"/>
          <w:sz w:val="21"/>
          <w:szCs w:val="21"/>
          <w:b w:val="1"/>
          <w:bCs w:val="1"/>
          <w:color w:val="auto"/>
        </w:rPr>
        <w:t>Outcome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713359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25"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4"/>
          <w:szCs w:val="14"/>
          <w:color w:val="auto"/>
        </w:rPr>
        <w:t>Summer and</w:t>
      </w:r>
      <w:r>
        <w:rPr>
          <w:sz w:val="20"/>
          <w:szCs w:val="20"/>
          <w:color w:val="auto"/>
        </w:rPr>
        <w:tab/>
      </w:r>
      <w:r>
        <w:rPr>
          <w:rFonts w:ascii="Arial" w:cs="Arial" w:eastAsia="Arial" w:hAnsi="Arial"/>
          <w:sz w:val="14"/>
          <w:szCs w:val="14"/>
          <w:b w:val="1"/>
          <w:bCs w:val="1"/>
          <w:color w:val="auto"/>
        </w:rPr>
        <w:t>Institutional</w:t>
      </w:r>
    </w:p>
    <w:p>
      <w:pPr>
        <w:spacing w:after="0" w:line="17" w:lineRule="exact"/>
        <w:rPr>
          <w:sz w:val="20"/>
          <w:szCs w:val="20"/>
          <w:color w:val="auto"/>
        </w:rPr>
      </w:pPr>
    </w:p>
    <w:p>
      <w:pPr>
        <w:ind w:left="60"/>
        <w:spacing w:after="0"/>
        <w:tabs>
          <w:tab w:leader="none" w:pos="1220" w:val="left"/>
        </w:tabs>
        <w:rPr>
          <w:sz w:val="20"/>
          <w:szCs w:val="20"/>
          <w:color w:val="auto"/>
        </w:rPr>
      </w:pPr>
      <w:r>
        <w:rPr>
          <w:rFonts w:ascii="Arial" w:cs="Arial" w:eastAsia="Arial" w:hAnsi="Arial"/>
          <w:sz w:val="14"/>
          <w:szCs w:val="14"/>
          <w:color w:val="auto"/>
        </w:rPr>
        <w:t>fall of 2021</w:t>
      </w:r>
      <w:r>
        <w:rPr>
          <w:sz w:val="20"/>
          <w:szCs w:val="20"/>
          <w:color w:val="auto"/>
        </w:rPr>
        <w:tab/>
      </w:r>
      <w:r>
        <w:rPr>
          <w:rFonts w:ascii="Arial" w:cs="Arial" w:eastAsia="Arial" w:hAnsi="Arial"/>
          <w:sz w:val="14"/>
          <w:szCs w:val="14"/>
          <w:b w:val="1"/>
          <w:bCs w:val="1"/>
          <w:color w:val="auto"/>
        </w:rPr>
        <w:t>investors</w:t>
      </w:r>
    </w:p>
    <w:p>
      <w:pPr>
        <w:ind w:left="1240"/>
        <w:spacing w:after="0"/>
        <w:rPr>
          <w:sz w:val="20"/>
          <w:szCs w:val="20"/>
          <w:color w:val="auto"/>
        </w:rPr>
      </w:pPr>
      <w:r>
        <w:rPr>
          <w:rFonts w:ascii="Arial" w:cs="Arial" w:eastAsia="Arial" w:hAnsi="Arial"/>
          <w:sz w:val="14"/>
          <w:szCs w:val="14"/>
          <w:b w:val="1"/>
          <w:bCs w:val="1"/>
          <w:color w:val="auto"/>
        </w:rPr>
        <w:t>representing</w:t>
      </w:r>
    </w:p>
    <w:p>
      <w:pPr>
        <w:ind w:left="1240"/>
        <w:spacing w:after="0"/>
        <w:rPr>
          <w:sz w:val="20"/>
          <w:szCs w:val="20"/>
          <w:color w:val="auto"/>
        </w:rPr>
      </w:pPr>
      <w:r>
        <w:rPr>
          <w:rFonts w:ascii="Arial" w:cs="Arial" w:eastAsia="Arial" w:hAnsi="Arial"/>
          <w:sz w:val="14"/>
          <w:szCs w:val="14"/>
          <w:b w:val="1"/>
          <w:bCs w:val="1"/>
          <w:color w:val="auto"/>
        </w:rPr>
        <w:t>49% of our</w:t>
      </w:r>
    </w:p>
    <w:p>
      <w:pPr>
        <w:ind w:left="12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2"/>
        </w:trPr>
        <w:tc>
          <w:tcPr>
            <w:tcW w:w="2760" w:type="dxa"/>
            <w:vAlign w:val="bottom"/>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ESG vision/strategy formulation</w:t>
            </w:r>
          </w:p>
        </w:tc>
        <w:tc>
          <w:tcPr>
            <w:tcW w:w="3320" w:type="dxa"/>
            <w:vAlign w:val="bottom"/>
          </w:tcPr>
          <w:p>
            <w:pPr>
              <w:ind w:left="10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Enhance investor understanding of our</w:t>
            </w:r>
          </w:p>
        </w:tc>
        <w:tc>
          <w:tcPr>
            <w:tcW w:w="2760" w:type="dxa"/>
            <w:vAlign w:val="bottom"/>
            <w:shd w:val="clear" w:color="auto" w:fill="ECEDEF"/>
          </w:tcPr>
          <w:p>
            <w:pPr>
              <w:ind w:left="6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Incorporated feedback into our ESG</w:t>
            </w:r>
          </w:p>
        </w:tc>
        <w:tc>
          <w:tcPr>
            <w:tcW w:w="0" w:type="dxa"/>
            <w:vAlign w:val="bottom"/>
          </w:tcPr>
          <w:p>
            <w:pPr>
              <w:spacing w:after="0"/>
              <w:rPr>
                <w:sz w:val="1"/>
                <w:szCs w:val="1"/>
                <w:color w:val="auto"/>
              </w:rPr>
            </w:pPr>
          </w:p>
        </w:tc>
      </w:tr>
      <w:tr>
        <w:trPr>
          <w:trHeight w:val="161"/>
        </w:trPr>
        <w:tc>
          <w:tcPr>
            <w:tcW w:w="2760" w:type="dxa"/>
            <w:vAlign w:val="bottom"/>
            <w:vMerge w:val="restart"/>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ESG accomplishments in the last year</w:t>
            </w:r>
          </w:p>
        </w:tc>
        <w:tc>
          <w:tcPr>
            <w:tcW w:w="3320" w:type="dxa"/>
            <w:vAlign w:val="bottom"/>
          </w:tcPr>
          <w:p>
            <w:pPr>
              <w:ind w:left="280"/>
              <w:spacing w:after="0"/>
              <w:rPr>
                <w:sz w:val="20"/>
                <w:szCs w:val="20"/>
                <w:color w:val="auto"/>
              </w:rPr>
            </w:pPr>
            <w:r>
              <w:rPr>
                <w:rFonts w:ascii="Arial" w:cs="Arial" w:eastAsia="Arial" w:hAnsi="Arial"/>
                <w:sz w:val="14"/>
                <w:szCs w:val="14"/>
                <w:color w:val="auto"/>
              </w:rPr>
              <w:t>ESG journey, including our areas of</w:t>
            </w: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roadmap, as well as the content of our</w:t>
            </w:r>
          </w:p>
        </w:tc>
        <w:tc>
          <w:tcPr>
            <w:tcW w:w="0" w:type="dxa"/>
            <w:vAlign w:val="bottom"/>
          </w:tcPr>
          <w:p>
            <w:pPr>
              <w:spacing w:after="0"/>
              <w:rPr>
                <w:sz w:val="1"/>
                <w:szCs w:val="1"/>
                <w:color w:val="auto"/>
              </w:rPr>
            </w:pPr>
          </w:p>
        </w:tc>
      </w:tr>
      <w:tr>
        <w:trPr>
          <w:trHeight w:val="83"/>
        </w:trPr>
        <w:tc>
          <w:tcPr>
            <w:tcW w:w="2760" w:type="dxa"/>
            <w:vAlign w:val="bottom"/>
            <w:vMerge w:val="continue"/>
          </w:tcPr>
          <w:p>
            <w:pPr>
              <w:spacing w:after="0"/>
              <w:rPr>
                <w:sz w:val="7"/>
                <w:szCs w:val="7"/>
                <w:color w:val="auto"/>
              </w:rPr>
            </w:pPr>
          </w:p>
        </w:tc>
        <w:tc>
          <w:tcPr>
            <w:tcW w:w="3320" w:type="dxa"/>
            <w:vAlign w:val="bottom"/>
            <w:vMerge w:val="restart"/>
          </w:tcPr>
          <w:p>
            <w:pPr>
              <w:ind w:left="280"/>
              <w:spacing w:after="0"/>
              <w:rPr>
                <w:sz w:val="20"/>
                <w:szCs w:val="20"/>
                <w:color w:val="auto"/>
              </w:rPr>
            </w:pPr>
            <w:r>
              <w:rPr>
                <w:rFonts w:ascii="Arial" w:cs="Arial" w:eastAsia="Arial" w:hAnsi="Arial"/>
                <w:sz w:val="14"/>
                <w:szCs w:val="14"/>
                <w:color w:val="auto"/>
              </w:rPr>
              <w:t>focus and our roadmap for increased</w:t>
            </w:r>
          </w:p>
        </w:tc>
        <w:tc>
          <w:tcPr>
            <w:tcW w:w="2760" w:type="dxa"/>
            <w:vAlign w:val="bottom"/>
            <w:vMerge w:val="restart"/>
            <w:shd w:val="clear" w:color="auto" w:fill="ECEDEF"/>
          </w:tcPr>
          <w:p>
            <w:pPr>
              <w:ind w:left="240"/>
              <w:spacing w:after="0"/>
              <w:rPr>
                <w:sz w:val="20"/>
                <w:szCs w:val="20"/>
                <w:color w:val="auto"/>
              </w:rPr>
            </w:pPr>
            <w:r>
              <w:rPr>
                <w:rFonts w:ascii="Arial" w:cs="Arial" w:eastAsia="Arial" w:hAnsi="Arial"/>
                <w:sz w:val="14"/>
                <w:szCs w:val="14"/>
                <w:color w:val="auto"/>
              </w:rPr>
              <w:t>first annual RTX ESG Report</w:t>
            </w:r>
          </w:p>
        </w:tc>
        <w:tc>
          <w:tcPr>
            <w:tcW w:w="0" w:type="dxa"/>
            <w:vAlign w:val="bottom"/>
          </w:tcPr>
          <w:p>
            <w:pPr>
              <w:spacing w:after="0"/>
              <w:rPr>
                <w:sz w:val="1"/>
                <w:szCs w:val="1"/>
                <w:color w:val="auto"/>
              </w:rPr>
            </w:pPr>
          </w:p>
        </w:tc>
      </w:tr>
      <w:tr>
        <w:trPr>
          <w:trHeight w:val="77"/>
        </w:trPr>
        <w:tc>
          <w:tcPr>
            <w:tcW w:w="2760" w:type="dxa"/>
            <w:vAlign w:val="bottom"/>
            <w:vMerge w:val="restart"/>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Specific ESG areas, such as energy</w:t>
            </w:r>
          </w:p>
        </w:tc>
        <w:tc>
          <w:tcPr>
            <w:tcW w:w="3320" w:type="dxa"/>
            <w:vAlign w:val="bottom"/>
            <w:vMerge w:val="continue"/>
          </w:tcPr>
          <w:p>
            <w:pPr>
              <w:spacing w:after="0"/>
              <w:rPr>
                <w:sz w:val="6"/>
                <w:szCs w:val="6"/>
                <w:color w:val="auto"/>
              </w:rPr>
            </w:pPr>
          </w:p>
        </w:tc>
        <w:tc>
          <w:tcPr>
            <w:tcW w:w="2760" w:type="dxa"/>
            <w:vAlign w:val="bottom"/>
            <w:vMerge w:val="continue"/>
            <w:shd w:val="clear" w:color="auto" w:fill="ECEDEF"/>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2760" w:type="dxa"/>
            <w:vAlign w:val="bottom"/>
            <w:vMerge w:val="continue"/>
          </w:tcPr>
          <w:p>
            <w:pPr>
              <w:spacing w:after="0"/>
              <w:rPr>
                <w:sz w:val="11"/>
                <w:szCs w:val="11"/>
                <w:color w:val="auto"/>
              </w:rPr>
            </w:pPr>
          </w:p>
        </w:tc>
        <w:tc>
          <w:tcPr>
            <w:tcW w:w="3320" w:type="dxa"/>
            <w:vAlign w:val="bottom"/>
          </w:tcPr>
          <w:p>
            <w:pPr>
              <w:ind w:left="280"/>
              <w:spacing w:after="0" w:line="129" w:lineRule="exact"/>
              <w:rPr>
                <w:sz w:val="20"/>
                <w:szCs w:val="20"/>
                <w:color w:val="auto"/>
              </w:rPr>
            </w:pPr>
            <w:r>
              <w:rPr>
                <w:rFonts w:ascii="Arial" w:cs="Arial" w:eastAsia="Arial" w:hAnsi="Arial"/>
                <w:sz w:val="14"/>
                <w:szCs w:val="14"/>
                <w:color w:val="auto"/>
              </w:rPr>
              <w:t>transparency and accountability</w:t>
            </w:r>
          </w:p>
        </w:tc>
        <w:tc>
          <w:tcPr>
            <w:tcW w:w="2760" w:type="dxa"/>
            <w:vAlign w:val="bottom"/>
            <w:shd w:val="clear" w:color="auto" w:fill="ECEDEF"/>
          </w:tcPr>
          <w:p>
            <w:pPr>
              <w:ind w:left="240"/>
              <w:spacing w:after="0" w:line="129" w:lineRule="exact"/>
              <w:rPr>
                <w:sz w:val="20"/>
                <w:szCs w:val="20"/>
                <w:color w:val="auto"/>
              </w:rPr>
            </w:pPr>
            <w:r>
              <w:rPr>
                <w:rFonts w:ascii="Arial" w:cs="Arial" w:eastAsia="Arial" w:hAnsi="Arial"/>
                <w:sz w:val="14"/>
                <w:szCs w:val="14"/>
                <w:color w:val="auto"/>
              </w:rPr>
              <w:t>(scheduled to be published in the</w:t>
            </w:r>
          </w:p>
        </w:tc>
        <w:tc>
          <w:tcPr>
            <w:tcW w:w="0" w:type="dxa"/>
            <w:vAlign w:val="bottom"/>
          </w:tcPr>
          <w:p>
            <w:pPr>
              <w:spacing w:after="0"/>
              <w:rPr>
                <w:sz w:val="1"/>
                <w:szCs w:val="1"/>
                <w:color w:val="auto"/>
              </w:rPr>
            </w:pPr>
          </w:p>
        </w:tc>
      </w:tr>
      <w:tr>
        <w:trPr>
          <w:trHeight w:val="139"/>
        </w:trPr>
        <w:tc>
          <w:tcPr>
            <w:tcW w:w="2760" w:type="dxa"/>
            <w:vAlign w:val="bottom"/>
          </w:tcPr>
          <w:p>
            <w:pPr>
              <w:ind w:left="220"/>
              <w:spacing w:after="0" w:line="139" w:lineRule="exact"/>
              <w:rPr>
                <w:sz w:val="20"/>
                <w:szCs w:val="20"/>
                <w:color w:val="auto"/>
              </w:rPr>
            </w:pPr>
            <w:r>
              <w:rPr>
                <w:rFonts w:ascii="Arial" w:cs="Arial" w:eastAsia="Arial" w:hAnsi="Arial"/>
                <w:sz w:val="14"/>
                <w:szCs w:val="14"/>
                <w:color w:val="auto"/>
              </w:rPr>
              <w:t>and greenhouse gas emissions,</w:t>
            </w:r>
          </w:p>
        </w:tc>
        <w:tc>
          <w:tcPr>
            <w:tcW w:w="3320" w:type="dxa"/>
            <w:vAlign w:val="bottom"/>
          </w:tcPr>
          <w:p>
            <w:pPr>
              <w:spacing w:after="0"/>
              <w:rPr>
                <w:sz w:val="12"/>
                <w:szCs w:val="12"/>
                <w:color w:val="auto"/>
              </w:rPr>
            </w:pPr>
          </w:p>
        </w:tc>
        <w:tc>
          <w:tcPr>
            <w:tcW w:w="2760" w:type="dxa"/>
            <w:vAlign w:val="bottom"/>
            <w:vMerge w:val="restart"/>
            <w:shd w:val="clear" w:color="auto" w:fill="ECEDEF"/>
          </w:tcPr>
          <w:p>
            <w:pPr>
              <w:ind w:left="240"/>
              <w:spacing w:after="0"/>
              <w:rPr>
                <w:sz w:val="20"/>
                <w:szCs w:val="20"/>
                <w:color w:val="auto"/>
              </w:rPr>
            </w:pPr>
            <w:r>
              <w:rPr>
                <w:rFonts w:ascii="Arial" w:cs="Arial" w:eastAsia="Arial" w:hAnsi="Arial"/>
                <w:sz w:val="14"/>
                <w:szCs w:val="14"/>
                <w:color w:val="auto"/>
              </w:rPr>
              <w:t>second quarter of 2022)</w:t>
            </w:r>
          </w:p>
        </w:tc>
        <w:tc>
          <w:tcPr>
            <w:tcW w:w="0" w:type="dxa"/>
            <w:vAlign w:val="bottom"/>
          </w:tcPr>
          <w:p>
            <w:pPr>
              <w:spacing w:after="0"/>
              <w:rPr>
                <w:sz w:val="1"/>
                <w:szCs w:val="1"/>
                <w:color w:val="auto"/>
              </w:rPr>
            </w:pPr>
          </w:p>
        </w:tc>
      </w:tr>
      <w:tr>
        <w:trPr>
          <w:trHeight w:val="64"/>
        </w:trPr>
        <w:tc>
          <w:tcPr>
            <w:tcW w:w="2760" w:type="dxa"/>
            <w:vAlign w:val="bottom"/>
            <w:vMerge w:val="restart"/>
          </w:tcPr>
          <w:p>
            <w:pPr>
              <w:ind w:left="220"/>
              <w:spacing w:after="0"/>
              <w:rPr>
                <w:sz w:val="20"/>
                <w:szCs w:val="20"/>
                <w:color w:val="auto"/>
              </w:rPr>
            </w:pPr>
            <w:r>
              <w:rPr>
                <w:rFonts w:ascii="Arial" w:cs="Arial" w:eastAsia="Arial" w:hAnsi="Arial"/>
                <w:sz w:val="14"/>
                <w:szCs w:val="14"/>
                <w:color w:val="auto"/>
              </w:rPr>
              <w:t>human rights, DE&amp;I and sustainable</w:t>
            </w:r>
          </w:p>
        </w:tc>
        <w:tc>
          <w:tcPr>
            <w:tcW w:w="3320" w:type="dxa"/>
            <w:vAlign w:val="bottom"/>
          </w:tcPr>
          <w:p>
            <w:pPr>
              <w:spacing w:after="0"/>
              <w:rPr>
                <w:sz w:val="5"/>
                <w:szCs w:val="5"/>
                <w:color w:val="auto"/>
              </w:rPr>
            </w:pPr>
          </w:p>
        </w:tc>
        <w:tc>
          <w:tcPr>
            <w:tcW w:w="2760" w:type="dxa"/>
            <w:vAlign w:val="bottom"/>
            <w:vMerge w:val="continue"/>
            <w:shd w:val="clear" w:color="auto" w:fill="ECEDEF"/>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276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2760" w:type="dxa"/>
            <w:vAlign w:val="bottom"/>
            <w:shd w:val="clear" w:color="auto" w:fill="ECEDEF"/>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20"/>
              <w:spacing w:after="0"/>
              <w:rPr>
                <w:sz w:val="20"/>
                <w:szCs w:val="20"/>
                <w:color w:val="auto"/>
              </w:rPr>
            </w:pPr>
            <w:r>
              <w:rPr>
                <w:rFonts w:ascii="Arial" w:cs="Arial" w:eastAsia="Arial" w:hAnsi="Arial"/>
                <w:sz w:val="14"/>
                <w:szCs w:val="14"/>
                <w:color w:val="auto"/>
              </w:rPr>
              <w:t>technology/innovation</w:t>
            </w:r>
          </w:p>
        </w:tc>
        <w:tc>
          <w:tcPr>
            <w:tcW w:w="3320" w:type="dxa"/>
            <w:vAlign w:val="bottom"/>
          </w:tcPr>
          <w:p>
            <w:pPr>
              <w:spacing w:after="0"/>
              <w:rPr>
                <w:sz w:val="14"/>
                <w:szCs w:val="14"/>
                <w:color w:val="auto"/>
              </w:rPr>
            </w:pPr>
          </w:p>
        </w:tc>
        <w:tc>
          <w:tcPr>
            <w:tcW w:w="276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7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Charter supermajority voting provision</w:t>
            </w:r>
          </w:p>
        </w:tc>
        <w:tc>
          <w:tcPr>
            <w:tcW w:w="3320" w:type="dxa"/>
            <w:vAlign w:val="bottom"/>
          </w:tcPr>
          <w:p>
            <w:pPr>
              <w:ind w:left="10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Obtain feedback on charter</w:t>
            </w:r>
          </w:p>
        </w:tc>
        <w:tc>
          <w:tcPr>
            <w:tcW w:w="2760" w:type="dxa"/>
            <w:vAlign w:val="bottom"/>
            <w:shd w:val="clear" w:color="auto" w:fill="ECEDEF"/>
          </w:tcPr>
          <w:p>
            <w:pPr>
              <w:ind w:left="6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Developed a two-step approach to</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3320" w:type="dxa"/>
            <w:vAlign w:val="bottom"/>
          </w:tcPr>
          <w:p>
            <w:pPr>
              <w:ind w:left="280"/>
              <w:spacing w:after="0"/>
              <w:rPr>
                <w:sz w:val="20"/>
                <w:szCs w:val="20"/>
                <w:color w:val="auto"/>
              </w:rPr>
            </w:pPr>
            <w:r>
              <w:rPr>
                <w:rFonts w:ascii="Arial" w:cs="Arial" w:eastAsia="Arial" w:hAnsi="Arial"/>
                <w:sz w:val="14"/>
                <w:szCs w:val="14"/>
                <w:color w:val="auto"/>
              </w:rPr>
              <w:t>supermajority voting provision</w:t>
            </w: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repeal supermajority voting provision</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and recommended shareowner</w:t>
            </w:r>
          </w:p>
        </w:tc>
        <w:tc>
          <w:tcPr>
            <w:tcW w:w="0" w:type="dxa"/>
            <w:vAlign w:val="bottom"/>
          </w:tcPr>
          <w:p>
            <w:pPr>
              <w:spacing w:after="0"/>
              <w:rPr>
                <w:sz w:val="1"/>
                <w:szCs w:val="1"/>
                <w:color w:val="auto"/>
              </w:rPr>
            </w:pPr>
          </w:p>
        </w:tc>
      </w:tr>
      <w:tr>
        <w:trPr>
          <w:trHeight w:val="161"/>
        </w:trPr>
        <w:tc>
          <w:tcPr>
            <w:tcW w:w="27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approval of the first step (see Proposal</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4 on pages 90-91)</w:t>
            </w:r>
          </w:p>
        </w:tc>
        <w:tc>
          <w:tcPr>
            <w:tcW w:w="0" w:type="dxa"/>
            <w:vAlign w:val="bottom"/>
          </w:tcPr>
          <w:p>
            <w:pPr>
              <w:spacing w:after="0"/>
              <w:rPr>
                <w:sz w:val="1"/>
                <w:szCs w:val="1"/>
                <w:color w:val="auto"/>
              </w:rPr>
            </w:pPr>
          </w:p>
        </w:tc>
      </w:tr>
      <w:tr>
        <w:trPr>
          <w:trHeight w:val="119"/>
        </w:trPr>
        <w:tc>
          <w:tcPr>
            <w:tcW w:w="27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shd w:val="clear" w:color="auto" w:fill="ECEDEF"/>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2760" w:type="dxa"/>
            <w:vAlign w:val="bottom"/>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Key elements of 2021 executive</w:t>
            </w:r>
          </w:p>
        </w:tc>
        <w:tc>
          <w:tcPr>
            <w:tcW w:w="3320" w:type="dxa"/>
            <w:vAlign w:val="bottom"/>
          </w:tcPr>
          <w:p>
            <w:pPr>
              <w:ind w:left="10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Enhance investor understanding of,</w:t>
            </w:r>
          </w:p>
        </w:tc>
        <w:tc>
          <w:tcPr>
            <w:tcW w:w="2760" w:type="dxa"/>
            <w:vAlign w:val="bottom"/>
            <w:shd w:val="clear" w:color="auto" w:fill="ECEDEF"/>
          </w:tcPr>
          <w:p>
            <w:pPr>
              <w:ind w:left="6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Provided feedback to Human Capital &amp;</w:t>
            </w:r>
          </w:p>
        </w:tc>
        <w:tc>
          <w:tcPr>
            <w:tcW w:w="0" w:type="dxa"/>
            <w:vAlign w:val="bottom"/>
          </w:tcPr>
          <w:p>
            <w:pPr>
              <w:spacing w:after="0"/>
              <w:rPr>
                <w:sz w:val="1"/>
                <w:szCs w:val="1"/>
                <w:color w:val="auto"/>
              </w:rPr>
            </w:pPr>
          </w:p>
        </w:tc>
      </w:tr>
      <w:tr>
        <w:trPr>
          <w:trHeight w:val="161"/>
        </w:trPr>
        <w:tc>
          <w:tcPr>
            <w:tcW w:w="2760" w:type="dxa"/>
            <w:vAlign w:val="bottom"/>
          </w:tcPr>
          <w:p>
            <w:pPr>
              <w:ind w:left="220"/>
              <w:spacing w:after="0"/>
              <w:rPr>
                <w:sz w:val="20"/>
                <w:szCs w:val="20"/>
                <w:color w:val="auto"/>
              </w:rPr>
            </w:pPr>
            <w:r>
              <w:rPr>
                <w:rFonts w:ascii="Arial" w:cs="Arial" w:eastAsia="Arial" w:hAnsi="Arial"/>
                <w:sz w:val="14"/>
                <w:szCs w:val="14"/>
                <w:color w:val="auto"/>
              </w:rPr>
              <w:t>compensation program</w:t>
            </w:r>
          </w:p>
        </w:tc>
        <w:tc>
          <w:tcPr>
            <w:tcW w:w="3320" w:type="dxa"/>
            <w:vAlign w:val="bottom"/>
          </w:tcPr>
          <w:p>
            <w:pPr>
              <w:ind w:left="280"/>
              <w:spacing w:after="0"/>
              <w:rPr>
                <w:sz w:val="20"/>
                <w:szCs w:val="20"/>
                <w:color w:val="auto"/>
              </w:rPr>
            </w:pPr>
            <w:r>
              <w:rPr>
                <w:rFonts w:ascii="Arial" w:cs="Arial" w:eastAsia="Arial" w:hAnsi="Arial"/>
                <w:sz w:val="14"/>
                <w:szCs w:val="14"/>
                <w:color w:val="auto"/>
              </w:rPr>
              <w:t>and obtain feedback on, our executive</w:t>
            </w:r>
          </w:p>
        </w:tc>
        <w:tc>
          <w:tcPr>
            <w:tcW w:w="2760" w:type="dxa"/>
            <w:vAlign w:val="bottom"/>
            <w:shd w:val="clear" w:color="auto" w:fill="ECEDEF"/>
          </w:tcPr>
          <w:p>
            <w:pPr>
              <w:ind w:left="240"/>
              <w:spacing w:after="0"/>
              <w:rPr>
                <w:sz w:val="20"/>
                <w:szCs w:val="20"/>
                <w:color w:val="auto"/>
              </w:rPr>
            </w:pPr>
            <w:r>
              <w:rPr>
                <w:rFonts w:ascii="Arial" w:cs="Arial" w:eastAsia="Arial" w:hAnsi="Arial"/>
                <w:sz w:val="14"/>
                <w:szCs w:val="14"/>
                <w:color w:val="auto"/>
              </w:rPr>
              <w:t>Compensation Committee</w:t>
            </w:r>
          </w:p>
        </w:tc>
        <w:tc>
          <w:tcPr>
            <w:tcW w:w="0" w:type="dxa"/>
            <w:vAlign w:val="bottom"/>
          </w:tcPr>
          <w:p>
            <w:pPr>
              <w:spacing w:after="0"/>
              <w:rPr>
                <w:sz w:val="1"/>
                <w:szCs w:val="1"/>
                <w:color w:val="auto"/>
              </w:rPr>
            </w:pPr>
          </w:p>
        </w:tc>
      </w:tr>
      <w:tr>
        <w:trPr>
          <w:trHeight w:val="171"/>
        </w:trPr>
        <w:tc>
          <w:tcPr>
            <w:tcW w:w="2760" w:type="dxa"/>
            <w:vAlign w:val="bottom"/>
            <w:vMerge w:val="restart"/>
          </w:tcPr>
          <w:p>
            <w:pPr>
              <w:ind w:left="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4"/>
                <w:szCs w:val="14"/>
                <w:color w:val="000000"/>
              </w:rPr>
              <w:t>Potential enhancements to 2022</w:t>
            </w:r>
          </w:p>
        </w:tc>
        <w:tc>
          <w:tcPr>
            <w:tcW w:w="3320" w:type="dxa"/>
            <w:vAlign w:val="bottom"/>
          </w:tcPr>
          <w:p>
            <w:pPr>
              <w:ind w:left="280"/>
              <w:spacing w:after="0"/>
              <w:rPr>
                <w:sz w:val="20"/>
                <w:szCs w:val="20"/>
                <w:color w:val="auto"/>
              </w:rPr>
            </w:pPr>
            <w:r>
              <w:rPr>
                <w:rFonts w:ascii="Arial" w:cs="Arial" w:eastAsia="Arial" w:hAnsi="Arial"/>
                <w:sz w:val="14"/>
                <w:szCs w:val="14"/>
                <w:color w:val="auto"/>
              </w:rPr>
              <w:t>compensation program</w:t>
            </w:r>
          </w:p>
        </w:tc>
        <w:tc>
          <w:tcPr>
            <w:tcW w:w="276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760" w:type="dxa"/>
            <w:vAlign w:val="bottom"/>
            <w:vMerge w:val="continue"/>
          </w:tcPr>
          <w:p>
            <w:pPr>
              <w:spacing w:after="0"/>
              <w:rPr>
                <w:sz w:val="3"/>
                <w:szCs w:val="3"/>
                <w:color w:val="auto"/>
              </w:rPr>
            </w:pPr>
          </w:p>
        </w:tc>
        <w:tc>
          <w:tcPr>
            <w:tcW w:w="3320" w:type="dxa"/>
            <w:vAlign w:val="bottom"/>
          </w:tcPr>
          <w:p>
            <w:pPr>
              <w:spacing w:after="0"/>
              <w:rPr>
                <w:sz w:val="3"/>
                <w:szCs w:val="3"/>
                <w:color w:val="auto"/>
              </w:rPr>
            </w:pPr>
          </w:p>
        </w:tc>
        <w:tc>
          <w:tcPr>
            <w:tcW w:w="2760" w:type="dxa"/>
            <w:vAlign w:val="bottom"/>
            <w:shd w:val="clear" w:color="auto" w:fill="ECEDEF"/>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760" w:type="dxa"/>
            <w:vAlign w:val="bottom"/>
          </w:tcPr>
          <w:p>
            <w:pPr>
              <w:ind w:left="220"/>
              <w:spacing w:after="0"/>
              <w:rPr>
                <w:sz w:val="20"/>
                <w:szCs w:val="20"/>
                <w:color w:val="auto"/>
              </w:rPr>
            </w:pPr>
            <w:r>
              <w:rPr>
                <w:rFonts w:ascii="Arial" w:cs="Arial" w:eastAsia="Arial" w:hAnsi="Arial"/>
                <w:sz w:val="14"/>
                <w:szCs w:val="14"/>
                <w:color w:val="auto"/>
              </w:rPr>
              <w:t>program</w:t>
            </w:r>
          </w:p>
        </w:tc>
        <w:tc>
          <w:tcPr>
            <w:tcW w:w="3320" w:type="dxa"/>
            <w:vAlign w:val="bottom"/>
          </w:tcPr>
          <w:p>
            <w:pPr>
              <w:spacing w:after="0"/>
              <w:rPr>
                <w:sz w:val="14"/>
                <w:szCs w:val="14"/>
                <w:color w:val="auto"/>
              </w:rPr>
            </w:pPr>
          </w:p>
        </w:tc>
        <w:tc>
          <w:tcPr>
            <w:tcW w:w="2760" w:type="dxa"/>
            <w:vAlign w:val="bottom"/>
            <w:shd w:val="clear" w:color="auto" w:fill="ECEDEF"/>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7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2760" w:type="dxa"/>
            <w:vAlign w:val="bottom"/>
            <w:shd w:val="clear" w:color="auto" w:fill="ECEDEF"/>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-1518920</wp:posOffset>
            </wp:positionH>
            <wp:positionV relativeFrom="paragraph">
              <wp:posOffset>-7620</wp:posOffset>
            </wp:positionV>
            <wp:extent cx="71335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-2014220</wp:posOffset>
            </wp:positionV>
            <wp:extent cx="170180" cy="2889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0180" cy="28892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-1189990</wp:posOffset>
            </wp:positionV>
            <wp:extent cx="170180" cy="28892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0180" cy="288925"/>
                    </a:xfrm>
                    <a:prstGeom prst="rect">
                      <a:avLst/>
                    </a:prstGeom>
                    <a:noFill/>
                  </pic:spPr>
                </pic:pic>
              </a:graphicData>
            </a:graphic>
          </wp:anchor>
        </w:drawing>
        <w:drawing>
          <wp:anchor simplePos="0" relativeHeight="251657728" behindDoc="1" locked="0" layoutInCell="0" allowOverlap="1">
            <wp:simplePos x="0" y="0"/>
            <wp:positionH relativeFrom="column">
              <wp:posOffset>3624580</wp:posOffset>
            </wp:positionH>
            <wp:positionV relativeFrom="paragraph">
              <wp:posOffset>-535305</wp:posOffset>
            </wp:positionV>
            <wp:extent cx="170180" cy="28892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0180" cy="288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00" w:space="300"/>
            <w:col w:w="8840"/>
          </w:cols>
          <w:pgMar w:left="320" w:top="118" w:right="339" w:bottom="1440" w:gutter="0" w:footer="0" w:header="0"/>
          <w:type w:val="continuous"/>
        </w:sectPr>
      </w:pPr>
    </w:p>
    <w:p>
      <w:pPr>
        <w:spacing w:after="0" w:line="48" w:lineRule="exact"/>
        <w:rPr>
          <w:sz w:val="20"/>
          <w:szCs w:val="20"/>
          <w:color w:val="auto"/>
        </w:rPr>
      </w:pPr>
    </w:p>
    <w:p>
      <w:pPr>
        <w:ind w:left="4500" w:right="80"/>
        <w:spacing w:after="0" w:line="247" w:lineRule="auto"/>
        <w:rPr>
          <w:sz w:val="20"/>
          <w:szCs w:val="20"/>
          <w:color w:val="auto"/>
        </w:rPr>
      </w:pPr>
      <w:r>
        <w:rPr>
          <w:rFonts w:ascii="Arial" w:cs="Arial" w:eastAsia="Arial" w:hAnsi="Arial"/>
          <w:sz w:val="21"/>
          <w:szCs w:val="21"/>
          <w:color w:val="auto"/>
        </w:rPr>
        <w:t>In 2021, we engaged with institutional investors holding RTX Common Stock representing over 49% of our shares outstanding on ESG and compensation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2861310</wp:posOffset>
            </wp:positionH>
            <wp:positionV relativeFrom="paragraph">
              <wp:posOffset>23495</wp:posOffset>
            </wp:positionV>
            <wp:extent cx="427672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76725" cy="25400"/>
                    </a:xfrm>
                    <a:prstGeom prst="rect">
                      <a:avLst/>
                    </a:prstGeom>
                    <a:noFill/>
                  </pic:spPr>
                </pic:pic>
              </a:graphicData>
            </a:graphic>
          </wp:anchor>
        </w:drawing>
      </w:r>
    </w:p>
    <w:p>
      <w:pPr>
        <w:spacing w:after="0" w:line="260"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CORPORATE GOVERNANCE </w:t>
      </w:r>
      <w:r>
        <w:rPr>
          <w:rFonts w:ascii="Arial" w:cs="Arial" w:eastAsia="Arial" w:hAnsi="Arial"/>
          <w:sz w:val="12"/>
          <w:szCs w:val="12"/>
          <w:color w:val="000000"/>
        </w:rPr>
        <w:t>| PUBLIC POLICY ENGAGEMENT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 TO MODERNIZE CHARTER</w:t>
      </w:r>
    </w:p>
    <w:p>
      <w:pPr>
        <w:spacing w:after="0" w:line="174"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As part of our ongoing efforts to be responsive to shareowner feedback and ensure RTX has sound corporate governance practices, at the 2022 Annual Meeting, we are asking shareowners to approve an amendment to Article Ninth of our Restated Certificate of Incorporation. Article Ninth is the only provision in RTX’s governing documents that requires a shareowner supermajority vote. If that amendment is approved, we would then ask our shareowners to repeal Article Ninth in its entirety at the 2023 Annual Meeting. This two-step approach reflects the Board’s commitment to strong governance and accountability to shareowners and the Governance Committee’s careful consideration of recent shareowner feedback. The Board believes this two-step approach is more likely to result in the ultimate elimination of the supermajority voting provision than prior Company proposals, given historic and anticipated future turnout. To read the full proposal, see pages 90-91.</w:t>
      </w:r>
    </w:p>
    <w:p>
      <w:pPr>
        <w:spacing w:after="0" w:line="17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Public Policy Engagement</w:t>
      </w:r>
    </w:p>
    <w:p>
      <w:pPr>
        <w:spacing w:after="0" w:line="21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RTX’s government relations initiatives are intended to educate and inform officials and the public on a broad range of public policy issues that are important to our businesses. These initiatives are based on the Company’s interests and needs—not based on the personal agendas of individual directors, officers or employees—and are conducted in accordance with our Code of Conduct. We also have in place a Government Relations Policy relating to lobbying, political activities and contributions that is intended to promote compliance with all relevant federal, state and/or local laws, as well as our own governance processes and procedures.</w:t>
      </w:r>
    </w:p>
    <w:p>
      <w:pPr>
        <w:spacing w:after="0" w:line="20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The Board directly or through the Governance Committee provides oversight of the Company’s government relations activities, including activities of the Employees of Raytheon Technologies Corporation Political Action Committee (“RAYPAC”), which was formed through the combination of the employee political action committees of UTC and RTN. RAYPAC is nonpartisan and supports candidates for federal, state and local office and the national political organizations of both major parties—thus giving employees, regardless of their political affiliations, a way to speak with a unified voice on issues important to RTX. RAYPAC considers several criteria before approving a contribution to a candidate, including a determination that the candidate demonstrates a commitment to RTX’s core values of trust, respect, accountability, and collaboration. RAYPAC does not give to candidates who are under Ethics or Department of Justice investigation. RAYPAC operates in accordance with all applicable laws and regulations, and its contributions are reflected in public filings with the Federal Election Commission.</w:t>
      </w:r>
    </w:p>
    <w:p>
      <w:pPr>
        <w:spacing w:after="0" w:line="205"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RTX does not contribute to candidates for federal, state and local office or to state and local party committees. We also do not make contributions to initiatives that expressly advocate the election or defeat of a federal, state and local candidate, nor do we provide funding to support or oppose ballot measures.</w:t>
      </w:r>
    </w:p>
    <w:p>
      <w:pPr>
        <w:spacing w:after="0" w:line="19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We publicly disclose our federal lobbying activities and expenditures through reports we file with Congress. RTX’s state lobbying activities are limited and involve issues such as certain business activities, economic development and regulatory matters.</w:t>
      </w:r>
    </w:p>
    <w:p>
      <w:pPr>
        <w:spacing w:after="0" w:line="197"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In the ordinary course of business, RTX also contributes to non-profit trade associations that help us stay abreast of technical issues, emerging industry standards, and other trends relevant to our business, and that also engage in public advocacy and education on behalf of their membership.</w:t>
      </w:r>
    </w:p>
    <w:p>
      <w:pPr>
        <w:spacing w:after="0" w:line="197"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 xml:space="preserve">Additional information on RTX’s public activities, including links to our Code of Conduct, the Government Relations Policy, PAC filings, lobbying reports and association payments (including the portions, if any, used for lobbying) can be found on our website at </w:t>
      </w:r>
      <w:r>
        <w:rPr>
          <w:rFonts w:ascii="Arial" w:cs="Arial" w:eastAsia="Arial" w:hAnsi="Arial"/>
          <w:sz w:val="16"/>
          <w:szCs w:val="16"/>
          <w:u w:val="single" w:color="auto"/>
          <w:color w:val="CE0F2D"/>
        </w:rPr>
        <w:t>www.rtx.com</w:t>
      </w:r>
      <w:r>
        <w:rPr>
          <w:rFonts w:ascii="Arial" w:cs="Arial" w:eastAsia="Arial" w:hAnsi="Arial"/>
          <w:sz w:val="16"/>
          <w:szCs w:val="16"/>
          <w:color w:val="auto"/>
        </w:rPr>
        <w:t xml:space="preserve"> under the heading “Our Company/Corporate Governance/Public Activities.”</w:t>
      </w:r>
    </w:p>
    <w:p>
      <w:pPr>
        <w:spacing w:after="0" w:line="202" w:lineRule="exact"/>
        <w:rPr>
          <w:sz w:val="20"/>
          <w:szCs w:val="20"/>
          <w:color w:val="auto"/>
        </w:rPr>
      </w:pPr>
    </w:p>
    <w:p>
      <w:pPr>
        <w:ind w:left="260" w:hanging="253"/>
        <w:spacing w:after="0"/>
        <w:tabs>
          <w:tab w:leader="none" w:pos="260" w:val="left"/>
        </w:tabs>
        <w:numPr>
          <w:ilvl w:val="0"/>
          <w:numId w:val="113"/>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4081145" cy="508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081145" cy="50800"/>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Pay Structure</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ANNUAL RETAINER</w:t>
      </w:r>
    </w:p>
    <w:p>
      <w:pPr>
        <w:spacing w:after="0" w:line="22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Under the terms of the Raytheon Technologies Corporation Board of Directors Deferred Stock Unit Plan (“RTX Director DSU Plan”), annual retainers for non-employee directors are payable 40% in cash and 60% in deferred stock units (“DSUs”). Directors, however, may elect to receive 100% of the annual retainer in DSUs. The annual retainer paid to non-employee directors for the April 2021 to April 2022 Board cycle is dependent upon the role each director holds,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61676D"/>
              </w:rPr>
              <w:t>Deferred</w:t>
            </w:r>
          </w:p>
        </w:tc>
        <w:tc>
          <w:tcPr>
            <w:tcW w:w="1080" w:type="dxa"/>
            <w:vAlign w:val="bottom"/>
          </w:tcPr>
          <w:p>
            <w:pPr>
              <w:jc w:val="right"/>
              <w:spacing w:after="0"/>
              <w:rPr>
                <w:sz w:val="20"/>
                <w:szCs w:val="20"/>
                <w:color w:val="auto"/>
              </w:rPr>
            </w:pPr>
            <w:r>
              <w:rPr>
                <w:rFonts w:ascii="Arial" w:cs="Arial" w:eastAsia="Arial" w:hAnsi="Arial"/>
                <w:sz w:val="14"/>
                <w:szCs w:val="14"/>
                <w:color w:val="61676D"/>
              </w:rPr>
              <w:t>Total Annual</w:t>
            </w:r>
          </w:p>
        </w:tc>
      </w:tr>
      <w:tr>
        <w:trPr>
          <w:trHeight w:val="176"/>
        </w:trPr>
        <w:tc>
          <w:tcPr>
            <w:tcW w:w="6060" w:type="dxa"/>
            <w:vAlign w:val="bottom"/>
            <w:tcBorders>
              <w:bottom w:val="single" w:sz="8" w:color="CE0E2D"/>
            </w:tcBorders>
          </w:tcPr>
          <w:p>
            <w:pPr>
              <w:ind w:left="60"/>
              <w:spacing w:after="0"/>
              <w:rPr>
                <w:sz w:val="20"/>
                <w:szCs w:val="20"/>
                <w:color w:val="auto"/>
              </w:rPr>
            </w:pPr>
            <w:r>
              <w:rPr>
                <w:rFonts w:ascii="Arial" w:cs="Arial" w:eastAsia="Arial" w:hAnsi="Arial"/>
                <w:sz w:val="14"/>
                <w:szCs w:val="14"/>
                <w:color w:val="61676D"/>
              </w:rPr>
              <w:t>Role</w:t>
            </w:r>
          </w:p>
        </w:tc>
        <w:tc>
          <w:tcPr>
            <w:tcW w:w="3020" w:type="dxa"/>
            <w:vAlign w:val="bottom"/>
            <w:tcBorders>
              <w:bottom w:val="single" w:sz="8" w:color="CE0E2D"/>
            </w:tcBorders>
          </w:tcPr>
          <w:p>
            <w:pPr>
              <w:jc w:val="right"/>
              <w:ind w:right="41"/>
              <w:spacing w:after="0"/>
              <w:rPr>
                <w:sz w:val="20"/>
                <w:szCs w:val="20"/>
                <w:color w:val="auto"/>
              </w:rPr>
            </w:pPr>
            <w:r>
              <w:rPr>
                <w:rFonts w:ascii="Arial" w:cs="Arial" w:eastAsia="Arial" w:hAnsi="Arial"/>
                <w:sz w:val="14"/>
                <w:szCs w:val="14"/>
                <w:color w:val="61676D"/>
              </w:rPr>
              <w:t>Cash ($)</w:t>
            </w:r>
          </w:p>
        </w:tc>
        <w:tc>
          <w:tcPr>
            <w:tcW w:w="1080" w:type="dxa"/>
            <w:vAlign w:val="bottom"/>
            <w:tcBorders>
              <w:bottom w:val="single" w:sz="8" w:color="CE0E2D"/>
            </w:tcBorders>
          </w:tcPr>
          <w:p>
            <w:pPr>
              <w:jc w:val="right"/>
              <w:spacing w:after="0"/>
              <w:rPr>
                <w:sz w:val="20"/>
                <w:szCs w:val="20"/>
                <w:color w:val="auto"/>
              </w:rPr>
            </w:pPr>
            <w:r>
              <w:rPr>
                <w:rFonts w:ascii="Arial" w:cs="Arial" w:eastAsia="Arial" w:hAnsi="Arial"/>
                <w:sz w:val="14"/>
                <w:szCs w:val="14"/>
                <w:color w:val="61676D"/>
              </w:rPr>
              <w:t>Stock Units ($)</w:t>
            </w:r>
          </w:p>
        </w:tc>
        <w:tc>
          <w:tcPr>
            <w:tcW w:w="1080" w:type="dxa"/>
            <w:vAlign w:val="bottom"/>
            <w:tcBorders>
              <w:bottom w:val="single" w:sz="8" w:color="CE0E2D"/>
            </w:tcBorders>
          </w:tcPr>
          <w:p>
            <w:pPr>
              <w:jc w:val="right"/>
              <w:spacing w:after="0"/>
              <w:rPr>
                <w:sz w:val="20"/>
                <w:szCs w:val="20"/>
                <w:color w:val="auto"/>
              </w:rPr>
            </w:pPr>
            <w:r>
              <w:rPr>
                <w:rFonts w:ascii="Arial" w:cs="Arial" w:eastAsia="Arial" w:hAnsi="Arial"/>
                <w:sz w:val="14"/>
                <w:szCs w:val="14"/>
                <w:color w:val="61676D"/>
              </w:rPr>
              <w:t>Retainer ($)</w:t>
            </w:r>
          </w:p>
        </w:tc>
      </w:tr>
      <w:tr>
        <w:trPr>
          <w:trHeight w:val="213"/>
        </w:trPr>
        <w:tc>
          <w:tcPr>
            <w:tcW w:w="6060" w:type="dxa"/>
            <w:vAlign w:val="bottom"/>
          </w:tcPr>
          <w:p>
            <w:pPr>
              <w:ind w:left="60"/>
              <w:spacing w:after="0"/>
              <w:rPr>
                <w:sz w:val="20"/>
                <w:szCs w:val="20"/>
                <w:color w:val="auto"/>
              </w:rPr>
            </w:pPr>
            <w:r>
              <w:rPr>
                <w:rFonts w:ascii="Arial" w:cs="Arial" w:eastAsia="Arial" w:hAnsi="Arial"/>
                <w:sz w:val="16"/>
                <w:szCs w:val="16"/>
                <w:b w:val="1"/>
                <w:bCs w:val="1"/>
                <w:color w:val="auto"/>
              </w:rPr>
              <w:t>All Directors (base retainer)</w:t>
            </w:r>
          </w:p>
        </w:tc>
        <w:tc>
          <w:tcPr>
            <w:tcW w:w="3020" w:type="dxa"/>
            <w:vAlign w:val="bottom"/>
          </w:tcPr>
          <w:p>
            <w:pPr>
              <w:jc w:val="right"/>
              <w:ind w:right="41"/>
              <w:spacing w:after="0"/>
              <w:rPr>
                <w:sz w:val="20"/>
                <w:szCs w:val="20"/>
                <w:color w:val="auto"/>
              </w:rPr>
            </w:pPr>
            <w:r>
              <w:rPr>
                <w:rFonts w:ascii="Arial" w:cs="Arial" w:eastAsia="Arial" w:hAnsi="Arial"/>
                <w:sz w:val="16"/>
                <w:szCs w:val="16"/>
                <w:color w:val="auto"/>
              </w:rPr>
              <w:t>$124,000</w:t>
            </w:r>
          </w:p>
        </w:tc>
        <w:tc>
          <w:tcPr>
            <w:tcW w:w="1080" w:type="dxa"/>
            <w:vAlign w:val="bottom"/>
          </w:tcPr>
          <w:p>
            <w:pPr>
              <w:jc w:val="right"/>
              <w:spacing w:after="0"/>
              <w:rPr>
                <w:sz w:val="20"/>
                <w:szCs w:val="20"/>
                <w:color w:val="auto"/>
              </w:rPr>
            </w:pPr>
            <w:r>
              <w:rPr>
                <w:rFonts w:ascii="Arial" w:cs="Arial" w:eastAsia="Arial" w:hAnsi="Arial"/>
                <w:sz w:val="16"/>
                <w:szCs w:val="16"/>
                <w:color w:val="auto"/>
              </w:rPr>
              <w:t>$186,000</w:t>
            </w:r>
          </w:p>
        </w:tc>
        <w:tc>
          <w:tcPr>
            <w:tcW w:w="1080" w:type="dxa"/>
            <w:vAlign w:val="bottom"/>
            <w:shd w:val="clear" w:color="auto" w:fill="ECEDEF"/>
          </w:tcPr>
          <w:p>
            <w:pPr>
              <w:jc w:val="right"/>
              <w:spacing w:after="0"/>
              <w:rPr>
                <w:sz w:val="20"/>
                <w:szCs w:val="20"/>
                <w:color w:val="auto"/>
              </w:rPr>
            </w:pPr>
            <w:r>
              <w:rPr>
                <w:rFonts w:ascii="Arial" w:cs="Arial" w:eastAsia="Arial" w:hAnsi="Arial"/>
                <w:sz w:val="16"/>
                <w:szCs w:val="16"/>
                <w:b w:val="1"/>
                <w:bCs w:val="1"/>
                <w:color w:val="auto"/>
              </w:rPr>
              <w:t>$310,000</w:t>
            </w:r>
          </w:p>
        </w:tc>
      </w:tr>
      <w:tr>
        <w:trPr>
          <w:trHeight w:val="214"/>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CE0F2D"/>
              </w:rPr>
              <w:t>Additional Compensation for Services as*:</w:t>
            </w:r>
          </w:p>
        </w:tc>
        <w:tc>
          <w:tcPr>
            <w:tcW w:w="30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shd w:val="clear" w:color="auto" w:fill="ECEDEF"/>
          </w:tcPr>
          <w:p>
            <w:pPr>
              <w:spacing w:after="0"/>
              <w:rPr>
                <w:sz w:val="18"/>
                <w:szCs w:val="18"/>
                <w:color w:val="auto"/>
              </w:rPr>
            </w:pP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Lead Director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$80,000</w:t>
            </w: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Audit Committee Chair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$40,000</w:t>
            </w: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Audit Committee Member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$30,000</w:t>
            </w: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Human Capital &amp; Compensation Committee Chair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$25,000</w:t>
            </w: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Finance Committee Chair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$25,000</w:t>
            </w:r>
          </w:p>
        </w:tc>
      </w:tr>
      <w:tr>
        <w:trPr>
          <w:trHeight w:val="208"/>
        </w:trPr>
        <w:tc>
          <w:tcPr>
            <w:tcW w:w="60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Governance and Public Policy Committee Chair</w:t>
            </w:r>
          </w:p>
        </w:tc>
        <w:tc>
          <w:tcPr>
            <w:tcW w:w="3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$15,000</w:t>
            </w:r>
          </w:p>
        </w:tc>
        <w:tc>
          <w:tcPr>
            <w:tcW w:w="108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$25,000</w:t>
            </w:r>
          </w:p>
        </w:tc>
      </w:tr>
      <w:tr>
        <w:trPr>
          <w:trHeight w:val="215"/>
        </w:trPr>
        <w:tc>
          <w:tcPr>
            <w:tcW w:w="6060" w:type="dxa"/>
            <w:vAlign w:val="bottom"/>
            <w:tcBorders>
              <w:bottom w:val="single" w:sz="8" w:color="636466"/>
            </w:tcBorders>
          </w:tcPr>
          <w:p>
            <w:pPr>
              <w:ind w:left="60"/>
              <w:spacing w:after="0"/>
              <w:rPr>
                <w:sz w:val="20"/>
                <w:szCs w:val="20"/>
                <w:color w:val="auto"/>
              </w:rPr>
            </w:pPr>
            <w:r>
              <w:rPr>
                <w:rFonts w:ascii="Arial" w:cs="Arial" w:eastAsia="Arial" w:hAnsi="Arial"/>
                <w:sz w:val="16"/>
                <w:szCs w:val="16"/>
                <w:b w:val="1"/>
                <w:bCs w:val="1"/>
                <w:color w:val="auto"/>
              </w:rPr>
              <w:t>Special Activities Committee Chair</w:t>
            </w:r>
          </w:p>
        </w:tc>
        <w:tc>
          <w:tcPr>
            <w:tcW w:w="3020" w:type="dxa"/>
            <w:vAlign w:val="bottom"/>
            <w:tcBorders>
              <w:bottom w:val="single" w:sz="8" w:color="636466"/>
            </w:tcBorders>
          </w:tcPr>
          <w:p>
            <w:pPr>
              <w:jc w:val="right"/>
              <w:ind w:right="41"/>
              <w:spacing w:after="0"/>
              <w:rPr>
                <w:sz w:val="20"/>
                <w:szCs w:val="20"/>
                <w:color w:val="auto"/>
              </w:rPr>
            </w:pPr>
            <w:r>
              <w:rPr>
                <w:rFonts w:ascii="Arial" w:cs="Arial" w:eastAsia="Arial" w:hAnsi="Arial"/>
                <w:sz w:val="16"/>
                <w:szCs w:val="16"/>
                <w:color w:val="auto"/>
              </w:rPr>
              <w:t>$10,000</w:t>
            </w:r>
          </w:p>
        </w:tc>
        <w:tc>
          <w:tcPr>
            <w:tcW w:w="108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$15,000</w:t>
            </w:r>
          </w:p>
        </w:tc>
        <w:tc>
          <w:tcPr>
            <w:tcW w:w="10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$25,000</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2"/>
          <w:szCs w:val="12"/>
          <w:color w:val="auto"/>
        </w:rPr>
        <w:t>* Directors serving in multiple leadership roles receive incremental compensation for each role.</w:t>
      </w:r>
    </w:p>
    <w:p>
      <w:pPr>
        <w:spacing w:after="0" w:line="19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Annual retainers are paid each year following the Annual Meeting. New directors joining the Board between the Annual Meeting and the end of September receive 100% of the annual retainer. Non-employee directors joining the Board between the beginning of October and the next Annual Meeting receive 50% of the annual retainer. DSUs are 100% vested at the time of grant, but distribution does not occur until after a non-employee director retires from the Board (see “Plan Distributions” on page 34).</w:t>
      </w:r>
    </w:p>
    <w:p>
      <w:pPr>
        <w:spacing w:after="0" w:line="204"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Non-employee directors do not receive additional compensation for attending Board or committee meetings, other than special meeting fees. In 2021, directors received an additional $5,000 cash payment for attending each in-person, telephonic or video special meeting to which they were invited. In 2021, payments were made for one special Board meeting, two special Finance Committee meetings, one special Governance Committee meeting and five special Audit Committee meetings.</w:t>
      </w:r>
    </w:p>
    <w:p>
      <w:pPr>
        <w:spacing w:after="0" w:line="20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Starting in 2022, directors will instead receive $3,000 for special, in-person meetings. The special meeting fee will apply only to a formal Board or committee meeting that was not on the Board’s annual calendar, and does not take place during a regularly scheduled Board meeting.</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DEFERRED RESTRICTED STOCK UNITS</w:t>
      </w:r>
    </w:p>
    <w:p>
      <w:pPr>
        <w:spacing w:after="0" w:line="228" w:lineRule="exact"/>
        <w:rPr>
          <w:sz w:val="20"/>
          <w:szCs w:val="20"/>
          <w:color w:val="auto"/>
        </w:rPr>
      </w:pPr>
    </w:p>
    <w:p>
      <w:pPr>
        <w:jc w:val="both"/>
        <w:ind w:right="160"/>
        <w:spacing w:after="0" w:line="250" w:lineRule="auto"/>
        <w:rPr>
          <w:sz w:val="20"/>
          <w:szCs w:val="20"/>
          <w:color w:val="auto"/>
        </w:rPr>
      </w:pPr>
      <w:r>
        <w:rPr>
          <w:rFonts w:ascii="Arial" w:cs="Arial" w:eastAsia="Arial" w:hAnsi="Arial"/>
          <w:sz w:val="16"/>
          <w:szCs w:val="16"/>
          <w:color w:val="auto"/>
        </w:rPr>
        <w:t>Directors appointed to the Board before October 2019 received a one-time deferred RSU award. This award vests in equal portions over five years but is not distributed until a director retires from the Board. Non-employee directors appointed after October 2019 did not receive the deferred RSU award upon joining the Board.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TREATMENT</w:t>
      </w:r>
    </w:p>
    <w:p>
      <w:pPr>
        <w:spacing w:after="0" w:line="228"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When RTX pays a dividend on Common Stock to shareowners, directors are credited with additional DSUs and deferred RSUs equal in value to the dividend paid on the corresponding number of shares of RTX Common Stock.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960" w:type="dxa"/>
            <w:vAlign w:val="bottom"/>
          </w:tcPr>
          <w:p>
            <w:pPr>
              <w:ind w:left="7760"/>
              <w:spacing w:after="0"/>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33</w:t>
            </w:r>
          </w:p>
        </w:tc>
      </w:tr>
      <w:tr>
        <w:trPr>
          <w:trHeight w:val="110"/>
        </w:trPr>
        <w:tc>
          <w:tcPr>
            <w:tcW w:w="10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OF DIRECTORS </w:t>
      </w:r>
      <w:r>
        <w:rPr>
          <w:rFonts w:ascii="Arial" w:cs="Arial" w:eastAsia="Arial" w:hAnsi="Arial"/>
          <w:sz w:val="12"/>
          <w:szCs w:val="12"/>
          <w:color w:val="000000"/>
        </w:rPr>
        <w:t>| 2021 DIRECTOR COMPENSATION</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PLAN DISTRIBUTIONS</w:t>
      </w:r>
    </w:p>
    <w:p>
      <w:pPr>
        <w:spacing w:after="0" w:line="228"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DSUs and deferred RSUs are not distributed to directors until they retire from the Board. Upon retirement, RTX DSUs and deferred RSUs are converted into shares of RTX Common Stock. For our legacy UTC directors, upon the 2020 spinoff of Carrier and Otis, vested DSUs and deferred RSUs originally based in UTC stock were converted into vested DSUs and deferred RSUs in the stock of RTX, Carrier and Otis. For these directors, when they retire from the RTX Board, the Carrier and Otis DSUs and deferred RSUs (if any) will be distributed in cash. Directors can elect to receive distributions in either a lump-sum or in 10- or 15-year installments.</w:t>
      </w:r>
    </w:p>
    <w:p>
      <w:pPr>
        <w:spacing w:after="0" w:line="17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2021 Director Compensation</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3520" w:type="dxa"/>
            <w:vAlign w:val="bottom"/>
          </w:tcPr>
          <w:p>
            <w:pPr>
              <w:jc w:val="right"/>
              <w:ind w:right="41"/>
              <w:spacing w:after="0"/>
              <w:rPr>
                <w:sz w:val="20"/>
                <w:szCs w:val="20"/>
                <w:color w:val="auto"/>
              </w:rPr>
            </w:pPr>
            <w:r>
              <w:rPr>
                <w:rFonts w:ascii="Arial" w:cs="Arial" w:eastAsia="Arial" w:hAnsi="Arial"/>
                <w:sz w:val="14"/>
                <w:szCs w:val="14"/>
                <w:color w:val="61676D"/>
              </w:rPr>
              <w:t>Fees Earned or</w:t>
            </w: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55"/>
        </w:trPr>
        <w:tc>
          <w:tcPr>
            <w:tcW w:w="4260" w:type="dxa"/>
            <w:vAlign w:val="bottom"/>
          </w:tcPr>
          <w:p>
            <w:pPr>
              <w:spacing w:after="0"/>
              <w:rPr>
                <w:sz w:val="13"/>
                <w:szCs w:val="13"/>
                <w:color w:val="auto"/>
              </w:rPr>
            </w:pPr>
          </w:p>
        </w:tc>
        <w:tc>
          <w:tcPr>
            <w:tcW w:w="3520" w:type="dxa"/>
            <w:vAlign w:val="bottom"/>
          </w:tcPr>
          <w:p>
            <w:pPr>
              <w:jc w:val="right"/>
              <w:ind w:right="41"/>
              <w:spacing w:after="0" w:line="155" w:lineRule="exact"/>
              <w:rPr>
                <w:sz w:val="20"/>
                <w:szCs w:val="20"/>
                <w:color w:val="auto"/>
              </w:rPr>
            </w:pPr>
            <w:r>
              <w:rPr>
                <w:rFonts w:ascii="Arial" w:cs="Arial" w:eastAsia="Arial" w:hAnsi="Arial"/>
                <w:sz w:val="14"/>
                <w:szCs w:val="14"/>
                <w:color w:val="61676D"/>
              </w:rPr>
              <w:t>Paid in Cash</w:t>
            </w:r>
          </w:p>
        </w:tc>
        <w:tc>
          <w:tcPr>
            <w:tcW w:w="1060" w:type="dxa"/>
            <w:vAlign w:val="bottom"/>
          </w:tcPr>
          <w:p>
            <w:pPr>
              <w:jc w:val="right"/>
              <w:ind w:right="41"/>
              <w:spacing w:after="0" w:line="155" w:lineRule="exact"/>
              <w:rPr>
                <w:sz w:val="20"/>
                <w:szCs w:val="20"/>
                <w:color w:val="auto"/>
              </w:rPr>
            </w:pPr>
            <w:r>
              <w:rPr>
                <w:rFonts w:ascii="Arial" w:cs="Arial" w:eastAsia="Arial" w:hAnsi="Arial"/>
                <w:sz w:val="14"/>
                <w:szCs w:val="14"/>
                <w:color w:val="61676D"/>
              </w:rPr>
              <w:t>Stock</w:t>
            </w:r>
          </w:p>
        </w:tc>
        <w:tc>
          <w:tcPr>
            <w:tcW w:w="1440" w:type="dxa"/>
            <w:vAlign w:val="bottom"/>
          </w:tcPr>
          <w:p>
            <w:pPr>
              <w:jc w:val="right"/>
              <w:spacing w:after="0" w:line="155" w:lineRule="exact"/>
              <w:rPr>
                <w:sz w:val="20"/>
                <w:szCs w:val="20"/>
                <w:color w:val="auto"/>
              </w:rPr>
            </w:pPr>
            <w:r>
              <w:rPr>
                <w:rFonts w:ascii="Arial" w:cs="Arial" w:eastAsia="Arial" w:hAnsi="Arial"/>
                <w:sz w:val="14"/>
                <w:szCs w:val="14"/>
                <w:color w:val="61676D"/>
              </w:rPr>
              <w:t>All Other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208"/>
        </w:trPr>
        <w:tc>
          <w:tcPr>
            <w:tcW w:w="4260" w:type="dxa"/>
            <w:vAlign w:val="bottom"/>
            <w:tcBorders>
              <w:bottom w:val="single" w:sz="8" w:color="CE0F2D"/>
            </w:tcBorders>
          </w:tcPr>
          <w:p>
            <w:pPr>
              <w:ind w:left="60"/>
              <w:spacing w:after="0"/>
              <w:rPr>
                <w:sz w:val="20"/>
                <w:szCs w:val="20"/>
                <w:color w:val="auto"/>
              </w:rPr>
            </w:pPr>
            <w:r>
              <w:rPr>
                <w:rFonts w:ascii="Arial" w:cs="Arial" w:eastAsia="Arial" w:hAnsi="Arial"/>
                <w:sz w:val="14"/>
                <w:szCs w:val="14"/>
                <w:color w:val="61676D"/>
              </w:rPr>
              <w:t>Name</w:t>
            </w:r>
          </w:p>
        </w:tc>
        <w:tc>
          <w:tcPr>
            <w:tcW w:w="3520" w:type="dxa"/>
            <w:vAlign w:val="bottom"/>
            <w:tcBorders>
              <w:bottom w:val="single" w:sz="8" w:color="CE0F2D"/>
            </w:tcBorders>
          </w:tcPr>
          <w:p>
            <w:pPr>
              <w:jc w:val="right"/>
              <w:ind w:right="41"/>
              <w:spacing w:after="0" w:line="201" w:lineRule="exact"/>
              <w:rPr>
                <w:sz w:val="20"/>
                <w:szCs w:val="20"/>
                <w:color w:val="auto"/>
              </w:rPr>
            </w:pPr>
            <w:r>
              <w:rPr>
                <w:rFonts w:ascii="Arial" w:cs="Arial" w:eastAsia="Arial" w:hAnsi="Arial"/>
                <w:sz w:val="14"/>
                <w:szCs w:val="14"/>
                <w:color w:val="61676D"/>
              </w:rPr>
              <w:t>($)</w:t>
            </w:r>
            <w:r>
              <w:rPr>
                <w:rFonts w:ascii="Arial" w:cs="Arial" w:eastAsia="Arial" w:hAnsi="Arial"/>
                <w:sz w:val="23"/>
                <w:szCs w:val="23"/>
                <w:color w:val="61676D"/>
                <w:vertAlign w:val="superscript"/>
              </w:rPr>
              <w:t>(1)</w:t>
            </w:r>
          </w:p>
        </w:tc>
        <w:tc>
          <w:tcPr>
            <w:tcW w:w="1060" w:type="dxa"/>
            <w:vAlign w:val="bottom"/>
            <w:tcBorders>
              <w:bottom w:val="single" w:sz="8" w:color="CE0F2D"/>
            </w:tcBorders>
          </w:tcPr>
          <w:p>
            <w:pPr>
              <w:jc w:val="right"/>
              <w:ind w:right="41"/>
              <w:spacing w:after="0" w:line="201" w:lineRule="exact"/>
              <w:rPr>
                <w:sz w:val="20"/>
                <w:szCs w:val="20"/>
                <w:color w:val="auto"/>
              </w:rPr>
            </w:pPr>
            <w:r>
              <w:rPr>
                <w:rFonts w:ascii="Arial" w:cs="Arial" w:eastAsia="Arial" w:hAnsi="Arial"/>
                <w:sz w:val="14"/>
                <w:szCs w:val="14"/>
                <w:color w:val="61676D"/>
              </w:rPr>
              <w:t>Awards ($)</w:t>
            </w:r>
            <w:r>
              <w:rPr>
                <w:rFonts w:ascii="Arial" w:cs="Arial" w:eastAsia="Arial" w:hAnsi="Arial"/>
                <w:sz w:val="23"/>
                <w:szCs w:val="23"/>
                <w:color w:val="61676D"/>
                <w:vertAlign w:val="superscript"/>
              </w:rPr>
              <w:t>(2)</w:t>
            </w:r>
          </w:p>
        </w:tc>
        <w:tc>
          <w:tcPr>
            <w:tcW w:w="1440" w:type="dxa"/>
            <w:vAlign w:val="bottom"/>
            <w:tcBorders>
              <w:bottom w:val="single" w:sz="8" w:color="CE0F2D"/>
            </w:tcBorders>
          </w:tcPr>
          <w:p>
            <w:pPr>
              <w:jc w:val="right"/>
              <w:spacing w:after="0" w:line="201" w:lineRule="exact"/>
              <w:rPr>
                <w:sz w:val="20"/>
                <w:szCs w:val="20"/>
                <w:color w:val="auto"/>
              </w:rPr>
            </w:pPr>
            <w:r>
              <w:rPr>
                <w:rFonts w:ascii="Arial" w:cs="Arial" w:eastAsia="Arial" w:hAnsi="Arial"/>
                <w:sz w:val="14"/>
                <w:szCs w:val="14"/>
                <w:color w:val="61676D"/>
              </w:rPr>
              <w:t>Compensation ($)</w:t>
            </w:r>
            <w:r>
              <w:rPr>
                <w:rFonts w:ascii="Arial" w:cs="Arial" w:eastAsia="Arial" w:hAnsi="Arial"/>
                <w:sz w:val="23"/>
                <w:szCs w:val="23"/>
                <w:color w:val="61676D"/>
                <w:vertAlign w:val="superscript"/>
              </w:rPr>
              <w:t>(3)</w:t>
            </w:r>
          </w:p>
        </w:tc>
        <w:tc>
          <w:tcPr>
            <w:tcW w:w="220" w:type="dxa"/>
            <w:vAlign w:val="bottom"/>
            <w:tcBorders>
              <w:bottom w:val="single" w:sz="8" w:color="CE0F2D"/>
            </w:tcBorders>
          </w:tcPr>
          <w:p>
            <w:pPr>
              <w:spacing w:after="0"/>
              <w:rPr>
                <w:sz w:val="18"/>
                <w:szCs w:val="18"/>
                <w:color w:val="auto"/>
              </w:rPr>
            </w:pPr>
          </w:p>
        </w:tc>
        <w:tc>
          <w:tcPr>
            <w:tcW w:w="74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Total ($)</w:t>
            </w:r>
          </w:p>
        </w:tc>
      </w:tr>
      <w:tr>
        <w:trPr>
          <w:trHeight w:val="214"/>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Tracy A. Atkinson</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$219,000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$431,387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Bernard A. Harris, Jr.</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$146,000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$204,000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$351,387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Marshall O. Larsen</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$144,000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$331,387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George R. Oliver</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$139,000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$351,387</w:t>
            </w:r>
          </w:p>
        </w:tc>
      </w:tr>
      <w:tr>
        <w:trPr>
          <w:trHeight w:val="248"/>
        </w:trPr>
        <w:tc>
          <w:tcPr>
            <w:tcW w:w="4260" w:type="dxa"/>
            <w:vAlign w:val="bottom"/>
            <w:tcBorders>
              <w:bottom w:val="single" w:sz="8" w:color="auto"/>
            </w:tcBorders>
          </w:tcPr>
          <w:p>
            <w:pPr>
              <w:ind w:left="60"/>
              <w:spacing w:after="0" w:line="248" w:lineRule="exact"/>
              <w:rPr>
                <w:sz w:val="20"/>
                <w:szCs w:val="20"/>
                <w:color w:val="auto"/>
              </w:rPr>
            </w:pPr>
            <w:r>
              <w:rPr>
                <w:rFonts w:ascii="Arial" w:cs="Arial" w:eastAsia="Arial" w:hAnsi="Arial"/>
                <w:sz w:val="16"/>
                <w:szCs w:val="16"/>
                <w:b w:val="1"/>
                <w:bCs w:val="1"/>
                <w:color w:val="auto"/>
              </w:rPr>
              <w:t>Robert Kelly Ortberg</w:t>
            </w:r>
            <w:r>
              <w:rPr>
                <w:rFonts w:ascii="Arial" w:cs="Arial" w:eastAsia="Arial" w:hAnsi="Arial"/>
                <w:sz w:val="26"/>
                <w:szCs w:val="26"/>
                <w:b w:val="1"/>
                <w:bCs w:val="1"/>
                <w:color w:val="auto"/>
                <w:vertAlign w:val="superscript"/>
              </w:rPr>
              <w:t>(4)</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$139,000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220" w:type="dxa"/>
            <w:vAlign w:val="bottom"/>
            <w:tcBorders>
              <w:bottom w:val="single" w:sz="8" w:color="auto"/>
            </w:tcBorders>
            <w:shd w:val="clear" w:color="auto" w:fill="ECEDEF"/>
          </w:tcPr>
          <w:p>
            <w:pPr>
              <w:spacing w:after="0"/>
              <w:rPr>
                <w:sz w:val="21"/>
                <w:szCs w:val="21"/>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$326,387</w:t>
            </w:r>
          </w:p>
        </w:tc>
      </w:tr>
      <w:tr>
        <w:trPr>
          <w:trHeight w:val="207"/>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Margaret L. O’Sullivan</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$134,000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$186,000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$321,387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Dinesh C. Paliwal</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$390,000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$451,387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Ellen M. Pawlikowski</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$166,000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$204,000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$11,222</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$381,222</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Denise L. Ramos</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$30,000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$340,000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$1,222</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$371,222</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Fredric G. Reynolds</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$175,000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$210,000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$411,387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Brian C. Rogers</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$376,387</w:t>
            </w:r>
          </w:p>
        </w:tc>
      </w:tr>
      <w:tr>
        <w:trPr>
          <w:trHeight w:val="208"/>
        </w:trPr>
        <w:tc>
          <w:tcPr>
            <w:tcW w:w="42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James A. Winnefeld, Jr.</w:t>
            </w:r>
          </w:p>
        </w:tc>
        <w:tc>
          <w:tcPr>
            <w:tcW w:w="3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$15,000</w:t>
            </w:r>
          </w:p>
        </w:tc>
        <w:tc>
          <w:tcPr>
            <w:tcW w:w="10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$335,000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$6,387</w:t>
            </w:r>
          </w:p>
        </w:tc>
        <w:tc>
          <w:tcPr>
            <w:tcW w:w="220" w:type="dxa"/>
            <w:vAlign w:val="bottom"/>
            <w:tcBorders>
              <w:bottom w:val="single" w:sz="8" w:color="auto"/>
            </w:tcBorders>
            <w:shd w:val="clear" w:color="auto" w:fill="ECEDEF"/>
          </w:tcPr>
          <w:p>
            <w:pPr>
              <w:spacing w:after="0"/>
              <w:rPr>
                <w:sz w:val="18"/>
                <w:szCs w:val="18"/>
                <w:color w:val="auto"/>
              </w:rPr>
            </w:pPr>
          </w:p>
        </w:tc>
        <w:tc>
          <w:tcPr>
            <w:tcW w:w="740" w:type="dxa"/>
            <w:vAlign w:val="bottom"/>
            <w:tcBorders>
              <w:bottom w:val="single" w:sz="8" w:color="auto"/>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$356,387</w:t>
            </w:r>
          </w:p>
        </w:tc>
      </w:tr>
      <w:tr>
        <w:trPr>
          <w:trHeight w:val="215"/>
        </w:trPr>
        <w:tc>
          <w:tcPr>
            <w:tcW w:w="4260" w:type="dxa"/>
            <w:vAlign w:val="bottom"/>
            <w:tcBorders>
              <w:bottom w:val="single" w:sz="8" w:color="636466"/>
            </w:tcBorders>
          </w:tcPr>
          <w:p>
            <w:pPr>
              <w:ind w:left="60"/>
              <w:spacing w:after="0"/>
              <w:rPr>
                <w:sz w:val="20"/>
                <w:szCs w:val="20"/>
                <w:color w:val="auto"/>
              </w:rPr>
            </w:pPr>
            <w:r>
              <w:rPr>
                <w:rFonts w:ascii="Arial" w:cs="Arial" w:eastAsia="Arial" w:hAnsi="Arial"/>
                <w:sz w:val="16"/>
                <w:szCs w:val="16"/>
                <w:b w:val="1"/>
                <w:bCs w:val="1"/>
                <w:color w:val="auto"/>
              </w:rPr>
              <w:t>Robert O. Work</w:t>
            </w:r>
          </w:p>
        </w:tc>
        <w:tc>
          <w:tcPr>
            <w:tcW w:w="3520" w:type="dxa"/>
            <w:vAlign w:val="bottom"/>
            <w:tcBorders>
              <w:bottom w:val="single" w:sz="8" w:color="636466"/>
            </w:tcBorders>
          </w:tcPr>
          <w:p>
            <w:pPr>
              <w:jc w:val="right"/>
              <w:ind w:right="41"/>
              <w:spacing w:after="0"/>
              <w:rPr>
                <w:sz w:val="20"/>
                <w:szCs w:val="20"/>
                <w:color w:val="auto"/>
              </w:rPr>
            </w:pPr>
            <w:r>
              <w:rPr>
                <w:rFonts w:ascii="Arial" w:cs="Arial" w:eastAsia="Arial" w:hAnsi="Arial"/>
                <w:sz w:val="16"/>
                <w:szCs w:val="16"/>
                <w:color w:val="auto"/>
              </w:rPr>
              <w:t>$35,000</w:t>
            </w:r>
          </w:p>
        </w:tc>
        <w:tc>
          <w:tcPr>
            <w:tcW w:w="1060" w:type="dxa"/>
            <w:vAlign w:val="bottom"/>
            <w:tcBorders>
              <w:bottom w:val="single" w:sz="8" w:color="636466"/>
            </w:tcBorders>
          </w:tcPr>
          <w:p>
            <w:pPr>
              <w:jc w:val="right"/>
              <w:ind w:right="41"/>
              <w:spacing w:after="0"/>
              <w:rPr>
                <w:sz w:val="20"/>
                <w:szCs w:val="20"/>
                <w:color w:val="auto"/>
              </w:rPr>
            </w:pPr>
            <w:r>
              <w:rPr>
                <w:rFonts w:ascii="Arial" w:cs="Arial" w:eastAsia="Arial" w:hAnsi="Arial"/>
                <w:sz w:val="16"/>
                <w:szCs w:val="16"/>
                <w:color w:val="auto"/>
              </w:rPr>
              <w:t>$365,000</w:t>
            </w:r>
          </w:p>
        </w:tc>
        <w:tc>
          <w:tcPr>
            <w:tcW w:w="144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$11,387</w:t>
            </w:r>
          </w:p>
        </w:tc>
        <w:tc>
          <w:tcPr>
            <w:tcW w:w="220" w:type="dxa"/>
            <w:vAlign w:val="bottom"/>
            <w:tcBorders>
              <w:bottom w:val="single" w:sz="8" w:color="636466"/>
            </w:tcBorders>
            <w:shd w:val="clear" w:color="auto" w:fill="ECEDEF"/>
          </w:tcPr>
          <w:p>
            <w:pPr>
              <w:spacing w:after="0"/>
              <w:rPr>
                <w:sz w:val="18"/>
                <w:szCs w:val="18"/>
                <w:color w:val="auto"/>
              </w:rPr>
            </w:pPr>
          </w:p>
        </w:tc>
        <w:tc>
          <w:tcPr>
            <w:tcW w:w="74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6"/>
                <w:szCs w:val="16"/>
                <w:b w:val="1"/>
                <w:bCs w:val="1"/>
                <w:color w:val="auto"/>
                <w:w w:val="98"/>
              </w:rPr>
              <w:t>$411,387</w:t>
            </w:r>
          </w:p>
        </w:tc>
      </w:tr>
    </w:tbl>
    <w:p>
      <w:pPr>
        <w:spacing w:after="0" w:line="48" w:lineRule="exact"/>
        <w:rPr>
          <w:sz w:val="20"/>
          <w:szCs w:val="20"/>
          <w:color w:val="auto"/>
        </w:rPr>
      </w:pPr>
    </w:p>
    <w:p>
      <w:pPr>
        <w:ind w:left="360" w:right="60" w:hanging="353"/>
        <w:spacing w:after="0" w:line="252" w:lineRule="auto"/>
        <w:tabs>
          <w:tab w:leader="none" w:pos="3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Reflects the portion of the directors’ annual retainer, as well as special meeting fees, paid in cash. Messrs. Paliwal, Rogers, Winnefeld, Jr., and Work, and Ms. Ramos elected to receive their annual cash retainer in DSUs, as detailed in footnote (2).</w:t>
      </w:r>
    </w:p>
    <w:p>
      <w:pPr>
        <w:spacing w:after="0" w:line="31" w:lineRule="exact"/>
        <w:rPr>
          <w:rFonts w:ascii="Arial" w:cs="Arial" w:eastAsia="Arial" w:hAnsi="Arial"/>
          <w:sz w:val="12"/>
          <w:szCs w:val="12"/>
          <w:color w:val="auto"/>
        </w:rPr>
      </w:pPr>
    </w:p>
    <w:p>
      <w:pPr>
        <w:ind w:left="360" w:right="20" w:hanging="353"/>
        <w:spacing w:after="0" w:line="237" w:lineRule="auto"/>
        <w:tabs>
          <w:tab w:leader="none" w:pos="3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Reflects the grant date fair value of DSU awards credited to the director’s account, including any portion of the annual cash retainer that the director elected to receive as DSUs. The value of DSU awards is calculated in accordance with FASB ASC Topic 718 using assumptions described in Note 21: Stock Based Compensation, to the Consolidated Financial Statements in RTX’s 2021 Annual Report on Form 10-K. The number of units credited to each director in 2021 was calculated by dividing the value of the award by $81.00, the NYSE closing price per share of RTX Common Stock on April 26, 2021, which was the date of the 2021 Annual Meeting. Since DSU awards vest on the grant date, but are not distributed until the director retires from the Board, the only unvested units as of December 31, 2021, are the following unvested portions of the deferred RSU awards received by those directors who joined the Board before October 2019: Dr. O’Sullivan (267 units); and Ms. Ramos (532 units). The aggregate number of shares underlying awards outstanding for each director can be found in the table on page 35.</w:t>
      </w:r>
    </w:p>
    <w:p>
      <w:pPr>
        <w:spacing w:after="0" w:line="39" w:lineRule="exact"/>
        <w:rPr>
          <w:rFonts w:ascii="Arial" w:cs="Arial" w:eastAsia="Arial" w:hAnsi="Arial"/>
          <w:sz w:val="12"/>
          <w:szCs w:val="12"/>
          <w:color w:val="auto"/>
        </w:rPr>
      </w:pPr>
    </w:p>
    <w:p>
      <w:pPr>
        <w:ind w:left="360" w:right="180" w:hanging="353"/>
        <w:spacing w:after="0" w:line="242" w:lineRule="auto"/>
        <w:tabs>
          <w:tab w:leader="none" w:pos="3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Amounts in this column include incidental benefits and matching contributions to eligible non-profit organizations under the Company’s matching charitable gift program that covers non-employee directors as well as Company employees. The Company’s matching charitable gifts in 2021 were as follows: Ms. Atkinson, $25,000; Mr. Oliver, $25,000; Mr. Paliwal, $25,000; Ms. Pawlikowski, $10,000; Mr. Reynolds, $25,000; Mr. Rogers, $25,000; Mr. Winnefeld, Jr., $5,000 and Mr. Work, $10,000.</w:t>
      </w:r>
    </w:p>
    <w:p>
      <w:pPr>
        <w:spacing w:after="0" w:line="37" w:lineRule="exact"/>
        <w:rPr>
          <w:rFonts w:ascii="Arial" w:cs="Arial" w:eastAsia="Arial" w:hAnsi="Arial"/>
          <w:sz w:val="12"/>
          <w:szCs w:val="12"/>
          <w:color w:val="auto"/>
        </w:rPr>
      </w:pPr>
    </w:p>
    <w:p>
      <w:pPr>
        <w:ind w:left="360" w:right="60" w:hanging="353"/>
        <w:spacing w:after="0" w:line="252" w:lineRule="auto"/>
        <w:tabs>
          <w:tab w:leader="none" w:pos="36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Mr. Ortberg served as an executive officer, but not as a named executive officer, between January 1, 2021 and February 28, 2021. For additional details on his compensation earned during 2021 as an executive officer, see the Transactions with Related Persons disclosure on page 100.</w:t>
      </w:r>
    </w:p>
    <w:p>
      <w:pPr>
        <w:spacing w:after="0" w:line="160" w:lineRule="exact"/>
        <w:rPr>
          <w:sz w:val="20"/>
          <w:szCs w:val="20"/>
          <w:color w:val="auto"/>
        </w:rPr>
      </w:pPr>
    </w:p>
    <w:p>
      <w:pPr>
        <w:ind w:left="460" w:hanging="453"/>
        <w:spacing w:after="0"/>
        <w:tabs>
          <w:tab w:leader="none" w:pos="460" w:val="left"/>
        </w:tabs>
        <w:numPr>
          <w:ilvl w:val="0"/>
          <w:numId w:val="115"/>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Share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2618740" cy="50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18740" cy="50800"/>
                    </a:xfrm>
                    <a:prstGeom prst="rect">
                      <a:avLst/>
                    </a:prstGeom>
                    <a:noFill/>
                  </pic:spPr>
                </pic:pic>
              </a:graphicData>
            </a:graphic>
          </wp:anchor>
        </w:drawing>
      </w:r>
    </w:p>
    <w:p>
      <w:pPr>
        <w:spacing w:after="0" w:line="33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 Ownership Requirements</w:t>
      </w:r>
    </w:p>
    <w:p>
      <w:pPr>
        <w:spacing w:after="0" w:line="26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Our rigorous share ownership requirements, shown below, promote and strengthen the alignment of our non-employee directors and senior management with the interests of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1364615</wp:posOffset>
            </wp:positionH>
            <wp:positionV relativeFrom="paragraph">
              <wp:posOffset>123825</wp:posOffset>
            </wp:positionV>
            <wp:extent cx="76835" cy="7905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790575"/>
                    </a:xfrm>
                    <a:prstGeom prst="rect">
                      <a:avLst/>
                    </a:prstGeom>
                    <a:noFill/>
                  </pic:spPr>
                </pic:pic>
              </a:graphicData>
            </a:graphic>
          </wp:anchor>
        </w:drawing>
        <w:drawing>
          <wp:anchor simplePos="0" relativeHeight="251657728" behindDoc="1" locked="0" layoutInCell="0" allowOverlap="1">
            <wp:simplePos x="0" y="0"/>
            <wp:positionH relativeFrom="column">
              <wp:posOffset>2801620</wp:posOffset>
            </wp:positionH>
            <wp:positionV relativeFrom="paragraph">
              <wp:posOffset>123825</wp:posOffset>
            </wp:positionV>
            <wp:extent cx="76835" cy="7905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790575"/>
                    </a:xfrm>
                    <a:prstGeom prst="rect">
                      <a:avLst/>
                    </a:prstGeom>
                    <a:noFill/>
                  </pic:spPr>
                </pic:pic>
              </a:graphicData>
            </a:graphic>
          </wp:anchor>
        </w:drawing>
        <w:drawing>
          <wp:anchor simplePos="0" relativeHeight="251657728" behindDoc="1" locked="0" layoutInCell="0" allowOverlap="1">
            <wp:simplePos x="0" y="0"/>
            <wp:positionH relativeFrom="column">
              <wp:posOffset>4230370</wp:posOffset>
            </wp:positionH>
            <wp:positionV relativeFrom="paragraph">
              <wp:posOffset>123825</wp:posOffset>
            </wp:positionV>
            <wp:extent cx="67945" cy="7905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790575"/>
                    </a:xfrm>
                    <a:prstGeom prst="rect">
                      <a:avLst/>
                    </a:prstGeom>
                    <a:noFill/>
                  </pic:spPr>
                </pic:pic>
              </a:graphicData>
            </a:graphic>
          </wp:anchor>
        </w:drawing>
        <w:drawing>
          <wp:anchor simplePos="0" relativeHeight="251657728" behindDoc="1" locked="0" layoutInCell="0" allowOverlap="1">
            <wp:simplePos x="0" y="0"/>
            <wp:positionH relativeFrom="column">
              <wp:posOffset>5650230</wp:posOffset>
            </wp:positionH>
            <wp:positionV relativeFrom="paragraph">
              <wp:posOffset>123825</wp:posOffset>
            </wp:positionV>
            <wp:extent cx="67945" cy="7905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790575"/>
                    </a:xfrm>
                    <a:prstGeom prst="rect">
                      <a:avLst/>
                    </a:prstGeom>
                    <a:noFill/>
                  </pic:spPr>
                </pic:pic>
              </a:graphicData>
            </a:graphic>
          </wp:anchor>
        </w:drawing>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607"/>
        </w:trPr>
        <w:tc>
          <w:tcPr>
            <w:tcW w:w="2140" w:type="dxa"/>
            <w:vAlign w:val="bottom"/>
            <w:tcBorders>
              <w:top w:val="single" w:sz="8" w:color="CE0F2D"/>
            </w:tcBorders>
            <w:shd w:val="clear" w:color="auto" w:fill="ECEDEF"/>
          </w:tcPr>
          <w:p>
            <w:pPr>
              <w:ind w:left="60"/>
              <w:spacing w:after="0"/>
              <w:rPr>
                <w:sz w:val="20"/>
                <w:szCs w:val="20"/>
                <w:color w:val="auto"/>
              </w:rPr>
            </w:pPr>
            <w:r>
              <w:rPr>
                <w:rFonts w:ascii="Arial" w:cs="Arial" w:eastAsia="Arial" w:hAnsi="Arial"/>
                <w:sz w:val="45"/>
                <w:szCs w:val="45"/>
                <w:b w:val="1"/>
                <w:bCs w:val="1"/>
                <w:color w:val="CE0F2D"/>
              </w:rPr>
              <w:t>6X</w:t>
            </w:r>
          </w:p>
        </w:tc>
        <w:tc>
          <w:tcPr>
            <w:tcW w:w="120" w:type="dxa"/>
            <w:vAlign w:val="bottom"/>
            <w:tcBorders>
              <w:top w:val="single" w:sz="8" w:color="ECEDEF"/>
            </w:tcBorders>
            <w:shd w:val="clear" w:color="auto" w:fill="ECEDEF"/>
          </w:tcPr>
          <w:p>
            <w:pPr>
              <w:spacing w:after="0"/>
              <w:rPr>
                <w:sz w:val="24"/>
                <w:szCs w:val="24"/>
                <w:color w:val="auto"/>
              </w:rPr>
            </w:pPr>
          </w:p>
        </w:tc>
        <w:tc>
          <w:tcPr>
            <w:tcW w:w="2160" w:type="dxa"/>
            <w:vAlign w:val="bottom"/>
            <w:tcBorders>
              <w:top w:val="single" w:sz="8" w:color="CE0F2D"/>
            </w:tcBorders>
            <w:shd w:val="clear" w:color="auto" w:fill="ECEDEF"/>
          </w:tcPr>
          <w:p>
            <w:pPr>
              <w:ind w:left="60"/>
              <w:spacing w:after="0"/>
              <w:rPr>
                <w:sz w:val="20"/>
                <w:szCs w:val="20"/>
                <w:color w:val="auto"/>
              </w:rPr>
            </w:pPr>
            <w:r>
              <w:rPr>
                <w:rFonts w:ascii="Arial" w:cs="Arial" w:eastAsia="Arial" w:hAnsi="Arial"/>
                <w:sz w:val="45"/>
                <w:szCs w:val="45"/>
                <w:b w:val="1"/>
                <w:bCs w:val="1"/>
                <w:color w:val="CE0F2D"/>
              </w:rPr>
              <w:t>5X</w:t>
            </w:r>
          </w:p>
        </w:tc>
        <w:tc>
          <w:tcPr>
            <w:tcW w:w="120" w:type="dxa"/>
            <w:vAlign w:val="bottom"/>
            <w:tcBorders>
              <w:top w:val="single" w:sz="8" w:color="ECEDEF"/>
            </w:tcBorders>
            <w:shd w:val="clear" w:color="auto" w:fill="ECEDEF"/>
          </w:tcPr>
          <w:p>
            <w:pPr>
              <w:spacing w:after="0"/>
              <w:rPr>
                <w:sz w:val="24"/>
                <w:szCs w:val="24"/>
                <w:color w:val="auto"/>
              </w:rPr>
            </w:pPr>
          </w:p>
        </w:tc>
        <w:tc>
          <w:tcPr>
            <w:tcW w:w="2120" w:type="dxa"/>
            <w:vAlign w:val="bottom"/>
            <w:tcBorders>
              <w:top w:val="single" w:sz="8" w:color="CE0F2D"/>
            </w:tcBorders>
            <w:shd w:val="clear" w:color="auto" w:fill="ECEDEF"/>
          </w:tcPr>
          <w:p>
            <w:pPr>
              <w:ind w:left="40"/>
              <w:spacing w:after="0"/>
              <w:rPr>
                <w:sz w:val="20"/>
                <w:szCs w:val="20"/>
                <w:color w:val="auto"/>
              </w:rPr>
            </w:pPr>
            <w:r>
              <w:rPr>
                <w:rFonts w:ascii="Arial" w:cs="Arial" w:eastAsia="Arial" w:hAnsi="Arial"/>
                <w:sz w:val="45"/>
                <w:szCs w:val="45"/>
                <w:b w:val="1"/>
                <w:bCs w:val="1"/>
                <w:color w:val="CE0F2D"/>
              </w:rPr>
              <w:t>4X</w:t>
            </w:r>
          </w:p>
        </w:tc>
        <w:tc>
          <w:tcPr>
            <w:tcW w:w="100" w:type="dxa"/>
            <w:vAlign w:val="bottom"/>
            <w:tcBorders>
              <w:top w:val="single" w:sz="8" w:color="ECEDEF"/>
            </w:tcBorders>
            <w:shd w:val="clear" w:color="auto" w:fill="ECEDEF"/>
          </w:tcPr>
          <w:p>
            <w:pPr>
              <w:spacing w:after="0"/>
              <w:rPr>
                <w:sz w:val="24"/>
                <w:szCs w:val="24"/>
                <w:color w:val="auto"/>
              </w:rPr>
            </w:pPr>
          </w:p>
        </w:tc>
        <w:tc>
          <w:tcPr>
            <w:tcW w:w="2140" w:type="dxa"/>
            <w:vAlign w:val="bottom"/>
            <w:tcBorders>
              <w:top w:val="single" w:sz="8" w:color="CE0F2D"/>
            </w:tcBorders>
            <w:shd w:val="clear" w:color="auto" w:fill="ECEDEF"/>
          </w:tcPr>
          <w:p>
            <w:pPr>
              <w:ind w:left="60"/>
              <w:spacing w:after="0"/>
              <w:rPr>
                <w:sz w:val="20"/>
                <w:szCs w:val="20"/>
                <w:color w:val="auto"/>
              </w:rPr>
            </w:pPr>
            <w:r>
              <w:rPr>
                <w:rFonts w:ascii="Arial" w:cs="Arial" w:eastAsia="Arial" w:hAnsi="Arial"/>
                <w:sz w:val="45"/>
                <w:szCs w:val="45"/>
                <w:b w:val="1"/>
                <w:bCs w:val="1"/>
                <w:color w:val="CE0F2D"/>
              </w:rPr>
              <w:t>3X</w:t>
            </w:r>
          </w:p>
        </w:tc>
        <w:tc>
          <w:tcPr>
            <w:tcW w:w="100" w:type="dxa"/>
            <w:vAlign w:val="bottom"/>
            <w:tcBorders>
              <w:top w:val="single" w:sz="8" w:color="ECEDEF"/>
            </w:tcBorders>
            <w:shd w:val="clear" w:color="auto" w:fill="ECEDEF"/>
          </w:tcPr>
          <w:p>
            <w:pPr>
              <w:spacing w:after="0"/>
              <w:rPr>
                <w:sz w:val="24"/>
                <w:szCs w:val="24"/>
                <w:color w:val="auto"/>
              </w:rPr>
            </w:pPr>
          </w:p>
        </w:tc>
        <w:tc>
          <w:tcPr>
            <w:tcW w:w="2240" w:type="dxa"/>
            <w:vAlign w:val="bottom"/>
            <w:tcBorders>
              <w:top w:val="single" w:sz="8" w:color="CE0F2D"/>
            </w:tcBorders>
            <w:shd w:val="clear" w:color="auto" w:fill="ECEDEF"/>
          </w:tcPr>
          <w:p>
            <w:pPr>
              <w:ind w:left="60"/>
              <w:spacing w:after="0"/>
              <w:rPr>
                <w:sz w:val="20"/>
                <w:szCs w:val="20"/>
                <w:color w:val="auto"/>
              </w:rPr>
            </w:pPr>
            <w:r>
              <w:rPr>
                <w:rFonts w:ascii="Arial" w:cs="Arial" w:eastAsia="Arial" w:hAnsi="Arial"/>
                <w:sz w:val="45"/>
                <w:szCs w:val="45"/>
                <w:b w:val="1"/>
                <w:bCs w:val="1"/>
                <w:color w:val="CE0F2D"/>
              </w:rPr>
              <w:t>2X</w:t>
            </w:r>
          </w:p>
        </w:tc>
      </w:tr>
      <w:tr>
        <w:trPr>
          <w:trHeight w:val="211"/>
        </w:trPr>
        <w:tc>
          <w:tcPr>
            <w:tcW w:w="2140" w:type="dxa"/>
            <w:vAlign w:val="bottom"/>
            <w:shd w:val="clear" w:color="auto" w:fill="ECEDEF"/>
          </w:tcPr>
          <w:p>
            <w:pPr>
              <w:ind w:left="60"/>
              <w:spacing w:after="0"/>
              <w:rPr>
                <w:sz w:val="20"/>
                <w:szCs w:val="20"/>
                <w:color w:val="auto"/>
              </w:rPr>
            </w:pPr>
            <w:r>
              <w:rPr>
                <w:rFonts w:ascii="Arial" w:cs="Arial" w:eastAsia="Arial" w:hAnsi="Arial"/>
                <w:sz w:val="16"/>
                <w:szCs w:val="16"/>
                <w:color w:val="auto"/>
              </w:rPr>
              <w:t>base salary for our</w:t>
            </w:r>
          </w:p>
        </w:tc>
        <w:tc>
          <w:tcPr>
            <w:tcW w:w="120" w:type="dxa"/>
            <w:vAlign w:val="bottom"/>
            <w:shd w:val="clear" w:color="auto" w:fill="ECEDEF"/>
          </w:tcPr>
          <w:p>
            <w:pPr>
              <w:spacing w:after="0"/>
              <w:rPr>
                <w:sz w:val="18"/>
                <w:szCs w:val="18"/>
                <w:color w:val="auto"/>
              </w:rPr>
            </w:pPr>
          </w:p>
        </w:tc>
        <w:tc>
          <w:tcPr>
            <w:tcW w:w="2280" w:type="dxa"/>
            <w:vAlign w:val="bottom"/>
            <w:gridSpan w:val="2"/>
            <w:shd w:val="clear" w:color="auto" w:fill="ECEDEF"/>
          </w:tcPr>
          <w:p>
            <w:pPr>
              <w:ind w:left="60"/>
              <w:spacing w:after="0"/>
              <w:rPr>
                <w:sz w:val="20"/>
                <w:szCs w:val="20"/>
                <w:color w:val="auto"/>
              </w:rPr>
            </w:pPr>
            <w:r>
              <w:rPr>
                <w:rFonts w:ascii="Arial" w:cs="Arial" w:eastAsia="Arial" w:hAnsi="Arial"/>
                <w:sz w:val="16"/>
                <w:szCs w:val="16"/>
                <w:color w:val="auto"/>
              </w:rPr>
              <w:t>annual base cash retainer</w:t>
            </w:r>
          </w:p>
        </w:tc>
        <w:tc>
          <w:tcPr>
            <w:tcW w:w="2220" w:type="dxa"/>
            <w:vAlign w:val="bottom"/>
            <w:gridSpan w:val="2"/>
            <w:shd w:val="clear" w:color="auto" w:fill="ECEDEF"/>
          </w:tcPr>
          <w:p>
            <w:pPr>
              <w:ind w:left="40"/>
              <w:spacing w:after="0"/>
              <w:rPr>
                <w:sz w:val="20"/>
                <w:szCs w:val="20"/>
                <w:color w:val="auto"/>
              </w:rPr>
            </w:pPr>
            <w:r>
              <w:rPr>
                <w:rFonts w:ascii="Arial" w:cs="Arial" w:eastAsia="Arial" w:hAnsi="Arial"/>
                <w:sz w:val="16"/>
                <w:szCs w:val="16"/>
                <w:color w:val="auto"/>
              </w:rPr>
              <w:t>base salary for our CFO,</w:t>
            </w:r>
          </w:p>
        </w:tc>
        <w:tc>
          <w:tcPr>
            <w:tcW w:w="2240" w:type="dxa"/>
            <w:vAlign w:val="bottom"/>
            <w:gridSpan w:val="2"/>
            <w:shd w:val="clear" w:color="auto" w:fill="ECEDEF"/>
          </w:tcPr>
          <w:p>
            <w:pPr>
              <w:ind w:left="60"/>
              <w:spacing w:after="0"/>
              <w:rPr>
                <w:sz w:val="20"/>
                <w:szCs w:val="20"/>
                <w:color w:val="auto"/>
              </w:rPr>
            </w:pPr>
            <w:r>
              <w:rPr>
                <w:rFonts w:ascii="Arial" w:cs="Arial" w:eastAsia="Arial" w:hAnsi="Arial"/>
                <w:sz w:val="16"/>
                <w:szCs w:val="16"/>
                <w:color w:val="auto"/>
              </w:rPr>
              <w:t>base salary for other ELG</w:t>
            </w:r>
          </w:p>
        </w:tc>
        <w:tc>
          <w:tcPr>
            <w:tcW w:w="2240" w:type="dxa"/>
            <w:vAlign w:val="bottom"/>
            <w:shd w:val="clear" w:color="auto" w:fill="ECEDEF"/>
          </w:tcPr>
          <w:p>
            <w:pPr>
              <w:ind w:left="60"/>
              <w:spacing w:after="0"/>
              <w:rPr>
                <w:sz w:val="20"/>
                <w:szCs w:val="20"/>
                <w:color w:val="auto"/>
              </w:rPr>
            </w:pPr>
            <w:r>
              <w:rPr>
                <w:rFonts w:ascii="Arial" w:cs="Arial" w:eastAsia="Arial" w:hAnsi="Arial"/>
                <w:sz w:val="16"/>
                <w:szCs w:val="16"/>
                <w:color w:val="auto"/>
              </w:rPr>
              <w:t>base salary for other officers*</w:t>
            </w:r>
          </w:p>
        </w:tc>
      </w:tr>
      <w:tr>
        <w:trPr>
          <w:trHeight w:val="187"/>
        </w:trPr>
        <w:tc>
          <w:tcPr>
            <w:tcW w:w="2140" w:type="dxa"/>
            <w:vAlign w:val="bottom"/>
            <w:shd w:val="clear" w:color="auto" w:fill="ECEDEF"/>
          </w:tcPr>
          <w:p>
            <w:pPr>
              <w:ind w:left="60"/>
              <w:spacing w:after="0"/>
              <w:rPr>
                <w:sz w:val="20"/>
                <w:szCs w:val="20"/>
                <w:color w:val="auto"/>
              </w:rPr>
            </w:pPr>
            <w:r>
              <w:rPr>
                <w:rFonts w:ascii="Arial" w:cs="Arial" w:eastAsia="Arial" w:hAnsi="Arial"/>
                <w:sz w:val="16"/>
                <w:szCs w:val="16"/>
                <w:color w:val="auto"/>
              </w:rPr>
              <w:t>Chairman &amp; CEO</w:t>
            </w:r>
          </w:p>
        </w:tc>
        <w:tc>
          <w:tcPr>
            <w:tcW w:w="120" w:type="dxa"/>
            <w:vAlign w:val="bottom"/>
            <w:shd w:val="clear" w:color="auto" w:fill="ECEDEF"/>
          </w:tcPr>
          <w:p>
            <w:pPr>
              <w:spacing w:after="0"/>
              <w:rPr>
                <w:sz w:val="16"/>
                <w:szCs w:val="16"/>
                <w:color w:val="auto"/>
              </w:rPr>
            </w:pPr>
          </w:p>
        </w:tc>
        <w:tc>
          <w:tcPr>
            <w:tcW w:w="2280" w:type="dxa"/>
            <w:vAlign w:val="bottom"/>
            <w:gridSpan w:val="2"/>
            <w:shd w:val="clear" w:color="auto" w:fill="ECEDEF"/>
          </w:tcPr>
          <w:p>
            <w:pPr>
              <w:ind w:left="60"/>
              <w:spacing w:after="0"/>
              <w:rPr>
                <w:sz w:val="20"/>
                <w:szCs w:val="20"/>
                <w:color w:val="auto"/>
              </w:rPr>
            </w:pPr>
            <w:r>
              <w:rPr>
                <w:rFonts w:ascii="Arial" w:cs="Arial" w:eastAsia="Arial" w:hAnsi="Arial"/>
                <w:sz w:val="16"/>
                <w:szCs w:val="16"/>
                <w:color w:val="auto"/>
              </w:rPr>
              <w:t>for non-employee directors</w:t>
            </w:r>
          </w:p>
        </w:tc>
        <w:tc>
          <w:tcPr>
            <w:tcW w:w="2220" w:type="dxa"/>
            <w:vAlign w:val="bottom"/>
            <w:gridSpan w:val="2"/>
            <w:shd w:val="clear" w:color="auto" w:fill="ECEDEF"/>
          </w:tcPr>
          <w:p>
            <w:pPr>
              <w:ind w:left="40"/>
              <w:spacing w:after="0"/>
              <w:rPr>
                <w:sz w:val="20"/>
                <w:szCs w:val="20"/>
                <w:color w:val="auto"/>
              </w:rPr>
            </w:pPr>
            <w:r>
              <w:rPr>
                <w:rFonts w:ascii="Arial" w:cs="Arial" w:eastAsia="Arial" w:hAnsi="Arial"/>
                <w:sz w:val="16"/>
                <w:szCs w:val="16"/>
                <w:color w:val="auto"/>
              </w:rPr>
              <w:t>COO and business unit</w:t>
            </w:r>
          </w:p>
        </w:tc>
        <w:tc>
          <w:tcPr>
            <w:tcW w:w="2240" w:type="dxa"/>
            <w:vAlign w:val="bottom"/>
            <w:gridSpan w:val="2"/>
            <w:shd w:val="clear" w:color="auto" w:fill="ECEDEF"/>
          </w:tcPr>
          <w:p>
            <w:pPr>
              <w:ind w:left="60"/>
              <w:spacing w:after="0"/>
              <w:rPr>
                <w:sz w:val="20"/>
                <w:szCs w:val="20"/>
                <w:color w:val="auto"/>
              </w:rPr>
            </w:pPr>
            <w:r>
              <w:rPr>
                <w:rFonts w:ascii="Arial" w:cs="Arial" w:eastAsia="Arial" w:hAnsi="Arial"/>
                <w:sz w:val="16"/>
                <w:szCs w:val="16"/>
                <w:color w:val="auto"/>
              </w:rPr>
              <w:t>members</w:t>
            </w:r>
          </w:p>
        </w:tc>
        <w:tc>
          <w:tcPr>
            <w:tcW w:w="2240" w:type="dxa"/>
            <w:vAlign w:val="bottom"/>
            <w:shd w:val="clear" w:color="auto" w:fill="ECEDEF"/>
          </w:tcPr>
          <w:p>
            <w:pPr>
              <w:spacing w:after="0"/>
              <w:rPr>
                <w:sz w:val="16"/>
                <w:szCs w:val="16"/>
                <w:color w:val="auto"/>
              </w:rPr>
            </w:pPr>
          </w:p>
        </w:tc>
      </w:tr>
      <w:tr>
        <w:trPr>
          <w:trHeight w:val="193"/>
        </w:trPr>
        <w:tc>
          <w:tcPr>
            <w:tcW w:w="214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16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220" w:type="dxa"/>
            <w:vAlign w:val="bottom"/>
            <w:gridSpan w:val="2"/>
            <w:shd w:val="clear" w:color="auto" w:fill="ECEDEF"/>
          </w:tcPr>
          <w:p>
            <w:pPr>
              <w:ind w:left="40"/>
              <w:spacing w:after="0"/>
              <w:rPr>
                <w:sz w:val="20"/>
                <w:szCs w:val="20"/>
                <w:color w:val="auto"/>
              </w:rPr>
            </w:pPr>
            <w:r>
              <w:rPr>
                <w:rFonts w:ascii="Arial" w:cs="Arial" w:eastAsia="Arial" w:hAnsi="Arial"/>
                <w:sz w:val="16"/>
                <w:szCs w:val="16"/>
                <w:color w:val="auto"/>
              </w:rPr>
              <w:t>presidents</w:t>
            </w:r>
          </w:p>
        </w:tc>
        <w:tc>
          <w:tcPr>
            <w:tcW w:w="214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240" w:type="dxa"/>
            <w:vAlign w:val="bottom"/>
            <w:shd w:val="clear" w:color="auto" w:fill="ECEDEF"/>
          </w:tcPr>
          <w:p>
            <w:pPr>
              <w:spacing w:after="0"/>
              <w:rPr>
                <w:sz w:val="16"/>
                <w:szCs w:val="16"/>
                <w:color w:val="auto"/>
              </w:rPr>
            </w:pPr>
          </w:p>
        </w:tc>
      </w:tr>
      <w:tr>
        <w:trPr>
          <w:trHeight w:val="46"/>
        </w:trPr>
        <w:tc>
          <w:tcPr>
            <w:tcW w:w="2140" w:type="dxa"/>
            <w:vAlign w:val="bottom"/>
            <w:shd w:val="clear" w:color="auto" w:fill="ECEDEF"/>
          </w:tcPr>
          <w:p>
            <w:pPr>
              <w:spacing w:after="0"/>
              <w:rPr>
                <w:sz w:val="3"/>
                <w:szCs w:val="3"/>
                <w:color w:val="auto"/>
              </w:rPr>
            </w:pPr>
          </w:p>
        </w:tc>
        <w:tc>
          <w:tcPr>
            <w:tcW w:w="120" w:type="dxa"/>
            <w:vAlign w:val="bottom"/>
            <w:shd w:val="clear" w:color="auto" w:fill="ECEDEF"/>
          </w:tcPr>
          <w:p>
            <w:pPr>
              <w:spacing w:after="0"/>
              <w:rPr>
                <w:sz w:val="3"/>
                <w:szCs w:val="3"/>
                <w:color w:val="auto"/>
              </w:rPr>
            </w:pPr>
          </w:p>
        </w:tc>
        <w:tc>
          <w:tcPr>
            <w:tcW w:w="2160" w:type="dxa"/>
            <w:vAlign w:val="bottom"/>
            <w:shd w:val="clear" w:color="auto" w:fill="ECEDEF"/>
          </w:tcPr>
          <w:p>
            <w:pPr>
              <w:spacing w:after="0"/>
              <w:rPr>
                <w:sz w:val="3"/>
                <w:szCs w:val="3"/>
                <w:color w:val="auto"/>
              </w:rPr>
            </w:pPr>
          </w:p>
        </w:tc>
        <w:tc>
          <w:tcPr>
            <w:tcW w:w="120" w:type="dxa"/>
            <w:vAlign w:val="bottom"/>
            <w:shd w:val="clear" w:color="auto" w:fill="ECEDEF"/>
          </w:tcPr>
          <w:p>
            <w:pPr>
              <w:spacing w:after="0"/>
              <w:rPr>
                <w:sz w:val="3"/>
                <w:szCs w:val="3"/>
                <w:color w:val="auto"/>
              </w:rPr>
            </w:pPr>
          </w:p>
        </w:tc>
        <w:tc>
          <w:tcPr>
            <w:tcW w:w="2120" w:type="dxa"/>
            <w:vAlign w:val="bottom"/>
            <w:shd w:val="clear" w:color="auto" w:fill="ECEDEF"/>
          </w:tcPr>
          <w:p>
            <w:pPr>
              <w:spacing w:after="0"/>
              <w:rPr>
                <w:sz w:val="3"/>
                <w:szCs w:val="3"/>
                <w:color w:val="auto"/>
              </w:rPr>
            </w:pPr>
          </w:p>
        </w:tc>
        <w:tc>
          <w:tcPr>
            <w:tcW w:w="100" w:type="dxa"/>
            <w:vAlign w:val="bottom"/>
            <w:shd w:val="clear" w:color="auto" w:fill="ECEDEF"/>
          </w:tcPr>
          <w:p>
            <w:pPr>
              <w:spacing w:after="0"/>
              <w:rPr>
                <w:sz w:val="3"/>
                <w:szCs w:val="3"/>
                <w:color w:val="auto"/>
              </w:rPr>
            </w:pPr>
          </w:p>
        </w:tc>
        <w:tc>
          <w:tcPr>
            <w:tcW w:w="2140" w:type="dxa"/>
            <w:vAlign w:val="bottom"/>
            <w:shd w:val="clear" w:color="auto" w:fill="ECEDEF"/>
          </w:tcPr>
          <w:p>
            <w:pPr>
              <w:spacing w:after="0"/>
              <w:rPr>
                <w:sz w:val="3"/>
                <w:szCs w:val="3"/>
                <w:color w:val="auto"/>
              </w:rPr>
            </w:pPr>
          </w:p>
        </w:tc>
        <w:tc>
          <w:tcPr>
            <w:tcW w:w="100" w:type="dxa"/>
            <w:vAlign w:val="bottom"/>
            <w:shd w:val="clear" w:color="auto" w:fill="ECEDEF"/>
          </w:tcPr>
          <w:p>
            <w:pPr>
              <w:spacing w:after="0"/>
              <w:rPr>
                <w:sz w:val="3"/>
                <w:szCs w:val="3"/>
                <w:color w:val="auto"/>
              </w:rPr>
            </w:pPr>
          </w:p>
        </w:tc>
        <w:tc>
          <w:tcPr>
            <w:tcW w:w="2240" w:type="dxa"/>
            <w:vAlign w:val="bottom"/>
            <w:shd w:val="clear" w:color="auto" w:fill="ECEDEF"/>
          </w:tcPr>
          <w:p>
            <w:pPr>
              <w:spacing w:after="0"/>
              <w:rPr>
                <w:sz w:val="3"/>
                <w:szCs w:val="3"/>
                <w:color w:val="auto"/>
              </w:rPr>
            </w:pPr>
          </w:p>
        </w:tc>
      </w:tr>
    </w:tbl>
    <w:p>
      <w:pPr>
        <w:spacing w:after="0" w:line="176"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Shares for the purposes of determining compliance with the RTX Share Ownership Policy are defined as RTX Common Stock held outright (by the executive/director or their spouse), restricted stock units, restricted stock awards, shares or share equivalents held in a Company savings plan or deferred compensation plan. Stock options, stock appreciation rights, and performance share units are excluded from the definition of shares under the RTX Share Ownership Policy.</w:t>
      </w:r>
    </w:p>
    <w:p>
      <w:pPr>
        <w:spacing w:after="0" w:line="204"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Non-employee directors must achieve their required ownership level within five years of joining the Board, and ELG members (including the NEOs) must achieve their ownership levels within five years of appointment to the ELG. Other officers who are not ELG members must achieve their ownership levels within five years of appointment to an officer role. An individual who has not reached the applicable ownership level after this five-year period is not permitted to sell RTX shares until that ownership level is achieved. All directors, ELG members and other officers currently comply with their respective ownership requirements or are on track to meet them within the five-year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2"/>
          <w:szCs w:val="12"/>
          <w:color w:val="auto"/>
        </w:rPr>
        <w:t>* Other officers who are not ELG members.</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Beneficial Share Ownership of Directors and Executive Officers</w:t>
      </w:r>
    </w:p>
    <w:p>
      <w:pPr>
        <w:spacing w:after="0" w:line="264"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The following table shows the beneficial ownership of RTX Common Stock as of February 10, 2022 for: (i) each director and nominee; (ii) each NEO; and (iii) the directors and executive officers as a group. None of these individuals or the group as a whole beneficially owned more than 1% of RTX Common Stock as of that date. Unless otherwise noted, each person named in the table has sole voting power and sole investment power.</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340" w:type="dxa"/>
            <w:vAlign w:val="bottom"/>
          </w:tcPr>
          <w:p>
            <w:pPr>
              <w:jc w:val="right"/>
              <w:ind w:right="101"/>
              <w:spacing w:after="0"/>
              <w:rPr>
                <w:sz w:val="20"/>
                <w:szCs w:val="20"/>
                <w:color w:val="auto"/>
              </w:rPr>
            </w:pPr>
            <w:r>
              <w:rPr>
                <w:rFonts w:ascii="Arial" w:cs="Arial" w:eastAsia="Arial" w:hAnsi="Arial"/>
                <w:sz w:val="14"/>
                <w:szCs w:val="14"/>
                <w:color w:val="616A6D"/>
              </w:rPr>
              <w:t>SARs Exercisable</w:t>
            </w:r>
          </w:p>
        </w:tc>
        <w:tc>
          <w:tcPr>
            <w:tcW w:w="1880" w:type="dxa"/>
            <w:vAlign w:val="bottom"/>
          </w:tcPr>
          <w:p>
            <w:pPr>
              <w:jc w:val="right"/>
              <w:ind w:right="81"/>
              <w:spacing w:after="0"/>
              <w:rPr>
                <w:sz w:val="20"/>
                <w:szCs w:val="20"/>
                <w:color w:val="auto"/>
              </w:rPr>
            </w:pPr>
            <w:r>
              <w:rPr>
                <w:rFonts w:ascii="Arial" w:cs="Arial" w:eastAsia="Arial" w:hAnsi="Arial"/>
                <w:sz w:val="14"/>
                <w:szCs w:val="14"/>
                <w:color w:val="616A6D"/>
              </w:rPr>
              <w:t>RSUs Convertible to</w:t>
            </w:r>
          </w:p>
        </w:tc>
        <w:tc>
          <w:tcPr>
            <w:tcW w:w="1940" w:type="dxa"/>
            <w:vAlign w:val="bottom"/>
          </w:tcPr>
          <w:p>
            <w:pPr>
              <w:jc w:val="right"/>
              <w:ind w:right="142"/>
              <w:spacing w:after="0"/>
              <w:rPr>
                <w:sz w:val="20"/>
                <w:szCs w:val="20"/>
                <w:color w:val="auto"/>
              </w:rPr>
            </w:pPr>
            <w:r>
              <w:rPr>
                <w:rFonts w:ascii="Arial" w:cs="Arial" w:eastAsia="Arial" w:hAnsi="Arial"/>
                <w:sz w:val="14"/>
                <w:szCs w:val="14"/>
                <w:color w:val="616A6D"/>
              </w:rPr>
              <w:t>DSUs Convertible to</w:t>
            </w:r>
          </w:p>
        </w:tc>
        <w:tc>
          <w:tcPr>
            <w:tcW w:w="1640" w:type="dxa"/>
            <w:vAlign w:val="bottom"/>
          </w:tcPr>
          <w:p>
            <w:pPr>
              <w:jc w:val="right"/>
              <w:ind w:right="2"/>
              <w:spacing w:after="0"/>
              <w:rPr>
                <w:sz w:val="20"/>
                <w:szCs w:val="20"/>
                <w:color w:val="auto"/>
              </w:rPr>
            </w:pPr>
            <w:r>
              <w:rPr>
                <w:rFonts w:ascii="Arial" w:cs="Arial" w:eastAsia="Arial" w:hAnsi="Arial"/>
                <w:sz w:val="14"/>
                <w:szCs w:val="14"/>
                <w:color w:val="616A6D"/>
              </w:rPr>
              <w:t>Total Shares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8"/>
        </w:trPr>
        <w:tc>
          <w:tcPr>
            <w:tcW w:w="4240" w:type="dxa"/>
            <w:vAlign w:val="bottom"/>
            <w:tcBorders>
              <w:bottom w:val="single" w:sz="8" w:color="CE0F2D"/>
            </w:tcBorders>
          </w:tcPr>
          <w:p>
            <w:pPr>
              <w:ind w:left="60"/>
              <w:spacing w:after="0"/>
              <w:rPr>
                <w:sz w:val="20"/>
                <w:szCs w:val="20"/>
                <w:color w:val="auto"/>
              </w:rPr>
            </w:pPr>
            <w:r>
              <w:rPr>
                <w:rFonts w:ascii="Arial" w:cs="Arial" w:eastAsia="Arial" w:hAnsi="Arial"/>
                <w:sz w:val="14"/>
                <w:szCs w:val="14"/>
                <w:color w:val="616A6D"/>
              </w:rPr>
              <w:t>Name of Beneficial Owner</w:t>
            </w:r>
          </w:p>
        </w:tc>
        <w:tc>
          <w:tcPr>
            <w:tcW w:w="1340" w:type="dxa"/>
            <w:vAlign w:val="bottom"/>
            <w:tcBorders>
              <w:bottom w:val="single" w:sz="8" w:color="CE0F2D"/>
            </w:tcBorders>
          </w:tcPr>
          <w:p>
            <w:pPr>
              <w:jc w:val="right"/>
              <w:ind w:right="101"/>
              <w:spacing w:after="0" w:line="201" w:lineRule="exact"/>
              <w:rPr>
                <w:sz w:val="20"/>
                <w:szCs w:val="20"/>
                <w:color w:val="auto"/>
              </w:rPr>
            </w:pPr>
            <w:r>
              <w:rPr>
                <w:rFonts w:ascii="Arial" w:cs="Arial" w:eastAsia="Arial" w:hAnsi="Arial"/>
                <w:sz w:val="14"/>
                <w:szCs w:val="14"/>
                <w:color w:val="616A6D"/>
              </w:rPr>
              <w:t>within 60 days</w:t>
            </w:r>
            <w:r>
              <w:rPr>
                <w:rFonts w:ascii="Arial" w:cs="Arial" w:eastAsia="Arial" w:hAnsi="Arial"/>
                <w:sz w:val="23"/>
                <w:szCs w:val="23"/>
                <w:color w:val="616A6D"/>
                <w:vertAlign w:val="superscript"/>
              </w:rPr>
              <w:t>(1)</w:t>
            </w:r>
          </w:p>
        </w:tc>
        <w:tc>
          <w:tcPr>
            <w:tcW w:w="1880" w:type="dxa"/>
            <w:vAlign w:val="bottom"/>
            <w:tcBorders>
              <w:bottom w:val="single" w:sz="8" w:color="CE0F2D"/>
            </w:tcBorders>
          </w:tcPr>
          <w:p>
            <w:pPr>
              <w:jc w:val="right"/>
              <w:ind w:right="81"/>
              <w:spacing w:after="0" w:line="201" w:lineRule="exact"/>
              <w:rPr>
                <w:sz w:val="20"/>
                <w:szCs w:val="20"/>
                <w:color w:val="auto"/>
              </w:rPr>
            </w:pPr>
            <w:r>
              <w:rPr>
                <w:rFonts w:ascii="Arial" w:cs="Arial" w:eastAsia="Arial" w:hAnsi="Arial"/>
                <w:sz w:val="14"/>
                <w:szCs w:val="14"/>
                <w:color w:val="616A6D"/>
              </w:rPr>
              <w:t>Shares within 60 days</w:t>
            </w:r>
            <w:r>
              <w:rPr>
                <w:rFonts w:ascii="Arial" w:cs="Arial" w:eastAsia="Arial" w:hAnsi="Arial"/>
                <w:sz w:val="23"/>
                <w:szCs w:val="23"/>
                <w:color w:val="616A6D"/>
                <w:vertAlign w:val="superscript"/>
              </w:rPr>
              <w:t>(2)</w:t>
            </w:r>
          </w:p>
        </w:tc>
        <w:tc>
          <w:tcPr>
            <w:tcW w:w="1940" w:type="dxa"/>
            <w:vAlign w:val="bottom"/>
            <w:tcBorders>
              <w:bottom w:val="single" w:sz="8" w:color="CE0F2D"/>
            </w:tcBorders>
          </w:tcPr>
          <w:p>
            <w:pPr>
              <w:jc w:val="right"/>
              <w:ind w:right="142"/>
              <w:spacing w:after="0" w:line="201" w:lineRule="exact"/>
              <w:rPr>
                <w:sz w:val="20"/>
                <w:szCs w:val="20"/>
                <w:color w:val="auto"/>
              </w:rPr>
            </w:pPr>
            <w:r>
              <w:rPr>
                <w:rFonts w:ascii="Arial" w:cs="Arial" w:eastAsia="Arial" w:hAnsi="Arial"/>
                <w:sz w:val="14"/>
                <w:szCs w:val="14"/>
                <w:color w:val="616A6D"/>
              </w:rPr>
              <w:t>Shares within 60 days</w:t>
            </w:r>
            <w:r>
              <w:rPr>
                <w:rFonts w:ascii="Arial" w:cs="Arial" w:eastAsia="Arial" w:hAnsi="Arial"/>
                <w:sz w:val="23"/>
                <w:szCs w:val="23"/>
                <w:color w:val="616A6D"/>
                <w:vertAlign w:val="superscript"/>
              </w:rPr>
              <w:t>(3)</w:t>
            </w:r>
          </w:p>
        </w:tc>
        <w:tc>
          <w:tcPr>
            <w:tcW w:w="1640" w:type="dxa"/>
            <w:vAlign w:val="bottom"/>
            <w:tcBorders>
              <w:bottom w:val="single" w:sz="8" w:color="CE0F2D"/>
            </w:tcBorders>
          </w:tcPr>
          <w:p>
            <w:pPr>
              <w:jc w:val="right"/>
              <w:ind w:right="2"/>
              <w:spacing w:after="0" w:line="201" w:lineRule="exact"/>
              <w:rPr>
                <w:sz w:val="20"/>
                <w:szCs w:val="20"/>
                <w:color w:val="auto"/>
              </w:rPr>
            </w:pPr>
            <w:r>
              <w:rPr>
                <w:rFonts w:ascii="Arial" w:cs="Arial" w:eastAsia="Arial" w:hAnsi="Arial"/>
                <w:sz w:val="14"/>
                <w:szCs w:val="14"/>
                <w:color w:val="616A6D"/>
              </w:rPr>
              <w:t>Beneficially Owned</w:t>
            </w:r>
            <w:r>
              <w:rPr>
                <w:rFonts w:ascii="Arial" w:cs="Arial" w:eastAsia="Arial" w:hAnsi="Arial"/>
                <w:sz w:val="23"/>
                <w:szCs w:val="23"/>
                <w:color w:val="616A6D"/>
                <w:vertAlign w:val="superscript"/>
              </w:rPr>
              <w:t>(4)</w:t>
            </w:r>
          </w:p>
        </w:tc>
        <w:tc>
          <w:tcPr>
            <w:tcW w:w="200" w:type="dxa"/>
            <w:vAlign w:val="bottom"/>
            <w:tcBorders>
              <w:bottom w:val="single" w:sz="8" w:color="CE0F2D"/>
            </w:tcBorders>
          </w:tcPr>
          <w:p>
            <w:pPr>
              <w:spacing w:after="0"/>
              <w:rPr>
                <w:sz w:val="18"/>
                <w:szCs w:val="18"/>
                <w:color w:val="auto"/>
              </w:rPr>
            </w:pPr>
          </w:p>
        </w:tc>
        <w:tc>
          <w:tcPr>
            <w:tcW w:w="20" w:type="dxa"/>
            <w:vAlign w:val="bottom"/>
          </w:tcPr>
          <w:p>
            <w:pPr>
              <w:spacing w:after="0"/>
              <w:rPr>
                <w:sz w:val="18"/>
                <w:szCs w:val="18"/>
                <w:color w:val="auto"/>
              </w:rPr>
            </w:pPr>
          </w:p>
        </w:tc>
      </w:tr>
      <w:tr>
        <w:trPr>
          <w:trHeight w:val="214"/>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Each director and nominee for director, including CEO</w:t>
            </w:r>
          </w:p>
        </w:tc>
        <w:tc>
          <w:tcPr>
            <w:tcW w:w="134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 Atkinson</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6,037</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18,257</w:t>
            </w:r>
          </w:p>
        </w:tc>
        <w:tc>
          <w:tcPr>
            <w:tcW w:w="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Harris, Jr.</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2,564</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2,564</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64"/>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 Hayes</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283,536</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gridSpan w:val="2"/>
          </w:tcPr>
          <w:p>
            <w:pPr>
              <w:jc w:val="right"/>
              <w:ind w:right="62"/>
              <w:spacing w:after="0" w:line="263" w:lineRule="exact"/>
              <w:rPr>
                <w:sz w:val="20"/>
                <w:szCs w:val="20"/>
                <w:color w:val="auto"/>
              </w:rPr>
            </w:pPr>
            <w:r>
              <w:rPr>
                <w:rFonts w:ascii="Arial" w:cs="Arial" w:eastAsia="Arial" w:hAnsi="Arial"/>
                <w:sz w:val="16"/>
                <w:szCs w:val="16"/>
                <w:color w:val="auto"/>
              </w:rPr>
              <w:t>697,351</w:t>
            </w:r>
            <w:r>
              <w:rPr>
                <w:rFonts w:ascii="Arial" w:cs="Arial" w:eastAsia="Arial" w:hAnsi="Arial"/>
                <w:sz w:val="26"/>
                <w:szCs w:val="26"/>
                <w:color w:val="auto"/>
                <w:vertAlign w:val="superscript"/>
              </w:rPr>
              <w:t>(5)</w:t>
            </w:r>
          </w:p>
        </w:tc>
        <w:tc>
          <w:tcPr>
            <w:tcW w:w="20" w:type="dxa"/>
            <w:vAlign w:val="bottom"/>
          </w:tcPr>
          <w:p>
            <w:pPr>
              <w:spacing w:after="0"/>
              <w:rPr>
                <w:sz w:val="22"/>
                <w:szCs w:val="22"/>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 Larsen</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1,344</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21,888</w:t>
            </w:r>
          </w:p>
        </w:tc>
        <w:tc>
          <w:tcPr>
            <w:tcW w:w="1840" w:type="dxa"/>
            <w:vAlign w:val="bottom"/>
            <w:tcBorders>
              <w:bottom w:val="single" w:sz="8" w:color="auto"/>
            </w:tcBorders>
            <w:gridSpan w:val="2"/>
          </w:tcPr>
          <w:p>
            <w:pPr>
              <w:jc w:val="right"/>
              <w:ind w:right="62"/>
              <w:spacing w:after="0" w:line="207" w:lineRule="exact"/>
              <w:rPr>
                <w:sz w:val="20"/>
                <w:szCs w:val="20"/>
                <w:color w:val="auto"/>
              </w:rPr>
            </w:pPr>
            <w:r>
              <w:rPr>
                <w:rFonts w:ascii="Arial" w:cs="Arial" w:eastAsia="Arial" w:hAnsi="Arial"/>
                <w:sz w:val="15"/>
                <w:szCs w:val="15"/>
                <w:color w:val="auto"/>
              </w:rPr>
              <w:t>28,664</w:t>
            </w:r>
            <w:r>
              <w:rPr>
                <w:rFonts w:ascii="Arial" w:cs="Arial" w:eastAsia="Arial" w:hAnsi="Arial"/>
                <w:sz w:val="24"/>
                <w:szCs w:val="24"/>
                <w:color w:val="auto"/>
                <w:vertAlign w:val="superscript"/>
              </w:rPr>
              <w:t>(6)</w:t>
            </w:r>
          </w:p>
        </w:tc>
        <w:tc>
          <w:tcPr>
            <w:tcW w:w="20" w:type="dxa"/>
            <w:vAlign w:val="bottom"/>
          </w:tcPr>
          <w:p>
            <w:pPr>
              <w:spacing w:after="0"/>
              <w:rPr>
                <w:sz w:val="18"/>
                <w:szCs w:val="18"/>
                <w:color w:val="auto"/>
              </w:rPr>
            </w:pPr>
          </w:p>
        </w:tc>
      </w:tr>
      <w:tr>
        <w:trPr>
          <w:trHeight w:val="20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G. Oliver</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5,091</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21,357</w:t>
            </w:r>
          </w:p>
        </w:tc>
        <w:tc>
          <w:tcPr>
            <w:tcW w:w="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R. Ortberg</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69,919</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2,338</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216,299</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 O’Sullivan</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1,043</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9,231</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10,274</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 Paliwal</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10,779</w:t>
            </w:r>
          </w:p>
        </w:tc>
        <w:tc>
          <w:tcPr>
            <w:tcW w:w="1840" w:type="dxa"/>
            <w:vAlign w:val="bottom"/>
            <w:tcBorders>
              <w:bottom w:val="single" w:sz="8" w:color="auto"/>
            </w:tcBorders>
            <w:gridSpan w:val="2"/>
          </w:tcPr>
          <w:p>
            <w:pPr>
              <w:jc w:val="right"/>
              <w:ind w:right="62"/>
              <w:spacing w:after="0" w:line="210" w:lineRule="exact"/>
              <w:rPr>
                <w:sz w:val="20"/>
                <w:szCs w:val="20"/>
                <w:color w:val="auto"/>
              </w:rPr>
            </w:pPr>
            <w:r>
              <w:rPr>
                <w:rFonts w:ascii="Arial" w:cs="Arial" w:eastAsia="Arial" w:hAnsi="Arial"/>
                <w:sz w:val="15"/>
                <w:szCs w:val="15"/>
                <w:color w:val="auto"/>
              </w:rPr>
              <w:t>31,355</w:t>
            </w:r>
            <w:r>
              <w:rPr>
                <w:rFonts w:ascii="Arial" w:cs="Arial" w:eastAsia="Arial" w:hAnsi="Arial"/>
                <w:sz w:val="24"/>
                <w:szCs w:val="24"/>
                <w:color w:val="auto"/>
                <w:vertAlign w:val="superscript"/>
              </w:rPr>
              <w:t>(6)</w:t>
            </w:r>
          </w:p>
        </w:tc>
        <w:tc>
          <w:tcPr>
            <w:tcW w:w="20" w:type="dxa"/>
            <w:vAlign w:val="bottom"/>
          </w:tcPr>
          <w:p>
            <w:pPr>
              <w:spacing w:after="0"/>
              <w:rPr>
                <w:sz w:val="18"/>
                <w:szCs w:val="18"/>
                <w:color w:val="auto"/>
              </w:rPr>
            </w:pPr>
          </w:p>
        </w:tc>
      </w:tr>
      <w:tr>
        <w:trPr>
          <w:trHeight w:val="20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E. Pawlikowski</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5,607</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8,806</w:t>
            </w:r>
          </w:p>
        </w:tc>
        <w:tc>
          <w:tcPr>
            <w:tcW w:w="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D. Ramos</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1,115</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12,793</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13,908</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08"/>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F. Reynolds</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1,138</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13,028</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36,391</w:t>
            </w:r>
          </w:p>
        </w:tc>
        <w:tc>
          <w:tcPr>
            <w:tcW w:w="2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B. Rogers</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1,138</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20,376</w:t>
            </w:r>
          </w:p>
        </w:tc>
        <w:tc>
          <w:tcPr>
            <w:tcW w:w="1840" w:type="dxa"/>
            <w:vAlign w:val="bottom"/>
            <w:tcBorders>
              <w:bottom w:val="single" w:sz="8" w:color="auto"/>
            </w:tcBorders>
            <w:gridSpan w:val="2"/>
          </w:tcPr>
          <w:p>
            <w:pPr>
              <w:jc w:val="right"/>
              <w:ind w:right="62"/>
              <w:spacing w:after="0" w:line="210" w:lineRule="exact"/>
              <w:rPr>
                <w:sz w:val="20"/>
                <w:szCs w:val="20"/>
                <w:color w:val="auto"/>
              </w:rPr>
            </w:pPr>
            <w:r>
              <w:rPr>
                <w:rFonts w:ascii="Arial" w:cs="Arial" w:eastAsia="Arial" w:hAnsi="Arial"/>
                <w:sz w:val="15"/>
                <w:szCs w:val="15"/>
                <w:color w:val="auto"/>
              </w:rPr>
              <w:t>26,514</w:t>
            </w:r>
            <w:r>
              <w:rPr>
                <w:rFonts w:ascii="Arial" w:cs="Arial" w:eastAsia="Arial" w:hAnsi="Arial"/>
                <w:sz w:val="24"/>
                <w:szCs w:val="24"/>
                <w:color w:val="auto"/>
                <w:vertAlign w:val="superscript"/>
              </w:rPr>
              <w:t>(6)</w:t>
            </w:r>
          </w:p>
        </w:tc>
        <w:tc>
          <w:tcPr>
            <w:tcW w:w="20" w:type="dxa"/>
            <w:vAlign w:val="bottom"/>
          </w:tcPr>
          <w:p>
            <w:pPr>
              <w:spacing w:after="0"/>
              <w:rPr>
                <w:sz w:val="18"/>
                <w:szCs w:val="18"/>
                <w:color w:val="auto"/>
              </w:rPr>
            </w:pPr>
          </w:p>
        </w:tc>
      </w:tr>
      <w:tr>
        <w:trPr>
          <w:trHeight w:val="205"/>
        </w:trPr>
        <w:tc>
          <w:tcPr>
            <w:tcW w:w="424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J. Winnefeld, Jr.</w:t>
            </w:r>
          </w:p>
        </w:tc>
        <w:tc>
          <w:tcPr>
            <w:tcW w:w="13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9,202</w:t>
            </w:r>
          </w:p>
        </w:tc>
        <w:tc>
          <w:tcPr>
            <w:tcW w:w="1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16,702</w:t>
            </w:r>
          </w:p>
        </w:tc>
        <w:tc>
          <w:tcPr>
            <w:tcW w:w="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4240" w:type="dxa"/>
            <w:vAlign w:val="bottom"/>
            <w:tcBorders>
              <w:bottom w:val="single" w:sz="8" w:color="636466"/>
            </w:tcBorders>
          </w:tcPr>
          <w:p>
            <w:pPr>
              <w:ind w:left="60"/>
              <w:spacing w:after="0"/>
              <w:rPr>
                <w:sz w:val="20"/>
                <w:szCs w:val="20"/>
                <w:color w:val="auto"/>
              </w:rPr>
            </w:pPr>
            <w:r>
              <w:rPr>
                <w:rFonts w:ascii="Arial" w:cs="Arial" w:eastAsia="Arial" w:hAnsi="Arial"/>
                <w:sz w:val="16"/>
                <w:szCs w:val="16"/>
                <w:color w:val="auto"/>
              </w:rPr>
              <w:t>R. Work</w:t>
            </w:r>
          </w:p>
        </w:tc>
        <w:tc>
          <w:tcPr>
            <w:tcW w:w="1340" w:type="dxa"/>
            <w:vAlign w:val="bottom"/>
            <w:tcBorders>
              <w:bottom w:val="single" w:sz="8" w:color="636466"/>
            </w:tcBorders>
          </w:tcPr>
          <w:p>
            <w:pPr>
              <w:jc w:val="right"/>
              <w:ind w:right="101"/>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636466"/>
            </w:tcBorders>
          </w:tcPr>
          <w:p>
            <w:pPr>
              <w:jc w:val="right"/>
              <w:ind w:right="81"/>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636466"/>
            </w:tcBorders>
          </w:tcPr>
          <w:p>
            <w:pPr>
              <w:jc w:val="right"/>
              <w:ind w:right="142"/>
              <w:spacing w:after="0"/>
              <w:rPr>
                <w:sz w:val="20"/>
                <w:szCs w:val="20"/>
                <w:color w:val="auto"/>
              </w:rPr>
            </w:pPr>
            <w:r>
              <w:rPr>
                <w:rFonts w:ascii="Arial" w:cs="Arial" w:eastAsia="Arial" w:hAnsi="Arial"/>
                <w:sz w:val="16"/>
                <w:szCs w:val="16"/>
                <w:color w:val="auto"/>
              </w:rPr>
              <w:t>7,873</w:t>
            </w:r>
          </w:p>
        </w:tc>
        <w:tc>
          <w:tcPr>
            <w:tcW w:w="1640" w:type="dxa"/>
            <w:vAlign w:val="bottom"/>
            <w:tcBorders>
              <w:bottom w:val="single" w:sz="8" w:color="636466"/>
            </w:tcBorders>
          </w:tcPr>
          <w:p>
            <w:pPr>
              <w:jc w:val="right"/>
              <w:ind w:right="2"/>
              <w:spacing w:after="0"/>
              <w:rPr>
                <w:sz w:val="20"/>
                <w:szCs w:val="20"/>
                <w:color w:val="auto"/>
              </w:rPr>
            </w:pPr>
            <w:r>
              <w:rPr>
                <w:rFonts w:ascii="Arial" w:cs="Arial" w:eastAsia="Arial" w:hAnsi="Arial"/>
                <w:sz w:val="16"/>
                <w:szCs w:val="16"/>
                <w:color w:val="auto"/>
              </w:rPr>
              <w:t>12,842</w:t>
            </w:r>
          </w:p>
        </w:tc>
        <w:tc>
          <w:tcPr>
            <w:tcW w:w="200" w:type="dxa"/>
            <w:vAlign w:val="bottom"/>
            <w:tcBorders>
              <w:bottom w:val="single" w:sz="8" w:color="636466"/>
            </w:tcBorders>
          </w:tcPr>
          <w:p>
            <w:pPr>
              <w:spacing w:after="0"/>
              <w:rPr>
                <w:sz w:val="18"/>
                <w:szCs w:val="18"/>
                <w:color w:val="auto"/>
              </w:rPr>
            </w:pPr>
          </w:p>
        </w:tc>
        <w:tc>
          <w:tcPr>
            <w:tcW w:w="20" w:type="dxa"/>
            <w:vAlign w:val="bottom"/>
          </w:tcPr>
          <w:p>
            <w:pPr>
              <w:spacing w:after="0"/>
              <w:rPr>
                <w:sz w:val="18"/>
                <w:szCs w:val="18"/>
                <w:color w:val="auto"/>
              </w:rPr>
            </w:pPr>
          </w:p>
        </w:tc>
      </w:tr>
      <w:tr>
        <w:trPr>
          <w:trHeight w:val="382"/>
        </w:trPr>
        <w:tc>
          <w:tcPr>
            <w:tcW w:w="4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580" w:type="dxa"/>
            <w:vAlign w:val="bottom"/>
            <w:gridSpan w:val="2"/>
          </w:tcPr>
          <w:p>
            <w:pPr>
              <w:jc w:val="right"/>
              <w:ind w:right="162"/>
              <w:spacing w:after="0"/>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tc>
        <w:tc>
          <w:tcPr>
            <w:tcW w:w="2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35</w:t>
            </w:r>
          </w:p>
        </w:tc>
      </w:tr>
      <w:tr>
        <w:trPr>
          <w:trHeight w:val="110"/>
        </w:trPr>
        <w:tc>
          <w:tcPr>
            <w:tcW w:w="424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194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SHARE OWNERSHIP </w:t>
      </w:r>
      <w:r>
        <w:rPr>
          <w:rFonts w:ascii="Arial" w:cs="Arial" w:eastAsia="Arial" w:hAnsi="Arial"/>
          <w:sz w:val="12"/>
          <w:szCs w:val="12"/>
          <w:color w:val="000000"/>
        </w:rPr>
        <w:t>| CERTAIN BENEFICIAL OWNERS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660" w:type="dxa"/>
            <w:vAlign w:val="bottom"/>
          </w:tcPr>
          <w:p>
            <w:pPr>
              <w:jc w:val="right"/>
              <w:ind w:right="162"/>
              <w:spacing w:after="0"/>
              <w:rPr>
                <w:sz w:val="20"/>
                <w:szCs w:val="20"/>
                <w:color w:val="auto"/>
              </w:rPr>
            </w:pPr>
            <w:r>
              <w:rPr>
                <w:rFonts w:ascii="Arial" w:cs="Arial" w:eastAsia="Arial" w:hAnsi="Arial"/>
                <w:sz w:val="14"/>
                <w:szCs w:val="14"/>
                <w:color w:val="61676D"/>
              </w:rPr>
              <w:t>SARs Exercisable</w:t>
            </w:r>
          </w:p>
        </w:tc>
        <w:tc>
          <w:tcPr>
            <w:tcW w:w="1860" w:type="dxa"/>
            <w:vAlign w:val="bottom"/>
          </w:tcPr>
          <w:p>
            <w:pPr>
              <w:jc w:val="right"/>
              <w:ind w:right="102"/>
              <w:spacing w:after="0"/>
              <w:rPr>
                <w:sz w:val="20"/>
                <w:szCs w:val="20"/>
                <w:color w:val="auto"/>
              </w:rPr>
            </w:pPr>
            <w:r>
              <w:rPr>
                <w:rFonts w:ascii="Arial" w:cs="Arial" w:eastAsia="Arial" w:hAnsi="Arial"/>
                <w:sz w:val="14"/>
                <w:szCs w:val="14"/>
                <w:color w:val="61676D"/>
              </w:rPr>
              <w:t>RSUs Convertible to</w:t>
            </w:r>
          </w:p>
        </w:tc>
        <w:tc>
          <w:tcPr>
            <w:tcW w:w="1960" w:type="dxa"/>
            <w:vAlign w:val="bottom"/>
          </w:tcPr>
          <w:p>
            <w:pPr>
              <w:jc w:val="right"/>
              <w:ind w:right="162"/>
              <w:spacing w:after="0"/>
              <w:rPr>
                <w:sz w:val="20"/>
                <w:szCs w:val="20"/>
                <w:color w:val="auto"/>
              </w:rPr>
            </w:pPr>
            <w:r>
              <w:rPr>
                <w:rFonts w:ascii="Arial" w:cs="Arial" w:eastAsia="Arial" w:hAnsi="Arial"/>
                <w:sz w:val="14"/>
                <w:szCs w:val="14"/>
                <w:color w:val="61676D"/>
              </w:rPr>
              <w:t>DSUs Convertible to</w:t>
            </w:r>
          </w:p>
        </w:tc>
        <w:tc>
          <w:tcPr>
            <w:tcW w:w="1800" w:type="dxa"/>
            <w:vAlign w:val="bottom"/>
          </w:tcPr>
          <w:p>
            <w:pPr>
              <w:jc w:val="right"/>
              <w:ind w:right="142"/>
              <w:spacing w:after="0"/>
              <w:rPr>
                <w:sz w:val="20"/>
                <w:szCs w:val="20"/>
                <w:color w:val="auto"/>
              </w:rPr>
            </w:pPr>
            <w:r>
              <w:rPr>
                <w:rFonts w:ascii="Arial" w:cs="Arial" w:eastAsia="Arial" w:hAnsi="Arial"/>
                <w:sz w:val="14"/>
                <w:szCs w:val="14"/>
                <w:color w:val="61676D"/>
              </w:rPr>
              <w:t>Total Shares</w:t>
            </w:r>
          </w:p>
        </w:tc>
      </w:tr>
      <w:tr>
        <w:trPr>
          <w:trHeight w:val="208"/>
        </w:trPr>
        <w:tc>
          <w:tcPr>
            <w:tcW w:w="3960" w:type="dxa"/>
            <w:vAlign w:val="bottom"/>
            <w:tcBorders>
              <w:bottom w:val="single" w:sz="8" w:color="CE0F2D"/>
            </w:tcBorders>
          </w:tcPr>
          <w:p>
            <w:pPr>
              <w:ind w:left="60"/>
              <w:spacing w:after="0"/>
              <w:rPr>
                <w:sz w:val="20"/>
                <w:szCs w:val="20"/>
                <w:color w:val="auto"/>
              </w:rPr>
            </w:pPr>
            <w:r>
              <w:rPr>
                <w:rFonts w:ascii="Arial" w:cs="Arial" w:eastAsia="Arial" w:hAnsi="Arial"/>
                <w:sz w:val="14"/>
                <w:szCs w:val="14"/>
                <w:color w:val="61676D"/>
              </w:rPr>
              <w:t>Name of Beneficial Owner</w:t>
            </w:r>
          </w:p>
        </w:tc>
        <w:tc>
          <w:tcPr>
            <w:tcW w:w="1660" w:type="dxa"/>
            <w:vAlign w:val="bottom"/>
            <w:tcBorders>
              <w:bottom w:val="single" w:sz="8" w:color="CE0F2D"/>
            </w:tcBorders>
          </w:tcPr>
          <w:p>
            <w:pPr>
              <w:jc w:val="right"/>
              <w:ind w:right="162"/>
              <w:spacing w:after="0" w:line="201" w:lineRule="exact"/>
              <w:rPr>
                <w:sz w:val="20"/>
                <w:szCs w:val="20"/>
                <w:color w:val="auto"/>
              </w:rPr>
            </w:pPr>
            <w:r>
              <w:rPr>
                <w:rFonts w:ascii="Arial" w:cs="Arial" w:eastAsia="Arial" w:hAnsi="Arial"/>
                <w:sz w:val="14"/>
                <w:szCs w:val="14"/>
                <w:color w:val="61676D"/>
              </w:rPr>
              <w:t>within 60 days</w:t>
            </w:r>
            <w:r>
              <w:rPr>
                <w:rFonts w:ascii="Arial" w:cs="Arial" w:eastAsia="Arial" w:hAnsi="Arial"/>
                <w:sz w:val="23"/>
                <w:szCs w:val="23"/>
                <w:color w:val="61676D"/>
                <w:vertAlign w:val="superscript"/>
              </w:rPr>
              <w:t>(1)</w:t>
            </w:r>
          </w:p>
        </w:tc>
        <w:tc>
          <w:tcPr>
            <w:tcW w:w="1860" w:type="dxa"/>
            <w:vAlign w:val="bottom"/>
            <w:tcBorders>
              <w:bottom w:val="single" w:sz="8" w:color="CE0F2D"/>
            </w:tcBorders>
          </w:tcPr>
          <w:p>
            <w:pPr>
              <w:jc w:val="right"/>
              <w:ind w:right="102"/>
              <w:spacing w:after="0" w:line="201" w:lineRule="exact"/>
              <w:rPr>
                <w:sz w:val="20"/>
                <w:szCs w:val="20"/>
                <w:color w:val="auto"/>
              </w:rPr>
            </w:pPr>
            <w:r>
              <w:rPr>
                <w:rFonts w:ascii="Arial" w:cs="Arial" w:eastAsia="Arial" w:hAnsi="Arial"/>
                <w:sz w:val="14"/>
                <w:szCs w:val="14"/>
                <w:color w:val="61676D"/>
              </w:rPr>
              <w:t>Shares within 60 days</w:t>
            </w:r>
            <w:r>
              <w:rPr>
                <w:rFonts w:ascii="Arial" w:cs="Arial" w:eastAsia="Arial" w:hAnsi="Arial"/>
                <w:sz w:val="23"/>
                <w:szCs w:val="23"/>
                <w:color w:val="61676D"/>
                <w:vertAlign w:val="superscript"/>
              </w:rPr>
              <w:t>(2)</w:t>
            </w:r>
          </w:p>
        </w:tc>
        <w:tc>
          <w:tcPr>
            <w:tcW w:w="1960" w:type="dxa"/>
            <w:vAlign w:val="bottom"/>
            <w:tcBorders>
              <w:bottom w:val="single" w:sz="8" w:color="CE0F2D"/>
            </w:tcBorders>
          </w:tcPr>
          <w:p>
            <w:pPr>
              <w:jc w:val="right"/>
              <w:ind w:right="162"/>
              <w:spacing w:after="0" w:line="201" w:lineRule="exact"/>
              <w:rPr>
                <w:sz w:val="20"/>
                <w:szCs w:val="20"/>
                <w:color w:val="auto"/>
              </w:rPr>
            </w:pPr>
            <w:r>
              <w:rPr>
                <w:rFonts w:ascii="Arial" w:cs="Arial" w:eastAsia="Arial" w:hAnsi="Arial"/>
                <w:sz w:val="14"/>
                <w:szCs w:val="14"/>
                <w:color w:val="61676D"/>
              </w:rPr>
              <w:t>Shares within 60 days</w:t>
            </w:r>
            <w:r>
              <w:rPr>
                <w:rFonts w:ascii="Arial" w:cs="Arial" w:eastAsia="Arial" w:hAnsi="Arial"/>
                <w:sz w:val="23"/>
                <w:szCs w:val="23"/>
                <w:color w:val="61676D"/>
                <w:vertAlign w:val="superscript"/>
              </w:rPr>
              <w:t>(3)</w:t>
            </w:r>
          </w:p>
        </w:tc>
        <w:tc>
          <w:tcPr>
            <w:tcW w:w="1800" w:type="dxa"/>
            <w:vAlign w:val="bottom"/>
            <w:tcBorders>
              <w:bottom w:val="single" w:sz="8" w:color="CE0F2D"/>
            </w:tcBorders>
          </w:tcPr>
          <w:p>
            <w:pPr>
              <w:jc w:val="right"/>
              <w:ind w:right="142"/>
              <w:spacing w:after="0" w:line="201" w:lineRule="exact"/>
              <w:rPr>
                <w:sz w:val="20"/>
                <w:szCs w:val="20"/>
                <w:color w:val="auto"/>
              </w:rPr>
            </w:pPr>
            <w:r>
              <w:rPr>
                <w:rFonts w:ascii="Arial" w:cs="Arial" w:eastAsia="Arial" w:hAnsi="Arial"/>
                <w:sz w:val="14"/>
                <w:szCs w:val="14"/>
                <w:color w:val="61676D"/>
              </w:rPr>
              <w:t>Beneficially Owned</w:t>
            </w:r>
            <w:r>
              <w:rPr>
                <w:rFonts w:ascii="Arial" w:cs="Arial" w:eastAsia="Arial" w:hAnsi="Arial"/>
                <w:sz w:val="23"/>
                <w:szCs w:val="23"/>
                <w:color w:val="61676D"/>
                <w:vertAlign w:val="superscript"/>
              </w:rPr>
              <w:t>(4)</w:t>
            </w:r>
          </w:p>
        </w:tc>
      </w:tr>
      <w:tr>
        <w:trPr>
          <w:trHeight w:val="265"/>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CFO and other NEOs who are not also directors</w:t>
            </w:r>
          </w:p>
        </w:tc>
        <w:tc>
          <w:tcPr>
            <w:tcW w:w="166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spacing w:after="0"/>
              <w:rPr>
                <w:sz w:val="23"/>
                <w:szCs w:val="23"/>
                <w:color w:val="auto"/>
              </w:rPr>
            </w:pPr>
          </w:p>
        </w:tc>
      </w:tr>
      <w:tr>
        <w:trPr>
          <w:trHeight w:val="261"/>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N. Mitchill, Jr.</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21,288</w:t>
            </w:r>
          </w:p>
        </w:tc>
        <w:tc>
          <w:tcPr>
            <w:tcW w:w="1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51,881</w:t>
            </w:r>
          </w:p>
        </w:tc>
      </w:tr>
      <w:tr>
        <w:trPr>
          <w:trHeight w:val="264"/>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M. Dumais</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73,634</w:t>
            </w:r>
          </w:p>
        </w:tc>
        <w:tc>
          <w:tcPr>
            <w:tcW w:w="1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16"/>
                <w:szCs w:val="16"/>
                <w:color w:val="auto"/>
              </w:rPr>
              <w:t>147,894</w:t>
            </w:r>
            <w:r>
              <w:rPr>
                <w:rFonts w:ascii="Arial" w:cs="Arial" w:eastAsia="Arial" w:hAnsi="Arial"/>
                <w:sz w:val="26"/>
                <w:szCs w:val="26"/>
                <w:color w:val="auto"/>
                <w:vertAlign w:val="superscript"/>
              </w:rPr>
              <w:t>(6)</w:t>
            </w:r>
          </w:p>
        </w:tc>
      </w:tr>
      <w:tr>
        <w:trPr>
          <w:trHeight w:val="258"/>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S. Timm</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1,830</w:t>
            </w:r>
          </w:p>
        </w:tc>
        <w:tc>
          <w:tcPr>
            <w:tcW w:w="1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8,417</w:t>
            </w:r>
          </w:p>
        </w:tc>
      </w:tr>
      <w:tr>
        <w:trPr>
          <w:trHeight w:val="261"/>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C. Calio</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26,498</w:t>
            </w:r>
          </w:p>
        </w:tc>
        <w:tc>
          <w:tcPr>
            <w:tcW w:w="1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71,437</w:t>
            </w:r>
          </w:p>
        </w:tc>
      </w:tr>
      <w:tr>
        <w:trPr>
          <w:trHeight w:val="264"/>
        </w:trPr>
        <w:tc>
          <w:tcPr>
            <w:tcW w:w="396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T. Kennedy</w:t>
            </w:r>
          </w:p>
        </w:tc>
        <w:tc>
          <w:tcPr>
            <w:tcW w:w="16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55,175</w:t>
            </w:r>
          </w:p>
        </w:tc>
        <w:tc>
          <w:tcPr>
            <w:tcW w:w="19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line="263" w:lineRule="exact"/>
              <w:rPr>
                <w:sz w:val="20"/>
                <w:szCs w:val="20"/>
                <w:color w:val="auto"/>
              </w:rPr>
            </w:pPr>
            <w:r>
              <w:rPr>
                <w:rFonts w:ascii="Arial" w:cs="Arial" w:eastAsia="Arial" w:hAnsi="Arial"/>
                <w:sz w:val="16"/>
                <w:szCs w:val="16"/>
                <w:color w:val="auto"/>
              </w:rPr>
              <w:t>296,472</w:t>
            </w:r>
            <w:r>
              <w:rPr>
                <w:rFonts w:ascii="Arial" w:cs="Arial" w:eastAsia="Arial" w:hAnsi="Arial"/>
                <w:sz w:val="26"/>
                <w:szCs w:val="26"/>
                <w:color w:val="auto"/>
                <w:vertAlign w:val="superscript"/>
              </w:rPr>
              <w:t>(7)</w:t>
            </w:r>
          </w:p>
        </w:tc>
      </w:tr>
      <w:tr>
        <w:trPr>
          <w:trHeight w:val="268"/>
        </w:trPr>
        <w:tc>
          <w:tcPr>
            <w:tcW w:w="3960" w:type="dxa"/>
            <w:vAlign w:val="bottom"/>
            <w:tcBorders>
              <w:bottom w:val="single" w:sz="8" w:color="636466"/>
            </w:tcBorders>
          </w:tcPr>
          <w:p>
            <w:pPr>
              <w:ind w:left="60"/>
              <w:spacing w:after="0"/>
              <w:rPr>
                <w:sz w:val="20"/>
                <w:szCs w:val="20"/>
                <w:color w:val="auto"/>
              </w:rPr>
            </w:pPr>
            <w:r>
              <w:rPr>
                <w:rFonts w:ascii="Arial" w:cs="Arial" w:eastAsia="Arial" w:hAnsi="Arial"/>
                <w:sz w:val="16"/>
                <w:szCs w:val="16"/>
                <w:color w:val="auto"/>
              </w:rPr>
              <w:t>A. O’Brien III</w:t>
            </w:r>
          </w:p>
        </w:tc>
        <w:tc>
          <w:tcPr>
            <w:tcW w:w="1660" w:type="dxa"/>
            <w:vAlign w:val="bottom"/>
            <w:tcBorders>
              <w:bottom w:val="single" w:sz="8" w:color="636466"/>
            </w:tcBorders>
          </w:tcPr>
          <w:p>
            <w:pPr>
              <w:jc w:val="right"/>
              <w:ind w:right="162"/>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636466"/>
            </w:tcBorders>
          </w:tcPr>
          <w:p>
            <w:pPr>
              <w:jc w:val="right"/>
              <w:ind w:right="102"/>
              <w:spacing w:after="0"/>
              <w:rPr>
                <w:sz w:val="20"/>
                <w:szCs w:val="20"/>
                <w:color w:val="auto"/>
              </w:rPr>
            </w:pPr>
            <w:r>
              <w:rPr>
                <w:rFonts w:ascii="Arial" w:cs="Arial" w:eastAsia="Arial" w:hAnsi="Arial"/>
                <w:sz w:val="16"/>
                <w:szCs w:val="16"/>
                <w:color w:val="auto"/>
              </w:rPr>
              <w:t>-</w:t>
            </w:r>
          </w:p>
        </w:tc>
        <w:tc>
          <w:tcPr>
            <w:tcW w:w="1960" w:type="dxa"/>
            <w:vAlign w:val="bottom"/>
            <w:tcBorders>
              <w:bottom w:val="single" w:sz="8" w:color="636466"/>
            </w:tcBorders>
          </w:tcPr>
          <w:p>
            <w:pPr>
              <w:jc w:val="right"/>
              <w:ind w:right="162"/>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636466"/>
            </w:tcBorders>
          </w:tcPr>
          <w:p>
            <w:pPr>
              <w:jc w:val="right"/>
              <w:ind w:right="142"/>
              <w:spacing w:after="0"/>
              <w:rPr>
                <w:sz w:val="20"/>
                <w:szCs w:val="20"/>
                <w:color w:val="auto"/>
              </w:rPr>
            </w:pPr>
            <w:r>
              <w:rPr>
                <w:rFonts w:ascii="Arial" w:cs="Arial" w:eastAsia="Arial" w:hAnsi="Arial"/>
                <w:sz w:val="16"/>
                <w:szCs w:val="16"/>
                <w:color w:val="auto"/>
              </w:rPr>
              <w:t>14,181</w:t>
            </w:r>
          </w:p>
        </w:tc>
      </w:tr>
      <w:tr>
        <w:trPr>
          <w:trHeight w:val="275"/>
        </w:trPr>
        <w:tc>
          <w:tcPr>
            <w:tcW w:w="5620" w:type="dxa"/>
            <w:vAlign w:val="bottom"/>
            <w:tcBorders>
              <w:bottom w:val="single" w:sz="8" w:color="636466"/>
            </w:tcBorders>
            <w:gridSpan w:val="2"/>
            <w:shd w:val="clear" w:color="auto" w:fill="EDEDED"/>
          </w:tcPr>
          <w:p>
            <w:pPr>
              <w:ind w:left="60"/>
              <w:spacing w:after="0" w:line="267" w:lineRule="exact"/>
              <w:rPr>
                <w:sz w:val="20"/>
                <w:szCs w:val="20"/>
                <w:color w:val="auto"/>
              </w:rPr>
            </w:pPr>
            <w:r>
              <w:rPr>
                <w:rFonts w:ascii="Arial" w:cs="Arial" w:eastAsia="Arial" w:hAnsi="Arial"/>
                <w:sz w:val="16"/>
                <w:szCs w:val="16"/>
                <w:b w:val="1"/>
                <w:bCs w:val="1"/>
                <w:color w:val="auto"/>
              </w:rPr>
              <w:t>All directors, nominees and executive officers as a group (24 in total)</w:t>
            </w:r>
            <w:r>
              <w:rPr>
                <w:rFonts w:ascii="Arial" w:cs="Arial" w:eastAsia="Arial" w:hAnsi="Arial"/>
                <w:sz w:val="26"/>
                <w:szCs w:val="26"/>
                <w:b w:val="1"/>
                <w:bCs w:val="1"/>
                <w:color w:val="auto"/>
                <w:vertAlign w:val="superscript"/>
              </w:rPr>
              <w:t>(8)</w:t>
            </w:r>
          </w:p>
        </w:tc>
        <w:tc>
          <w:tcPr>
            <w:tcW w:w="1860" w:type="dxa"/>
            <w:vAlign w:val="bottom"/>
            <w:tcBorders>
              <w:bottom w:val="single" w:sz="8" w:color="636466"/>
            </w:tcBorders>
            <w:shd w:val="clear" w:color="auto" w:fill="EDEDED"/>
          </w:tcPr>
          <w:p>
            <w:pPr>
              <w:spacing w:after="0"/>
              <w:rPr>
                <w:sz w:val="23"/>
                <w:szCs w:val="23"/>
                <w:color w:val="auto"/>
              </w:rPr>
            </w:pPr>
          </w:p>
        </w:tc>
        <w:tc>
          <w:tcPr>
            <w:tcW w:w="1960" w:type="dxa"/>
            <w:vAlign w:val="bottom"/>
            <w:tcBorders>
              <w:bottom w:val="single" w:sz="8" w:color="636466"/>
            </w:tcBorders>
            <w:shd w:val="clear" w:color="auto" w:fill="EDEDED"/>
          </w:tcPr>
          <w:p>
            <w:pPr>
              <w:spacing w:after="0"/>
              <w:rPr>
                <w:sz w:val="23"/>
                <w:szCs w:val="23"/>
                <w:color w:val="auto"/>
              </w:rPr>
            </w:pPr>
          </w:p>
        </w:tc>
        <w:tc>
          <w:tcPr>
            <w:tcW w:w="1800" w:type="dxa"/>
            <w:vAlign w:val="bottom"/>
            <w:tcBorders>
              <w:bottom w:val="single" w:sz="8" w:color="636466"/>
            </w:tcBorders>
            <w:shd w:val="clear" w:color="auto" w:fill="EDEDED"/>
          </w:tcPr>
          <w:p>
            <w:pPr>
              <w:jc w:val="right"/>
              <w:ind w:right="142"/>
              <w:spacing w:after="0"/>
              <w:rPr>
                <w:sz w:val="20"/>
                <w:szCs w:val="20"/>
                <w:color w:val="auto"/>
              </w:rPr>
            </w:pPr>
            <w:r>
              <w:rPr>
                <w:rFonts w:ascii="Arial" w:cs="Arial" w:eastAsia="Arial" w:hAnsi="Arial"/>
                <w:sz w:val="16"/>
                <w:szCs w:val="16"/>
                <w:b w:val="1"/>
                <w:bCs w:val="1"/>
                <w:color w:val="auto"/>
              </w:rPr>
              <w:t>1,665,619</w:t>
            </w:r>
          </w:p>
        </w:tc>
      </w:tr>
    </w:tbl>
    <w:p>
      <w:pPr>
        <w:spacing w:after="0" w:line="48" w:lineRule="exact"/>
        <w:rPr>
          <w:sz w:val="20"/>
          <w:szCs w:val="20"/>
          <w:color w:val="auto"/>
        </w:rPr>
      </w:pPr>
    </w:p>
    <w:p>
      <w:pPr>
        <w:ind w:left="360" w:right="20" w:hanging="353"/>
        <w:spacing w:after="0" w:line="242" w:lineRule="auto"/>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Net number of shares of RTX Common Stock that would be issued to the executive officers if their vested SARs were exercised within 60 days of February 10, 2022. Once vested, each SAR can be exercised for the number of shares of RTX Common Stock having a value equal to the difference between the market price on the exercise date and the exercise price of the SAR. The estimated net number of shares of RTX Common Stock was calculated using $95.06 per share, which was the NYSE closing price of RTX Common Stock on February 10, 2022.</w:t>
      </w:r>
    </w:p>
    <w:p>
      <w:pPr>
        <w:spacing w:after="0" w:line="37" w:lineRule="exact"/>
        <w:rPr>
          <w:rFonts w:ascii="Arial" w:cs="Arial" w:eastAsia="Arial" w:hAnsi="Arial"/>
          <w:sz w:val="12"/>
          <w:szCs w:val="12"/>
          <w:color w:val="auto"/>
        </w:rPr>
      </w:pPr>
    </w:p>
    <w:p>
      <w:pPr>
        <w:ind w:left="360" w:right="80" w:hanging="353"/>
        <w:spacing w:after="0" w:line="242" w:lineRule="auto"/>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Non-employee director deferred RSUs vest in equal portions over five years and are distributed in shares of RTX Common Stock when the director retires from the Board. The table reflects the vested portion of the RSUs, which are the number of shares in which the director or nominee has the right to acquire beneficial ownership at any time within 60 days of February 10, 2022, following the director’s retirement from the Board.</w:t>
      </w:r>
    </w:p>
    <w:p>
      <w:pPr>
        <w:spacing w:after="0" w:line="37" w:lineRule="exact"/>
        <w:rPr>
          <w:rFonts w:ascii="Arial" w:cs="Arial" w:eastAsia="Arial" w:hAnsi="Arial"/>
          <w:sz w:val="12"/>
          <w:szCs w:val="12"/>
          <w:color w:val="auto"/>
        </w:rPr>
      </w:pPr>
    </w:p>
    <w:p>
      <w:pPr>
        <w:ind w:left="360" w:right="180" w:hanging="353"/>
        <w:spacing w:after="0" w:line="242" w:lineRule="auto"/>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Previously accrued portion of the non-employee director’s annual retainer earned in DSUs, which are vested on the grant date but are not converted into RTX Common Stock and distributed until retirement. The table reflects the number of shares in which the director or nominee has the right to acquire beneficial ownership at any time within 60 days of February 10, 2022, following the director’s retirement from the Board.</w:t>
      </w:r>
    </w:p>
    <w:p>
      <w:pPr>
        <w:spacing w:after="0" w:line="37" w:lineRule="exact"/>
        <w:rPr>
          <w:rFonts w:ascii="Arial" w:cs="Arial" w:eastAsia="Arial" w:hAnsi="Arial"/>
          <w:sz w:val="12"/>
          <w:szCs w:val="12"/>
          <w:color w:val="auto"/>
        </w:rPr>
      </w:pPr>
    </w:p>
    <w:p>
      <w:pPr>
        <w:ind w:left="360" w:hanging="353"/>
        <w:spacing w:after="0"/>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Reflects holdings by directors and officers of all shares beneficially owned (including unvested shares of restricted stock) and awards convertible to shares within 60 days of February 10, 2022.</w:t>
      </w:r>
    </w:p>
    <w:p>
      <w:pPr>
        <w:spacing w:after="0" w:line="49" w:lineRule="exact"/>
        <w:rPr>
          <w:rFonts w:ascii="Arial" w:cs="Arial" w:eastAsia="Arial" w:hAnsi="Arial"/>
          <w:sz w:val="12"/>
          <w:szCs w:val="12"/>
          <w:color w:val="auto"/>
        </w:rPr>
      </w:pPr>
    </w:p>
    <w:p>
      <w:pPr>
        <w:ind w:left="360" w:hanging="353"/>
        <w:spacing w:after="0"/>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shares for which a spouse holds sole voting and investment power: G. Hayes (3,579 shares).</w:t>
      </w:r>
    </w:p>
    <w:p>
      <w:pPr>
        <w:spacing w:after="0" w:line="49" w:lineRule="exact"/>
        <w:rPr>
          <w:rFonts w:ascii="Arial" w:cs="Arial" w:eastAsia="Arial" w:hAnsi="Arial"/>
          <w:sz w:val="12"/>
          <w:szCs w:val="12"/>
          <w:color w:val="auto"/>
        </w:rPr>
      </w:pPr>
    </w:p>
    <w:p>
      <w:pPr>
        <w:ind w:left="360" w:right="60" w:hanging="353"/>
        <w:spacing w:after="0" w:line="252" w:lineRule="auto"/>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shares for which voting and investment power is jointly held by the director or NEO: M. Larsen (5,432 shares); D. Paliwal (20,576 shares); B. Rogers (5,000 shares); and M. Dumais (7,301 shares).</w:t>
      </w:r>
    </w:p>
    <w:p>
      <w:pPr>
        <w:spacing w:after="0" w:line="31" w:lineRule="exact"/>
        <w:rPr>
          <w:rFonts w:ascii="Arial" w:cs="Arial" w:eastAsia="Arial" w:hAnsi="Arial"/>
          <w:sz w:val="12"/>
          <w:szCs w:val="12"/>
          <w:color w:val="auto"/>
        </w:rPr>
      </w:pPr>
    </w:p>
    <w:p>
      <w:pPr>
        <w:ind w:left="360" w:right="220" w:hanging="353"/>
        <w:spacing w:after="0" w:line="252" w:lineRule="auto"/>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Includes 55,175 shares vesting in the next 60 days pursuant to restricted stock unit awards granted under the legacy RTN 2019 and 2010 Stock Plans to retirement-eligible employees who have attained the age of 60 with at least ten years of service with the Company (and from which shares will be withheld to satisfy taxes upon vesting).</w:t>
      </w:r>
    </w:p>
    <w:p>
      <w:pPr>
        <w:spacing w:after="0" w:line="31" w:lineRule="exact"/>
        <w:rPr>
          <w:rFonts w:ascii="Arial" w:cs="Arial" w:eastAsia="Arial" w:hAnsi="Arial"/>
          <w:sz w:val="12"/>
          <w:szCs w:val="12"/>
          <w:color w:val="auto"/>
        </w:rPr>
      </w:pPr>
    </w:p>
    <w:p>
      <w:pPr>
        <w:ind w:left="360" w:hanging="353"/>
        <w:spacing w:after="0"/>
        <w:tabs>
          <w:tab w:leader="none" w:pos="360" w:val="left"/>
        </w:tabs>
        <w:numPr>
          <w:ilvl w:val="0"/>
          <w:numId w:val="116"/>
        </w:numPr>
        <w:rPr>
          <w:rFonts w:ascii="Arial" w:cs="Arial" w:eastAsia="Arial" w:hAnsi="Arial"/>
          <w:sz w:val="12"/>
          <w:szCs w:val="12"/>
          <w:color w:val="auto"/>
        </w:rPr>
      </w:pPr>
      <w:r>
        <w:rPr>
          <w:rFonts w:ascii="Arial" w:cs="Arial" w:eastAsia="Arial" w:hAnsi="Arial"/>
          <w:sz w:val="12"/>
          <w:szCs w:val="12"/>
          <w:color w:val="auto"/>
        </w:rPr>
        <w:t>Holdings, as of February 10, 2022, of the directors and executive officers who are listed in the Company’s 2021 Annual Report on Form 10-K.</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Certain Beneficial Owners</w:t>
      </w:r>
    </w:p>
    <w:p>
      <w:pPr>
        <w:spacing w:after="0" w:line="264" w:lineRule="exact"/>
        <w:rPr>
          <w:sz w:val="20"/>
          <w:szCs w:val="20"/>
          <w:color w:val="auto"/>
        </w:rPr>
      </w:pPr>
    </w:p>
    <w:p>
      <w:pPr>
        <w:ind w:right="720"/>
        <w:spacing w:after="0" w:line="256" w:lineRule="auto"/>
        <w:rPr>
          <w:sz w:val="20"/>
          <w:szCs w:val="20"/>
          <w:color w:val="auto"/>
        </w:rPr>
      </w:pPr>
      <w:r>
        <w:rPr>
          <w:rFonts w:ascii="Arial" w:cs="Arial" w:eastAsia="Arial" w:hAnsi="Arial"/>
          <w:sz w:val="16"/>
          <w:szCs w:val="16"/>
          <w:color w:val="auto"/>
        </w:rPr>
        <w:t>The following table shows all holders known to RTX to be beneficial owners of more than 5% of the outstanding shares of RTX Common Stock as of December 31, 2021.</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40" w:type="dxa"/>
            <w:vAlign w:val="bottom"/>
            <w:tcBorders>
              <w:bottom w:val="single" w:sz="8" w:color="CE0F2D"/>
            </w:tcBorders>
          </w:tcPr>
          <w:p>
            <w:pPr>
              <w:ind w:left="60"/>
              <w:spacing w:after="0"/>
              <w:rPr>
                <w:sz w:val="20"/>
                <w:szCs w:val="20"/>
                <w:color w:val="auto"/>
              </w:rPr>
            </w:pPr>
            <w:r>
              <w:rPr>
                <w:rFonts w:ascii="Arial" w:cs="Arial" w:eastAsia="Arial" w:hAnsi="Arial"/>
                <w:sz w:val="14"/>
                <w:szCs w:val="14"/>
                <w:color w:val="61676D"/>
              </w:rPr>
              <w:t>Name and Address</w:t>
            </w:r>
          </w:p>
        </w:tc>
        <w:tc>
          <w:tcPr>
            <w:tcW w:w="4400" w:type="dxa"/>
            <w:vAlign w:val="bottom"/>
            <w:tcBorders>
              <w:bottom w:val="single" w:sz="8" w:color="CE0F2D"/>
            </w:tcBorders>
          </w:tcPr>
          <w:p>
            <w:pPr>
              <w:jc w:val="right"/>
              <w:ind w:right="122"/>
              <w:spacing w:after="0"/>
              <w:rPr>
                <w:sz w:val="20"/>
                <w:szCs w:val="20"/>
                <w:color w:val="auto"/>
              </w:rPr>
            </w:pPr>
            <w:r>
              <w:rPr>
                <w:rFonts w:ascii="Arial" w:cs="Arial" w:eastAsia="Arial" w:hAnsi="Arial"/>
                <w:sz w:val="14"/>
                <w:szCs w:val="14"/>
                <w:color w:val="61676D"/>
              </w:rPr>
              <w:t>Shares</w:t>
            </w:r>
          </w:p>
        </w:tc>
        <w:tc>
          <w:tcPr>
            <w:tcW w:w="130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Percent of Class</w:t>
            </w:r>
          </w:p>
        </w:tc>
      </w:tr>
      <w:tr>
        <w:trPr>
          <w:trHeight w:val="223"/>
        </w:trPr>
        <w:tc>
          <w:tcPr>
            <w:tcW w:w="5540" w:type="dxa"/>
            <w:vAlign w:val="bottom"/>
          </w:tcPr>
          <w:p>
            <w:pPr>
              <w:ind w:left="60"/>
              <w:spacing w:after="0" w:line="223" w:lineRule="exact"/>
              <w:rPr>
                <w:sz w:val="20"/>
                <w:szCs w:val="20"/>
                <w:color w:val="auto"/>
              </w:rPr>
            </w:pPr>
            <w:r>
              <w:rPr>
                <w:rFonts w:ascii="Arial" w:cs="Arial" w:eastAsia="Arial" w:hAnsi="Arial"/>
                <w:sz w:val="16"/>
                <w:szCs w:val="16"/>
                <w:b w:val="1"/>
                <w:bCs w:val="1"/>
                <w:color w:val="CE0F2D"/>
              </w:rPr>
              <w:t>State Street Corporation</w:t>
            </w:r>
            <w:r>
              <w:rPr>
                <w:rFonts w:ascii="Arial" w:cs="Arial" w:eastAsia="Arial" w:hAnsi="Arial"/>
                <w:sz w:val="25"/>
                <w:szCs w:val="25"/>
                <w:b w:val="1"/>
                <w:bCs w:val="1"/>
                <w:color w:val="CE0F2D"/>
                <w:vertAlign w:val="superscript"/>
              </w:rPr>
              <w:t>(1)</w:t>
            </w:r>
          </w:p>
        </w:tc>
        <w:tc>
          <w:tcPr>
            <w:tcW w:w="4400" w:type="dxa"/>
            <w:vAlign w:val="bottom"/>
          </w:tcPr>
          <w:p>
            <w:pPr>
              <w:jc w:val="right"/>
              <w:ind w:right="122"/>
              <w:spacing w:after="0"/>
              <w:rPr>
                <w:sz w:val="20"/>
                <w:szCs w:val="20"/>
                <w:color w:val="auto"/>
              </w:rPr>
            </w:pPr>
            <w:r>
              <w:rPr>
                <w:rFonts w:ascii="Arial" w:cs="Arial" w:eastAsia="Arial" w:hAnsi="Arial"/>
                <w:sz w:val="16"/>
                <w:szCs w:val="16"/>
                <w:color w:val="auto"/>
              </w:rPr>
              <w:t>137,843,993</w:t>
            </w:r>
          </w:p>
        </w:tc>
        <w:tc>
          <w:tcPr>
            <w:tcW w:w="130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187"/>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State Street Financial Center</w:t>
            </w:r>
          </w:p>
        </w:tc>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7"/>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One Lincoln Street</w:t>
            </w:r>
          </w:p>
        </w:tc>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5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Boston, MA 02111</w:t>
            </w:r>
          </w:p>
        </w:tc>
        <w:tc>
          <w:tcPr>
            <w:tcW w:w="4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9"/>
        </w:trPr>
        <w:tc>
          <w:tcPr>
            <w:tcW w:w="5540" w:type="dxa"/>
            <w:vAlign w:val="bottom"/>
          </w:tcPr>
          <w:p>
            <w:pPr>
              <w:ind w:left="60"/>
              <w:spacing w:after="0" w:line="218" w:lineRule="exact"/>
              <w:rPr>
                <w:sz w:val="20"/>
                <w:szCs w:val="20"/>
                <w:color w:val="auto"/>
              </w:rPr>
            </w:pPr>
            <w:r>
              <w:rPr>
                <w:rFonts w:ascii="Arial" w:cs="Arial" w:eastAsia="Arial" w:hAnsi="Arial"/>
                <w:sz w:val="16"/>
                <w:szCs w:val="16"/>
                <w:b w:val="1"/>
                <w:bCs w:val="1"/>
                <w:color w:val="CE0F2D"/>
              </w:rPr>
              <w:t>The Vanguard Group</w:t>
            </w:r>
            <w:r>
              <w:rPr>
                <w:rFonts w:ascii="Arial" w:cs="Arial" w:eastAsia="Arial" w:hAnsi="Arial"/>
                <w:sz w:val="25"/>
                <w:szCs w:val="25"/>
                <w:b w:val="1"/>
                <w:bCs w:val="1"/>
                <w:color w:val="CE0F2D"/>
                <w:vertAlign w:val="superscript"/>
              </w:rPr>
              <w:t>(2)</w:t>
            </w:r>
          </w:p>
        </w:tc>
        <w:tc>
          <w:tcPr>
            <w:tcW w:w="4400" w:type="dxa"/>
            <w:vAlign w:val="bottom"/>
          </w:tcPr>
          <w:p>
            <w:pPr>
              <w:jc w:val="right"/>
              <w:ind w:right="122"/>
              <w:spacing w:after="0"/>
              <w:rPr>
                <w:sz w:val="20"/>
                <w:szCs w:val="20"/>
                <w:color w:val="auto"/>
              </w:rPr>
            </w:pPr>
            <w:r>
              <w:rPr>
                <w:rFonts w:ascii="Arial" w:cs="Arial" w:eastAsia="Arial" w:hAnsi="Arial"/>
                <w:sz w:val="16"/>
                <w:szCs w:val="16"/>
                <w:color w:val="auto"/>
              </w:rPr>
              <w:t>118,463,846</w:t>
            </w:r>
          </w:p>
        </w:tc>
        <w:tc>
          <w:tcPr>
            <w:tcW w:w="13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187"/>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100 Vanguard Boulevard</w:t>
            </w:r>
          </w:p>
        </w:tc>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6"/>
        </w:trPr>
        <w:tc>
          <w:tcPr>
            <w:tcW w:w="55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Malvern, PA 19355</w:t>
            </w:r>
          </w:p>
        </w:tc>
        <w:tc>
          <w:tcPr>
            <w:tcW w:w="4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219"/>
        </w:trPr>
        <w:tc>
          <w:tcPr>
            <w:tcW w:w="5540" w:type="dxa"/>
            <w:vAlign w:val="bottom"/>
          </w:tcPr>
          <w:p>
            <w:pPr>
              <w:ind w:left="60"/>
              <w:spacing w:after="0" w:line="218" w:lineRule="exact"/>
              <w:rPr>
                <w:sz w:val="20"/>
                <w:szCs w:val="20"/>
                <w:color w:val="auto"/>
              </w:rPr>
            </w:pPr>
            <w:r>
              <w:rPr>
                <w:rFonts w:ascii="Arial" w:cs="Arial" w:eastAsia="Arial" w:hAnsi="Arial"/>
                <w:sz w:val="16"/>
                <w:szCs w:val="16"/>
                <w:b w:val="1"/>
                <w:bCs w:val="1"/>
                <w:color w:val="CE0F2D"/>
              </w:rPr>
              <w:t>BlackRock, Inc.</w:t>
            </w:r>
            <w:r>
              <w:rPr>
                <w:rFonts w:ascii="Arial" w:cs="Arial" w:eastAsia="Arial" w:hAnsi="Arial"/>
                <w:sz w:val="25"/>
                <w:szCs w:val="25"/>
                <w:b w:val="1"/>
                <w:bCs w:val="1"/>
                <w:color w:val="CE0F2D"/>
                <w:vertAlign w:val="superscript"/>
              </w:rPr>
              <w:t>(3)</w:t>
            </w:r>
          </w:p>
        </w:tc>
        <w:tc>
          <w:tcPr>
            <w:tcW w:w="4400" w:type="dxa"/>
            <w:vAlign w:val="bottom"/>
          </w:tcPr>
          <w:p>
            <w:pPr>
              <w:jc w:val="right"/>
              <w:ind w:right="122"/>
              <w:spacing w:after="0"/>
              <w:rPr>
                <w:sz w:val="20"/>
                <w:szCs w:val="20"/>
                <w:color w:val="auto"/>
              </w:rPr>
            </w:pPr>
            <w:r>
              <w:rPr>
                <w:rFonts w:ascii="Arial" w:cs="Arial" w:eastAsia="Arial" w:hAnsi="Arial"/>
                <w:sz w:val="16"/>
                <w:szCs w:val="16"/>
                <w:color w:val="auto"/>
              </w:rPr>
              <w:t>98,553,635</w:t>
            </w:r>
          </w:p>
        </w:tc>
        <w:tc>
          <w:tcPr>
            <w:tcW w:w="13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87"/>
        </w:trPr>
        <w:tc>
          <w:tcPr>
            <w:tcW w:w="5540" w:type="dxa"/>
            <w:vAlign w:val="bottom"/>
          </w:tcPr>
          <w:p>
            <w:pPr>
              <w:ind w:left="60"/>
              <w:spacing w:after="0"/>
              <w:rPr>
                <w:sz w:val="20"/>
                <w:szCs w:val="20"/>
                <w:color w:val="auto"/>
              </w:rPr>
            </w:pPr>
            <w:r>
              <w:rPr>
                <w:rFonts w:ascii="Arial" w:cs="Arial" w:eastAsia="Arial" w:hAnsi="Arial"/>
                <w:sz w:val="16"/>
                <w:szCs w:val="16"/>
                <w:b w:val="1"/>
                <w:bCs w:val="1"/>
                <w:color w:val="auto"/>
              </w:rPr>
              <w:t>55 East 52nd Street</w:t>
            </w:r>
          </w:p>
        </w:tc>
        <w:tc>
          <w:tcPr>
            <w:tcW w:w="4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6"/>
        </w:trPr>
        <w:tc>
          <w:tcPr>
            <w:tcW w:w="5540" w:type="dxa"/>
            <w:vAlign w:val="bottom"/>
            <w:tcBorders>
              <w:bottom w:val="single" w:sz="8" w:color="636466"/>
            </w:tcBorders>
          </w:tcPr>
          <w:p>
            <w:pPr>
              <w:ind w:left="60"/>
              <w:spacing w:after="0"/>
              <w:rPr>
                <w:sz w:val="20"/>
                <w:szCs w:val="20"/>
                <w:color w:val="auto"/>
              </w:rPr>
            </w:pPr>
            <w:r>
              <w:rPr>
                <w:rFonts w:ascii="Arial" w:cs="Arial" w:eastAsia="Arial" w:hAnsi="Arial"/>
                <w:sz w:val="16"/>
                <w:szCs w:val="16"/>
                <w:b w:val="1"/>
                <w:bCs w:val="1"/>
                <w:color w:val="auto"/>
              </w:rPr>
              <w:t>New York, NY 10055</w:t>
            </w:r>
          </w:p>
        </w:tc>
        <w:tc>
          <w:tcPr>
            <w:tcW w:w="4400" w:type="dxa"/>
            <w:vAlign w:val="bottom"/>
            <w:tcBorders>
              <w:bottom w:val="single" w:sz="8" w:color="636466"/>
            </w:tcBorders>
          </w:tcPr>
          <w:p>
            <w:pPr>
              <w:spacing w:after="0"/>
              <w:rPr>
                <w:sz w:val="19"/>
                <w:szCs w:val="19"/>
                <w:color w:val="auto"/>
              </w:rPr>
            </w:pPr>
          </w:p>
        </w:tc>
        <w:tc>
          <w:tcPr>
            <w:tcW w:w="1300" w:type="dxa"/>
            <w:vAlign w:val="bottom"/>
            <w:tcBorders>
              <w:bottom w:val="single" w:sz="8" w:color="636466"/>
            </w:tcBorders>
          </w:tcPr>
          <w:p>
            <w:pPr>
              <w:spacing w:after="0"/>
              <w:rPr>
                <w:sz w:val="19"/>
                <w:szCs w:val="19"/>
                <w:color w:val="auto"/>
              </w:rPr>
            </w:pPr>
          </w:p>
        </w:tc>
      </w:tr>
    </w:tbl>
    <w:p>
      <w:pPr>
        <w:spacing w:after="0" w:line="48" w:lineRule="exact"/>
        <w:rPr>
          <w:sz w:val="20"/>
          <w:szCs w:val="20"/>
          <w:color w:val="auto"/>
        </w:rPr>
      </w:pPr>
    </w:p>
    <w:p>
      <w:pPr>
        <w:ind w:left="460" w:hanging="453"/>
        <w:spacing w:after="0" w:line="237" w:lineRule="auto"/>
        <w:tabs>
          <w:tab w:leader="none" w:pos="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State Street Corporation reported in a joint SEC filing that, as of December 31, 2021, it beneficially owned in the aggregate 137,843,993 shares of RTX Common Stock, and held sole voting power with respect to zero shares of RTX Common Stock, shared voting power with respect to 112,740,725 shares of RTX Common Stock, sole dispositive power with respect to zero shares of RTX Common Stock and shared dispositive power with respect to 137,832,336 shares of RTX Common Stock. In the same joint SEC filing, State Street Global Advisors Trust Company, a subsidiary of State Street Corporation, reported that, as of December 31, 2021, it beneficially owned 115,081,711 shares of RTX Common Stock and held sole voting power with respect to zero shares of RTX Common Stock, shared voting power with respect to 32,567,397 shares of RTX Common Stock, sole dispositive power with respect to zero shares of RTX Common Stock and shared dispositive power with respect to 115,077,631 shares of RTX Common Stock.</w:t>
      </w:r>
    </w:p>
    <w:p>
      <w:pPr>
        <w:spacing w:after="0" w:line="39" w:lineRule="exact"/>
        <w:rPr>
          <w:rFonts w:ascii="Arial" w:cs="Arial" w:eastAsia="Arial" w:hAnsi="Arial"/>
          <w:sz w:val="12"/>
          <w:szCs w:val="12"/>
          <w:color w:val="auto"/>
        </w:rPr>
      </w:pPr>
    </w:p>
    <w:p>
      <w:pPr>
        <w:ind w:left="460" w:right="20" w:hanging="453"/>
        <w:spacing w:after="0" w:line="243" w:lineRule="auto"/>
        <w:tabs>
          <w:tab w:leader="none" w:pos="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The Vanguard Group reported in an SEC filing that, as of December 31, 2021, it held sole voting power with respect to zero shares of RTX Common Stock, shared voting power with respect to 2,215,637 shares of RTX Common Stock, sole dispositive power with respect to 112,556,517 shares of RTX Common Stock and shared dispositive power with respect to 5,907,329 shares of RTX Common Stock.</w:t>
      </w:r>
    </w:p>
    <w:p>
      <w:pPr>
        <w:spacing w:after="0" w:line="175" w:lineRule="exact"/>
        <w:rPr>
          <w:rFonts w:ascii="Arial" w:cs="Arial" w:eastAsia="Arial" w:hAnsi="Arial"/>
          <w:sz w:val="12"/>
          <w:szCs w:val="12"/>
          <w:color w:val="auto"/>
        </w:rPr>
      </w:pPr>
    </w:p>
    <w:p>
      <w:pPr>
        <w:ind w:left="460" w:right="100" w:hanging="453"/>
        <w:spacing w:after="0" w:line="252" w:lineRule="auto"/>
        <w:tabs>
          <w:tab w:leader="none" w:pos="46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BlackRock, Inc. reported in an SEC filing that, as of December 31, 2021, it held sole power to vote or to direct the vote of 88,718,435 shares of RTX Common Stock and sole power to dispose or direct the disposition of 98,553,635 shares of RTX Common Stock.</w:t>
      </w:r>
    </w:p>
    <w:p>
      <w:pPr>
        <w:spacing w:after="0" w:line="227" w:lineRule="exact"/>
        <w:rPr>
          <w:sz w:val="20"/>
          <w:szCs w:val="20"/>
          <w:color w:val="auto"/>
        </w:rPr>
      </w:pPr>
    </w:p>
    <w:p>
      <w:pPr>
        <w:ind w:left="460" w:hanging="453"/>
        <w:spacing w:after="0"/>
        <w:tabs>
          <w:tab w:leader="none" w:pos="460" w:val="left"/>
        </w:tabs>
        <w:numPr>
          <w:ilvl w:val="0"/>
          <w:numId w:val="118"/>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2:</w:t>
      </w:r>
    </w:p>
    <w:p>
      <w:pPr>
        <w:spacing w:after="0" w:line="63" w:lineRule="exact"/>
        <w:rPr>
          <w:sz w:val="20"/>
          <w:szCs w:val="20"/>
          <w:color w:val="auto"/>
        </w:rPr>
      </w:pPr>
    </w:p>
    <w:p>
      <w:pPr>
        <w:ind w:right="5160"/>
        <w:spacing w:after="0" w:line="261" w:lineRule="auto"/>
        <w:rPr>
          <w:sz w:val="20"/>
          <w:szCs w:val="20"/>
          <w:color w:val="auto"/>
        </w:rPr>
      </w:pPr>
      <w:r>
        <w:rPr>
          <w:rFonts w:ascii="Arial" w:cs="Arial" w:eastAsia="Arial" w:hAnsi="Arial"/>
          <w:sz w:val="49"/>
          <w:szCs w:val="49"/>
          <w:b w:val="1"/>
          <w:bCs w:val="1"/>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4429760" cy="508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429760" cy="50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133590" cy="10966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3590" cy="10966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p>
      <w:pPr>
        <w:spacing w:after="0" w:line="348"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What</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am I</w:t>
      </w:r>
    </w:p>
    <w:p>
      <w:pPr>
        <w:spacing w:after="0" w:line="7" w:lineRule="exact"/>
        <w:rPr>
          <w:sz w:val="20"/>
          <w:szCs w:val="20"/>
          <w:color w:val="auto"/>
        </w:rPr>
      </w:pPr>
    </w:p>
    <w:p>
      <w:pPr>
        <w:ind w:left="180"/>
        <w:spacing w:after="0"/>
        <w:rPr>
          <w:sz w:val="20"/>
          <w:szCs w:val="20"/>
          <w:color w:val="auto"/>
        </w:rPr>
      </w:pPr>
      <w:r>
        <w:rPr>
          <w:rFonts w:ascii="Arial" w:cs="Arial" w:eastAsia="Arial" w:hAnsi="Arial"/>
          <w:sz w:val="39"/>
          <w:szCs w:val="39"/>
          <w:b w:val="1"/>
          <w:bCs w:val="1"/>
          <w:color w:val="CE0F2D"/>
        </w:rPr>
        <w:t>voting 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right="1000"/>
        <w:spacing w:after="0" w:line="263" w:lineRule="auto"/>
        <w:rPr>
          <w:sz w:val="20"/>
          <w:szCs w:val="20"/>
          <w:color w:val="auto"/>
        </w:rPr>
      </w:pPr>
      <w:r>
        <w:rPr>
          <w:rFonts w:ascii="Arial" w:cs="Arial" w:eastAsia="Arial" w:hAnsi="Arial"/>
          <w:sz w:val="16"/>
          <w:szCs w:val="16"/>
          <w:color w:val="auto"/>
        </w:rPr>
        <w:t xml:space="preserve">Each year we ask shareowners to </w:t>
      </w:r>
      <w:r>
        <w:rPr>
          <w:rFonts w:ascii="Arial" w:cs="Arial" w:eastAsia="Arial" w:hAnsi="Arial"/>
          <w:sz w:val="16"/>
          <w:szCs w:val="16"/>
          <w:b w:val="1"/>
          <w:bCs w:val="1"/>
          <w:color w:val="CE0F2D"/>
        </w:rPr>
        <w:t>approve, on an advisory basis, the compensation of our Named</w:t>
      </w:r>
      <w:r>
        <w:rPr>
          <w:rFonts w:ascii="Arial" w:cs="Arial" w:eastAsia="Arial" w:hAnsi="Arial"/>
          <w:sz w:val="16"/>
          <w:szCs w:val="16"/>
          <w:color w:val="auto"/>
        </w:rPr>
        <w:t xml:space="preserve"> </w:t>
      </w:r>
      <w:r>
        <w:rPr>
          <w:rFonts w:ascii="Arial" w:cs="Arial" w:eastAsia="Arial" w:hAnsi="Arial"/>
          <w:sz w:val="16"/>
          <w:szCs w:val="16"/>
          <w:b w:val="1"/>
          <w:bCs w:val="1"/>
          <w:color w:val="CE0F2D"/>
        </w:rPr>
        <w:t xml:space="preserve">Executive Officers (“NEOs”). </w:t>
      </w:r>
      <w:r>
        <w:rPr>
          <w:rFonts w:ascii="Arial" w:cs="Arial" w:eastAsia="Arial" w:hAnsi="Arial"/>
          <w:sz w:val="16"/>
          <w:szCs w:val="16"/>
          <w:color w:val="000000"/>
        </w:rPr>
        <w:t>Before voting, we encourage you to read and consider the Compensation</w:t>
      </w:r>
      <w:r>
        <w:rPr>
          <w:rFonts w:ascii="Arial" w:cs="Arial" w:eastAsia="Arial" w:hAnsi="Arial"/>
          <w:sz w:val="16"/>
          <w:szCs w:val="16"/>
          <w:b w:val="1"/>
          <w:bCs w:val="1"/>
          <w:color w:val="CE0F2D"/>
        </w:rPr>
        <w:t xml:space="preserve"> </w:t>
      </w:r>
      <w:r>
        <w:rPr>
          <w:rFonts w:ascii="Arial" w:cs="Arial" w:eastAsia="Arial" w:hAnsi="Arial"/>
          <w:sz w:val="16"/>
          <w:szCs w:val="16"/>
          <w:color w:val="000000"/>
        </w:rPr>
        <w:t>Discussion and Analysis on pages 39-64, along with the compensation tables on pages 66-84.</w:t>
      </w:r>
    </w:p>
    <w:p>
      <w:pPr>
        <w:spacing w:after="0" w:line="576" w:lineRule="exact"/>
        <w:rPr>
          <w:sz w:val="20"/>
          <w:szCs w:val="20"/>
          <w:color w:val="auto"/>
        </w:rPr>
      </w:pPr>
    </w:p>
    <w:p>
      <w:pPr>
        <w:sectPr>
          <w:pgSz w:w="11900" w:h="16838" w:orient="portrait"/>
          <w:cols w:equalWidth="0" w:num="2">
            <w:col w:w="2200" w:space="620"/>
            <w:col w:w="8440"/>
          </w:cols>
          <w:pgMar w:left="320" w:top="118" w:right="31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is shareowner feedback considered?</w:t>
      </w:r>
    </w:p>
    <w:p>
      <w:pPr>
        <w:spacing w:after="0" w:line="264"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RTX values and considers shareowner views when making executive compensation decisions. Over the years, shareowner input has substantially contributed to the philosophy that underpins the design of our executive compensation program – our Guiding Principles — which are described on page 43 of this Proxy Statement. Each year we engage with investors to solicit their views on our executive compensation programs. The Human Capital &amp; Compensation Committee (the “Committee”) uses this feedback in its evaluation and oversight of our program. Shareowner feedback also is reflected in our ongoing effort to make the compensation information in our proxy statements clearer and more transparent.</w:t>
      </w:r>
    </w:p>
    <w:p>
      <w:pPr>
        <w:spacing w:after="0" w:line="17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Why should I vote for this proposal?</w:t>
      </w:r>
    </w:p>
    <w:p>
      <w:pPr>
        <w:spacing w:after="0" w:line="264" w:lineRule="exact"/>
        <w:rPr>
          <w:sz w:val="20"/>
          <w:szCs w:val="20"/>
          <w:color w:val="auto"/>
        </w:rPr>
      </w:pPr>
    </w:p>
    <w:p>
      <w:pPr>
        <w:ind w:right="800"/>
        <w:spacing w:after="0" w:line="256" w:lineRule="auto"/>
        <w:rPr>
          <w:sz w:val="20"/>
          <w:szCs w:val="20"/>
          <w:color w:val="auto"/>
        </w:rPr>
      </w:pPr>
      <w:r>
        <w:rPr>
          <w:rFonts w:ascii="Arial" w:cs="Arial" w:eastAsia="Arial" w:hAnsi="Arial"/>
          <w:sz w:val="16"/>
          <w:szCs w:val="16"/>
          <w:color w:val="auto"/>
        </w:rPr>
        <w:t>The Committee is committed to designing an executive compensation program that is structured to advance our fundamental objective: aligning our executives’ compensation with the long-term interests of our shareowners.</w:t>
      </w:r>
    </w:p>
    <w:p>
      <w:pPr>
        <w:spacing w:after="0" w:line="197"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As the Committee continues to work to fully integrate the executive compensation program of our legacy companies, its primary goal is to design a program that rewards financial and operating performance, effective strategic leadership, and advances our commitment to corporate social responsibility—all key elements in building sustainable shareowner value.</w:t>
      </w:r>
    </w:p>
    <w:p>
      <w:pPr>
        <w:spacing w:after="0" w:line="20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To reinforce these objectives, the Committee has selected performance metrics for our incentive programs that align with shareowner interests by correlating the timing and amount of actual payouts to our short-, medium- and long-term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In addition, compensation opportunities under these programs are structured to:</w:t>
      </w:r>
    </w:p>
    <w:p>
      <w:pPr>
        <w:spacing w:after="0" w:line="218" w:lineRule="exact"/>
        <w:rPr>
          <w:sz w:val="20"/>
          <w:szCs w:val="20"/>
          <w:color w:val="auto"/>
        </w:rPr>
      </w:pPr>
    </w:p>
    <w:p>
      <w:pPr>
        <w:ind w:left="240" w:hanging="233"/>
        <w:spacing w:after="0"/>
        <w:tabs>
          <w:tab w:leader="none" w:pos="240" w:val="left"/>
        </w:tabs>
        <w:numPr>
          <w:ilvl w:val="0"/>
          <w:numId w:val="119"/>
        </w:numPr>
        <w:rPr>
          <w:rFonts w:ascii="Arial" w:cs="Arial" w:eastAsia="Arial" w:hAnsi="Arial"/>
          <w:sz w:val="16"/>
          <w:szCs w:val="16"/>
          <w:color w:val="CE0F2D"/>
        </w:rPr>
      </w:pPr>
      <w:r>
        <w:rPr>
          <w:rFonts w:ascii="Arial" w:cs="Arial" w:eastAsia="Arial" w:hAnsi="Arial"/>
          <w:sz w:val="16"/>
          <w:szCs w:val="16"/>
          <w:color w:val="auto"/>
        </w:rPr>
        <w:t>reward the appropriate balance of financial, strategic and operational business results;</w:t>
      </w:r>
    </w:p>
    <w:p>
      <w:pPr>
        <w:spacing w:after="0" w:line="164" w:lineRule="exact"/>
        <w:rPr>
          <w:rFonts w:ascii="Arial" w:cs="Arial" w:eastAsia="Arial" w:hAnsi="Arial"/>
          <w:sz w:val="16"/>
          <w:szCs w:val="16"/>
          <w:color w:val="CE0F2D"/>
        </w:rPr>
      </w:pPr>
    </w:p>
    <w:p>
      <w:pPr>
        <w:ind w:left="240" w:hanging="233"/>
        <w:spacing w:after="0"/>
        <w:tabs>
          <w:tab w:leader="none" w:pos="240" w:val="left"/>
        </w:tabs>
        <w:numPr>
          <w:ilvl w:val="0"/>
          <w:numId w:val="119"/>
        </w:numPr>
        <w:rPr>
          <w:rFonts w:ascii="Arial" w:cs="Arial" w:eastAsia="Arial" w:hAnsi="Arial"/>
          <w:sz w:val="16"/>
          <w:szCs w:val="16"/>
          <w:color w:val="CE0F2D"/>
        </w:rPr>
      </w:pPr>
      <w:r>
        <w:rPr>
          <w:rFonts w:ascii="Arial" w:cs="Arial" w:eastAsia="Arial" w:hAnsi="Arial"/>
          <w:sz w:val="16"/>
          <w:szCs w:val="16"/>
          <w:color w:val="auto"/>
        </w:rPr>
        <w:t>align executives’ pay with Company performance and the shareowner experience;</w:t>
      </w:r>
    </w:p>
    <w:p>
      <w:pPr>
        <w:spacing w:after="0" w:line="164" w:lineRule="exact"/>
        <w:rPr>
          <w:rFonts w:ascii="Arial" w:cs="Arial" w:eastAsia="Arial" w:hAnsi="Arial"/>
          <w:sz w:val="16"/>
          <w:szCs w:val="16"/>
          <w:color w:val="CE0F2D"/>
        </w:rPr>
      </w:pPr>
    </w:p>
    <w:p>
      <w:pPr>
        <w:ind w:left="240" w:hanging="233"/>
        <w:spacing w:after="0"/>
        <w:tabs>
          <w:tab w:leader="none" w:pos="240" w:val="left"/>
        </w:tabs>
        <w:numPr>
          <w:ilvl w:val="0"/>
          <w:numId w:val="119"/>
        </w:numPr>
        <w:rPr>
          <w:rFonts w:ascii="Arial" w:cs="Arial" w:eastAsia="Arial" w:hAnsi="Arial"/>
          <w:sz w:val="16"/>
          <w:szCs w:val="16"/>
          <w:color w:val="CE0F2D"/>
        </w:rPr>
      </w:pPr>
      <w:r>
        <w:rPr>
          <w:rFonts w:ascii="Arial" w:cs="Arial" w:eastAsia="Arial" w:hAnsi="Arial"/>
          <w:sz w:val="16"/>
          <w:szCs w:val="16"/>
          <w:color w:val="auto"/>
        </w:rPr>
        <w:t>facilitate the retention of highly talented executives who are critical to our long-term success;</w:t>
      </w:r>
    </w:p>
    <w:p>
      <w:pPr>
        <w:spacing w:after="0" w:line="164" w:lineRule="exact"/>
        <w:rPr>
          <w:rFonts w:ascii="Arial" w:cs="Arial" w:eastAsia="Arial" w:hAnsi="Arial"/>
          <w:sz w:val="16"/>
          <w:szCs w:val="16"/>
          <w:color w:val="CE0F2D"/>
        </w:rPr>
      </w:pPr>
    </w:p>
    <w:p>
      <w:pPr>
        <w:ind w:left="240" w:hanging="233"/>
        <w:spacing w:after="0"/>
        <w:tabs>
          <w:tab w:leader="none" w:pos="240" w:val="left"/>
        </w:tabs>
        <w:numPr>
          <w:ilvl w:val="0"/>
          <w:numId w:val="119"/>
        </w:numPr>
        <w:rPr>
          <w:rFonts w:ascii="Arial" w:cs="Arial" w:eastAsia="Arial" w:hAnsi="Arial"/>
          <w:sz w:val="16"/>
          <w:szCs w:val="16"/>
          <w:color w:val="CE0F2D"/>
        </w:rPr>
      </w:pPr>
      <w:r>
        <w:rPr>
          <w:rFonts w:ascii="Arial" w:cs="Arial" w:eastAsia="Arial" w:hAnsi="Arial"/>
          <w:sz w:val="16"/>
          <w:szCs w:val="16"/>
          <w:color w:val="auto"/>
        </w:rPr>
        <w:t>deliver fair and equitable pay to executives of comparable experience and performance who perform similar work, regardless of race or gender; and</w:t>
      </w:r>
    </w:p>
    <w:p>
      <w:pPr>
        <w:spacing w:after="0" w:line="164" w:lineRule="exact"/>
        <w:rPr>
          <w:rFonts w:ascii="Arial" w:cs="Arial" w:eastAsia="Arial" w:hAnsi="Arial"/>
          <w:sz w:val="16"/>
          <w:szCs w:val="16"/>
          <w:color w:val="CE0F2D"/>
        </w:rPr>
      </w:pPr>
    </w:p>
    <w:p>
      <w:pPr>
        <w:ind w:left="240" w:hanging="233"/>
        <w:spacing w:after="0"/>
        <w:tabs>
          <w:tab w:leader="none" w:pos="240" w:val="left"/>
        </w:tabs>
        <w:numPr>
          <w:ilvl w:val="0"/>
          <w:numId w:val="119"/>
        </w:numPr>
        <w:rPr>
          <w:rFonts w:ascii="Arial" w:cs="Arial" w:eastAsia="Arial" w:hAnsi="Arial"/>
          <w:sz w:val="16"/>
          <w:szCs w:val="16"/>
          <w:color w:val="CE0F2D"/>
        </w:rPr>
      </w:pPr>
      <w:r>
        <w:rPr>
          <w:rFonts w:ascii="Arial" w:cs="Arial" w:eastAsia="Arial" w:hAnsi="Arial"/>
          <w:sz w:val="16"/>
          <w:szCs w:val="16"/>
          <w:color w:val="auto"/>
        </w:rPr>
        <w:t>require ethical and responsible conduct in pursuit of these goals.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960" w:type="dxa"/>
            <w:vAlign w:val="bottom"/>
          </w:tcPr>
          <w:p>
            <w:pPr>
              <w:ind w:left="7760"/>
              <w:spacing w:after="0"/>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37</w:t>
            </w:r>
          </w:p>
        </w:tc>
      </w:tr>
      <w:tr>
        <w:trPr>
          <w:trHeight w:val="110"/>
        </w:trPr>
        <w:tc>
          <w:tcPr>
            <w:tcW w:w="109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PROPOSAL 2: ADVISORY VOTE TO APPROVE EXECUTIVE COMPENSATION </w:t>
      </w:r>
      <w:r>
        <w:rPr>
          <w:rFonts w:ascii="Arial" w:cs="Arial" w:eastAsia="Arial" w:hAnsi="Arial"/>
          <w:sz w:val="12"/>
          <w:szCs w:val="12"/>
          <w:color w:val="000000"/>
        </w:rPr>
        <w:t>| WHY SHOULD I VOTE FOR THIS PROPOSAL?</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Accordingly, the Board recommends that shareowners vote </w:t>
      </w:r>
      <w:r>
        <w:rPr>
          <w:rFonts w:ascii="Arial" w:cs="Arial" w:eastAsia="Arial" w:hAnsi="Arial"/>
          <w:sz w:val="16"/>
          <w:szCs w:val="16"/>
          <w:b w:val="1"/>
          <w:bCs w:val="1"/>
          <w:color w:val="CE0F2D"/>
        </w:rPr>
        <w:t>FOR</w:t>
      </w:r>
      <w:r>
        <w:rPr>
          <w:rFonts w:ascii="Arial" w:cs="Arial" w:eastAsia="Arial" w:hAnsi="Arial"/>
          <w:sz w:val="16"/>
          <w:szCs w:val="16"/>
          <w:color w:val="auto"/>
        </w:rPr>
        <w:t xml:space="preserve"> the following resolution:</w:t>
      </w:r>
    </w:p>
    <w:p>
      <w:pPr>
        <w:spacing w:after="0" w:line="23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“RESOLVED, that the compensation of RTX’s NEOs, as disclosed pursuant to the compensation disclosure rules of the Securities and Exchange Commission, including the Compensation Discussion and Analysis, compensation tables and related information provided in this Proxy Statement, is hereby APPROVED on an advisory basis.”</w:t>
      </w:r>
    </w:p>
    <w:p>
      <w:pPr>
        <w:spacing w:after="0" w:line="202"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a matter of law, the approval or disapproval of this Proposal 2 may not be construed as overruling any decision by RTX or the Board, or as imposing any duty or obligation on RTX, the Board or any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7133590" cy="4762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3590" cy="476250"/>
                    </a:xfrm>
                    <a:prstGeom prst="rect">
                      <a:avLst/>
                    </a:prstGeom>
                    <a:noFill/>
                  </pic:spPr>
                </pic:pic>
              </a:graphicData>
            </a:graphic>
          </wp:anchor>
        </w:drawing>
      </w:r>
    </w:p>
    <w:p>
      <w:pPr>
        <w:spacing w:after="0" w:line="198" w:lineRule="exact"/>
        <w:rPr>
          <w:sz w:val="20"/>
          <w:szCs w:val="20"/>
          <w:color w:val="auto"/>
        </w:rPr>
      </w:pPr>
    </w:p>
    <w:p>
      <w:pPr>
        <w:ind w:left="180"/>
        <w:spacing w:after="0"/>
        <w:rPr>
          <w:sz w:val="20"/>
          <w:szCs w:val="20"/>
          <w:color w:val="auto"/>
        </w:rPr>
      </w:pPr>
      <w:r>
        <w:rPr>
          <w:sz w:val="1"/>
          <w:szCs w:val="1"/>
          <w:color w:val="auto"/>
        </w:rPr>
        <w:drawing>
          <wp:inline distT="0" distB="0" distL="0" distR="0">
            <wp:extent cx="424815" cy="37401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24815" cy="374015"/>
                    </a:xfrm>
                    <a:prstGeom prst="rect">
                      <a:avLst/>
                    </a:prstGeom>
                    <a:noFill/>
                    <a:ln>
                      <a:noFill/>
                    </a:ln>
                  </pic:spPr>
                </pic:pic>
              </a:graphicData>
            </a:graphic>
          </wp:inline>
        </w:drawing>
      </w:r>
      <w:r>
        <w:rPr>
          <w:rFonts w:ascii="Arial" w:cs="Arial" w:eastAsia="Arial" w:hAnsi="Arial"/>
          <w:sz w:val="27"/>
          <w:szCs w:val="27"/>
          <w:b w:val="1"/>
          <w:bCs w:val="1"/>
          <w:color w:val="auto"/>
        </w:rPr>
        <w:t xml:space="preserve"> The Board of Directors unanimously recommends a vote </w:t>
      </w:r>
      <w:r>
        <w:rPr>
          <w:rFonts w:ascii="Arial" w:cs="Arial" w:eastAsia="Arial" w:hAnsi="Arial"/>
          <w:sz w:val="27"/>
          <w:szCs w:val="27"/>
          <w:b w:val="1"/>
          <w:bCs w:val="1"/>
          <w:color w:val="CE0F2D"/>
        </w:rPr>
        <w:t>FOR</w:t>
      </w:r>
      <w:r>
        <w:rPr>
          <w:rFonts w:ascii="Arial" w:cs="Arial" w:eastAsia="Arial" w:hAnsi="Arial"/>
          <w:sz w:val="27"/>
          <w:szCs w:val="27"/>
          <w:b w:val="1"/>
          <w:bCs w:val="1"/>
          <w:color w:val="auto"/>
        </w:rPr>
        <w:t xml:space="preserve"> this proposal.</w:t>
      </w:r>
    </w:p>
    <w:p>
      <w:pPr>
        <w:spacing w:after="0" w:line="257" w:lineRule="exact"/>
        <w:rPr>
          <w:sz w:val="20"/>
          <w:szCs w:val="20"/>
          <w:color w:val="auto"/>
        </w:rPr>
      </w:pPr>
    </w:p>
    <w:p>
      <w:pPr>
        <w:ind w:left="460" w:hanging="453"/>
        <w:spacing w:after="0"/>
        <w:tabs>
          <w:tab w:leader="none" w:pos="460" w:val="left"/>
        </w:tabs>
        <w:numPr>
          <w:ilvl w:val="0"/>
          <w:numId w:val="12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080"/>
          </w:cols>
          <w:pgMar w:left="320" w:top="118"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7133590" cy="3232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3590" cy="32321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right"/>
        <w:ind w:right="320"/>
        <w:spacing w:after="0"/>
        <w:rPr>
          <w:sz w:val="20"/>
          <w:szCs w:val="20"/>
          <w:color w:val="auto"/>
        </w:rPr>
      </w:pPr>
      <w:r>
        <w:rPr>
          <w:rFonts w:ascii="Arial" w:cs="Arial" w:eastAsia="Arial" w:hAnsi="Arial"/>
          <w:sz w:val="12"/>
          <w:szCs w:val="12"/>
          <w:b w:val="1"/>
          <w:bCs w:val="1"/>
          <w:color w:val="ECEDEF"/>
        </w:rPr>
        <w:t>COMPENSATION DISCUSSION AND ANALYSIS</w:t>
      </w:r>
    </w:p>
    <w:p>
      <w:pPr>
        <w:spacing w:after="0" w:line="211" w:lineRule="exact"/>
        <w:rPr>
          <w:sz w:val="20"/>
          <w:szCs w:val="20"/>
          <w:color w:val="auto"/>
        </w:rPr>
      </w:pPr>
    </w:p>
    <w:p>
      <w:pPr>
        <w:ind w:right="4960"/>
        <w:spacing w:after="0" w:line="277" w:lineRule="auto"/>
        <w:rPr>
          <w:sz w:val="20"/>
          <w:szCs w:val="20"/>
          <w:color w:val="auto"/>
        </w:rPr>
      </w:pPr>
      <w:r>
        <w:rPr>
          <w:rFonts w:ascii="Arial" w:cs="Arial" w:eastAsia="Arial" w:hAnsi="Arial"/>
          <w:sz w:val="50"/>
          <w:szCs w:val="50"/>
          <w:b w:val="1"/>
          <w:bCs w:val="1"/>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33590" cy="15811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3590" cy="158115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CE0F2C"/>
        </w:rPr>
        <w:t>What’s</w:t>
      </w:r>
    </w:p>
    <w:p>
      <w:pPr>
        <w:spacing w:after="0" w:line="57"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CE0F2C"/>
        </w:rPr>
        <w:t>in this</w:t>
      </w:r>
    </w:p>
    <w:p>
      <w:pPr>
        <w:spacing w:after="0" w:line="7" w:lineRule="exact"/>
        <w:rPr>
          <w:sz w:val="20"/>
          <w:szCs w:val="20"/>
          <w:color w:val="auto"/>
        </w:rPr>
      </w:pPr>
    </w:p>
    <w:p>
      <w:pPr>
        <w:ind w:left="280"/>
        <w:spacing w:after="0"/>
        <w:rPr>
          <w:sz w:val="20"/>
          <w:szCs w:val="20"/>
          <w:color w:val="auto"/>
        </w:rPr>
      </w:pPr>
      <w:r>
        <w:rPr>
          <w:rFonts w:ascii="Arial" w:cs="Arial" w:eastAsia="Arial" w:hAnsi="Arial"/>
          <w:sz w:val="39"/>
          <w:szCs w:val="39"/>
          <w:b w:val="1"/>
          <w:bCs w:val="1"/>
          <w:color w:val="CE0F2C"/>
        </w:rPr>
        <w:t>section?</w:t>
      </w: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6"/>
          <w:szCs w:val="16"/>
          <w:b w:val="1"/>
          <w:bCs w:val="1"/>
          <w:u w:val="single" w:color="auto"/>
          <w:color w:val="auto"/>
        </w:rPr>
      </w:pPr>
      <w:hyperlink w:anchor="page45">
        <w:r>
          <w:rPr>
            <w:rFonts w:ascii="Arial" w:cs="Arial" w:eastAsia="Arial" w:hAnsi="Arial"/>
            <w:sz w:val="16"/>
            <w:szCs w:val="16"/>
            <w:b w:val="1"/>
            <w:bCs w:val="1"/>
            <w:u w:val="single" w:color="auto"/>
            <w:color w:val="auto"/>
          </w:rPr>
          <w:t>Executive Summary</w:t>
        </w:r>
      </w:hyperlink>
    </w:p>
    <w:p>
      <w:pPr>
        <w:spacing w:after="0" w:line="104" w:lineRule="exact"/>
        <w:rPr>
          <w:sz w:val="20"/>
          <w:szCs w:val="20"/>
          <w:color w:val="auto"/>
        </w:rPr>
      </w:pPr>
    </w:p>
    <w:p>
      <w:pPr>
        <w:ind w:left="180" w:right="960"/>
        <w:spacing w:after="0" w:line="349" w:lineRule="auto"/>
        <w:rPr>
          <w:rFonts w:ascii="Arial" w:cs="Arial" w:eastAsia="Arial" w:hAnsi="Arial"/>
          <w:sz w:val="16"/>
          <w:szCs w:val="16"/>
          <w:u w:val="single" w:color="auto"/>
          <w:color w:val="auto"/>
        </w:rPr>
      </w:pPr>
      <w:hyperlink w:anchor="page45">
        <w:r>
          <w:rPr>
            <w:rFonts w:ascii="Arial" w:cs="Arial" w:eastAsia="Arial" w:hAnsi="Arial"/>
            <w:sz w:val="16"/>
            <w:szCs w:val="16"/>
            <w:u w:val="single" w:color="auto"/>
            <w:color w:val="auto"/>
          </w:rPr>
          <w:t>Shareowner Engagement on Compensation</w:t>
        </w:r>
      </w:hyperlink>
      <w:r>
        <w:rPr>
          <w:rFonts w:ascii="Arial" w:cs="Arial" w:eastAsia="Arial" w:hAnsi="Arial"/>
          <w:sz w:val="16"/>
          <w:szCs w:val="16"/>
          <w:u w:val="single" w:color="auto"/>
          <w:color w:val="auto"/>
        </w:rPr>
        <w:t xml:space="preserve"> </w:t>
      </w:r>
      <w:hyperlink w:anchor="page46">
        <w:r>
          <w:rPr>
            <w:rFonts w:ascii="Arial" w:cs="Arial" w:eastAsia="Arial" w:hAnsi="Arial"/>
            <w:sz w:val="16"/>
            <w:szCs w:val="16"/>
            <w:u w:val="single" w:color="auto"/>
            <w:color w:val="auto"/>
          </w:rPr>
          <w:t>2021 Performance Overview</w:t>
        </w:r>
      </w:hyperlink>
    </w:p>
    <w:p>
      <w:pPr>
        <w:ind w:left="180"/>
        <w:spacing w:after="0"/>
        <w:rPr>
          <w:rFonts w:ascii="Arial" w:cs="Arial" w:eastAsia="Arial" w:hAnsi="Arial"/>
          <w:sz w:val="16"/>
          <w:szCs w:val="16"/>
          <w:u w:val="single" w:color="auto"/>
          <w:color w:val="auto"/>
        </w:rPr>
      </w:pPr>
      <w:hyperlink w:anchor="page48">
        <w:r>
          <w:rPr>
            <w:rFonts w:ascii="Arial" w:cs="Arial" w:eastAsia="Arial" w:hAnsi="Arial"/>
            <w:sz w:val="16"/>
            <w:szCs w:val="16"/>
            <w:u w:val="single" w:color="auto"/>
            <w:color w:val="auto"/>
          </w:rPr>
          <w:t>How We Align Pay and Performance</w:t>
        </w:r>
      </w:hyperlink>
    </w:p>
    <w:p>
      <w:pPr>
        <w:spacing w:after="0" w:line="265" w:lineRule="exact"/>
        <w:rPr>
          <w:sz w:val="20"/>
          <w:szCs w:val="20"/>
          <w:color w:val="auto"/>
        </w:rPr>
      </w:pPr>
    </w:p>
    <w:p>
      <w:pPr>
        <w:spacing w:after="0"/>
        <w:rPr>
          <w:rFonts w:ascii="Arial" w:cs="Arial" w:eastAsia="Arial" w:hAnsi="Arial"/>
          <w:sz w:val="16"/>
          <w:szCs w:val="16"/>
          <w:b w:val="1"/>
          <w:bCs w:val="1"/>
          <w:u w:val="single" w:color="auto"/>
          <w:color w:val="auto"/>
        </w:rPr>
      </w:pPr>
      <w:hyperlink w:anchor="page50">
        <w:r>
          <w:rPr>
            <w:rFonts w:ascii="Arial" w:cs="Arial" w:eastAsia="Arial" w:hAnsi="Arial"/>
            <w:sz w:val="16"/>
            <w:szCs w:val="16"/>
            <w:b w:val="1"/>
            <w:bCs w:val="1"/>
            <w:u w:val="single" w:color="auto"/>
            <w:color w:val="auto"/>
          </w:rPr>
          <w:t>How We Make Pay Decisions and Assess Our Programs</w:t>
        </w:r>
      </w:hyperlink>
    </w:p>
    <w:p>
      <w:pPr>
        <w:spacing w:after="0" w:line="104" w:lineRule="exact"/>
        <w:rPr>
          <w:sz w:val="20"/>
          <w:szCs w:val="20"/>
          <w:color w:val="auto"/>
        </w:rPr>
      </w:pPr>
    </w:p>
    <w:p>
      <w:pPr>
        <w:ind w:left="180"/>
        <w:spacing w:after="0"/>
        <w:rPr>
          <w:rFonts w:ascii="Arial" w:cs="Arial" w:eastAsia="Arial" w:hAnsi="Arial"/>
          <w:sz w:val="16"/>
          <w:szCs w:val="16"/>
          <w:u w:val="single" w:color="auto"/>
          <w:color w:val="auto"/>
        </w:rPr>
      </w:pPr>
      <w:hyperlink w:anchor="page50">
        <w:r>
          <w:rPr>
            <w:rFonts w:ascii="Arial" w:cs="Arial" w:eastAsia="Arial" w:hAnsi="Arial"/>
            <w:sz w:val="16"/>
            <w:szCs w:val="16"/>
            <w:u w:val="single" w:color="auto"/>
            <w:color w:val="auto"/>
          </w:rPr>
          <w:t>Roles and Responsibilities</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51">
        <w:r>
          <w:rPr>
            <w:rFonts w:ascii="Arial" w:cs="Arial" w:eastAsia="Arial" w:hAnsi="Arial"/>
            <w:sz w:val="16"/>
            <w:szCs w:val="16"/>
            <w:u w:val="single" w:color="auto"/>
            <w:color w:val="auto"/>
          </w:rPr>
          <w:t>2021 Independent Consultant Engagement</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51">
        <w:r>
          <w:rPr>
            <w:rFonts w:ascii="Arial" w:cs="Arial" w:eastAsia="Arial" w:hAnsi="Arial"/>
            <w:sz w:val="16"/>
            <w:szCs w:val="16"/>
            <w:u w:val="single" w:color="auto"/>
            <w:color w:val="auto"/>
          </w:rPr>
          <w:t>Our Compensation Peer Group and Use of Market Data</w:t>
        </w:r>
      </w:hyperlink>
    </w:p>
    <w:p>
      <w:pPr>
        <w:spacing w:after="0" w:line="265" w:lineRule="exact"/>
        <w:rPr>
          <w:sz w:val="20"/>
          <w:szCs w:val="20"/>
          <w:color w:val="auto"/>
        </w:rPr>
      </w:pPr>
    </w:p>
    <w:p>
      <w:pPr>
        <w:spacing w:after="0"/>
        <w:rPr>
          <w:rFonts w:ascii="Arial" w:cs="Arial" w:eastAsia="Arial" w:hAnsi="Arial"/>
          <w:sz w:val="16"/>
          <w:szCs w:val="16"/>
          <w:b w:val="1"/>
          <w:bCs w:val="1"/>
          <w:u w:val="single" w:color="auto"/>
          <w:color w:val="auto"/>
        </w:rPr>
      </w:pPr>
      <w:hyperlink w:anchor="page52">
        <w:r>
          <w:rPr>
            <w:rFonts w:ascii="Arial" w:cs="Arial" w:eastAsia="Arial" w:hAnsi="Arial"/>
            <w:sz w:val="16"/>
            <w:szCs w:val="16"/>
            <w:b w:val="1"/>
            <w:bCs w:val="1"/>
            <w:u w:val="single" w:color="auto"/>
            <w:color w:val="auto"/>
          </w:rPr>
          <w:t>2021 Principal Elements of Compensation</w:t>
        </w:r>
      </w:hyperlink>
    </w:p>
    <w:p>
      <w:pPr>
        <w:spacing w:after="0" w:line="104" w:lineRule="exact"/>
        <w:rPr>
          <w:sz w:val="20"/>
          <w:szCs w:val="20"/>
          <w:color w:val="auto"/>
        </w:rPr>
      </w:pPr>
    </w:p>
    <w:p>
      <w:pPr>
        <w:ind w:left="180"/>
        <w:spacing w:after="0"/>
        <w:rPr>
          <w:rFonts w:ascii="Arial" w:cs="Arial" w:eastAsia="Arial" w:hAnsi="Arial"/>
          <w:sz w:val="16"/>
          <w:szCs w:val="16"/>
          <w:u w:val="single" w:color="auto"/>
          <w:color w:val="auto"/>
        </w:rPr>
      </w:pPr>
      <w:hyperlink w:anchor="page52">
        <w:r>
          <w:rPr>
            <w:rFonts w:ascii="Arial" w:cs="Arial" w:eastAsia="Arial" w:hAnsi="Arial"/>
            <w:sz w:val="16"/>
            <w:szCs w:val="16"/>
            <w:u w:val="single" w:color="auto"/>
            <w:color w:val="auto"/>
          </w:rPr>
          <w:t>Base Salary</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52">
        <w:r>
          <w:rPr>
            <w:rFonts w:ascii="Arial" w:cs="Arial" w:eastAsia="Arial" w:hAnsi="Arial"/>
            <w:sz w:val="16"/>
            <w:szCs w:val="16"/>
            <w:u w:val="single" w:color="auto"/>
            <w:color w:val="auto"/>
          </w:rPr>
          <w:t>Annual Incentive Awards</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56">
        <w:r>
          <w:rPr>
            <w:rFonts w:ascii="Arial" w:cs="Arial" w:eastAsia="Arial" w:hAnsi="Arial"/>
            <w:sz w:val="16"/>
            <w:szCs w:val="16"/>
            <w:u w:val="single" w:color="auto"/>
            <w:color w:val="auto"/>
          </w:rPr>
          <w:t>Long-Term Incentive (“LTI”) Awards</w:t>
        </w:r>
      </w:hyperlink>
    </w:p>
    <w:p>
      <w:pPr>
        <w:spacing w:after="0" w:line="265" w:lineRule="exact"/>
        <w:rPr>
          <w:sz w:val="20"/>
          <w:szCs w:val="20"/>
          <w:color w:val="auto"/>
        </w:rPr>
      </w:pPr>
    </w:p>
    <w:p>
      <w:pPr>
        <w:spacing w:after="0"/>
        <w:rPr>
          <w:rFonts w:ascii="Arial" w:cs="Arial" w:eastAsia="Arial" w:hAnsi="Arial"/>
          <w:sz w:val="16"/>
          <w:szCs w:val="16"/>
          <w:b w:val="1"/>
          <w:bCs w:val="1"/>
          <w:u w:val="single" w:color="auto"/>
          <w:color w:val="auto"/>
        </w:rPr>
      </w:pPr>
      <w:hyperlink w:anchor="page59">
        <w:r>
          <w:rPr>
            <w:rFonts w:ascii="Arial" w:cs="Arial" w:eastAsia="Arial" w:hAnsi="Arial"/>
            <w:sz w:val="16"/>
            <w:szCs w:val="16"/>
            <w:b w:val="1"/>
            <w:bCs w:val="1"/>
            <w:u w:val="single" w:color="auto"/>
            <w:color w:val="auto"/>
          </w:rPr>
          <w:t>2021 CEO Pay Decisions</w:t>
        </w:r>
      </w:hyperlink>
    </w:p>
    <w:p>
      <w:pPr>
        <w:spacing w:after="0" w:line="285" w:lineRule="exact"/>
        <w:rPr>
          <w:sz w:val="20"/>
          <w:szCs w:val="20"/>
          <w:color w:val="auto"/>
        </w:rPr>
      </w:pPr>
    </w:p>
    <w:p>
      <w:pPr>
        <w:spacing w:after="0"/>
        <w:rPr>
          <w:rFonts w:ascii="Arial" w:cs="Arial" w:eastAsia="Arial" w:hAnsi="Arial"/>
          <w:sz w:val="16"/>
          <w:szCs w:val="16"/>
          <w:b w:val="1"/>
          <w:bCs w:val="1"/>
          <w:u w:val="single" w:color="auto"/>
          <w:color w:val="auto"/>
        </w:rPr>
      </w:pPr>
      <w:hyperlink w:anchor="page61">
        <w:r>
          <w:rPr>
            <w:rFonts w:ascii="Arial" w:cs="Arial" w:eastAsia="Arial" w:hAnsi="Arial"/>
            <w:sz w:val="16"/>
            <w:szCs w:val="16"/>
            <w:b w:val="1"/>
            <w:bCs w:val="1"/>
            <w:u w:val="single" w:color="auto"/>
            <w:color w:val="auto"/>
          </w:rPr>
          <w:t>2021 Pay Decisions for Other NEOs</w:t>
        </w:r>
      </w:hyperlink>
    </w:p>
    <w:p>
      <w:pPr>
        <w:spacing w:after="0" w:line="285" w:lineRule="exact"/>
        <w:rPr>
          <w:sz w:val="20"/>
          <w:szCs w:val="20"/>
          <w:color w:val="auto"/>
        </w:rPr>
      </w:pPr>
    </w:p>
    <w:p>
      <w:pPr>
        <w:spacing w:after="0"/>
        <w:rPr>
          <w:rFonts w:ascii="Arial" w:cs="Arial" w:eastAsia="Arial" w:hAnsi="Arial"/>
          <w:sz w:val="16"/>
          <w:szCs w:val="16"/>
          <w:b w:val="1"/>
          <w:bCs w:val="1"/>
          <w:u w:val="single" w:color="auto"/>
          <w:color w:val="auto"/>
        </w:rPr>
      </w:pPr>
      <w:hyperlink w:anchor="page65">
        <w:r>
          <w:rPr>
            <w:rFonts w:ascii="Arial" w:cs="Arial" w:eastAsia="Arial" w:hAnsi="Arial"/>
            <w:sz w:val="16"/>
            <w:szCs w:val="16"/>
            <w:b w:val="1"/>
            <w:bCs w:val="1"/>
            <w:u w:val="single" w:color="auto"/>
            <w:color w:val="auto"/>
          </w:rPr>
          <w:t>Other Compensation Elements</w:t>
        </w:r>
      </w:hyperlink>
    </w:p>
    <w:p>
      <w:pPr>
        <w:spacing w:after="0" w:line="104" w:lineRule="exact"/>
        <w:rPr>
          <w:sz w:val="20"/>
          <w:szCs w:val="20"/>
          <w:color w:val="auto"/>
        </w:rPr>
      </w:pPr>
    </w:p>
    <w:p>
      <w:pPr>
        <w:ind w:left="180"/>
        <w:spacing w:after="0"/>
        <w:rPr>
          <w:rFonts w:ascii="Arial" w:cs="Arial" w:eastAsia="Arial" w:hAnsi="Arial"/>
          <w:sz w:val="16"/>
          <w:szCs w:val="16"/>
          <w:u w:val="single" w:color="auto"/>
          <w:color w:val="auto"/>
        </w:rPr>
      </w:pPr>
      <w:hyperlink w:anchor="page65">
        <w:r>
          <w:rPr>
            <w:rFonts w:ascii="Arial" w:cs="Arial" w:eastAsia="Arial" w:hAnsi="Arial"/>
            <w:sz w:val="16"/>
            <w:szCs w:val="16"/>
            <w:u w:val="single" w:color="auto"/>
            <w:color w:val="auto"/>
          </w:rPr>
          <w:t>Retirement and Deferred Compensation Benefits</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66">
        <w:r>
          <w:rPr>
            <w:rFonts w:ascii="Arial" w:cs="Arial" w:eastAsia="Arial" w:hAnsi="Arial"/>
            <w:sz w:val="16"/>
            <w:szCs w:val="16"/>
            <w:u w:val="single" w:color="auto"/>
            <w:color w:val="auto"/>
          </w:rPr>
          <w:t>Perquisites and Other Benefits</w:t>
        </w:r>
      </w:hyperlink>
    </w:p>
    <w:p>
      <w:pPr>
        <w:spacing w:after="0" w:line="84" w:lineRule="exact"/>
        <w:rPr>
          <w:sz w:val="20"/>
          <w:szCs w:val="20"/>
          <w:color w:val="auto"/>
        </w:rPr>
      </w:pPr>
    </w:p>
    <w:p>
      <w:pPr>
        <w:ind w:left="180"/>
        <w:spacing w:after="0"/>
        <w:rPr>
          <w:rFonts w:ascii="Arial" w:cs="Arial" w:eastAsia="Arial" w:hAnsi="Arial"/>
          <w:sz w:val="16"/>
          <w:szCs w:val="16"/>
          <w:u w:val="single" w:color="auto"/>
          <w:color w:val="auto"/>
        </w:rPr>
      </w:pPr>
      <w:hyperlink w:anchor="page67">
        <w:r>
          <w:rPr>
            <w:rFonts w:ascii="Arial" w:cs="Arial" w:eastAsia="Arial" w:hAnsi="Arial"/>
            <w:sz w:val="16"/>
            <w:szCs w:val="16"/>
            <w:u w:val="single" w:color="auto"/>
            <w:color w:val="auto"/>
          </w:rPr>
          <w:t>Severance and Change-in-Control Arrangements</w:t>
        </w:r>
      </w:hyperlink>
    </w:p>
    <w:p>
      <w:pPr>
        <w:spacing w:after="0" w:line="64" w:lineRule="exact"/>
        <w:rPr>
          <w:sz w:val="20"/>
          <w:szCs w:val="20"/>
          <w:color w:val="auto"/>
        </w:rPr>
      </w:pPr>
    </w:p>
    <w:p>
      <w:pPr>
        <w:spacing w:after="0"/>
        <w:rPr>
          <w:rFonts w:ascii="Arial" w:cs="Arial" w:eastAsia="Arial" w:hAnsi="Arial"/>
          <w:sz w:val="16"/>
          <w:szCs w:val="16"/>
          <w:b w:val="1"/>
          <w:bCs w:val="1"/>
          <w:u w:val="single" w:color="auto"/>
          <w:color w:val="auto"/>
        </w:rPr>
      </w:pPr>
      <w:hyperlink w:anchor="page69">
        <w:r>
          <w:rPr>
            <w:rFonts w:ascii="Arial" w:cs="Arial" w:eastAsia="Arial" w:hAnsi="Arial"/>
            <w:sz w:val="16"/>
            <w:szCs w:val="16"/>
            <w:b w:val="1"/>
            <w:bCs w:val="1"/>
            <w:u w:val="single" w:color="auto"/>
            <w:color w:val="auto"/>
          </w:rPr>
          <w:t>Other Executive Compensation Policies and Practices</w:t>
        </w:r>
      </w:hyperlink>
    </w:p>
    <w:p>
      <w:pPr>
        <w:spacing w:after="0" w:line="104" w:lineRule="exact"/>
        <w:rPr>
          <w:sz w:val="20"/>
          <w:szCs w:val="20"/>
          <w:color w:val="auto"/>
        </w:rPr>
      </w:pPr>
    </w:p>
    <w:p>
      <w:pPr>
        <w:ind w:left="180" w:right="1220"/>
        <w:spacing w:after="0" w:line="349" w:lineRule="auto"/>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Post-Employment Restrictive Covenants</w:t>
        </w:r>
      </w:hyperlink>
      <w:r>
        <w:rPr>
          <w:rFonts w:ascii="Arial" w:cs="Arial" w:eastAsia="Arial" w:hAnsi="Arial"/>
          <w:sz w:val="16"/>
          <w:szCs w:val="16"/>
          <w:u w:val="single" w:color="auto"/>
          <w:color w:val="auto"/>
        </w:rPr>
        <w:t xml:space="preserve"> </w:t>
      </w:r>
      <w:hyperlink w:anchor="page69">
        <w:r>
          <w:rPr>
            <w:rFonts w:ascii="Arial" w:cs="Arial" w:eastAsia="Arial" w:hAnsi="Arial"/>
            <w:sz w:val="16"/>
            <w:szCs w:val="16"/>
            <w:u w:val="single" w:color="auto"/>
            <w:color w:val="auto"/>
          </w:rPr>
          <w:t>Clawback Policy</w:t>
        </w:r>
      </w:hyperlink>
    </w:p>
    <w:p>
      <w:pPr>
        <w:ind w:left="180" w:right="100"/>
        <w:spacing w:after="0" w:line="349" w:lineRule="auto"/>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Prohibition on Certain Transactions Involving RTX Stock</w:t>
        </w:r>
      </w:hyperlink>
      <w:r>
        <w:rPr>
          <w:rFonts w:ascii="Arial" w:cs="Arial" w:eastAsia="Arial" w:hAnsi="Arial"/>
          <w:sz w:val="16"/>
          <w:szCs w:val="16"/>
          <w:u w:val="single" w:color="auto"/>
          <w:color w:val="auto"/>
        </w:rPr>
        <w:t xml:space="preserve"> </w:t>
      </w:r>
      <w:hyperlink w:anchor="page69">
        <w:r>
          <w:rPr>
            <w:rFonts w:ascii="Arial" w:cs="Arial" w:eastAsia="Arial" w:hAnsi="Arial"/>
            <w:sz w:val="16"/>
            <w:szCs w:val="16"/>
            <w:u w:val="single" w:color="auto"/>
            <w:color w:val="auto"/>
          </w:rPr>
          <w:t>Employment Agreements</w:t>
        </w:r>
      </w:hyperlink>
    </w:p>
    <w:p>
      <w:pPr>
        <w:ind w:left="18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Tax Deductibility of Incentive Compensation</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right="360"/>
        <w:spacing w:after="0" w:line="252" w:lineRule="auto"/>
        <w:rPr>
          <w:sz w:val="20"/>
          <w:szCs w:val="20"/>
          <w:color w:val="auto"/>
        </w:rPr>
      </w:pPr>
      <w:r>
        <w:rPr>
          <w:rFonts w:ascii="Arial" w:cs="Arial" w:eastAsia="Arial" w:hAnsi="Arial"/>
          <w:sz w:val="16"/>
          <w:szCs w:val="16"/>
          <w:color w:val="auto"/>
        </w:rPr>
        <w:t xml:space="preserve">In this section, we discuss our </w:t>
      </w:r>
      <w:r>
        <w:rPr>
          <w:rFonts w:ascii="Arial" w:cs="Arial" w:eastAsia="Arial" w:hAnsi="Arial"/>
          <w:sz w:val="16"/>
          <w:szCs w:val="16"/>
          <w:b w:val="1"/>
          <w:bCs w:val="1"/>
          <w:color w:val="CE0F2C"/>
        </w:rPr>
        <w:t>compensation philosophy</w:t>
      </w:r>
      <w:r>
        <w:rPr>
          <w:rFonts w:ascii="Arial" w:cs="Arial" w:eastAsia="Arial" w:hAnsi="Arial"/>
          <w:sz w:val="16"/>
          <w:szCs w:val="16"/>
          <w:color w:val="auto"/>
        </w:rPr>
        <w:t xml:space="preserve"> and explain how our executive compensation program is structured to advance our fundamental objective of aligning our executives’ compensation with the long-term interests of RTX shareowners. We also explain how the Human Capital &amp; Compensation Committee of the Board (the “Committee”) determined compensation for our NEOs listed below, as well as </w:t>
      </w:r>
      <w:r>
        <w:rPr>
          <w:rFonts w:ascii="Arial" w:cs="Arial" w:eastAsia="Arial" w:hAnsi="Arial"/>
          <w:sz w:val="16"/>
          <w:szCs w:val="16"/>
          <w:b w:val="1"/>
          <w:bCs w:val="1"/>
          <w:color w:val="CE0F2C"/>
        </w:rPr>
        <w:t>the</w:t>
      </w:r>
      <w:r>
        <w:rPr>
          <w:rFonts w:ascii="Arial" w:cs="Arial" w:eastAsia="Arial" w:hAnsi="Arial"/>
          <w:sz w:val="16"/>
          <w:szCs w:val="16"/>
          <w:color w:val="auto"/>
        </w:rPr>
        <w:t xml:space="preserve"> </w:t>
      </w:r>
      <w:r>
        <w:rPr>
          <w:rFonts w:ascii="Arial" w:cs="Arial" w:eastAsia="Arial" w:hAnsi="Arial"/>
          <w:sz w:val="16"/>
          <w:szCs w:val="16"/>
          <w:b w:val="1"/>
          <w:bCs w:val="1"/>
          <w:color w:val="CE0F2C"/>
        </w:rPr>
        <w:t>Committee’s rationale for specific 2021 pay decisions</w:t>
      </w:r>
      <w:r>
        <w:rPr>
          <w:rFonts w:ascii="Arial" w:cs="Arial" w:eastAsia="Arial" w:hAnsi="Arial"/>
          <w:sz w:val="16"/>
          <w:szCs w:val="16"/>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340" w:hanging="629"/>
        <w:spacing w:after="0"/>
        <w:tabs>
          <w:tab w:leader="none" w:pos="1340" w:val="left"/>
        </w:tabs>
        <w:numPr>
          <w:ilvl w:val="0"/>
          <w:numId w:val="121"/>
        </w:numPr>
        <w:rPr>
          <w:rFonts w:ascii="Arial" w:cs="Arial" w:eastAsia="Arial" w:hAnsi="Arial"/>
          <w:sz w:val="16"/>
          <w:szCs w:val="16"/>
          <w:b w:val="1"/>
          <w:bCs w:val="1"/>
          <w:u w:val="single" w:color="auto"/>
          <w:color w:val="auto"/>
        </w:rPr>
      </w:pPr>
      <w:r>
        <w:rPr>
          <w:rFonts w:ascii="Arial" w:cs="Arial" w:eastAsia="Arial" w:hAnsi="Arial"/>
          <w:sz w:val="20"/>
          <w:szCs w:val="20"/>
          <w:b w:val="1"/>
          <w:bCs w:val="1"/>
          <w:color w:val="auto"/>
        </w:rPr>
        <w:t>2021 NAMED EXECUTIVE OFFICERS (NEOs)</w:t>
      </w:r>
    </w:p>
    <w:p>
      <w:pPr>
        <w:spacing w:after="0" w:line="67" w:lineRule="exact"/>
        <w:rPr>
          <w:sz w:val="20"/>
          <w:szCs w:val="20"/>
          <w:color w:val="auto"/>
        </w:rPr>
      </w:pPr>
    </w:p>
    <w:p>
      <w:pPr>
        <w:ind w:left="720"/>
        <w:spacing w:after="0"/>
        <w:rPr>
          <w:rFonts w:ascii="Arial" w:cs="Arial" w:eastAsia="Arial" w:hAnsi="Arial"/>
          <w:sz w:val="16"/>
          <w:szCs w:val="16"/>
          <w:u w:val="single" w:color="auto"/>
          <w:color w:val="auto"/>
        </w:rPr>
      </w:pPr>
      <w:hyperlink w:anchor="page45">
        <w:r>
          <w:rPr>
            <w:rFonts w:ascii="Arial" w:cs="Arial" w:eastAsia="Arial" w:hAnsi="Arial"/>
            <w:sz w:val="16"/>
            <w:szCs w:val="16"/>
            <w:u w:val="single" w:color="auto"/>
            <w:color w:val="auto"/>
          </w:rPr>
          <w:t>40</w:t>
        </w:r>
      </w:hyperlink>
    </w:p>
    <w:p>
      <w:pPr>
        <w:spacing w:after="0" w:line="9" w:lineRule="exact"/>
        <w:rPr>
          <w:sz w:val="20"/>
          <w:szCs w:val="20"/>
          <w:color w:val="auto"/>
        </w:rPr>
      </w:pPr>
    </w:p>
    <w:p>
      <w:pPr>
        <w:ind w:left="2200" w:hanging="1489"/>
        <w:spacing w:after="0"/>
        <w:tabs>
          <w:tab w:leader="none" w:pos="2200" w:val="left"/>
        </w:tabs>
        <w:numPr>
          <w:ilvl w:val="0"/>
          <w:numId w:val="122"/>
        </w:numPr>
        <w:rPr>
          <w:rFonts w:ascii="Arial" w:cs="Arial" w:eastAsia="Arial" w:hAnsi="Arial"/>
          <w:sz w:val="16"/>
          <w:szCs w:val="16"/>
          <w:u w:val="single" w:color="auto"/>
          <w:color w:val="auto"/>
        </w:rPr>
      </w:pPr>
      <w:r>
        <w:rPr>
          <w:rFonts w:ascii="Arial" w:cs="Arial" w:eastAsia="Arial" w:hAnsi="Arial"/>
          <w:sz w:val="20"/>
          <w:szCs w:val="20"/>
          <w:b w:val="1"/>
          <w:bCs w:val="1"/>
          <w:color w:val="auto"/>
        </w:rPr>
        <w:t>Current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19050</wp:posOffset>
            </wp:positionV>
            <wp:extent cx="341820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18205" cy="17145"/>
                    </a:xfrm>
                    <a:prstGeom prst="rect">
                      <a:avLst/>
                    </a:prstGeom>
                    <a:noFill/>
                  </pic:spPr>
                </pic:pic>
              </a:graphicData>
            </a:graphic>
          </wp:anchor>
        </w:drawing>
      </w:r>
    </w:p>
    <w:p>
      <w:pPr>
        <w:spacing w:after="0" w:line="45" w:lineRule="exact"/>
        <w:rPr>
          <w:sz w:val="20"/>
          <w:szCs w:val="20"/>
          <w:color w:val="auto"/>
        </w:rPr>
      </w:pPr>
    </w:p>
    <w:p>
      <w:pPr>
        <w:ind w:left="2200" w:right="3220" w:hanging="1489"/>
        <w:spacing w:after="0" w:line="257" w:lineRule="auto"/>
        <w:tabs>
          <w:tab w:leader="none" w:pos="2200" w:val="left"/>
        </w:tabs>
        <w:numPr>
          <w:ilvl w:val="0"/>
          <w:numId w:val="123"/>
        </w:numPr>
        <w:rPr>
          <w:rFonts w:ascii="Arial" w:cs="Arial" w:eastAsia="Arial" w:hAnsi="Arial"/>
          <w:sz w:val="16"/>
          <w:szCs w:val="16"/>
          <w:u w:val="single" w:color="auto"/>
          <w:color w:val="auto"/>
        </w:rPr>
      </w:pPr>
      <w:r>
        <w:rPr>
          <w:rFonts w:ascii="Arial" w:cs="Arial" w:eastAsia="Arial" w:hAnsi="Arial"/>
          <w:sz w:val="16"/>
          <w:szCs w:val="16"/>
          <w:b w:val="1"/>
          <w:bCs w:val="1"/>
          <w:color w:val="CE0F2C"/>
        </w:rPr>
        <w:t xml:space="preserve">Gregory J. Hayes </w:t>
      </w:r>
      <w:r>
        <w:rPr>
          <w:rFonts w:ascii="Arial" w:cs="Arial" w:eastAsia="Arial" w:hAnsi="Arial"/>
          <w:sz w:val="16"/>
          <w:szCs w:val="16"/>
          <w:color w:val="000000"/>
        </w:rPr>
        <w:t>Chairman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-238125</wp:posOffset>
            </wp:positionV>
            <wp:extent cx="424815" cy="3740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24815" cy="374015"/>
                    </a:xfrm>
                    <a:prstGeom prst="rect">
                      <a:avLst/>
                    </a:prstGeom>
                    <a:noFill/>
                  </pic:spPr>
                </pic:pic>
              </a:graphicData>
            </a:graphic>
          </wp:anchor>
        </w:drawing>
      </w:r>
    </w:p>
    <w:tbl>
      <w:tblPr>
        <w:tblLayout w:type="fixed"/>
        <w:tblInd w:w="720" w:type="dxa"/>
        <w:tblCellMar>
          <w:top w:w="0" w:type="dxa"/>
          <w:left w:w="0" w:type="dxa"/>
          <w:bottom w:w="0" w:type="dxa"/>
          <w:right w:w="0" w:type="dxa"/>
        </w:tblCellMar>
      </w:tblPr>
      <w:tr>
        <w:trPr>
          <w:trHeight w:val="206"/>
        </w:trPr>
        <w:tc>
          <w:tcPr>
            <w:tcW w:w="160" w:type="dxa"/>
            <w:vAlign w:val="bottom"/>
            <w:vMerge w:val="restart"/>
          </w:tcPr>
          <w:p>
            <w:pPr>
              <w:jc w:val="right"/>
              <w:spacing w:after="0"/>
              <w:rPr>
                <w:rFonts w:ascii="Arial" w:cs="Arial" w:eastAsia="Arial" w:hAnsi="Arial"/>
                <w:sz w:val="16"/>
                <w:szCs w:val="16"/>
                <w:b w:val="1"/>
                <w:bCs w:val="1"/>
                <w:color w:val="auto"/>
                <w:w w:val="78"/>
              </w:rPr>
            </w:pPr>
            <w:hyperlink w:anchor="page50">
              <w:r>
                <w:rPr>
                  <w:rFonts w:ascii="Arial" w:cs="Arial" w:eastAsia="Arial" w:hAnsi="Arial"/>
                  <w:sz w:val="16"/>
                  <w:szCs w:val="16"/>
                  <w:b w:val="1"/>
                  <w:bCs w:val="1"/>
                  <w:color w:val="auto"/>
                  <w:w w:val="78"/>
                </w:rPr>
                <w:t>45</w:t>
              </w:r>
            </w:hyperlink>
          </w:p>
        </w:tc>
        <w:tc>
          <w:tcPr>
            <w:tcW w:w="460" w:type="dxa"/>
            <w:vAlign w:val="bottom"/>
          </w:tcPr>
          <w:p>
            <w:pPr>
              <w:spacing w:after="0"/>
              <w:rPr>
                <w:sz w:val="17"/>
                <w:szCs w:val="17"/>
                <w:color w:val="auto"/>
              </w:rPr>
            </w:pPr>
          </w:p>
        </w:tc>
        <w:tc>
          <w:tcPr>
            <w:tcW w:w="5380" w:type="dxa"/>
            <w:vAlign w:val="bottom"/>
            <w:tcBorders>
              <w:bottom w:val="single" w:sz="8" w:color="636466"/>
            </w:tcBorders>
          </w:tcPr>
          <w:p>
            <w:pPr>
              <w:ind w:left="860"/>
              <w:spacing w:after="0"/>
              <w:rPr>
                <w:sz w:val="20"/>
                <w:szCs w:val="20"/>
                <w:color w:val="auto"/>
              </w:rPr>
            </w:pPr>
            <w:r>
              <w:rPr>
                <w:rFonts w:ascii="Arial" w:cs="Arial" w:eastAsia="Arial" w:hAnsi="Arial"/>
                <w:sz w:val="16"/>
                <w:szCs w:val="16"/>
                <w:color w:val="auto"/>
              </w:rPr>
              <w:t>Chief Executive Officer</w:t>
            </w:r>
          </w:p>
        </w:tc>
        <w:tc>
          <w:tcPr>
            <w:tcW w:w="0" w:type="dxa"/>
            <w:vAlign w:val="bottom"/>
          </w:tcPr>
          <w:p>
            <w:pPr>
              <w:spacing w:after="0"/>
              <w:rPr>
                <w:sz w:val="1"/>
                <w:szCs w:val="1"/>
                <w:color w:val="auto"/>
              </w:rPr>
            </w:pPr>
          </w:p>
        </w:tc>
      </w:tr>
      <w:tr>
        <w:trPr>
          <w:trHeight w:val="59"/>
        </w:trPr>
        <w:tc>
          <w:tcPr>
            <w:tcW w:w="160" w:type="dxa"/>
            <w:vAlign w:val="bottom"/>
            <w:tcBorders>
              <w:bottom w:val="single" w:sz="8" w:color="auto"/>
            </w:tcBorders>
            <w:vMerge w:val="continue"/>
          </w:tcPr>
          <w:p>
            <w:pPr>
              <w:spacing w:after="0"/>
              <w:rPr>
                <w:sz w:val="4"/>
                <w:szCs w:val="4"/>
                <w:color w:val="auto"/>
              </w:rPr>
            </w:pPr>
          </w:p>
        </w:tc>
        <w:tc>
          <w:tcPr>
            <w:tcW w:w="460" w:type="dxa"/>
            <w:vAlign w:val="bottom"/>
          </w:tcPr>
          <w:p>
            <w:pPr>
              <w:spacing w:after="0"/>
              <w:rPr>
                <w:sz w:val="4"/>
                <w:szCs w:val="4"/>
                <w:color w:val="auto"/>
              </w:rPr>
            </w:pPr>
          </w:p>
        </w:tc>
        <w:tc>
          <w:tcPr>
            <w:tcW w:w="5380" w:type="dxa"/>
            <w:vAlign w:val="bottom"/>
            <w:vMerge w:val="restart"/>
          </w:tcPr>
          <w:p>
            <w:pPr>
              <w:ind w:left="860"/>
              <w:spacing w:after="0"/>
              <w:rPr>
                <w:sz w:val="20"/>
                <w:szCs w:val="20"/>
                <w:color w:val="auto"/>
              </w:rPr>
            </w:pPr>
            <w:r>
              <w:rPr>
                <w:rFonts w:ascii="Arial" w:cs="Arial" w:eastAsia="Arial" w:hAnsi="Arial"/>
                <w:sz w:val="16"/>
                <w:szCs w:val="16"/>
                <w:b w:val="1"/>
                <w:bCs w:val="1"/>
                <w:color w:val="CE0F2C"/>
              </w:rPr>
              <w:t>Neil G. Mitchill, Jr.</w:t>
            </w:r>
          </w:p>
        </w:tc>
        <w:tc>
          <w:tcPr>
            <w:tcW w:w="0" w:type="dxa"/>
            <w:vAlign w:val="bottom"/>
          </w:tcPr>
          <w:p>
            <w:pPr>
              <w:spacing w:after="0"/>
              <w:rPr>
                <w:sz w:val="1"/>
                <w:szCs w:val="1"/>
                <w:color w:val="auto"/>
              </w:rPr>
            </w:pPr>
          </w:p>
        </w:tc>
      </w:tr>
      <w:tr>
        <w:trPr>
          <w:trHeight w:val="143"/>
        </w:trPr>
        <w:tc>
          <w:tcPr>
            <w:tcW w:w="160" w:type="dxa"/>
            <w:vAlign w:val="bottom"/>
            <w:vMerge w:val="restart"/>
          </w:tcPr>
          <w:p>
            <w:pPr>
              <w:jc w:val="right"/>
              <w:spacing w:after="0"/>
              <w:rPr>
                <w:rFonts w:ascii="Arial" w:cs="Arial" w:eastAsia="Arial" w:hAnsi="Arial"/>
                <w:sz w:val="16"/>
                <w:szCs w:val="16"/>
                <w:color w:val="auto"/>
                <w:w w:val="78"/>
              </w:rPr>
            </w:pPr>
            <w:hyperlink w:anchor="page50">
              <w:r>
                <w:rPr>
                  <w:rFonts w:ascii="Arial" w:cs="Arial" w:eastAsia="Arial" w:hAnsi="Arial"/>
                  <w:sz w:val="16"/>
                  <w:szCs w:val="16"/>
                  <w:color w:val="auto"/>
                  <w:w w:val="78"/>
                </w:rPr>
                <w:t>45</w:t>
              </w:r>
            </w:hyperlink>
          </w:p>
        </w:tc>
        <w:tc>
          <w:tcPr>
            <w:tcW w:w="46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0" w:type="dxa"/>
            <w:vAlign w:val="bottom"/>
            <w:tcBorders>
              <w:bottom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5380" w:type="dxa"/>
            <w:vAlign w:val="bottom"/>
            <w:vMerge w:val="restart"/>
          </w:tcPr>
          <w:p>
            <w:pPr>
              <w:ind w:left="860"/>
              <w:spacing w:after="0"/>
              <w:rPr>
                <w:sz w:val="20"/>
                <w:szCs w:val="20"/>
                <w:color w:val="auto"/>
              </w:rPr>
            </w:pPr>
            <w:r>
              <w:rPr>
                <w:rFonts w:ascii="Arial" w:cs="Arial" w:eastAsia="Arial" w:hAnsi="Arial"/>
                <w:sz w:val="16"/>
                <w:szCs w:val="16"/>
                <w:color w:val="auto"/>
              </w:rPr>
              <w:t>Executive Vice President &amp;</w:t>
            </w:r>
          </w:p>
        </w:tc>
        <w:tc>
          <w:tcPr>
            <w:tcW w:w="0" w:type="dxa"/>
            <w:vAlign w:val="bottom"/>
          </w:tcPr>
          <w:p>
            <w:pPr>
              <w:spacing w:after="0"/>
              <w:rPr>
                <w:sz w:val="1"/>
                <w:szCs w:val="1"/>
                <w:color w:val="auto"/>
              </w:rPr>
            </w:pPr>
          </w:p>
        </w:tc>
      </w:tr>
      <w:tr>
        <w:trPr>
          <w:trHeight w:val="62"/>
        </w:trPr>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53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160" w:type="dxa"/>
            <w:vAlign w:val="bottom"/>
            <w:tcBorders>
              <w:bottom w:val="single" w:sz="8" w:color="auto"/>
            </w:tcBorders>
          </w:tcPr>
          <w:p>
            <w:pPr>
              <w:jc w:val="right"/>
              <w:spacing w:after="0"/>
              <w:rPr>
                <w:rFonts w:ascii="Arial" w:cs="Arial" w:eastAsia="Arial" w:hAnsi="Arial"/>
                <w:sz w:val="16"/>
                <w:szCs w:val="16"/>
                <w:color w:val="auto"/>
                <w:w w:val="78"/>
              </w:rPr>
            </w:pPr>
            <w:hyperlink w:anchor="page51">
              <w:r>
                <w:rPr>
                  <w:rFonts w:ascii="Arial" w:cs="Arial" w:eastAsia="Arial" w:hAnsi="Arial"/>
                  <w:sz w:val="16"/>
                  <w:szCs w:val="16"/>
                  <w:color w:val="auto"/>
                  <w:w w:val="78"/>
                </w:rPr>
                <w:t>46</w:t>
              </w:r>
            </w:hyperlink>
          </w:p>
        </w:tc>
        <w:tc>
          <w:tcPr>
            <w:tcW w:w="460" w:type="dxa"/>
            <w:vAlign w:val="bottom"/>
          </w:tcPr>
          <w:p>
            <w:pPr>
              <w:spacing w:after="0"/>
              <w:rPr>
                <w:sz w:val="16"/>
                <w:szCs w:val="16"/>
                <w:color w:val="auto"/>
              </w:rPr>
            </w:pPr>
          </w:p>
        </w:tc>
        <w:tc>
          <w:tcPr>
            <w:tcW w:w="5380" w:type="dxa"/>
            <w:vAlign w:val="bottom"/>
          </w:tcPr>
          <w:p>
            <w:pPr>
              <w:ind w:left="86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80" w:type="dxa"/>
            <w:vAlign w:val="bottom"/>
            <w:tcBorders>
              <w:bottom w:val="single" w:sz="8" w:color="636466"/>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60" w:type="dxa"/>
            <w:vAlign w:val="bottom"/>
            <w:tcBorders>
              <w:bottom w:val="single" w:sz="8" w:color="auto"/>
            </w:tcBorders>
          </w:tcPr>
          <w:p>
            <w:pPr>
              <w:jc w:val="right"/>
              <w:spacing w:after="0"/>
              <w:rPr>
                <w:rFonts w:ascii="Arial" w:cs="Arial" w:eastAsia="Arial" w:hAnsi="Arial"/>
                <w:sz w:val="16"/>
                <w:szCs w:val="16"/>
                <w:color w:val="auto"/>
                <w:w w:val="78"/>
              </w:rPr>
            </w:pPr>
            <w:hyperlink w:anchor="page51">
              <w:r>
                <w:rPr>
                  <w:rFonts w:ascii="Arial" w:cs="Arial" w:eastAsia="Arial" w:hAnsi="Arial"/>
                  <w:sz w:val="16"/>
                  <w:szCs w:val="16"/>
                  <w:color w:val="auto"/>
                  <w:w w:val="78"/>
                </w:rPr>
                <w:t>46</w:t>
              </w:r>
            </w:hyperlink>
          </w:p>
        </w:tc>
        <w:tc>
          <w:tcPr>
            <w:tcW w:w="460" w:type="dxa"/>
            <w:vAlign w:val="bottom"/>
          </w:tcPr>
          <w:p>
            <w:pPr>
              <w:spacing w:after="0"/>
              <w:rPr>
                <w:sz w:val="17"/>
                <w:szCs w:val="17"/>
                <w:color w:val="auto"/>
              </w:rPr>
            </w:pPr>
          </w:p>
        </w:tc>
        <w:tc>
          <w:tcPr>
            <w:tcW w:w="5380" w:type="dxa"/>
            <w:vAlign w:val="bottom"/>
          </w:tcPr>
          <w:p>
            <w:pPr>
              <w:ind w:left="860"/>
              <w:spacing w:after="0"/>
              <w:rPr>
                <w:sz w:val="20"/>
                <w:szCs w:val="20"/>
                <w:color w:val="auto"/>
              </w:rPr>
            </w:pPr>
            <w:r>
              <w:rPr>
                <w:rFonts w:ascii="Arial" w:cs="Arial" w:eastAsia="Arial" w:hAnsi="Arial"/>
                <w:sz w:val="16"/>
                <w:szCs w:val="16"/>
                <w:b w:val="1"/>
                <w:bCs w:val="1"/>
                <w:color w:val="CE0F2C"/>
              </w:rPr>
              <w:t>Michael R. Dumais</w:t>
            </w:r>
          </w:p>
        </w:tc>
        <w:tc>
          <w:tcPr>
            <w:tcW w:w="0" w:type="dxa"/>
            <w:vAlign w:val="bottom"/>
          </w:tcPr>
          <w:p>
            <w:pPr>
              <w:spacing w:after="0"/>
              <w:rPr>
                <w:sz w:val="1"/>
                <w:szCs w:val="1"/>
                <w:color w:val="auto"/>
              </w:rPr>
            </w:pPr>
          </w:p>
        </w:tc>
      </w:tr>
      <w:tr>
        <w:trPr>
          <w:trHeight w:val="163"/>
        </w:trPr>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80" w:type="dxa"/>
            <w:vAlign w:val="bottom"/>
          </w:tcPr>
          <w:p>
            <w:pPr>
              <w:ind w:left="860"/>
              <w:spacing w:after="0" w:line="163" w:lineRule="exact"/>
              <w:rPr>
                <w:sz w:val="20"/>
                <w:szCs w:val="20"/>
                <w:color w:val="auto"/>
              </w:rPr>
            </w:pPr>
            <w:r>
              <w:rPr>
                <w:rFonts w:ascii="Arial" w:cs="Arial" w:eastAsia="Arial" w:hAnsi="Arial"/>
                <w:sz w:val="16"/>
                <w:szCs w:val="16"/>
                <w:color w:val="auto"/>
              </w:rPr>
              <w:t>Executive Vice President,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-646430</wp:posOffset>
            </wp:positionV>
            <wp:extent cx="424815" cy="8420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24815" cy="842010"/>
                    </a:xfrm>
                    <a:prstGeom prst="rect">
                      <a:avLst/>
                    </a:prstGeom>
                    <a:noFill/>
                  </pic:spPr>
                </pic:pic>
              </a:graphicData>
            </a:graphic>
          </wp:anchor>
        </w:drawing>
      </w:r>
    </w:p>
    <w:tbl>
      <w:tblPr>
        <w:tblLayout w:type="fixed"/>
        <w:tblInd w:w="720" w:type="dxa"/>
        <w:tblCellMar>
          <w:top w:w="0" w:type="dxa"/>
          <w:left w:w="0" w:type="dxa"/>
          <w:bottom w:w="0" w:type="dxa"/>
          <w:right w:w="0" w:type="dxa"/>
        </w:tblCellMar>
      </w:tblPr>
      <w:tr>
        <w:trPr>
          <w:trHeight w:val="193"/>
        </w:trPr>
        <w:tc>
          <w:tcPr>
            <w:tcW w:w="160" w:type="dxa"/>
            <w:vAlign w:val="bottom"/>
            <w:vMerge w:val="restart"/>
          </w:tcPr>
          <w:p>
            <w:pPr>
              <w:jc w:val="right"/>
              <w:spacing w:after="0"/>
              <w:rPr>
                <w:rFonts w:ascii="Arial" w:cs="Arial" w:eastAsia="Arial" w:hAnsi="Arial"/>
                <w:sz w:val="16"/>
                <w:szCs w:val="16"/>
                <w:b w:val="1"/>
                <w:bCs w:val="1"/>
                <w:color w:val="auto"/>
                <w:w w:val="78"/>
              </w:rPr>
            </w:pPr>
            <w:hyperlink w:anchor="page52">
              <w:r>
                <w:rPr>
                  <w:rFonts w:ascii="Arial" w:cs="Arial" w:eastAsia="Arial" w:hAnsi="Arial"/>
                  <w:sz w:val="16"/>
                  <w:szCs w:val="16"/>
                  <w:b w:val="1"/>
                  <w:bCs w:val="1"/>
                  <w:color w:val="auto"/>
                  <w:w w:val="78"/>
                </w:rPr>
                <w:t>47</w:t>
              </w:r>
            </w:hyperlink>
          </w:p>
        </w:tc>
        <w:tc>
          <w:tcPr>
            <w:tcW w:w="460" w:type="dxa"/>
            <w:vAlign w:val="bottom"/>
          </w:tcPr>
          <w:p>
            <w:pPr>
              <w:spacing w:after="0"/>
              <w:rPr>
                <w:sz w:val="16"/>
                <w:szCs w:val="16"/>
                <w:color w:val="auto"/>
              </w:rPr>
            </w:pPr>
          </w:p>
        </w:tc>
        <w:tc>
          <w:tcPr>
            <w:tcW w:w="5380" w:type="dxa"/>
            <w:vAlign w:val="bottom"/>
          </w:tcPr>
          <w:p>
            <w:pPr>
              <w:ind w:left="860"/>
              <w:spacing w:after="0"/>
              <w:rPr>
                <w:sz w:val="20"/>
                <w:szCs w:val="20"/>
                <w:color w:val="auto"/>
              </w:rPr>
            </w:pPr>
            <w:r>
              <w:rPr>
                <w:rFonts w:ascii="Arial" w:cs="Arial" w:eastAsia="Arial" w:hAnsi="Arial"/>
                <w:sz w:val="16"/>
                <w:szCs w:val="16"/>
                <w:color w:val="auto"/>
              </w:rPr>
              <w:t>Chief Transformation Officer</w:t>
            </w:r>
          </w:p>
        </w:tc>
        <w:tc>
          <w:tcPr>
            <w:tcW w:w="0" w:type="dxa"/>
            <w:vAlign w:val="bottom"/>
          </w:tcPr>
          <w:p>
            <w:pPr>
              <w:spacing w:after="0"/>
              <w:rPr>
                <w:sz w:val="1"/>
                <w:szCs w:val="1"/>
                <w:color w:val="auto"/>
              </w:rPr>
            </w:pPr>
          </w:p>
        </w:tc>
      </w:tr>
      <w:tr>
        <w:trPr>
          <w:trHeight w:val="106"/>
        </w:trPr>
        <w:tc>
          <w:tcPr>
            <w:tcW w:w="160" w:type="dxa"/>
            <w:vAlign w:val="bottom"/>
            <w:tcBorders>
              <w:bottom w:val="single" w:sz="8" w:color="auto"/>
            </w:tcBorders>
            <w:vMerge w:val="continue"/>
          </w:tcPr>
          <w:p>
            <w:pPr>
              <w:spacing w:after="0"/>
              <w:rPr>
                <w:sz w:val="9"/>
                <w:szCs w:val="9"/>
                <w:color w:val="auto"/>
              </w:rPr>
            </w:pPr>
          </w:p>
        </w:tc>
        <w:tc>
          <w:tcPr>
            <w:tcW w:w="460" w:type="dxa"/>
            <w:vAlign w:val="bottom"/>
          </w:tcPr>
          <w:p>
            <w:pPr>
              <w:spacing w:after="0"/>
              <w:rPr>
                <w:sz w:val="9"/>
                <w:szCs w:val="9"/>
                <w:color w:val="auto"/>
              </w:rPr>
            </w:pPr>
          </w:p>
        </w:tc>
        <w:tc>
          <w:tcPr>
            <w:tcW w:w="5380" w:type="dxa"/>
            <w:vAlign w:val="bottom"/>
            <w:tcBorders>
              <w:bottom w:val="single" w:sz="8" w:color="636466"/>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60" w:type="dxa"/>
            <w:vAlign w:val="bottom"/>
            <w:vMerge w:val="restart"/>
          </w:tcPr>
          <w:p>
            <w:pPr>
              <w:jc w:val="right"/>
              <w:spacing w:after="0"/>
              <w:rPr>
                <w:rFonts w:ascii="Arial" w:cs="Arial" w:eastAsia="Arial" w:hAnsi="Arial"/>
                <w:sz w:val="16"/>
                <w:szCs w:val="16"/>
                <w:color w:val="auto"/>
                <w:w w:val="78"/>
              </w:rPr>
            </w:pPr>
            <w:hyperlink w:anchor="page52">
              <w:r>
                <w:rPr>
                  <w:rFonts w:ascii="Arial" w:cs="Arial" w:eastAsia="Arial" w:hAnsi="Arial"/>
                  <w:sz w:val="16"/>
                  <w:szCs w:val="16"/>
                  <w:color w:val="auto"/>
                  <w:w w:val="78"/>
                </w:rPr>
                <w:t>47</w:t>
              </w:r>
            </w:hyperlink>
          </w:p>
        </w:tc>
        <w:tc>
          <w:tcPr>
            <w:tcW w:w="460" w:type="dxa"/>
            <w:vAlign w:val="bottom"/>
          </w:tcPr>
          <w:p>
            <w:pPr>
              <w:spacing w:after="0"/>
              <w:rPr>
                <w:sz w:val="18"/>
                <w:szCs w:val="18"/>
                <w:color w:val="auto"/>
              </w:rPr>
            </w:pPr>
          </w:p>
        </w:tc>
        <w:tc>
          <w:tcPr>
            <w:tcW w:w="5380" w:type="dxa"/>
            <w:vAlign w:val="bottom"/>
          </w:tcPr>
          <w:p>
            <w:pPr>
              <w:ind w:left="860"/>
              <w:spacing w:after="0"/>
              <w:rPr>
                <w:sz w:val="20"/>
                <w:szCs w:val="20"/>
                <w:color w:val="auto"/>
              </w:rPr>
            </w:pPr>
            <w:r>
              <w:rPr>
                <w:rFonts w:ascii="Arial" w:cs="Arial" w:eastAsia="Arial" w:hAnsi="Arial"/>
                <w:sz w:val="16"/>
                <w:szCs w:val="16"/>
                <w:b w:val="1"/>
                <w:bCs w:val="1"/>
                <w:color w:val="CE0F2C"/>
              </w:rPr>
              <w:t>Christopher T. Calio</w:t>
            </w:r>
          </w:p>
        </w:tc>
        <w:tc>
          <w:tcPr>
            <w:tcW w:w="0" w:type="dxa"/>
            <w:vAlign w:val="bottom"/>
          </w:tcPr>
          <w:p>
            <w:pPr>
              <w:spacing w:after="0"/>
              <w:rPr>
                <w:sz w:val="1"/>
                <w:szCs w:val="1"/>
                <w:color w:val="auto"/>
              </w:rPr>
            </w:pPr>
          </w:p>
        </w:tc>
      </w:tr>
      <w:tr>
        <w:trPr>
          <w:trHeight w:val="30"/>
        </w:trPr>
        <w:tc>
          <w:tcPr>
            <w:tcW w:w="160" w:type="dxa"/>
            <w:vAlign w:val="bottom"/>
            <w:tcBorders>
              <w:bottom w:val="single" w:sz="8" w:color="auto"/>
            </w:tcBorders>
            <w:vMerge w:val="continue"/>
          </w:tcPr>
          <w:p>
            <w:pPr>
              <w:spacing w:after="0"/>
              <w:rPr>
                <w:sz w:val="2"/>
                <w:szCs w:val="2"/>
                <w:color w:val="auto"/>
              </w:rPr>
            </w:pPr>
          </w:p>
        </w:tc>
        <w:tc>
          <w:tcPr>
            <w:tcW w:w="460" w:type="dxa"/>
            <w:vAlign w:val="bottom"/>
          </w:tcPr>
          <w:p>
            <w:pPr>
              <w:spacing w:after="0"/>
              <w:rPr>
                <w:sz w:val="2"/>
                <w:szCs w:val="2"/>
                <w:color w:val="auto"/>
              </w:rPr>
            </w:pPr>
          </w:p>
        </w:tc>
        <w:tc>
          <w:tcPr>
            <w:tcW w:w="5380" w:type="dxa"/>
            <w:vAlign w:val="bottom"/>
            <w:vMerge w:val="restart"/>
          </w:tcPr>
          <w:p>
            <w:pPr>
              <w:ind w:left="860"/>
              <w:spacing w:after="0"/>
              <w:rPr>
                <w:sz w:val="20"/>
                <w:szCs w:val="20"/>
                <w:color w:val="auto"/>
              </w:rPr>
            </w:pPr>
            <w:r>
              <w:rPr>
                <w:rFonts w:ascii="Arial" w:cs="Arial" w:eastAsia="Arial" w:hAnsi="Arial"/>
                <w:sz w:val="16"/>
                <w:szCs w:val="16"/>
                <w:color w:val="auto"/>
              </w:rPr>
              <w:t>Chief Operating Officer</w:t>
            </w:r>
          </w:p>
        </w:tc>
        <w:tc>
          <w:tcPr>
            <w:tcW w:w="0" w:type="dxa"/>
            <w:vAlign w:val="bottom"/>
          </w:tcPr>
          <w:p>
            <w:pPr>
              <w:spacing w:after="0"/>
              <w:rPr>
                <w:sz w:val="1"/>
                <w:szCs w:val="1"/>
                <w:color w:val="auto"/>
              </w:rPr>
            </w:pPr>
          </w:p>
        </w:tc>
      </w:tr>
      <w:tr>
        <w:trPr>
          <w:trHeight w:val="149"/>
        </w:trPr>
        <w:tc>
          <w:tcPr>
            <w:tcW w:w="160" w:type="dxa"/>
            <w:vAlign w:val="bottom"/>
            <w:vMerge w:val="restart"/>
          </w:tcPr>
          <w:p>
            <w:pPr>
              <w:jc w:val="right"/>
              <w:spacing w:after="0"/>
              <w:rPr>
                <w:rFonts w:ascii="Arial" w:cs="Arial" w:eastAsia="Arial" w:hAnsi="Arial"/>
                <w:sz w:val="16"/>
                <w:szCs w:val="16"/>
                <w:color w:val="auto"/>
                <w:w w:val="78"/>
              </w:rPr>
            </w:pPr>
            <w:hyperlink w:anchor="page52">
              <w:r>
                <w:rPr>
                  <w:rFonts w:ascii="Arial" w:cs="Arial" w:eastAsia="Arial" w:hAnsi="Arial"/>
                  <w:sz w:val="16"/>
                  <w:szCs w:val="16"/>
                  <w:color w:val="auto"/>
                  <w:w w:val="78"/>
                </w:rPr>
                <w:t>47</w:t>
              </w:r>
            </w:hyperlink>
          </w:p>
        </w:tc>
        <w:tc>
          <w:tcPr>
            <w:tcW w:w="460" w:type="dxa"/>
            <w:vAlign w:val="bottom"/>
          </w:tcPr>
          <w:p>
            <w:pPr>
              <w:spacing w:after="0"/>
              <w:rPr>
                <w:sz w:val="12"/>
                <w:szCs w:val="12"/>
                <w:color w:val="auto"/>
              </w:rPr>
            </w:pPr>
          </w:p>
        </w:tc>
        <w:tc>
          <w:tcPr>
            <w:tcW w:w="5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0" w:type="dxa"/>
            <w:vAlign w:val="bottom"/>
            <w:tcBorders>
              <w:bottom w:val="single" w:sz="8" w:color="auto"/>
            </w:tcBorders>
            <w:vMerge w:val="continue"/>
          </w:tcPr>
          <w:p>
            <w:pPr>
              <w:spacing w:after="0"/>
              <w:rPr>
                <w:sz w:val="8"/>
                <w:szCs w:val="8"/>
                <w:color w:val="auto"/>
              </w:rPr>
            </w:pPr>
          </w:p>
        </w:tc>
        <w:tc>
          <w:tcPr>
            <w:tcW w:w="460" w:type="dxa"/>
            <w:vAlign w:val="bottom"/>
          </w:tcPr>
          <w:p>
            <w:pPr>
              <w:spacing w:after="0"/>
              <w:rPr>
                <w:sz w:val="8"/>
                <w:szCs w:val="8"/>
                <w:color w:val="auto"/>
              </w:rPr>
            </w:pPr>
          </w:p>
        </w:tc>
        <w:tc>
          <w:tcPr>
            <w:tcW w:w="5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5380" w:type="dxa"/>
            <w:vAlign w:val="bottom"/>
            <w:tcBorders>
              <w:bottom w:val="single" w:sz="8" w:color="63646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-373380</wp:posOffset>
            </wp:positionV>
            <wp:extent cx="3418205" cy="8077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18205" cy="807720"/>
                    </a:xfrm>
                    <a:prstGeom prst="rect">
                      <a:avLst/>
                    </a:prstGeom>
                    <a:noFill/>
                  </pic:spPr>
                </pic:pic>
              </a:graphicData>
            </a:graphic>
          </wp:anchor>
        </w:drawing>
      </w:r>
    </w:p>
    <w:p>
      <w:pPr>
        <w:ind w:left="2200" w:right="3260" w:hanging="1489"/>
        <w:spacing w:after="0" w:line="257" w:lineRule="auto"/>
        <w:tabs>
          <w:tab w:leader="none" w:pos="2200" w:val="left"/>
        </w:tabs>
        <w:numPr>
          <w:ilvl w:val="0"/>
          <w:numId w:val="124"/>
        </w:numPr>
        <w:rPr>
          <w:rFonts w:ascii="Arial" w:cs="Arial" w:eastAsia="Arial" w:hAnsi="Arial"/>
          <w:sz w:val="16"/>
          <w:szCs w:val="16"/>
          <w:u w:val="single" w:color="auto"/>
          <w:color w:val="auto"/>
        </w:rPr>
      </w:pPr>
      <w:r>
        <w:rPr>
          <w:rFonts w:ascii="Arial" w:cs="Arial" w:eastAsia="Arial" w:hAnsi="Arial"/>
          <w:sz w:val="16"/>
          <w:szCs w:val="16"/>
          <w:b w:val="1"/>
          <w:bCs w:val="1"/>
          <w:color w:val="CE0F2C"/>
        </w:rPr>
        <w:t xml:space="preserve">Stephen J. Timm </w:t>
      </w:r>
      <w:r>
        <w:rPr>
          <w:rFonts w:ascii="Arial" w:cs="Arial" w:eastAsia="Arial" w:hAnsi="Arial"/>
          <w:sz w:val="16"/>
          <w:szCs w:val="16"/>
          <w:color w:val="000000"/>
        </w:rPr>
        <w:t>President,</w:t>
      </w:r>
    </w:p>
    <w:p>
      <w:pPr>
        <w:ind w:left="2200" w:hanging="1489"/>
        <w:spacing w:after="0" w:line="184" w:lineRule="auto"/>
        <w:tabs>
          <w:tab w:leader="none" w:pos="2200" w:val="left"/>
        </w:tabs>
        <w:numPr>
          <w:ilvl w:val="0"/>
          <w:numId w:val="125"/>
        </w:numPr>
        <w:rPr>
          <w:rFonts w:ascii="Arial" w:cs="Arial" w:eastAsia="Arial" w:hAnsi="Arial"/>
          <w:sz w:val="22"/>
          <w:szCs w:val="22"/>
          <w:b w:val="1"/>
          <w:bCs w:val="1"/>
          <w:u w:val="single" w:color="auto"/>
          <w:color w:val="auto"/>
          <w:vertAlign w:val="subscript"/>
        </w:rPr>
      </w:pPr>
      <w:r>
        <w:rPr>
          <w:rFonts w:ascii="Arial" w:cs="Arial" w:eastAsia="Arial" w:hAnsi="Arial"/>
          <w:sz w:val="13"/>
          <w:szCs w:val="13"/>
          <w:color w:val="auto"/>
        </w:rPr>
        <w:t>Collins Aerospace</w:t>
      </w:r>
    </w:p>
    <w:p>
      <w:pPr>
        <w:spacing w:after="0" w:line="326" w:lineRule="exact"/>
        <w:rPr>
          <w:sz w:val="20"/>
          <w:szCs w:val="20"/>
          <w:color w:val="auto"/>
        </w:rPr>
      </w:pPr>
    </w:p>
    <w:p>
      <w:pPr>
        <w:ind w:left="2200" w:hanging="1489"/>
        <w:spacing w:after="0"/>
        <w:tabs>
          <w:tab w:leader="none" w:pos="2200" w:val="left"/>
        </w:tabs>
        <w:numPr>
          <w:ilvl w:val="0"/>
          <w:numId w:val="126"/>
        </w:numPr>
        <w:rPr>
          <w:rFonts w:ascii="Arial" w:cs="Arial" w:eastAsia="Arial" w:hAnsi="Arial"/>
          <w:sz w:val="16"/>
          <w:szCs w:val="16"/>
          <w:b w:val="1"/>
          <w:bCs w:val="1"/>
          <w:u w:val="single" w:color="auto"/>
          <w:color w:val="auto"/>
        </w:rPr>
      </w:pPr>
      <w:r>
        <w:rPr>
          <w:rFonts w:ascii="Arial" w:cs="Arial" w:eastAsia="Arial" w:hAnsi="Arial"/>
          <w:sz w:val="20"/>
          <w:szCs w:val="20"/>
          <w:b w:val="1"/>
          <w:bCs w:val="1"/>
          <w:color w:val="auto"/>
        </w:rPr>
        <w:t>Former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24765</wp:posOffset>
            </wp:positionV>
            <wp:extent cx="287401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874010" cy="8255"/>
                    </a:xfrm>
                    <a:prstGeom prst="rect">
                      <a:avLst/>
                    </a:prstGeom>
                    <a:noFill/>
                  </pic:spPr>
                </pic:pic>
              </a:graphicData>
            </a:graphic>
          </wp:anchor>
        </w:drawing>
      </w:r>
    </w:p>
    <w:p>
      <w:pPr>
        <w:spacing w:after="0" w:line="41"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CE0F2C"/>
        </w:rPr>
        <w:t>Thomas A. Kennedy</w:t>
      </w:r>
    </w:p>
    <w:p>
      <w:pPr>
        <w:ind w:left="2200" w:hanging="1489"/>
        <w:spacing w:after="0" w:line="182" w:lineRule="auto"/>
        <w:tabs>
          <w:tab w:leader="none" w:pos="2200" w:val="left"/>
        </w:tabs>
        <w:numPr>
          <w:ilvl w:val="0"/>
          <w:numId w:val="127"/>
        </w:numPr>
        <w:rPr>
          <w:rFonts w:ascii="Arial" w:cs="Arial" w:eastAsia="Arial" w:hAnsi="Arial"/>
          <w:sz w:val="31"/>
          <w:szCs w:val="31"/>
          <w:b w:val="1"/>
          <w:bCs w:val="1"/>
          <w:u w:val="single" w:color="auto"/>
          <w:color w:val="auto"/>
          <w:vertAlign w:val="superscript"/>
        </w:rPr>
      </w:pPr>
      <w:r>
        <w:rPr>
          <w:rFonts w:ascii="Arial" w:cs="Arial" w:eastAsia="Arial" w:hAnsi="Arial"/>
          <w:sz w:val="16"/>
          <w:szCs w:val="16"/>
          <w:color w:val="auto"/>
        </w:rPr>
        <w:t>Former Executive Chairman</w:t>
      </w:r>
    </w:p>
    <w:p>
      <w:pPr>
        <w:spacing w:after="0" w:line="34" w:lineRule="exact"/>
        <w:rPr>
          <w:rFonts w:ascii="Arial" w:cs="Arial" w:eastAsia="Arial" w:hAnsi="Arial"/>
          <w:sz w:val="31"/>
          <w:szCs w:val="31"/>
          <w:b w:val="1"/>
          <w:bCs w:val="1"/>
          <w:u w:val="single" w:color="auto"/>
          <w:color w:val="auto"/>
          <w:vertAlign w:val="superscript"/>
        </w:rPr>
      </w:pPr>
    </w:p>
    <w:p>
      <w:pPr>
        <w:spacing w:after="0"/>
        <w:tabs>
          <w:tab w:leader="none" w:pos="0" w:val="left"/>
        </w:tabs>
        <w:numPr>
          <w:ilvl w:val="0"/>
          <w:numId w:val="128"/>
        </w:numPr>
        <w:rPr>
          <w:rFonts w:ascii="Arial" w:cs="Arial" w:eastAsia="Arial" w:hAnsi="Arial"/>
          <w:sz w:val="16"/>
          <w:szCs w:val="16"/>
          <w:u w:val="single" w:color="auto"/>
          <w:color w:val="auto"/>
        </w:rPr>
      </w:pPr>
    </w:p>
    <w:p>
      <w:pPr>
        <w:spacing w:after="0" w:line="63" w:lineRule="exact"/>
        <w:rPr>
          <w:rFonts w:ascii="Arial" w:cs="Arial" w:eastAsia="Arial" w:hAnsi="Arial"/>
          <w:sz w:val="16"/>
          <w:szCs w:val="16"/>
          <w:u w:val="single" w:color="auto"/>
          <w:color w:val="auto"/>
        </w:rPr>
      </w:pPr>
    </w:p>
    <w:p>
      <w:pPr>
        <w:ind w:left="2200" w:hanging="1489"/>
        <w:spacing w:after="0"/>
        <w:tabs>
          <w:tab w:leader="none" w:pos="2200" w:val="left"/>
        </w:tabs>
        <w:numPr>
          <w:ilvl w:val="0"/>
          <w:numId w:val="128"/>
        </w:numPr>
        <w:rPr>
          <w:rFonts w:ascii="Arial" w:cs="Arial" w:eastAsia="Arial" w:hAnsi="Arial"/>
          <w:sz w:val="16"/>
          <w:szCs w:val="16"/>
          <w:u w:val="single" w:color="auto"/>
          <w:color w:val="auto"/>
        </w:rPr>
      </w:pPr>
      <w:r>
        <w:rPr>
          <w:rFonts w:ascii="Arial" w:cs="Arial" w:eastAsia="Arial" w:hAnsi="Arial"/>
          <w:sz w:val="16"/>
          <w:szCs w:val="16"/>
          <w:b w:val="1"/>
          <w:bCs w:val="1"/>
          <w:color w:val="CE0F2C"/>
        </w:rPr>
        <w:t>Anthony F. O’Brien III</w:t>
      </w:r>
    </w:p>
    <w:p>
      <w:pPr>
        <w:spacing w:after="0" w:line="77" w:lineRule="exact"/>
        <w:rPr>
          <w:rFonts w:ascii="Arial" w:cs="Arial" w:eastAsia="Arial" w:hAnsi="Arial"/>
          <w:sz w:val="16"/>
          <w:szCs w:val="16"/>
          <w:u w:val="single" w:color="auto"/>
          <w:color w:val="auto"/>
        </w:rPr>
      </w:pPr>
    </w:p>
    <w:p>
      <w:pPr>
        <w:ind w:left="2200" w:hanging="1489"/>
        <w:spacing w:after="0"/>
        <w:tabs>
          <w:tab w:leader="none" w:pos="2200" w:val="left"/>
        </w:tabs>
        <w:numPr>
          <w:ilvl w:val="0"/>
          <w:numId w:val="128"/>
        </w:numPr>
        <w:rPr>
          <w:rFonts w:ascii="Arial" w:cs="Arial" w:eastAsia="Arial" w:hAnsi="Arial"/>
          <w:sz w:val="16"/>
          <w:szCs w:val="16"/>
          <w:u w:val="single" w:color="auto"/>
          <w:color w:val="auto"/>
        </w:rPr>
      </w:pPr>
      <w:r>
        <w:rPr>
          <w:rFonts w:ascii="Arial" w:cs="Arial" w:eastAsia="Arial" w:hAnsi="Arial"/>
          <w:sz w:val="16"/>
          <w:szCs w:val="16"/>
          <w:color w:val="auto"/>
        </w:rPr>
        <w:t>Former Executive Vice President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-295910</wp:posOffset>
            </wp:positionV>
            <wp:extent cx="287401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874010" cy="8255"/>
                    </a:xfrm>
                    <a:prstGeom prst="rect">
                      <a:avLst/>
                    </a:prstGeom>
                    <a:noFill/>
                  </pic:spPr>
                </pic:pic>
              </a:graphicData>
            </a:graphic>
          </wp:anchor>
        </w:drawing>
      </w:r>
    </w:p>
    <w:p>
      <w:pPr>
        <w:ind w:left="2200" w:hanging="1489"/>
        <w:spacing w:after="0" w:line="186" w:lineRule="auto"/>
        <w:tabs>
          <w:tab w:leader="none" w:pos="2200" w:val="left"/>
        </w:tabs>
        <w:numPr>
          <w:ilvl w:val="0"/>
          <w:numId w:val="129"/>
        </w:numPr>
        <w:rPr>
          <w:rFonts w:ascii="Arial" w:cs="Arial" w:eastAsia="Arial" w:hAnsi="Arial"/>
          <w:sz w:val="22"/>
          <w:szCs w:val="22"/>
          <w:b w:val="1"/>
          <w:bCs w:val="1"/>
          <w:u w:val="single" w:color="auto"/>
          <w:color w:val="auto"/>
          <w:vertAlign w:val="subscript"/>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1398270</wp:posOffset>
            </wp:positionH>
            <wp:positionV relativeFrom="paragraph">
              <wp:posOffset>12700</wp:posOffset>
            </wp:positionV>
            <wp:extent cx="28740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74010" cy="8255"/>
                    </a:xfrm>
                    <a:prstGeom prst="rect">
                      <a:avLst/>
                    </a:prstGeom>
                    <a:noFill/>
                  </pic:spPr>
                </pic:pic>
              </a:graphicData>
            </a:graphic>
          </wp:anchor>
        </w:drawing>
      </w:r>
    </w:p>
    <w:p>
      <w:pPr>
        <w:spacing w:after="0" w:line="162" w:lineRule="exact"/>
        <w:rPr>
          <w:sz w:val="20"/>
          <w:szCs w:val="20"/>
          <w:color w:val="auto"/>
        </w:rPr>
      </w:pPr>
    </w:p>
    <w:p>
      <w:pPr>
        <w:ind w:left="72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84" w:lineRule="exact"/>
        <w:rPr>
          <w:sz w:val="20"/>
          <w:szCs w:val="20"/>
          <w:color w:val="auto"/>
        </w:rPr>
      </w:pPr>
    </w:p>
    <w:p>
      <w:pPr>
        <w:ind w:left="72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84" w:lineRule="exact"/>
        <w:rPr>
          <w:sz w:val="20"/>
          <w:szCs w:val="20"/>
          <w:color w:val="auto"/>
        </w:rPr>
      </w:pPr>
    </w:p>
    <w:p>
      <w:pPr>
        <w:ind w:left="72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84" w:lineRule="exact"/>
        <w:rPr>
          <w:sz w:val="20"/>
          <w:szCs w:val="20"/>
          <w:color w:val="auto"/>
        </w:rPr>
      </w:pPr>
    </w:p>
    <w:p>
      <w:pPr>
        <w:ind w:left="72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84" w:lineRule="exact"/>
        <w:rPr>
          <w:sz w:val="20"/>
          <w:szCs w:val="20"/>
          <w:color w:val="auto"/>
        </w:rPr>
      </w:pPr>
    </w:p>
    <w:p>
      <w:pPr>
        <w:ind w:left="720"/>
        <w:spacing w:after="0"/>
        <w:rPr>
          <w:rFonts w:ascii="Arial" w:cs="Arial" w:eastAsia="Arial" w:hAnsi="Arial"/>
          <w:sz w:val="16"/>
          <w:szCs w:val="16"/>
          <w:u w:val="single" w:color="auto"/>
          <w:color w:val="auto"/>
        </w:rPr>
      </w:pPr>
      <w:hyperlink w:anchor="page69">
        <w:r>
          <w:rPr>
            <w:rFonts w:ascii="Arial" w:cs="Arial" w:eastAsia="Arial" w:hAnsi="Arial"/>
            <w:sz w:val="16"/>
            <w:szCs w:val="16"/>
            <w:u w:val="single" w:color="auto"/>
            <w:color w:val="auto"/>
          </w:rPr>
          <w:t>64</w:t>
        </w:r>
      </w:hyperlink>
    </w:p>
    <w:p>
      <w:pPr>
        <w:spacing w:after="0" w:line="200" w:lineRule="exact"/>
        <w:rPr>
          <w:sz w:val="20"/>
          <w:szCs w:val="20"/>
          <w:color w:val="auto"/>
        </w:rPr>
      </w:pPr>
    </w:p>
    <w:p>
      <w:pPr>
        <w:sectPr>
          <w:pgSz w:w="11900" w:h="16838" w:orient="portrait"/>
          <w:cols w:equalWidth="0" w:num="2">
            <w:col w:w="4280" w:space="220"/>
            <w:col w:w="6740"/>
          </w:cols>
          <w:pgMar w:left="320" w:top="118" w:right="339" w:bottom="1440" w:gutter="0" w:footer="0" w:header="0"/>
          <w:type w:val="continuous"/>
        </w:sectPr>
      </w:pPr>
    </w:p>
    <w:p>
      <w:pPr>
        <w:spacing w:after="0" w:line="84"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EXECUTIVE SUMMARY</w:t>
      </w:r>
    </w:p>
    <w:p>
      <w:pPr>
        <w:spacing w:after="0" w:line="133" w:lineRule="exact"/>
        <w:rPr>
          <w:sz w:val="20"/>
          <w:szCs w:val="20"/>
          <w:color w:val="auto"/>
        </w:rPr>
      </w:pPr>
    </w:p>
    <w:p>
      <w:pPr>
        <w:spacing w:after="0"/>
        <w:rPr>
          <w:sz w:val="20"/>
          <w:szCs w:val="20"/>
          <w:color w:val="auto"/>
        </w:rPr>
      </w:pPr>
      <w:r>
        <w:rPr>
          <w:rFonts w:ascii="Arial" w:cs="Arial" w:eastAsia="Arial" w:hAnsi="Arial"/>
          <w:sz w:val="39"/>
          <w:szCs w:val="39"/>
          <w:b w:val="1"/>
          <w:bCs w:val="1"/>
          <w:color w:val="CE0F2C"/>
        </w:rPr>
        <w:t>Executive Summary</w:t>
      </w:r>
    </w:p>
    <w:p>
      <w:pPr>
        <w:spacing w:after="0" w:line="18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Shareowner Engagement on Compensation</w:t>
      </w:r>
    </w:p>
    <w:p>
      <w:pPr>
        <w:spacing w:after="0" w:line="245" w:lineRule="exact"/>
        <w:rPr>
          <w:sz w:val="20"/>
          <w:szCs w:val="20"/>
          <w:color w:val="auto"/>
        </w:rPr>
      </w:pPr>
    </w:p>
    <w:p>
      <w:pPr>
        <w:ind w:right="320"/>
        <w:spacing w:after="0" w:line="234" w:lineRule="auto"/>
        <w:rPr>
          <w:sz w:val="20"/>
          <w:szCs w:val="20"/>
          <w:color w:val="auto"/>
        </w:rPr>
      </w:pPr>
      <w:r>
        <w:rPr>
          <w:rFonts w:ascii="Arial" w:cs="Arial" w:eastAsia="Arial" w:hAnsi="Arial"/>
          <w:sz w:val="20"/>
          <w:szCs w:val="20"/>
          <w:color w:val="CE0F2C"/>
        </w:rPr>
        <w:t>We actively seek and highly value feedback from our shareowners and their advisors. The Committee annually considers this feedback as part of its ongoing assessment of our program’s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116840</wp:posOffset>
            </wp:positionV>
            <wp:extent cx="7133590" cy="139446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3590" cy="1394460"/>
                    </a:xfrm>
                    <a:prstGeom prst="rect">
                      <a:avLst/>
                    </a:prstGeom>
                    <a:noFill/>
                  </pic:spPr>
                </pic:pic>
              </a:graphicData>
            </a:graphic>
          </wp:anchor>
        </w:drawing>
      </w:r>
    </w:p>
    <w:p>
      <w:pPr>
        <w:spacing w:after="0" w:line="342"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CE0F2C"/>
        </w:rPr>
        <w:t>Our 2021 Say-On-Pay Vote</w:t>
      </w:r>
    </w:p>
    <w:p>
      <w:pPr>
        <w:spacing w:after="0" w:line="193" w:lineRule="exact"/>
        <w:rPr>
          <w:sz w:val="20"/>
          <w:szCs w:val="20"/>
          <w:color w:val="auto"/>
        </w:rPr>
      </w:pPr>
    </w:p>
    <w:p>
      <w:pPr>
        <w:ind w:left="220" w:right="4620"/>
        <w:spacing w:after="0" w:line="256" w:lineRule="auto"/>
        <w:rPr>
          <w:sz w:val="20"/>
          <w:szCs w:val="20"/>
          <w:color w:val="auto"/>
        </w:rPr>
      </w:pPr>
      <w:r>
        <w:rPr>
          <w:rFonts w:ascii="Arial" w:cs="Arial" w:eastAsia="Arial" w:hAnsi="Arial"/>
          <w:sz w:val="16"/>
          <w:szCs w:val="16"/>
          <w:color w:val="auto"/>
        </w:rPr>
        <w:t>Each year, we consider the results of our advisory vote on executive compensation (“say-on-pay”) from the prior year.</w:t>
      </w:r>
    </w:p>
    <w:p>
      <w:pPr>
        <w:spacing w:after="0" w:line="143" w:lineRule="exact"/>
        <w:rPr>
          <w:sz w:val="20"/>
          <w:szCs w:val="20"/>
          <w:color w:val="auto"/>
        </w:rPr>
      </w:pPr>
    </w:p>
    <w:p>
      <w:pPr>
        <w:ind w:left="220" w:right="4560"/>
        <w:spacing w:after="0" w:line="256" w:lineRule="auto"/>
        <w:rPr>
          <w:sz w:val="20"/>
          <w:szCs w:val="20"/>
          <w:color w:val="auto"/>
        </w:rPr>
      </w:pPr>
      <w:r>
        <w:rPr>
          <w:rFonts w:ascii="Arial" w:cs="Arial" w:eastAsia="Arial" w:hAnsi="Arial"/>
          <w:sz w:val="16"/>
          <w:szCs w:val="16"/>
          <w:color w:val="auto"/>
        </w:rPr>
        <w:t>At our 2021 Annual Meeting of Shareowners, approximately 92% of the votes cast were in favor of the Committee’s 2020 executive compensation decisions.</w:t>
      </w:r>
    </w:p>
    <w:p>
      <w:pPr>
        <w:spacing w:after="0" w:line="143" w:lineRule="exact"/>
        <w:rPr>
          <w:sz w:val="20"/>
          <w:szCs w:val="20"/>
          <w:color w:val="auto"/>
        </w:rPr>
      </w:pPr>
    </w:p>
    <w:p>
      <w:pPr>
        <w:ind w:left="220" w:right="5100"/>
        <w:spacing w:after="0" w:line="256" w:lineRule="auto"/>
        <w:rPr>
          <w:sz w:val="20"/>
          <w:szCs w:val="20"/>
          <w:color w:val="auto"/>
        </w:rPr>
      </w:pPr>
      <w:r>
        <w:rPr>
          <w:rFonts w:ascii="Arial" w:cs="Arial" w:eastAsia="Arial" w:hAnsi="Arial"/>
          <w:sz w:val="16"/>
          <w:szCs w:val="16"/>
          <w:color w:val="auto"/>
        </w:rPr>
        <w:t>We interpreted this as an endorsement of our compensation program’s design and direction.</w:t>
      </w:r>
    </w:p>
    <w:p>
      <w:pPr>
        <w:sectPr>
          <w:pgSz w:w="11900" w:h="16838" w:orient="portrait"/>
          <w:cols w:equalWidth="0" w:num="1">
            <w:col w:w="11180"/>
          </w:cols>
          <w:pgMar w:left="320" w:top="118" w:right="399"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IMPORTANT FEEDBACK</w:t>
      </w:r>
    </w:p>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responsibility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44360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43605" cy="25400"/>
                    </a:xfrm>
                    <a:prstGeom prst="rect">
                      <a:avLst/>
                    </a:prstGeom>
                    <a:noFill/>
                  </pic:spPr>
                </pic:pic>
              </a:graphicData>
            </a:graphic>
          </wp:anchor>
        </w:drawing>
      </w:r>
    </w:p>
    <w:p>
      <w:pPr>
        <w:spacing w:after="0" w:line="134" w:lineRule="exact"/>
        <w:rPr>
          <w:sz w:val="20"/>
          <w:szCs w:val="20"/>
          <w:color w:val="auto"/>
        </w:rPr>
      </w:pPr>
    </w:p>
    <w:p>
      <w:pPr>
        <w:ind w:left="240" w:hanging="233"/>
        <w:spacing w:after="0" w:line="247" w:lineRule="auto"/>
        <w:tabs>
          <w:tab w:leader="none" w:pos="240" w:val="left"/>
        </w:tabs>
        <w:numPr>
          <w:ilvl w:val="0"/>
          <w:numId w:val="130"/>
        </w:numPr>
        <w:rPr>
          <w:rFonts w:ascii="Arial" w:cs="Arial" w:eastAsia="Arial" w:hAnsi="Arial"/>
          <w:sz w:val="16"/>
          <w:szCs w:val="16"/>
          <w:color w:val="CE0F2C"/>
        </w:rPr>
      </w:pPr>
      <w:r>
        <w:rPr>
          <w:rFonts w:ascii="Arial" w:cs="Arial" w:eastAsia="Arial" w:hAnsi="Arial"/>
          <w:sz w:val="16"/>
          <w:szCs w:val="16"/>
          <w:color w:val="auto"/>
        </w:rPr>
        <w:t>In response to investor feedback over the past few years, we have incorporated a Corporate Responsibility Scorecard (“CRS”) into our Executive Annual Incentive Plan for 2021, to drive management focus and ensure accountability on the Company’s long-term diversity, equity and inclusion, environmental sustainability and safety objectives.</w:t>
      </w:r>
    </w:p>
    <w:p>
      <w:pPr>
        <w:spacing w:after="0" w:line="70" w:lineRule="exact"/>
        <w:rPr>
          <w:rFonts w:ascii="Arial" w:cs="Arial" w:eastAsia="Arial" w:hAnsi="Arial"/>
          <w:sz w:val="16"/>
          <w:szCs w:val="16"/>
          <w:color w:val="CE0F2C"/>
        </w:rPr>
      </w:pPr>
    </w:p>
    <w:p>
      <w:pPr>
        <w:ind w:left="240" w:right="200" w:hanging="233"/>
        <w:spacing w:after="0" w:line="250" w:lineRule="auto"/>
        <w:tabs>
          <w:tab w:leader="none" w:pos="240" w:val="left"/>
        </w:tabs>
        <w:numPr>
          <w:ilvl w:val="0"/>
          <w:numId w:val="130"/>
        </w:numPr>
        <w:rPr>
          <w:rFonts w:ascii="Arial" w:cs="Arial" w:eastAsia="Arial" w:hAnsi="Arial"/>
          <w:sz w:val="16"/>
          <w:szCs w:val="16"/>
          <w:color w:val="CE0F2C"/>
        </w:rPr>
      </w:pPr>
      <w:r>
        <w:rPr>
          <w:rFonts w:ascii="Arial" w:cs="Arial" w:eastAsia="Arial" w:hAnsi="Arial"/>
          <w:sz w:val="16"/>
          <w:szCs w:val="16"/>
          <w:color w:val="auto"/>
        </w:rPr>
        <w:t>Shareowners have given us positive feedback on the design of the scorecard. For additional details on the design of the scorecard, see pages 48-51.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our shareowner engagement, see pages 31-32.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
        <w:spacing w:after="0"/>
        <w:rPr>
          <w:sz w:val="20"/>
          <w:szCs w:val="20"/>
          <w:color w:val="auto"/>
        </w:rPr>
      </w:pPr>
      <w:r>
        <w:rPr>
          <w:rFonts w:ascii="Arial" w:cs="Arial" w:eastAsia="Arial" w:hAnsi="Arial"/>
          <w:sz w:val="21"/>
          <w:szCs w:val="21"/>
          <w:b w:val="1"/>
          <w:bCs w:val="1"/>
          <w:color w:val="auto"/>
        </w:rPr>
        <w:t>Changes related to the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351980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19805" cy="25400"/>
                    </a:xfrm>
                    <a:prstGeom prst="rect">
                      <a:avLst/>
                    </a:prstGeom>
                    <a:noFill/>
                  </pic:spPr>
                </pic:pic>
              </a:graphicData>
            </a:graphic>
          </wp:anchor>
        </w:drawing>
      </w:r>
    </w:p>
    <w:p>
      <w:pPr>
        <w:spacing w:after="0" w:line="134" w:lineRule="exact"/>
        <w:rPr>
          <w:sz w:val="20"/>
          <w:szCs w:val="20"/>
          <w:color w:val="auto"/>
        </w:rPr>
      </w:pPr>
    </w:p>
    <w:p>
      <w:pPr>
        <w:jc w:val="both"/>
        <w:ind w:left="242" w:hanging="242"/>
        <w:spacing w:after="0" w:line="250" w:lineRule="auto"/>
        <w:tabs>
          <w:tab w:leader="none" w:pos="242" w:val="left"/>
        </w:tabs>
        <w:numPr>
          <w:ilvl w:val="0"/>
          <w:numId w:val="131"/>
        </w:numPr>
        <w:rPr>
          <w:rFonts w:ascii="Arial" w:cs="Arial" w:eastAsia="Arial" w:hAnsi="Arial"/>
          <w:sz w:val="16"/>
          <w:szCs w:val="16"/>
          <w:color w:val="CE0F2C"/>
        </w:rPr>
      </w:pPr>
      <w:r>
        <w:rPr>
          <w:rFonts w:ascii="Arial" w:cs="Arial" w:eastAsia="Arial" w:hAnsi="Arial"/>
          <w:sz w:val="16"/>
          <w:szCs w:val="16"/>
          <w:color w:val="auto"/>
        </w:rPr>
        <w:t>During 2021, shareowners have expressed support for the changes made to our executive compensation program in connection with the integration of our legacy companies.</w:t>
      </w:r>
    </w:p>
    <w:p>
      <w:pPr>
        <w:spacing w:after="0" w:line="1549" w:lineRule="exact"/>
        <w:rPr>
          <w:sz w:val="20"/>
          <w:szCs w:val="20"/>
          <w:color w:val="auto"/>
        </w:rPr>
      </w:pPr>
    </w:p>
    <w:p>
      <w:pPr>
        <w:sectPr>
          <w:pgSz w:w="11900" w:h="16838" w:orient="portrait"/>
          <w:cols w:equalWidth="0" w:num="2">
            <w:col w:w="5280" w:space="418"/>
            <w:col w:w="5482"/>
          </w:cols>
          <w:pgMar w:left="320" w:top="118" w:right="399" w:bottom="1440" w:gutter="0" w:footer="0" w:header="0"/>
          <w:type w:val="continuous"/>
        </w:sectPr>
      </w:pPr>
    </w:p>
    <w:p>
      <w:pPr>
        <w:spacing w:after="0" w:line="18" w:lineRule="exact"/>
        <w:rPr>
          <w:sz w:val="20"/>
          <w:szCs w:val="20"/>
          <w:color w:val="auto"/>
        </w:rPr>
      </w:pPr>
    </w:p>
    <w:p>
      <w:pPr>
        <w:ind w:left="260" w:hanging="253"/>
        <w:spacing w:after="0"/>
        <w:tabs>
          <w:tab w:leader="none" w:pos="260" w:val="left"/>
        </w:tabs>
        <w:numPr>
          <w:ilvl w:val="0"/>
          <w:numId w:val="132"/>
        </w:numPr>
        <w:rPr>
          <w:rFonts w:ascii="Arial" w:cs="Arial" w:eastAsia="Arial" w:hAnsi="Arial"/>
          <w:sz w:val="10"/>
          <w:szCs w:val="10"/>
          <w:b w:val="1"/>
          <w:bCs w:val="1"/>
          <w:color w:val="auto"/>
        </w:rPr>
      </w:pPr>
      <w:r>
        <w:rPr>
          <w:rFonts w:ascii="Arial" w:cs="Arial" w:eastAsia="Arial" w:hAnsi="Arial"/>
          <w:sz w:val="10"/>
          <w:szCs w:val="10"/>
          <w:color w:val="CE0F2D"/>
        </w:rPr>
        <w:t xml:space="preserve">RAYTHEON TECHNOLOGIES </w:t>
      </w:r>
      <w:r>
        <w:rPr>
          <w:rFonts w:ascii="Arial" w:cs="Arial" w:eastAsia="Arial" w:hAnsi="Arial"/>
          <w:sz w:val="10"/>
          <w:szCs w:val="10"/>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144780</wp:posOffset>
            </wp:positionV>
            <wp:extent cx="715454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EXECUTIVE SUMMARY</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2021 Performance Overview</w:t>
      </w:r>
    </w:p>
    <w:p>
      <w:pPr>
        <w:spacing w:after="0" w:line="368" w:lineRule="exact"/>
        <w:rPr>
          <w:sz w:val="20"/>
          <w:szCs w:val="20"/>
          <w:color w:val="auto"/>
        </w:rPr>
      </w:pPr>
    </w:p>
    <w:p>
      <w:pPr>
        <w:ind w:right="5900"/>
        <w:spacing w:after="0" w:line="233" w:lineRule="auto"/>
        <w:rPr>
          <w:sz w:val="20"/>
          <w:szCs w:val="20"/>
          <w:color w:val="auto"/>
        </w:rPr>
      </w:pPr>
      <w:r>
        <w:rPr>
          <w:rFonts w:ascii="Arial" w:cs="Arial" w:eastAsia="Arial" w:hAnsi="Arial"/>
          <w:sz w:val="20"/>
          <w:szCs w:val="20"/>
          <w:b w:val="1"/>
          <w:bCs w:val="1"/>
          <w:color w:val="CE0F2C"/>
        </w:rPr>
        <w:t>Our 2021 performance demonstrated the strength, balance and resiliency of our portfolio, the breadth of our advanced technologies, the talents and dedication of our workforce, and our commitment to changing the world for the better.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-708025</wp:posOffset>
            </wp:positionV>
            <wp:extent cx="2550795" cy="29845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550795" cy="2984500"/>
                    </a:xfrm>
                    <a:prstGeom prst="rect">
                      <a:avLst/>
                    </a:prstGeom>
                    <a:noFill/>
                  </pic:spPr>
                </pic:pic>
              </a:graphicData>
            </a:graphic>
          </wp:anchor>
        </w:drawing>
      </w:r>
    </w:p>
    <w:p>
      <w:pPr>
        <w:spacing w:after="0" w:line="165" w:lineRule="exact"/>
        <w:rPr>
          <w:sz w:val="20"/>
          <w:szCs w:val="20"/>
          <w:color w:val="auto"/>
        </w:rPr>
      </w:pPr>
    </w:p>
    <w:p>
      <w:pPr>
        <w:ind w:right="5880"/>
        <w:spacing w:after="0" w:line="247" w:lineRule="auto"/>
        <w:rPr>
          <w:sz w:val="20"/>
          <w:szCs w:val="20"/>
          <w:color w:val="auto"/>
        </w:rPr>
      </w:pPr>
      <w:r>
        <w:rPr>
          <w:rFonts w:ascii="Arial" w:cs="Arial" w:eastAsia="Arial" w:hAnsi="Arial"/>
          <w:sz w:val="16"/>
          <w:szCs w:val="16"/>
          <w:color w:val="auto"/>
        </w:rPr>
        <w:t>Though 2021 presented a challenging operating environment resulting from the COVID-19 pandemic, global supply chain pressures and our ongoing post-Merger integration, we met these challenges head-on and capitalized on the recovery of the commercial aerospace industry and the continued strength of our defense businesses.</w:t>
      </w:r>
    </w:p>
    <w:p>
      <w:pPr>
        <w:spacing w:after="0" w:line="151" w:lineRule="exact"/>
        <w:rPr>
          <w:sz w:val="20"/>
          <w:szCs w:val="20"/>
          <w:color w:val="auto"/>
        </w:rPr>
      </w:pPr>
    </w:p>
    <w:p>
      <w:pPr>
        <w:ind w:right="5860"/>
        <w:spacing w:after="0" w:line="246" w:lineRule="auto"/>
        <w:rPr>
          <w:sz w:val="20"/>
          <w:szCs w:val="20"/>
          <w:color w:val="auto"/>
        </w:rPr>
      </w:pPr>
      <w:r>
        <w:rPr>
          <w:rFonts w:ascii="Arial" w:cs="Arial" w:eastAsia="Arial" w:hAnsi="Arial"/>
          <w:sz w:val="16"/>
          <w:szCs w:val="16"/>
          <w:color w:val="auto"/>
        </w:rPr>
        <w:t>We ended the year exceeding both the adjusted earnings per share (“EPS”) and free cash flow goals we communicated to our investors in January 2021, which importantly resulted from earnings growth across all of our businesses. Our solid 2021 financial performance was driven by the increase in our deliveries of commercial engines, robust aftermarket sales growth of 9% at our commercial businesses and continued growth at our defense businesses driven by the breadth of our technologies and our successful execution on key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520"/>
        <w:spacing w:after="0" w:line="256" w:lineRule="auto"/>
        <w:rPr>
          <w:sz w:val="20"/>
          <w:szCs w:val="20"/>
          <w:color w:val="auto"/>
        </w:rPr>
      </w:pPr>
      <w:r>
        <w:rPr>
          <w:rFonts w:ascii="Arial" w:cs="Arial" w:eastAsia="Arial" w:hAnsi="Arial"/>
          <w:sz w:val="16"/>
          <w:szCs w:val="16"/>
          <w:color w:val="auto"/>
        </w:rPr>
        <w:t>We delivered TSR of 23.3% in 2021, outpacing our Core A&amp;D Peers. We also continued our 85-year tradition of paying a dividend to shareowners, and returned $5.3 billion to investors through a combination of dividends and share repurchases.</w:t>
      </w:r>
    </w:p>
    <w:p>
      <w:pPr>
        <w:spacing w:after="0" w:line="143" w:lineRule="exact"/>
        <w:rPr>
          <w:sz w:val="20"/>
          <w:szCs w:val="20"/>
          <w:color w:val="auto"/>
        </w:rPr>
      </w:pPr>
    </w:p>
    <w:p>
      <w:pPr>
        <w:ind w:right="200"/>
        <w:spacing w:after="0" w:line="256" w:lineRule="auto"/>
        <w:rPr>
          <w:sz w:val="20"/>
          <w:szCs w:val="20"/>
          <w:color w:val="auto"/>
        </w:rPr>
      </w:pPr>
      <w:r>
        <w:rPr>
          <w:rFonts w:ascii="Arial" w:cs="Arial" w:eastAsia="Arial" w:hAnsi="Arial"/>
          <w:sz w:val="16"/>
          <w:szCs w:val="16"/>
          <w:color w:val="auto"/>
        </w:rPr>
        <w:t>We achieved a total of $760 million in gross Merger cost synergies in 2021, and $1 billion since completing the Merger. We also increased our goal of gross run-rate cost synergies within four years of the Merger from $1 billion to $1.5 billion and are on track to exceed that goal.</w:t>
      </w:r>
    </w:p>
    <w:p>
      <w:pPr>
        <w:spacing w:after="0" w:line="143"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We ended the year with our commercial aerospace backlog growing by 12% to $93 billon and remain well positioned to deliver on the 2020-2025 organic sales growth, adjusted margin expansion and free cash flow goals that we communicated during our Investor Day in May 2021.</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CE0F2C"/>
        </w:rPr>
        <w:t>2021 AT A GLANCE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390"/>
        </w:trPr>
        <w:tc>
          <w:tcPr>
            <w:tcW w:w="5400" w:type="dxa"/>
            <w:vAlign w:val="bottom"/>
            <w:tcBorders>
              <w:bottom w:val="single" w:sz="8" w:color="CE0F2C"/>
            </w:tcBorders>
          </w:tcPr>
          <w:p>
            <w:pPr>
              <w:spacing w:after="0"/>
              <w:rPr>
                <w:sz w:val="20"/>
                <w:szCs w:val="20"/>
                <w:color w:val="auto"/>
              </w:rPr>
            </w:pPr>
            <w:r>
              <w:rPr>
                <w:rFonts w:ascii="Arial" w:cs="Arial" w:eastAsia="Arial" w:hAnsi="Arial"/>
                <w:sz w:val="27"/>
                <w:szCs w:val="27"/>
                <w:b w:val="1"/>
                <w:bCs w:val="1"/>
                <w:color w:val="auto"/>
              </w:rPr>
              <w:t>23.3% TSR</w:t>
            </w:r>
          </w:p>
        </w:tc>
        <w:tc>
          <w:tcPr>
            <w:tcW w:w="460" w:type="dxa"/>
            <w:vAlign w:val="bottom"/>
          </w:tcPr>
          <w:p>
            <w:pPr>
              <w:spacing w:after="0"/>
              <w:rPr>
                <w:sz w:val="24"/>
                <w:szCs w:val="24"/>
                <w:color w:val="auto"/>
              </w:rPr>
            </w:pPr>
          </w:p>
        </w:tc>
        <w:tc>
          <w:tcPr>
            <w:tcW w:w="5380" w:type="dxa"/>
            <w:vAlign w:val="bottom"/>
            <w:tcBorders>
              <w:bottom w:val="single" w:sz="8" w:color="CE0F2C"/>
            </w:tcBorders>
          </w:tcPr>
          <w:p>
            <w:pPr>
              <w:spacing w:after="0"/>
              <w:rPr>
                <w:sz w:val="20"/>
                <w:szCs w:val="20"/>
                <w:color w:val="auto"/>
              </w:rPr>
            </w:pPr>
            <w:r>
              <w:rPr>
                <w:rFonts w:ascii="Arial" w:cs="Arial" w:eastAsia="Arial" w:hAnsi="Arial"/>
                <w:sz w:val="27"/>
                <w:szCs w:val="27"/>
                <w:b w:val="1"/>
                <w:bCs w:val="1"/>
                <w:color w:val="auto"/>
              </w:rPr>
              <w:t>7.4% increase</w:t>
            </w:r>
          </w:p>
        </w:tc>
      </w:tr>
      <w:tr>
        <w:trPr>
          <w:trHeight w:val="329"/>
        </w:trPr>
        <w:tc>
          <w:tcPr>
            <w:tcW w:w="5860" w:type="dxa"/>
            <w:vAlign w:val="bottom"/>
            <w:gridSpan w:val="2"/>
          </w:tcPr>
          <w:p>
            <w:pPr>
              <w:spacing w:after="0"/>
              <w:rPr>
                <w:sz w:val="20"/>
                <w:szCs w:val="20"/>
                <w:color w:val="auto"/>
              </w:rPr>
            </w:pPr>
            <w:r>
              <w:rPr>
                <w:rFonts w:ascii="Arial" w:cs="Arial" w:eastAsia="Arial" w:hAnsi="Arial"/>
                <w:sz w:val="14"/>
                <w:szCs w:val="14"/>
                <w:b w:val="1"/>
                <w:bCs w:val="1"/>
                <w:color w:val="auto"/>
              </w:rPr>
              <w:t>outpaced our Core A&amp;D Peers</w:t>
            </w:r>
          </w:p>
        </w:tc>
        <w:tc>
          <w:tcPr>
            <w:tcW w:w="5380" w:type="dxa"/>
            <w:vAlign w:val="bottom"/>
          </w:tcPr>
          <w:p>
            <w:pPr>
              <w:spacing w:after="0"/>
              <w:rPr>
                <w:sz w:val="20"/>
                <w:szCs w:val="20"/>
                <w:color w:val="auto"/>
              </w:rPr>
            </w:pPr>
            <w:r>
              <w:rPr>
                <w:rFonts w:ascii="Arial" w:cs="Arial" w:eastAsia="Arial" w:hAnsi="Arial"/>
                <w:sz w:val="14"/>
                <w:szCs w:val="14"/>
                <w:b w:val="1"/>
                <w:bCs w:val="1"/>
                <w:color w:val="auto"/>
              </w:rPr>
              <w:t>in dividend per share</w:t>
            </w:r>
            <w:r>
              <w:rPr>
                <w:rFonts w:ascii="Arial" w:cs="Arial" w:eastAsia="Arial" w:hAnsi="Arial"/>
                <w:sz w:val="23"/>
                <w:szCs w:val="23"/>
                <w:b w:val="1"/>
                <w:bCs w:val="1"/>
                <w:color w:val="auto"/>
                <w:vertAlign w:val="superscript"/>
              </w:rPr>
              <w:t>(3)</w:t>
            </w:r>
          </w:p>
        </w:tc>
      </w:tr>
    </w:tbl>
    <w:p>
      <w:pPr>
        <w:spacing w:after="0" w:line="13" w:lineRule="exact"/>
        <w:rPr>
          <w:sz w:val="20"/>
          <w:szCs w:val="20"/>
          <w:color w:val="auto"/>
        </w:rPr>
      </w:pP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$63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426460"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defense backlog at year-end</w:t>
      </w:r>
    </w:p>
    <w:p>
      <w:pPr>
        <w:spacing w:after="0" w:line="17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$93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426460"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aerospace backlog at year-end</w:t>
      </w:r>
    </w:p>
    <w:p>
      <w:pPr>
        <w:spacing w:after="0" w:line="178"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3426460"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aftermarket sales growth at our commercial businesses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7"/>
          <w:szCs w:val="27"/>
          <w:b w:val="1"/>
          <w:bCs w:val="1"/>
          <w:color w:val="auto"/>
        </w:rPr>
        <w:t>85</w:t>
      </w:r>
      <w:r>
        <w:rPr>
          <w:rFonts w:ascii="Arial" w:cs="Arial" w:eastAsia="Arial" w:hAnsi="Arial"/>
          <w:sz w:val="44"/>
          <w:szCs w:val="44"/>
          <w:b w:val="1"/>
          <w:bCs w:val="1"/>
          <w:color w:val="auto"/>
          <w:vertAlign w:val="superscript"/>
        </w:rPr>
        <w:t>th</w:t>
      </w:r>
      <w:r>
        <w:rPr>
          <w:rFonts w:ascii="Arial" w:cs="Arial" w:eastAsia="Arial" w:hAnsi="Arial"/>
          <w:sz w:val="27"/>
          <w:szCs w:val="27"/>
          <w:b w:val="1"/>
          <w:bCs w:val="1"/>
          <w:color w:val="auto"/>
        </w:rPr>
        <w:t xml:space="preserve">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-45085</wp:posOffset>
            </wp:positionV>
            <wp:extent cx="341820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18205" cy="2540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b w:val="1"/>
          <w:bCs w:val="1"/>
          <w:color w:val="auto"/>
        </w:rPr>
        <w:t>paying a dividend to shareowners</w:t>
      </w:r>
    </w:p>
    <w:p>
      <w:pPr>
        <w:spacing w:after="0" w:line="160"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$1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341820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18205" cy="254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total gross Merger cost synergies achieved as of year-end</w:t>
      </w:r>
    </w:p>
    <w:p>
      <w:pPr>
        <w:spacing w:after="0" w:line="125"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$5.3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341820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18205" cy="2540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returned to investors through dividends and share repurchases</w:t>
      </w:r>
    </w:p>
    <w:p>
      <w:pPr>
        <w:spacing w:after="0" w:line="200" w:lineRule="exact"/>
        <w:rPr>
          <w:sz w:val="20"/>
          <w:szCs w:val="20"/>
          <w:color w:val="auto"/>
        </w:rPr>
      </w:pPr>
    </w:p>
    <w:p>
      <w:pPr>
        <w:sectPr>
          <w:pgSz w:w="11900" w:h="16838" w:orient="portrait"/>
          <w:cols w:equalWidth="0" w:num="2">
            <w:col w:w="5140" w:space="720"/>
            <w:col w:w="5380"/>
          </w:cols>
          <w:pgMar w:left="320" w:top="118" w:right="339" w:bottom="1440" w:gutter="0" w:footer="0" w:header="0"/>
          <w:type w:val="continuous"/>
        </w:sectPr>
      </w:pPr>
    </w:p>
    <w:p>
      <w:pPr>
        <w:spacing w:after="0" w:line="48" w:lineRule="exact"/>
        <w:rPr>
          <w:sz w:val="20"/>
          <w:szCs w:val="20"/>
          <w:color w:val="auto"/>
        </w:rPr>
      </w:pPr>
    </w:p>
    <w:p>
      <w:pPr>
        <w:ind w:left="320" w:hanging="313"/>
        <w:spacing w:after="0"/>
        <w:tabs>
          <w:tab w:leader="none" w:pos="3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See Appendix A on pages 102-103 for more information regarding non-GAAP financial measures.</w:t>
      </w:r>
    </w:p>
    <w:p>
      <w:pPr>
        <w:spacing w:after="0" w:line="49" w:lineRule="exact"/>
        <w:rPr>
          <w:rFonts w:ascii="Arial" w:cs="Arial" w:eastAsia="Arial" w:hAnsi="Arial"/>
          <w:sz w:val="12"/>
          <w:szCs w:val="12"/>
          <w:color w:val="auto"/>
        </w:rPr>
      </w:pPr>
    </w:p>
    <w:p>
      <w:pPr>
        <w:ind w:left="320" w:hanging="313"/>
        <w:spacing w:after="0"/>
        <w:tabs>
          <w:tab w:leader="none" w:pos="3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GAAP cash flow is cash flow from operating activities of continuing operations, while non-GAAP cash flow is free cash flow from continuing operations.</w:t>
      </w:r>
    </w:p>
    <w:p>
      <w:pPr>
        <w:spacing w:after="0" w:line="49" w:lineRule="exact"/>
        <w:rPr>
          <w:rFonts w:ascii="Arial" w:cs="Arial" w:eastAsia="Arial" w:hAnsi="Arial"/>
          <w:sz w:val="12"/>
          <w:szCs w:val="12"/>
          <w:color w:val="auto"/>
        </w:rPr>
      </w:pPr>
    </w:p>
    <w:p>
      <w:pPr>
        <w:ind w:left="320" w:hanging="313"/>
        <w:spacing w:after="0"/>
        <w:tabs>
          <w:tab w:leader="none" w:pos="320" w:val="left"/>
        </w:tabs>
        <w:numPr>
          <w:ilvl w:val="0"/>
          <w:numId w:val="133"/>
        </w:numPr>
        <w:rPr>
          <w:rFonts w:ascii="Arial" w:cs="Arial" w:eastAsia="Arial" w:hAnsi="Arial"/>
          <w:sz w:val="12"/>
          <w:szCs w:val="12"/>
          <w:color w:val="auto"/>
        </w:rPr>
      </w:pPr>
      <w:r>
        <w:rPr>
          <w:rFonts w:ascii="Arial" w:cs="Arial" w:eastAsia="Arial" w:hAnsi="Arial"/>
          <w:sz w:val="12"/>
          <w:szCs w:val="12"/>
          <w:color w:val="auto"/>
        </w:rPr>
        <w:t>In the second quarter of 2021, we increased our quarterly dividend from $0.475 per share to $0.51 per share.</w:t>
      </w:r>
    </w:p>
    <w:p>
      <w:pPr>
        <w:spacing w:after="0" w:line="20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EXECUTIVE SUMMARY</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PROGRESS ON KEY PRIORITIES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CE0F2C"/>
        </w:rPr>
        <w:t>We remained laser-focused on our key priorities during 2021, which included:</w:t>
      </w:r>
    </w:p>
    <w:p>
      <w:pPr>
        <w:sectPr>
          <w:pgSz w:w="11900" w:h="16838" w:orient="portrait"/>
          <w:cols w:equalWidth="0" w:num="1">
            <w:col w:w="11160"/>
          </w:cols>
          <w:pgMar w:left="320" w:top="118" w:right="419" w:bottom="1440" w:gutter="0" w:footer="0" w:header="0"/>
        </w:sectPr>
      </w:pPr>
    </w:p>
    <w:p>
      <w:pPr>
        <w:spacing w:after="0" w:line="347" w:lineRule="exact"/>
        <w:rPr>
          <w:sz w:val="20"/>
          <w:szCs w:val="20"/>
          <w:color w:val="auto"/>
        </w:rPr>
      </w:pPr>
    </w:p>
    <w:p>
      <w:pPr>
        <w:ind w:right="1840"/>
        <w:spacing w:after="0" w:line="265" w:lineRule="auto"/>
        <w:rPr>
          <w:sz w:val="20"/>
          <w:szCs w:val="20"/>
          <w:color w:val="auto"/>
        </w:rPr>
      </w:pPr>
      <w:r>
        <w:rPr>
          <w:rFonts w:ascii="Arial" w:cs="Arial" w:eastAsia="Arial" w:hAnsi="Arial"/>
          <w:sz w:val="18"/>
          <w:szCs w:val="18"/>
          <w:b w:val="1"/>
          <w:bCs w:val="1"/>
          <w:color w:val="auto"/>
        </w:rPr>
        <w:t>Continuing our proactive response to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426460"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are committed to protecting and supporting the health and safety of our employees, suppliers and communities. Our 2021 response included facilitating vaccination clinics where over 28,000 of our global employees were vaccinated, flowing through over $3 billion in accelerated payments to our small and diverse suppliers and partners, and delivering oxygen trucks to the Indian Red Cross Society for use in rural and semi-urban areas.</w:t>
      </w:r>
    </w:p>
    <w:p>
      <w:pPr>
        <w:spacing w:after="0" w:line="20" w:lineRule="exact"/>
        <w:rPr>
          <w:sz w:val="20"/>
          <w:szCs w:val="20"/>
          <w:color w:val="auto"/>
        </w:rPr>
      </w:pPr>
      <w:r>
        <w:rPr>
          <w:sz w:val="20"/>
          <w:szCs w:val="20"/>
          <w:color w:val="auto"/>
        </w:rPr>
        <w:br w:type="column"/>
      </w:r>
    </w:p>
    <w:p>
      <w:pPr>
        <w:spacing w:after="0" w:line="327" w:lineRule="exact"/>
        <w:rPr>
          <w:sz w:val="20"/>
          <w:szCs w:val="20"/>
          <w:color w:val="auto"/>
        </w:rPr>
      </w:pPr>
    </w:p>
    <w:p>
      <w:pPr>
        <w:ind w:right="2360"/>
        <w:spacing w:after="0" w:line="265" w:lineRule="auto"/>
        <w:rPr>
          <w:sz w:val="20"/>
          <w:szCs w:val="20"/>
          <w:color w:val="auto"/>
        </w:rPr>
      </w:pPr>
      <w:r>
        <w:rPr>
          <w:rFonts w:ascii="Arial" w:cs="Arial" w:eastAsia="Arial" w:hAnsi="Arial"/>
          <w:sz w:val="18"/>
          <w:szCs w:val="18"/>
          <w:b w:val="1"/>
          <w:bCs w:val="1"/>
          <w:color w:val="auto"/>
        </w:rPr>
        <w:t>Driving operational excellence and continuous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3426460"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20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We began implementation of our new CORE operating system, made significant investments in digital technologies, and executed on our structural cost reduction initiatives. Through these steps, we are achieving efficiencies across all of our businesses, transforming the way we provide our products and services to customers, and creating value for our shareowners, customers and other stakeholders.</w:t>
      </w:r>
    </w:p>
    <w:p>
      <w:pPr>
        <w:spacing w:after="0" w:line="200" w:lineRule="exact"/>
        <w:rPr>
          <w:sz w:val="20"/>
          <w:szCs w:val="20"/>
          <w:color w:val="auto"/>
        </w:rPr>
      </w:pPr>
    </w:p>
    <w:p>
      <w:pPr>
        <w:sectPr>
          <w:pgSz w:w="11900" w:h="16838" w:orient="portrait"/>
          <w:cols w:equalWidth="0" w:num="2">
            <w:col w:w="5340" w:space="500"/>
            <w:col w:w="5320"/>
          </w:cols>
          <w:pgMar w:left="320" w:top="118" w:right="419" w:bottom="1440" w:gutter="0" w:footer="0" w:header="0"/>
          <w:type w:val="continuous"/>
        </w:sectPr>
      </w:pPr>
    </w:p>
    <w:p>
      <w:pPr>
        <w:spacing w:after="0" w:line="143" w:lineRule="exact"/>
        <w:rPr>
          <w:sz w:val="20"/>
          <w:szCs w:val="20"/>
          <w:color w:val="auto"/>
        </w:rPr>
      </w:pPr>
    </w:p>
    <w:p>
      <w:pPr>
        <w:ind w:right="1680"/>
        <w:spacing w:after="0" w:line="265" w:lineRule="auto"/>
        <w:rPr>
          <w:sz w:val="20"/>
          <w:szCs w:val="20"/>
          <w:color w:val="auto"/>
        </w:rPr>
      </w:pPr>
      <w:r>
        <w:rPr>
          <w:rFonts w:ascii="Arial" w:cs="Arial" w:eastAsia="Arial" w:hAnsi="Arial"/>
          <w:sz w:val="18"/>
          <w:szCs w:val="18"/>
          <w:b w:val="1"/>
          <w:bCs w:val="1"/>
          <w:color w:val="auto"/>
        </w:rPr>
        <w:t>Making strategic investments in technology and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3426460"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In 2021, we invested nearly $9.4 billion in capital expenditures and Company- and customer-funded research and development, demonstrating our commitment to strategic investments in advanced technologies and innovation that will propel earnings growth well into the future. We also announced a strategic collaboration with IBM to establish advanced artificial intelligence, cryptographic and quantum solutions for the aerospace, defense and intelligence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Enhancing our focus and transparency in ESG</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Actively managing our business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3426460"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6460" cy="25400"/>
                    </a:xfrm>
                    <a:prstGeom prst="rect">
                      <a:avLst/>
                    </a:prstGeom>
                    <a:noFill/>
                  </pic:spPr>
                </pic:pic>
              </a:graphicData>
            </a:graphic>
          </wp:anchor>
        </w:drawing>
      </w:r>
    </w:p>
    <w:p>
      <w:pPr>
        <w:spacing w:after="0" w:line="25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During the year, we focused on adding strategic capabilities and divesting non-core businesses to ensure our portfolio is focused on strong businesses and market leading franchises. This included:</w:t>
      </w:r>
    </w:p>
    <w:p>
      <w:pPr>
        <w:spacing w:after="0" w:line="148" w:lineRule="exact"/>
        <w:rPr>
          <w:sz w:val="20"/>
          <w:szCs w:val="20"/>
          <w:color w:val="auto"/>
        </w:rPr>
      </w:pPr>
    </w:p>
    <w:p>
      <w:pPr>
        <w:ind w:left="240" w:right="760" w:hanging="231"/>
        <w:spacing w:after="0" w:line="250" w:lineRule="auto"/>
        <w:tabs>
          <w:tab w:leader="none" w:pos="240" w:val="left"/>
        </w:tabs>
        <w:numPr>
          <w:ilvl w:val="0"/>
          <w:numId w:val="134"/>
        </w:numPr>
        <w:rPr>
          <w:rFonts w:ascii="Arial" w:cs="Arial" w:eastAsia="Arial" w:hAnsi="Arial"/>
          <w:sz w:val="16"/>
          <w:szCs w:val="16"/>
          <w:color w:val="CE0F2C"/>
        </w:rPr>
      </w:pPr>
      <w:r>
        <w:rPr>
          <w:rFonts w:ascii="Arial" w:cs="Arial" w:eastAsia="Arial" w:hAnsi="Arial"/>
          <w:sz w:val="16"/>
          <w:szCs w:val="16"/>
          <w:color w:val="auto"/>
        </w:rPr>
        <w:t>The acquisition of FlightAware, which will accelerate Collins Aerospace’s Connected Ecosystem strategy to transform the aftermarket with more connected, data-driven solutions</w:t>
      </w:r>
    </w:p>
    <w:p>
      <w:pPr>
        <w:spacing w:after="0" w:line="67" w:lineRule="exact"/>
        <w:rPr>
          <w:rFonts w:ascii="Arial" w:cs="Arial" w:eastAsia="Arial" w:hAnsi="Arial"/>
          <w:sz w:val="16"/>
          <w:szCs w:val="16"/>
          <w:color w:val="CE0F2C"/>
        </w:rPr>
      </w:pPr>
    </w:p>
    <w:p>
      <w:pPr>
        <w:ind w:left="240" w:right="360" w:hanging="231"/>
        <w:spacing w:after="0" w:line="256" w:lineRule="auto"/>
        <w:tabs>
          <w:tab w:leader="none" w:pos="240" w:val="left"/>
        </w:tabs>
        <w:numPr>
          <w:ilvl w:val="0"/>
          <w:numId w:val="134"/>
        </w:numPr>
        <w:rPr>
          <w:rFonts w:ascii="Arial" w:cs="Arial" w:eastAsia="Arial" w:hAnsi="Arial"/>
          <w:sz w:val="16"/>
          <w:szCs w:val="16"/>
          <w:color w:val="CE0F2C"/>
        </w:rPr>
      </w:pPr>
      <w:r>
        <w:rPr>
          <w:rFonts w:ascii="Arial" w:cs="Arial" w:eastAsia="Arial" w:hAnsi="Arial"/>
          <w:sz w:val="16"/>
          <w:szCs w:val="16"/>
          <w:color w:val="auto"/>
        </w:rPr>
        <w:t>The acquisition of SEAKR Engineering to strengthen RI&amp;S’ space-based capabilities and offerings</w:t>
      </w:r>
    </w:p>
    <w:p>
      <w:pPr>
        <w:spacing w:after="0" w:line="62" w:lineRule="exact"/>
        <w:rPr>
          <w:rFonts w:ascii="Arial" w:cs="Arial" w:eastAsia="Arial" w:hAnsi="Arial"/>
          <w:sz w:val="16"/>
          <w:szCs w:val="16"/>
          <w:color w:val="CE0F2C"/>
        </w:rPr>
      </w:pPr>
    </w:p>
    <w:p>
      <w:pPr>
        <w:ind w:left="240" w:hanging="231"/>
        <w:spacing w:after="0"/>
        <w:tabs>
          <w:tab w:leader="none" w:pos="240" w:val="left"/>
        </w:tabs>
        <w:numPr>
          <w:ilvl w:val="0"/>
          <w:numId w:val="134"/>
        </w:numPr>
        <w:rPr>
          <w:rFonts w:ascii="Arial" w:cs="Arial" w:eastAsia="Arial" w:hAnsi="Arial"/>
          <w:sz w:val="16"/>
          <w:szCs w:val="16"/>
          <w:color w:val="CE0F2C"/>
        </w:rPr>
      </w:pPr>
      <w:r>
        <w:rPr>
          <w:rFonts w:ascii="Arial" w:cs="Arial" w:eastAsia="Arial" w:hAnsi="Arial"/>
          <w:sz w:val="16"/>
          <w:szCs w:val="16"/>
          <w:color w:val="auto"/>
        </w:rPr>
        <w:t>The divestiture of RI&amp;S’ Global Training &amp; Services business</w:t>
      </w:r>
    </w:p>
    <w:p>
      <w:pPr>
        <w:spacing w:after="0" w:line="83" w:lineRule="exact"/>
        <w:rPr>
          <w:rFonts w:ascii="Arial" w:cs="Arial" w:eastAsia="Arial" w:hAnsi="Arial"/>
          <w:sz w:val="16"/>
          <w:szCs w:val="16"/>
          <w:color w:val="CE0F2C"/>
        </w:rPr>
      </w:pPr>
    </w:p>
    <w:p>
      <w:pPr>
        <w:ind w:left="240" w:right="80" w:hanging="231"/>
        <w:spacing w:after="0" w:line="250" w:lineRule="auto"/>
        <w:tabs>
          <w:tab w:leader="none" w:pos="240" w:val="left"/>
        </w:tabs>
        <w:numPr>
          <w:ilvl w:val="0"/>
          <w:numId w:val="134"/>
        </w:numPr>
        <w:rPr>
          <w:rFonts w:ascii="Arial" w:cs="Arial" w:eastAsia="Arial" w:hAnsi="Arial"/>
          <w:sz w:val="16"/>
          <w:szCs w:val="16"/>
          <w:color w:val="CE0F2C"/>
        </w:rPr>
      </w:pPr>
      <w:r>
        <w:rPr>
          <w:rFonts w:ascii="Arial" w:cs="Arial" w:eastAsia="Arial" w:hAnsi="Arial"/>
          <w:sz w:val="16"/>
          <w:szCs w:val="16"/>
          <w:color w:val="auto"/>
        </w:rPr>
        <w:t>The acquisition of Dutch Thermoplastic Components, which will enhance Collins Aerospace’s ability to provide customers lighter, more cost-efficient, sustainable aircraft structures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-3703320</wp:posOffset>
            </wp:positionH>
            <wp:positionV relativeFrom="paragraph">
              <wp:posOffset>254635</wp:posOffset>
            </wp:positionV>
            <wp:extent cx="7133590"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pacing w:after="0" w:line="543" w:lineRule="exact"/>
        <w:rPr>
          <w:sz w:val="20"/>
          <w:szCs w:val="20"/>
          <w:color w:val="auto"/>
        </w:rPr>
      </w:pPr>
    </w:p>
    <w:p>
      <w:pPr>
        <w:sectPr>
          <w:pgSz w:w="11900" w:h="16838" w:orient="portrait"/>
          <w:cols w:equalWidth="0" w:num="2">
            <w:col w:w="5400" w:space="440"/>
            <w:col w:w="5320"/>
          </w:cols>
          <w:pgMar w:left="320" w:top="118" w:right="419" w:bottom="1440" w:gutter="0" w:footer="0" w:header="0"/>
          <w:type w:val="continuous"/>
        </w:sectPr>
      </w:pPr>
    </w:p>
    <w:p>
      <w:pPr>
        <w:spacing w:after="0" w:line="73"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view ESG as integral to our long-term strategy, our business operations, our values and how we engage with our stakeholders. In 2021, we made meaningful progress driving our ESG strategy and enhancing transparency to ensure we are doing everything possible to positively impact these important societal issues. Our 2021 efforts included:</w:t>
      </w:r>
    </w:p>
    <w:p>
      <w:pPr>
        <w:sectPr>
          <w:pgSz w:w="11900" w:h="16838" w:orient="portrait"/>
          <w:cols w:equalWidth="0" w:num="1">
            <w:col w:w="11160"/>
          </w:cols>
          <w:pgMar w:left="320" w:top="118" w:right="419" w:bottom="1440" w:gutter="0" w:footer="0" w:header="0"/>
          <w:type w:val="continuous"/>
        </w:sectPr>
      </w:pPr>
    </w:p>
    <w:p>
      <w:pPr>
        <w:spacing w:after="0" w:line="175" w:lineRule="exact"/>
        <w:rPr>
          <w:sz w:val="20"/>
          <w:szCs w:val="20"/>
          <w:color w:val="auto"/>
        </w:rPr>
      </w:pPr>
    </w:p>
    <w:p>
      <w:pPr>
        <w:ind w:left="240" w:hanging="233"/>
        <w:spacing w:after="0"/>
        <w:tabs>
          <w:tab w:leader="none" w:pos="240" w:val="left"/>
        </w:tabs>
        <w:numPr>
          <w:ilvl w:val="0"/>
          <w:numId w:val="135"/>
        </w:numPr>
        <w:rPr>
          <w:rFonts w:ascii="Arial" w:cs="Arial" w:eastAsia="Arial" w:hAnsi="Arial"/>
          <w:sz w:val="16"/>
          <w:szCs w:val="16"/>
          <w:color w:val="CE0F2C"/>
        </w:rPr>
      </w:pPr>
      <w:r>
        <w:rPr>
          <w:rFonts w:ascii="Arial" w:cs="Arial" w:eastAsia="Arial" w:hAnsi="Arial"/>
          <w:sz w:val="16"/>
          <w:szCs w:val="16"/>
          <w:color w:val="auto"/>
        </w:rPr>
        <w:t>Increasing ESG transparency by:</w:t>
      </w:r>
    </w:p>
    <w:p>
      <w:pPr>
        <w:spacing w:after="0" w:line="83" w:lineRule="exact"/>
        <w:rPr>
          <w:rFonts w:ascii="Arial" w:cs="Arial" w:eastAsia="Arial" w:hAnsi="Arial"/>
          <w:sz w:val="16"/>
          <w:szCs w:val="16"/>
          <w:color w:val="CE0F2C"/>
        </w:rPr>
      </w:pPr>
    </w:p>
    <w:p>
      <w:pPr>
        <w:ind w:left="240"/>
        <w:spacing w:after="0"/>
        <w:rPr>
          <w:rFonts w:ascii="Arial" w:cs="Arial" w:eastAsia="Arial" w:hAnsi="Arial"/>
          <w:sz w:val="16"/>
          <w:szCs w:val="16"/>
          <w:color w:val="CE0F2C"/>
        </w:rPr>
      </w:pPr>
      <w:r>
        <w:rPr>
          <w:rFonts w:ascii="Arial" w:cs="Arial" w:eastAsia="Arial" w:hAnsi="Arial"/>
          <w:sz w:val="16"/>
          <w:szCs w:val="16"/>
          <w:color w:val="auto"/>
        </w:rPr>
        <w:t>–  Releasing our 2021 Diversity, Equity &amp; Inclusion Report;</w:t>
      </w:r>
    </w:p>
    <w:p>
      <w:pPr>
        <w:spacing w:after="0" w:line="137" w:lineRule="exact"/>
        <w:rPr>
          <w:rFonts w:ascii="Arial" w:cs="Arial" w:eastAsia="Arial" w:hAnsi="Arial"/>
          <w:sz w:val="16"/>
          <w:szCs w:val="16"/>
          <w:color w:val="CE0F2C"/>
        </w:rPr>
      </w:pPr>
    </w:p>
    <w:p>
      <w:pPr>
        <w:ind w:left="480" w:right="29" w:hanging="241"/>
        <w:spacing w:after="0" w:line="250" w:lineRule="auto"/>
        <w:rPr>
          <w:rFonts w:ascii="Arial" w:cs="Arial" w:eastAsia="Arial" w:hAnsi="Arial"/>
          <w:sz w:val="16"/>
          <w:szCs w:val="16"/>
          <w:color w:val="CE0F2C"/>
        </w:rPr>
      </w:pPr>
      <w:r>
        <w:rPr>
          <w:rFonts w:ascii="Arial" w:cs="Arial" w:eastAsia="Arial" w:hAnsi="Arial"/>
          <w:sz w:val="16"/>
          <w:szCs w:val="16"/>
          <w:color w:val="auto"/>
        </w:rPr>
        <w:t>– Issuing our first sustainability performance disclosure within the framework set by the Sustainability Accounting Standards Board; and</w:t>
      </w:r>
    </w:p>
    <w:p>
      <w:pPr>
        <w:spacing w:after="0" w:line="67" w:lineRule="exact"/>
        <w:rPr>
          <w:rFonts w:ascii="Arial" w:cs="Arial" w:eastAsia="Arial" w:hAnsi="Arial"/>
          <w:sz w:val="16"/>
          <w:szCs w:val="16"/>
          <w:color w:val="CE0F2C"/>
        </w:rPr>
      </w:pPr>
    </w:p>
    <w:p>
      <w:pPr>
        <w:ind w:left="480" w:right="589" w:hanging="241"/>
        <w:spacing w:after="0" w:line="256" w:lineRule="auto"/>
        <w:rPr>
          <w:rFonts w:ascii="Arial" w:cs="Arial" w:eastAsia="Arial" w:hAnsi="Arial"/>
          <w:sz w:val="16"/>
          <w:szCs w:val="16"/>
          <w:color w:val="CE0F2C"/>
        </w:rPr>
      </w:pPr>
      <w:r>
        <w:rPr>
          <w:rFonts w:ascii="Arial" w:cs="Arial" w:eastAsia="Arial" w:hAnsi="Arial"/>
          <w:sz w:val="16"/>
          <w:szCs w:val="16"/>
          <w:color w:val="auto"/>
        </w:rPr>
        <w:t>– Participating in the Carbon Disclosure Project’s voluntary greenhouse gas disclosure.</w:t>
      </w:r>
    </w:p>
    <w:p>
      <w:pPr>
        <w:spacing w:after="0" w:line="224" w:lineRule="exact"/>
        <w:rPr>
          <w:sz w:val="20"/>
          <w:szCs w:val="20"/>
          <w:color w:val="auto"/>
        </w:rPr>
      </w:pPr>
    </w:p>
    <w:p>
      <w:pPr>
        <w:ind w:left="260" w:hanging="253"/>
        <w:spacing w:after="0"/>
        <w:tabs>
          <w:tab w:leader="none" w:pos="260" w:val="left"/>
        </w:tabs>
        <w:numPr>
          <w:ilvl w:val="0"/>
          <w:numId w:val="13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ind w:left="231" w:right="120" w:hanging="231"/>
        <w:spacing w:after="0" w:line="250" w:lineRule="auto"/>
        <w:tabs>
          <w:tab w:leader="none" w:pos="231" w:val="left"/>
        </w:tabs>
        <w:numPr>
          <w:ilvl w:val="0"/>
          <w:numId w:val="137"/>
        </w:numPr>
        <w:rPr>
          <w:rFonts w:ascii="Arial" w:cs="Arial" w:eastAsia="Arial" w:hAnsi="Arial"/>
          <w:sz w:val="16"/>
          <w:szCs w:val="16"/>
          <w:color w:val="CE0F2C"/>
        </w:rPr>
      </w:pPr>
      <w:r>
        <w:rPr>
          <w:rFonts w:ascii="Arial" w:cs="Arial" w:eastAsia="Arial" w:hAnsi="Arial"/>
          <w:sz w:val="16"/>
          <w:szCs w:val="16"/>
          <w:color w:val="auto"/>
        </w:rPr>
        <w:t>Holding our executives accountable for tangible ESG progress by incorporating a Corporate Responsibility Scorecard into our Executive Annual Incentive Plan.</w:t>
      </w:r>
    </w:p>
    <w:p>
      <w:pPr>
        <w:spacing w:after="0" w:line="67" w:lineRule="exact"/>
        <w:rPr>
          <w:rFonts w:ascii="Arial" w:cs="Arial" w:eastAsia="Arial" w:hAnsi="Arial"/>
          <w:sz w:val="16"/>
          <w:szCs w:val="16"/>
          <w:color w:val="CE0F2C"/>
        </w:rPr>
      </w:pPr>
    </w:p>
    <w:p>
      <w:pPr>
        <w:jc w:val="both"/>
        <w:ind w:left="231" w:right="120" w:hanging="231"/>
        <w:spacing w:after="0" w:line="250" w:lineRule="auto"/>
        <w:tabs>
          <w:tab w:leader="none" w:pos="231" w:val="left"/>
        </w:tabs>
        <w:numPr>
          <w:ilvl w:val="0"/>
          <w:numId w:val="137"/>
        </w:numPr>
        <w:rPr>
          <w:rFonts w:ascii="Arial" w:cs="Arial" w:eastAsia="Arial" w:hAnsi="Arial"/>
          <w:sz w:val="16"/>
          <w:szCs w:val="16"/>
          <w:color w:val="CE0F2C"/>
        </w:rPr>
      </w:pPr>
      <w:r>
        <w:rPr>
          <w:rFonts w:ascii="Arial" w:cs="Arial" w:eastAsia="Arial" w:hAnsi="Arial"/>
          <w:sz w:val="16"/>
          <w:szCs w:val="16"/>
          <w:color w:val="auto"/>
        </w:rPr>
        <w:t>Launching ConnectUp, where we have pledged to invest $500 million over 10 years, to advance equitable opportunities in STEM education, career development and community well-being.</w:t>
      </w:r>
    </w:p>
    <w:p>
      <w:pPr>
        <w:spacing w:after="0" w:line="67" w:lineRule="exact"/>
        <w:rPr>
          <w:rFonts w:ascii="Arial" w:cs="Arial" w:eastAsia="Arial" w:hAnsi="Arial"/>
          <w:sz w:val="16"/>
          <w:szCs w:val="16"/>
          <w:color w:val="CE0F2C"/>
        </w:rPr>
      </w:pPr>
    </w:p>
    <w:p>
      <w:pPr>
        <w:ind w:left="231" w:hanging="231"/>
        <w:spacing w:after="0" w:line="250" w:lineRule="auto"/>
        <w:tabs>
          <w:tab w:leader="none" w:pos="231" w:val="left"/>
        </w:tabs>
        <w:numPr>
          <w:ilvl w:val="0"/>
          <w:numId w:val="137"/>
        </w:numPr>
        <w:rPr>
          <w:rFonts w:ascii="Arial" w:cs="Arial" w:eastAsia="Arial" w:hAnsi="Arial"/>
          <w:sz w:val="16"/>
          <w:szCs w:val="16"/>
          <w:color w:val="CE0F2C"/>
        </w:rPr>
      </w:pPr>
      <w:r>
        <w:rPr>
          <w:rFonts w:ascii="Arial" w:cs="Arial" w:eastAsia="Arial" w:hAnsi="Arial"/>
          <w:sz w:val="16"/>
          <w:szCs w:val="16"/>
          <w:color w:val="auto"/>
        </w:rPr>
        <w:t>Forming a Global Diversity, Equity &amp; Inclusion Advisory Board, whereby leaders across RTX will come together to support equality of opportunity, inspire action and drive accountability for our DE&amp;I efforts.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209550</wp:posOffset>
            </wp:positionV>
            <wp:extent cx="715454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129" w:space="720"/>
            <w:col w:w="5311"/>
          </w:cols>
          <w:pgMar w:left="320" w:top="118" w:right="41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EXECUTIVE SUMMARY</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How We Align Pay and Performance</w:t>
      </w:r>
    </w:p>
    <w:p>
      <w:pPr>
        <w:spacing w:after="0" w:line="21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Our executive compensation program is structured to advance our fundamental objective: aligning our executives’ compensation with the long-term interests of our shareowners. The Committee’s primary goal is to reward and recognize strong financial and operating performance, effective strategic leadership, and advancements in corporate social responsibility, all of which the Committee believes drive long-term, sustainable shareowner value. This pay-for-performance philosophy is embedded into an important set of Guiding Principles that underpin how the Committee has approached the design of our executive compensation program.</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GUIDING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109855</wp:posOffset>
            </wp:positionV>
            <wp:extent cx="7133590" cy="34518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3590" cy="345186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3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Competitive</w:t>
      </w:r>
    </w:p>
    <w:p>
      <w:pPr>
        <w:spacing w:after="0" w:line="241" w:lineRule="exact"/>
        <w:rPr>
          <w:sz w:val="20"/>
          <w:szCs w:val="20"/>
          <w:color w:val="auto"/>
        </w:rPr>
      </w:pPr>
    </w:p>
    <w:p>
      <w:pPr>
        <w:ind w:left="180" w:right="160"/>
        <w:spacing w:after="0" w:line="250" w:lineRule="auto"/>
        <w:rPr>
          <w:sz w:val="20"/>
          <w:szCs w:val="20"/>
          <w:color w:val="auto"/>
        </w:rPr>
      </w:pPr>
      <w:r>
        <w:rPr>
          <w:rFonts w:ascii="Arial" w:cs="Arial" w:eastAsia="Arial" w:hAnsi="Arial"/>
          <w:sz w:val="16"/>
          <w:szCs w:val="16"/>
          <w:color w:val="auto"/>
        </w:rPr>
        <w:t>Total compensation should be sufficiently competitive to attract, retain and motivate a leadership team capable of maximizing RTX’s performance. Each element should be benchmarked relative to peers.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Balance</w:t>
      </w:r>
    </w:p>
    <w:p>
      <w:pPr>
        <w:spacing w:after="0" w:line="255" w:lineRule="exact"/>
        <w:rPr>
          <w:sz w:val="20"/>
          <w:szCs w:val="20"/>
          <w:color w:val="auto"/>
        </w:rPr>
      </w:pPr>
    </w:p>
    <w:p>
      <w:pPr>
        <w:ind w:left="180"/>
        <w:spacing w:after="0" w:line="250" w:lineRule="auto"/>
        <w:rPr>
          <w:sz w:val="20"/>
          <w:szCs w:val="20"/>
          <w:color w:val="auto"/>
        </w:rPr>
      </w:pPr>
      <w:r>
        <w:rPr>
          <w:rFonts w:ascii="Arial" w:cs="Arial" w:eastAsia="Arial" w:hAnsi="Arial"/>
          <w:sz w:val="16"/>
          <w:szCs w:val="16"/>
          <w:color w:val="auto"/>
        </w:rPr>
        <w:t>Annual and long-term incentive opportunities should reward the appropriate balance of short-, medium- and long-term financial, strategic and operational business results.</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Responsibility</w:t>
      </w:r>
    </w:p>
    <w:p>
      <w:pPr>
        <w:spacing w:after="0" w:line="255" w:lineRule="exact"/>
        <w:rPr>
          <w:sz w:val="20"/>
          <w:szCs w:val="20"/>
          <w:color w:val="auto"/>
        </w:rPr>
      </w:pPr>
    </w:p>
    <w:p>
      <w:pPr>
        <w:ind w:left="180" w:right="20"/>
        <w:spacing w:after="0" w:line="246" w:lineRule="auto"/>
        <w:rPr>
          <w:sz w:val="20"/>
          <w:szCs w:val="20"/>
          <w:color w:val="auto"/>
        </w:rPr>
      </w:pPr>
      <w:r>
        <w:rPr>
          <w:rFonts w:ascii="Arial" w:cs="Arial" w:eastAsia="Arial" w:hAnsi="Arial"/>
          <w:sz w:val="16"/>
          <w:szCs w:val="16"/>
          <w:color w:val="auto"/>
        </w:rPr>
        <w:t>A complete commitment to ethical and corporate responsibility is fundamental to our compensation program. Compensation should take into account each executive’s responsibility to act at all times in accordance with our Code of Conduct, our environmental, health, safety and corporate social responsibility objectives. Financial, strategic and operational performance must not compromise these values.</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Long-Term Focus</w:t>
      </w:r>
    </w:p>
    <w:p>
      <w:pPr>
        <w:spacing w:after="0" w:line="241" w:lineRule="exact"/>
        <w:rPr>
          <w:sz w:val="20"/>
          <w:szCs w:val="20"/>
          <w:color w:val="auto"/>
        </w:rPr>
      </w:pPr>
    </w:p>
    <w:p>
      <w:pPr>
        <w:ind w:right="380"/>
        <w:spacing w:after="0" w:line="248" w:lineRule="auto"/>
        <w:rPr>
          <w:sz w:val="20"/>
          <w:szCs w:val="20"/>
          <w:color w:val="auto"/>
        </w:rPr>
      </w:pPr>
      <w:r>
        <w:rPr>
          <w:rFonts w:ascii="Arial" w:cs="Arial" w:eastAsia="Arial" w:hAnsi="Arial"/>
          <w:sz w:val="16"/>
          <w:szCs w:val="16"/>
          <w:color w:val="auto"/>
        </w:rPr>
        <w:t>For our most senior executives, long-term, stock-based compensation opportunities should significantly outweigh short-term, cash-based opportunities. Annual objectives should complement sustainable, long-term performance.</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Pay-for-Performance</w:t>
      </w:r>
    </w:p>
    <w:p>
      <w:pPr>
        <w:spacing w:after="0" w:line="255"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A substantial portion of compensation should be variable, contingent and directly linked to Company, business unit and individual performance. The portion of total compensation contingent on performance should increase with an executive’s level of responsibility.</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Shareowner Alignment</w:t>
      </w:r>
    </w:p>
    <w:p>
      <w:pPr>
        <w:spacing w:after="0" w:line="255" w:lineRule="exact"/>
        <w:rPr>
          <w:sz w:val="20"/>
          <w:szCs w:val="20"/>
          <w:color w:val="auto"/>
        </w:rPr>
      </w:pPr>
    </w:p>
    <w:p>
      <w:pPr>
        <w:ind w:right="220"/>
        <w:spacing w:after="0" w:line="250" w:lineRule="auto"/>
        <w:rPr>
          <w:sz w:val="20"/>
          <w:szCs w:val="20"/>
          <w:color w:val="auto"/>
        </w:rPr>
      </w:pPr>
      <w:r>
        <w:rPr>
          <w:rFonts w:ascii="Arial" w:cs="Arial" w:eastAsia="Arial" w:hAnsi="Arial"/>
          <w:sz w:val="16"/>
          <w:szCs w:val="16"/>
          <w:color w:val="auto"/>
        </w:rPr>
        <w:t>The financial interests of executives should be aligned with the long-term interests of our shareowners through stock- based compensation and performance metrics that correlate with long-term shareowner value.</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Fair and Equitable</w:t>
      </w:r>
    </w:p>
    <w:p>
      <w:pPr>
        <w:spacing w:after="0" w:line="241" w:lineRule="exact"/>
        <w:rPr>
          <w:sz w:val="20"/>
          <w:szCs w:val="20"/>
          <w:color w:val="auto"/>
        </w:rPr>
      </w:pPr>
    </w:p>
    <w:p>
      <w:pPr>
        <w:ind w:right="220" w:firstLine="4"/>
        <w:spacing w:after="0" w:line="250" w:lineRule="auto"/>
        <w:rPr>
          <w:sz w:val="20"/>
          <w:szCs w:val="20"/>
          <w:color w:val="auto"/>
        </w:rPr>
      </w:pPr>
      <w:r>
        <w:rPr>
          <w:rFonts w:ascii="Arial" w:cs="Arial" w:eastAsia="Arial" w:hAnsi="Arial"/>
          <w:sz w:val="16"/>
          <w:szCs w:val="16"/>
          <w:color w:val="auto"/>
        </w:rPr>
        <w:t>Compensation programs should be designed to deliver fair and equitable pay to executives of comparable experience and performance who perform similar work, regardless of race or gender.</w:t>
      </w:r>
    </w:p>
    <w:p>
      <w:pPr>
        <w:spacing w:after="0" w:line="200" w:lineRule="exact"/>
        <w:rPr>
          <w:sz w:val="20"/>
          <w:szCs w:val="20"/>
          <w:color w:val="auto"/>
        </w:rPr>
      </w:pPr>
    </w:p>
    <w:p>
      <w:pPr>
        <w:sectPr>
          <w:pgSz w:w="11900" w:h="16838" w:orient="portrait"/>
          <w:cols w:equalWidth="0" w:num="2">
            <w:col w:w="5320" w:space="520"/>
            <w:col w:w="5400"/>
          </w:cols>
          <w:pgMar w:left="320" w:top="118" w:right="339" w:bottom="1440" w:gutter="0" w:footer="0" w:header="0"/>
          <w:type w:val="continuous"/>
        </w:sectPr>
      </w:pPr>
    </w:p>
    <w:p>
      <w:pPr>
        <w:spacing w:after="0" w:line="336"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48" w:name="page49"/>
    <w:bookmarkEnd w:id="4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EXECUTIVE SUMMARY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2021 PAY DECISIONS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CE0F2C"/>
        </w:rPr>
        <w:t>2021 Pay Mix</w:t>
      </w:r>
    </w:p>
    <w:p>
      <w:pPr>
        <w:spacing w:after="0" w:line="18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Consistent with our Guiding Principles, the largest portion of compensation for our NEOs in 2021 was “at-risk” compensation—annual and long-term incentive awards that are contingent on Company performance relative to our key metrics and stock price performance. See pages 5, 49 and 52 for details on the metrics we use in our compensation program and why they were chosen.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133590" cy="14116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3590" cy="1411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20" w:hanging="313"/>
        <w:spacing w:after="0"/>
        <w:tabs>
          <w:tab w:leader="none" w:pos="3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Percentages calculated based on 2021 total direct compensation, as shown below.</w:t>
      </w:r>
    </w:p>
    <w:p>
      <w:pPr>
        <w:spacing w:after="0" w:line="49" w:lineRule="exact"/>
        <w:rPr>
          <w:rFonts w:ascii="Arial" w:cs="Arial" w:eastAsia="Arial" w:hAnsi="Arial"/>
          <w:sz w:val="12"/>
          <w:szCs w:val="12"/>
          <w:color w:val="auto"/>
        </w:rPr>
      </w:pPr>
    </w:p>
    <w:p>
      <w:pPr>
        <w:ind w:left="320" w:hanging="313"/>
        <w:spacing w:after="0"/>
        <w:tabs>
          <w:tab w:leader="none" w:pos="320" w:val="left"/>
        </w:tabs>
        <w:numPr>
          <w:ilvl w:val="0"/>
          <w:numId w:val="138"/>
        </w:numPr>
        <w:rPr>
          <w:rFonts w:ascii="Arial" w:cs="Arial" w:eastAsia="Arial" w:hAnsi="Arial"/>
          <w:sz w:val="12"/>
          <w:szCs w:val="12"/>
          <w:color w:val="auto"/>
        </w:rPr>
      </w:pPr>
      <w:r>
        <w:rPr>
          <w:rFonts w:ascii="Arial" w:cs="Arial" w:eastAsia="Arial" w:hAnsi="Arial"/>
          <w:sz w:val="12"/>
          <w:szCs w:val="12"/>
          <w:color w:val="auto"/>
        </w:rPr>
        <w:t>Excludes Mr. Dumais since he did not receive an LTI award in 2022 due to his expected transition into a consulting role later in the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CE0F2C"/>
        </w:rPr>
        <w:t>2021 Total Direct Compensation</w:t>
      </w:r>
    </w:p>
    <w:p>
      <w:pPr>
        <w:spacing w:after="0" w:line="194"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In making annual pay decisions, the Committee employs a measure called “total direct compensation,” which includes our three principal elements of executive compensation: base salary, annual and long-term incentives. These elements are discussed in detail on pages 47-53.</w:t>
      </w:r>
    </w:p>
    <w:p>
      <w:pPr>
        <w:spacing w:after="0" w:line="143"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Total direct compensation reflects how an executive’s pay relates to the Committee’s assessment of Company, business unit and individual performance for the year. For this reason, 2021 total direct compensation includes the LTI grant values approved by the Committee in February 2022 (which were based on its assessment of 2021 performance) rather than the February 2021 LTI award grant date fair values shown in the Summary Compensation Table on page 66 (which were based on the Committee’s assessment of 2020 performance and the accounting value at the time of grant). For more details on total direct compensation, see page 55.</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chart shows the 2021 total direct compensation of our NEOs who were employed by the Company at the end of 2021:</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520" w:type="dxa"/>
            <w:vAlign w:val="bottom"/>
            <w:vMerge w:val="restart"/>
          </w:tcPr>
          <w:p>
            <w:pPr>
              <w:jc w:val="right"/>
              <w:ind w:right="61"/>
              <w:spacing w:after="0"/>
              <w:rPr>
                <w:sz w:val="20"/>
                <w:szCs w:val="20"/>
                <w:color w:val="auto"/>
              </w:rPr>
            </w:pPr>
            <w:r>
              <w:rPr>
                <w:rFonts w:ascii="Arial" w:cs="Arial" w:eastAsia="Arial" w:hAnsi="Arial"/>
                <w:sz w:val="14"/>
                <w:szCs w:val="14"/>
                <w:color w:val="404040"/>
              </w:rPr>
              <w:t>Base Salary ($K)</w:t>
            </w:r>
            <w:r>
              <w:rPr>
                <w:rFonts w:ascii="Arial" w:cs="Arial" w:eastAsia="Arial" w:hAnsi="Arial"/>
                <w:sz w:val="23"/>
                <w:szCs w:val="23"/>
                <w:color w:val="404040"/>
                <w:vertAlign w:val="superscript"/>
              </w:rPr>
              <w:t>(1)</w:t>
            </w:r>
          </w:p>
        </w:tc>
        <w:tc>
          <w:tcPr>
            <w:tcW w:w="1640" w:type="dxa"/>
            <w:vAlign w:val="bottom"/>
          </w:tcPr>
          <w:p>
            <w:pPr>
              <w:spacing w:after="0"/>
              <w:rPr>
                <w:sz w:val="14"/>
                <w:szCs w:val="14"/>
                <w:color w:val="auto"/>
              </w:rPr>
            </w:pPr>
          </w:p>
        </w:tc>
        <w:tc>
          <w:tcPr>
            <w:tcW w:w="920" w:type="dxa"/>
            <w:vAlign w:val="bottom"/>
            <w:vMerge w:val="restart"/>
          </w:tcPr>
          <w:p>
            <w:pPr>
              <w:jc w:val="right"/>
              <w:ind w:right="61"/>
              <w:spacing w:after="0"/>
              <w:rPr>
                <w:sz w:val="20"/>
                <w:szCs w:val="20"/>
                <w:color w:val="auto"/>
              </w:rPr>
            </w:pPr>
            <w:r>
              <w:rPr>
                <w:rFonts w:ascii="Arial" w:cs="Arial" w:eastAsia="Arial" w:hAnsi="Arial"/>
                <w:sz w:val="14"/>
                <w:szCs w:val="14"/>
                <w:color w:val="404040"/>
              </w:rPr>
              <w:t>LTI ($K)</w:t>
            </w:r>
            <w:r>
              <w:rPr>
                <w:rFonts w:ascii="Arial" w:cs="Arial" w:eastAsia="Arial" w:hAnsi="Arial"/>
                <w:sz w:val="23"/>
                <w:szCs w:val="23"/>
                <w:color w:val="404040"/>
                <w:vertAlign w:val="superscript"/>
              </w:rPr>
              <w:t>(2)</w:t>
            </w:r>
          </w:p>
        </w:tc>
        <w:tc>
          <w:tcPr>
            <w:tcW w:w="1400" w:type="dxa"/>
            <w:vAlign w:val="bottom"/>
          </w:tcPr>
          <w:p>
            <w:pPr>
              <w:jc w:val="right"/>
              <w:spacing w:after="0"/>
              <w:rPr>
                <w:sz w:val="20"/>
                <w:szCs w:val="20"/>
                <w:color w:val="auto"/>
              </w:rPr>
            </w:pPr>
            <w:r>
              <w:rPr>
                <w:rFonts w:ascii="Arial" w:cs="Arial" w:eastAsia="Arial" w:hAnsi="Arial"/>
                <w:sz w:val="14"/>
                <w:szCs w:val="14"/>
                <w:color w:val="404040"/>
              </w:rPr>
              <w:t>Total Direct</w:t>
            </w:r>
          </w:p>
        </w:tc>
        <w:tc>
          <w:tcPr>
            <w:tcW w:w="0" w:type="dxa"/>
            <w:vAlign w:val="bottom"/>
          </w:tcPr>
          <w:p>
            <w:pPr>
              <w:spacing w:after="0"/>
              <w:rPr>
                <w:sz w:val="1"/>
                <w:szCs w:val="1"/>
                <w:color w:val="auto"/>
              </w:rPr>
            </w:pPr>
          </w:p>
        </w:tc>
      </w:tr>
      <w:tr>
        <w:trPr>
          <w:trHeight w:val="190"/>
        </w:trPr>
        <w:tc>
          <w:tcPr>
            <w:tcW w:w="3760" w:type="dxa"/>
            <w:vAlign w:val="bottom"/>
            <w:tcBorders>
              <w:bottom w:val="single" w:sz="8" w:color="CE0F2C"/>
            </w:tcBorders>
          </w:tcPr>
          <w:p>
            <w:pPr>
              <w:spacing w:after="0"/>
              <w:rPr>
                <w:sz w:val="16"/>
                <w:szCs w:val="16"/>
                <w:color w:val="auto"/>
              </w:rPr>
            </w:pPr>
          </w:p>
        </w:tc>
        <w:tc>
          <w:tcPr>
            <w:tcW w:w="3520" w:type="dxa"/>
            <w:vAlign w:val="bottom"/>
            <w:tcBorders>
              <w:bottom w:val="single" w:sz="8" w:color="CE0F2C"/>
            </w:tcBorders>
            <w:vMerge w:val="continue"/>
          </w:tcPr>
          <w:p>
            <w:pPr>
              <w:spacing w:after="0"/>
              <w:rPr>
                <w:sz w:val="16"/>
                <w:szCs w:val="16"/>
                <w:color w:val="auto"/>
              </w:rPr>
            </w:pPr>
          </w:p>
        </w:tc>
        <w:tc>
          <w:tcPr>
            <w:tcW w:w="1640" w:type="dxa"/>
            <w:vAlign w:val="bottom"/>
            <w:tcBorders>
              <w:bottom w:val="single" w:sz="8" w:color="CE0F2C"/>
            </w:tcBorders>
          </w:tcPr>
          <w:p>
            <w:pPr>
              <w:jc w:val="right"/>
              <w:ind w:right="61"/>
              <w:spacing w:after="0"/>
              <w:rPr>
                <w:sz w:val="20"/>
                <w:szCs w:val="20"/>
                <w:color w:val="auto"/>
              </w:rPr>
            </w:pPr>
            <w:r>
              <w:rPr>
                <w:rFonts w:ascii="Arial" w:cs="Arial" w:eastAsia="Arial" w:hAnsi="Arial"/>
                <w:sz w:val="14"/>
                <w:szCs w:val="14"/>
                <w:color w:val="404040"/>
              </w:rPr>
              <w:t>Annual Incentive ($K)</w:t>
            </w:r>
          </w:p>
        </w:tc>
        <w:tc>
          <w:tcPr>
            <w:tcW w:w="920" w:type="dxa"/>
            <w:vAlign w:val="bottom"/>
            <w:tcBorders>
              <w:bottom w:val="single" w:sz="8" w:color="CE0F2C"/>
            </w:tcBorders>
            <w:vMerge w:val="continue"/>
          </w:tcPr>
          <w:p>
            <w:pPr>
              <w:spacing w:after="0"/>
              <w:rPr>
                <w:sz w:val="16"/>
                <w:szCs w:val="16"/>
                <w:color w:val="auto"/>
              </w:rPr>
            </w:pPr>
          </w:p>
        </w:tc>
        <w:tc>
          <w:tcPr>
            <w:tcW w:w="1400" w:type="dxa"/>
            <w:vAlign w:val="bottom"/>
            <w:tcBorders>
              <w:bottom w:val="single" w:sz="8" w:color="CE0F2C"/>
            </w:tcBorders>
          </w:tcPr>
          <w:p>
            <w:pPr>
              <w:jc w:val="right"/>
              <w:spacing w:after="0"/>
              <w:rPr>
                <w:sz w:val="20"/>
                <w:szCs w:val="20"/>
                <w:color w:val="auto"/>
              </w:rPr>
            </w:pPr>
            <w:r>
              <w:rPr>
                <w:rFonts w:ascii="Arial" w:cs="Arial" w:eastAsia="Arial" w:hAnsi="Arial"/>
                <w:sz w:val="14"/>
                <w:szCs w:val="14"/>
                <w:color w:val="404040"/>
              </w:rPr>
              <w:t>Compensation ($K)</w:t>
            </w:r>
          </w:p>
        </w:tc>
        <w:tc>
          <w:tcPr>
            <w:tcW w:w="0" w:type="dxa"/>
            <w:vAlign w:val="bottom"/>
          </w:tcPr>
          <w:p>
            <w:pPr>
              <w:spacing w:after="0"/>
              <w:rPr>
                <w:sz w:val="1"/>
                <w:szCs w:val="1"/>
                <w:color w:val="auto"/>
              </w:rPr>
            </w:pPr>
          </w:p>
        </w:tc>
      </w:tr>
      <w:tr>
        <w:trPr>
          <w:trHeight w:val="288"/>
        </w:trPr>
        <w:tc>
          <w:tcPr>
            <w:tcW w:w="376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C"/>
              </w:rPr>
              <w:t>Gregory J. Hayes</w:t>
            </w:r>
          </w:p>
        </w:tc>
        <w:tc>
          <w:tcPr>
            <w:tcW w:w="35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$1,600</w:t>
            </w:r>
          </w:p>
        </w:tc>
        <w:tc>
          <w:tcPr>
            <w:tcW w:w="164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$4,992</w:t>
            </w:r>
          </w:p>
        </w:tc>
        <w:tc>
          <w:tcPr>
            <w:tcW w:w="9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$15,250</w:t>
            </w:r>
          </w:p>
        </w:tc>
        <w:tc>
          <w:tcPr>
            <w:tcW w:w="140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$21,842</w:t>
            </w:r>
          </w:p>
        </w:tc>
        <w:tc>
          <w:tcPr>
            <w:tcW w:w="0" w:type="dxa"/>
            <w:vAlign w:val="bottom"/>
          </w:tcPr>
          <w:p>
            <w:pPr>
              <w:spacing w:after="0"/>
              <w:rPr>
                <w:sz w:val="1"/>
                <w:szCs w:val="1"/>
                <w:color w:val="auto"/>
              </w:rPr>
            </w:pPr>
          </w:p>
        </w:tc>
      </w:tr>
      <w:tr>
        <w:trPr>
          <w:trHeight w:val="288"/>
        </w:trPr>
        <w:tc>
          <w:tcPr>
            <w:tcW w:w="376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C"/>
              </w:rPr>
              <w:t>Neil G. Mitchill, Jr.</w:t>
            </w:r>
          </w:p>
        </w:tc>
        <w:tc>
          <w:tcPr>
            <w:tcW w:w="35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$800</w:t>
            </w:r>
          </w:p>
        </w:tc>
        <w:tc>
          <w:tcPr>
            <w:tcW w:w="164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$1,200</w:t>
            </w:r>
          </w:p>
        </w:tc>
        <w:tc>
          <w:tcPr>
            <w:tcW w:w="9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$4,000</w:t>
            </w:r>
          </w:p>
        </w:tc>
        <w:tc>
          <w:tcPr>
            <w:tcW w:w="140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$6,000</w:t>
            </w:r>
          </w:p>
        </w:tc>
        <w:tc>
          <w:tcPr>
            <w:tcW w:w="0" w:type="dxa"/>
            <w:vAlign w:val="bottom"/>
          </w:tcPr>
          <w:p>
            <w:pPr>
              <w:spacing w:after="0"/>
              <w:rPr>
                <w:sz w:val="1"/>
                <w:szCs w:val="1"/>
                <w:color w:val="auto"/>
              </w:rPr>
            </w:pPr>
          </w:p>
        </w:tc>
      </w:tr>
      <w:tr>
        <w:trPr>
          <w:trHeight w:val="295"/>
        </w:trPr>
        <w:tc>
          <w:tcPr>
            <w:tcW w:w="3760" w:type="dxa"/>
            <w:vAlign w:val="bottom"/>
            <w:tcBorders>
              <w:bottom w:val="single" w:sz="8" w:color="636466"/>
            </w:tcBorders>
          </w:tcPr>
          <w:p>
            <w:pPr>
              <w:spacing w:after="0" w:line="295" w:lineRule="exact"/>
              <w:rPr>
                <w:sz w:val="20"/>
                <w:szCs w:val="20"/>
                <w:color w:val="auto"/>
              </w:rPr>
            </w:pPr>
            <w:r>
              <w:rPr>
                <w:rFonts w:ascii="Arial" w:cs="Arial" w:eastAsia="Arial" w:hAnsi="Arial"/>
                <w:sz w:val="16"/>
                <w:szCs w:val="16"/>
                <w:b w:val="1"/>
                <w:bCs w:val="1"/>
                <w:color w:val="CE0F2C"/>
              </w:rPr>
              <w:t>Michael R. Dumais</w:t>
            </w:r>
            <w:r>
              <w:rPr>
                <w:rFonts w:ascii="Arial" w:cs="Arial" w:eastAsia="Arial" w:hAnsi="Arial"/>
                <w:sz w:val="26"/>
                <w:szCs w:val="26"/>
                <w:b w:val="1"/>
                <w:bCs w:val="1"/>
                <w:color w:val="CE0F2C"/>
                <w:vertAlign w:val="superscript"/>
              </w:rPr>
              <w:t>(3)</w:t>
            </w:r>
          </w:p>
        </w:tc>
        <w:tc>
          <w:tcPr>
            <w:tcW w:w="35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$880</w:t>
            </w:r>
          </w:p>
        </w:tc>
        <w:tc>
          <w:tcPr>
            <w:tcW w:w="164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$1,200</w:t>
            </w:r>
          </w:p>
        </w:tc>
        <w:tc>
          <w:tcPr>
            <w:tcW w:w="9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$2,080</w:t>
            </w:r>
          </w:p>
        </w:tc>
        <w:tc>
          <w:tcPr>
            <w:tcW w:w="0" w:type="dxa"/>
            <w:vAlign w:val="bottom"/>
          </w:tcPr>
          <w:p>
            <w:pPr>
              <w:spacing w:after="0"/>
              <w:rPr>
                <w:sz w:val="1"/>
                <w:szCs w:val="1"/>
                <w:color w:val="auto"/>
              </w:rPr>
            </w:pPr>
          </w:p>
        </w:tc>
      </w:tr>
      <w:tr>
        <w:trPr>
          <w:trHeight w:val="281"/>
        </w:trPr>
        <w:tc>
          <w:tcPr>
            <w:tcW w:w="376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C"/>
              </w:rPr>
              <w:t>Christopher T. Calio</w:t>
            </w:r>
          </w:p>
        </w:tc>
        <w:tc>
          <w:tcPr>
            <w:tcW w:w="35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$750</w:t>
            </w:r>
          </w:p>
        </w:tc>
        <w:tc>
          <w:tcPr>
            <w:tcW w:w="164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$1,200</w:t>
            </w:r>
          </w:p>
        </w:tc>
        <w:tc>
          <w:tcPr>
            <w:tcW w:w="9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$7,000</w:t>
            </w:r>
          </w:p>
        </w:tc>
        <w:tc>
          <w:tcPr>
            <w:tcW w:w="140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$8,950</w:t>
            </w:r>
          </w:p>
        </w:tc>
        <w:tc>
          <w:tcPr>
            <w:tcW w:w="0" w:type="dxa"/>
            <w:vAlign w:val="bottom"/>
          </w:tcPr>
          <w:p>
            <w:pPr>
              <w:spacing w:after="0"/>
              <w:rPr>
                <w:sz w:val="1"/>
                <w:szCs w:val="1"/>
                <w:color w:val="auto"/>
              </w:rPr>
            </w:pPr>
          </w:p>
        </w:tc>
      </w:tr>
      <w:tr>
        <w:trPr>
          <w:trHeight w:val="301"/>
        </w:trPr>
        <w:tc>
          <w:tcPr>
            <w:tcW w:w="376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C"/>
              </w:rPr>
              <w:t>Stephen J. Timm</w:t>
            </w:r>
          </w:p>
        </w:tc>
        <w:tc>
          <w:tcPr>
            <w:tcW w:w="35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$750</w:t>
            </w:r>
          </w:p>
        </w:tc>
        <w:tc>
          <w:tcPr>
            <w:tcW w:w="164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$1,200</w:t>
            </w:r>
          </w:p>
        </w:tc>
        <w:tc>
          <w:tcPr>
            <w:tcW w:w="920" w:type="dxa"/>
            <w:vAlign w:val="bottom"/>
            <w:tcBorders>
              <w:bottom w:val="single" w:sz="8" w:color="636466"/>
            </w:tcBorders>
          </w:tcPr>
          <w:p>
            <w:pPr>
              <w:jc w:val="right"/>
              <w:ind w:right="61"/>
              <w:spacing w:after="0"/>
              <w:rPr>
                <w:sz w:val="20"/>
                <w:szCs w:val="20"/>
                <w:color w:val="auto"/>
              </w:rPr>
            </w:pPr>
            <w:r>
              <w:rPr>
                <w:rFonts w:ascii="Arial" w:cs="Arial" w:eastAsia="Arial" w:hAnsi="Arial"/>
                <w:sz w:val="16"/>
                <w:szCs w:val="16"/>
                <w:color w:val="auto"/>
              </w:rPr>
              <w:t>$5,000</w:t>
            </w:r>
          </w:p>
        </w:tc>
        <w:tc>
          <w:tcPr>
            <w:tcW w:w="1400" w:type="dxa"/>
            <w:vAlign w:val="bottom"/>
            <w:tcBorders>
              <w:bottom w:val="single" w:sz="8" w:color="636466"/>
            </w:tcBorders>
          </w:tcPr>
          <w:p>
            <w:pPr>
              <w:jc w:val="right"/>
              <w:spacing w:after="0"/>
              <w:rPr>
                <w:sz w:val="20"/>
                <w:szCs w:val="20"/>
                <w:color w:val="auto"/>
              </w:rPr>
            </w:pPr>
            <w:r>
              <w:rPr>
                <w:rFonts w:ascii="Arial" w:cs="Arial" w:eastAsia="Arial" w:hAnsi="Arial"/>
                <w:sz w:val="16"/>
                <w:szCs w:val="16"/>
                <w:b w:val="1"/>
                <w:bCs w:val="1"/>
                <w:color w:val="auto"/>
              </w:rPr>
              <w:t>$6,950</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right="260" w:hanging="313"/>
        <w:spacing w:after="0" w:line="252" w:lineRule="auto"/>
        <w:tabs>
          <w:tab w:leader="none" w:pos="3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Reflects the base salary in effect for each NEO as of December 31, 2021. Values above differ from those in the Summary Compensation Table on page 66, since they do not reflect the impact of salary adjustments (if any) made during the year and base salary reductions from furloughs at Pratt &amp; Whitney and Collins Aerospace for Messrs. Calio and Timm, respectively.</w:t>
      </w:r>
    </w:p>
    <w:p>
      <w:pPr>
        <w:spacing w:after="0" w:line="58" w:lineRule="exact"/>
        <w:rPr>
          <w:rFonts w:ascii="Arial" w:cs="Arial" w:eastAsia="Arial" w:hAnsi="Arial"/>
          <w:sz w:val="12"/>
          <w:szCs w:val="12"/>
          <w:color w:val="auto"/>
        </w:rPr>
      </w:pPr>
    </w:p>
    <w:p>
      <w:pPr>
        <w:ind w:left="320" w:right="160" w:hanging="313"/>
        <w:spacing w:after="0" w:line="252" w:lineRule="auto"/>
        <w:tabs>
          <w:tab w:leader="none" w:pos="3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Reflects values approved by the Committee for the LTI award granted on February 15, 2022. These values differ from the values that will be reported in the Summary Compensation Table in 2023, which will be calculated in accordance with FASB ASC Topic 718, Compensation—Stock Compensation.</w:t>
      </w:r>
    </w:p>
    <w:p>
      <w:pPr>
        <w:spacing w:after="0" w:line="58" w:lineRule="exact"/>
        <w:rPr>
          <w:rFonts w:ascii="Arial" w:cs="Arial" w:eastAsia="Arial" w:hAnsi="Arial"/>
          <w:sz w:val="12"/>
          <w:szCs w:val="12"/>
          <w:color w:val="auto"/>
        </w:rPr>
      </w:pPr>
    </w:p>
    <w:p>
      <w:pPr>
        <w:ind w:left="320" w:hanging="313"/>
        <w:spacing w:after="0"/>
        <w:tabs>
          <w:tab w:leader="none" w:pos="320" w:val="left"/>
        </w:tabs>
        <w:numPr>
          <w:ilvl w:val="0"/>
          <w:numId w:val="139"/>
        </w:numPr>
        <w:rPr>
          <w:rFonts w:ascii="Arial" w:cs="Arial" w:eastAsia="Arial" w:hAnsi="Arial"/>
          <w:sz w:val="12"/>
          <w:szCs w:val="12"/>
          <w:color w:val="auto"/>
        </w:rPr>
      </w:pPr>
      <w:r>
        <w:rPr>
          <w:rFonts w:ascii="Arial" w:cs="Arial" w:eastAsia="Arial" w:hAnsi="Arial"/>
          <w:sz w:val="12"/>
          <w:szCs w:val="12"/>
          <w:color w:val="auto"/>
        </w:rPr>
        <w:t>Mr. Dumais did not receive an LTI award on February 15, 2022, since he will transition into a consulting role later in the year.</w:t>
      </w:r>
    </w:p>
    <w:p>
      <w:pPr>
        <w:spacing w:after="0" w:line="218" w:lineRule="exact"/>
        <w:rPr>
          <w:sz w:val="20"/>
          <w:szCs w:val="20"/>
          <w:color w:val="auto"/>
        </w:rPr>
      </w:pPr>
    </w:p>
    <w:p>
      <w:pPr>
        <w:ind w:left="260" w:hanging="253"/>
        <w:spacing w:after="0"/>
        <w:tabs>
          <w:tab w:leader="none" w:pos="260" w:val="left"/>
        </w:tabs>
        <w:numPr>
          <w:ilvl w:val="0"/>
          <w:numId w:val="14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4540"/>
        <w:spacing w:after="0"/>
        <w:rPr>
          <w:sz w:val="20"/>
          <w:szCs w:val="20"/>
          <w:color w:val="auto"/>
        </w:rPr>
      </w:pPr>
      <w:r>
        <w:rPr>
          <w:rFonts w:ascii="Arial" w:cs="Arial" w:eastAsia="Arial" w:hAnsi="Arial"/>
          <w:sz w:val="12"/>
          <w:szCs w:val="12"/>
          <w:b w:val="1"/>
          <w:bCs w:val="1"/>
          <w:color w:val="CE0F2C"/>
        </w:rPr>
        <w:t xml:space="preserve">COMPENSATION DISCUSSION AND ANALYSIS </w:t>
      </w:r>
      <w:r>
        <w:rPr>
          <w:rFonts w:ascii="Arial" w:cs="Arial" w:eastAsia="Arial" w:hAnsi="Arial"/>
          <w:sz w:val="12"/>
          <w:szCs w:val="12"/>
          <w:color w:val="000000"/>
        </w:rPr>
        <w:t>| HOW WE MAKE PAY DECISIONS AND ASSESS OUR PROGRAMS</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CE0F2C"/>
        </w:rPr>
        <w:t>How We Make Pay Decisions and Assess Our Programs</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Roles and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132715</wp:posOffset>
            </wp:positionV>
            <wp:extent cx="7133590" cy="23209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3590" cy="232092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E0F2C"/>
        </w:rPr>
        <w:t>Human Capital &amp; Compensation Committee</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Oversees our programs</w:t>
      </w:r>
    </w:p>
    <w:p>
      <w:pPr>
        <w:spacing w:after="0" w:line="104" w:lineRule="exact"/>
        <w:rPr>
          <w:sz w:val="20"/>
          <w:szCs w:val="20"/>
          <w:color w:val="auto"/>
        </w:rPr>
      </w:pPr>
    </w:p>
    <w:p>
      <w:pPr>
        <w:ind w:left="400" w:right="520" w:hanging="250"/>
        <w:spacing w:after="0" w:line="256" w:lineRule="auto"/>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Sets financial, strategic and operational goals and objectives for the Company, our business units, and the Chairman &amp; CEO, as they relate to the Company’s annual and long-term incentive programs.</w:t>
      </w:r>
    </w:p>
    <w:p>
      <w:pPr>
        <w:spacing w:after="0" w:line="62" w:lineRule="exact"/>
        <w:rPr>
          <w:rFonts w:ascii="Arial" w:cs="Arial" w:eastAsia="Arial" w:hAnsi="Arial"/>
          <w:sz w:val="16"/>
          <w:szCs w:val="16"/>
          <w:color w:val="CE0F2C"/>
        </w:rPr>
      </w:pPr>
    </w:p>
    <w:p>
      <w:pPr>
        <w:ind w:left="400" w:hanging="250"/>
        <w:spacing w:after="0"/>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Assesses Company, business unit and NEO performance relative to the pre-established goals and objectives set for the year.</w:t>
      </w:r>
    </w:p>
    <w:p>
      <w:pPr>
        <w:spacing w:after="0" w:line="83" w:lineRule="exact"/>
        <w:rPr>
          <w:rFonts w:ascii="Arial" w:cs="Arial" w:eastAsia="Arial" w:hAnsi="Arial"/>
          <w:sz w:val="16"/>
          <w:szCs w:val="16"/>
          <w:color w:val="CE0F2C"/>
        </w:rPr>
      </w:pPr>
    </w:p>
    <w:p>
      <w:pPr>
        <w:ind w:left="400" w:hanging="250"/>
        <w:spacing w:after="0"/>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Evaluates the competitiveness of officers’ compensation and approves compensation adjustments, as necessary.</w:t>
      </w:r>
    </w:p>
    <w:p>
      <w:pPr>
        <w:spacing w:after="0" w:line="83" w:lineRule="exact"/>
        <w:rPr>
          <w:rFonts w:ascii="Arial" w:cs="Arial" w:eastAsia="Arial" w:hAnsi="Arial"/>
          <w:sz w:val="16"/>
          <w:szCs w:val="16"/>
          <w:color w:val="CE0F2C"/>
        </w:rPr>
      </w:pPr>
    </w:p>
    <w:p>
      <w:pPr>
        <w:ind w:left="400" w:right="360" w:hanging="250"/>
        <w:spacing w:after="0" w:line="256" w:lineRule="auto"/>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Approves all executive compensation program design changes, including severance, change-in-control, supplemental benefit arrangements and the Company’s Executive Leadership Group (“ELG”) program, and appoints executives to the ELG.</w:t>
      </w:r>
    </w:p>
    <w:p>
      <w:pPr>
        <w:spacing w:after="0" w:line="62" w:lineRule="exact"/>
        <w:rPr>
          <w:rFonts w:ascii="Arial" w:cs="Arial" w:eastAsia="Arial" w:hAnsi="Arial"/>
          <w:sz w:val="16"/>
          <w:szCs w:val="16"/>
          <w:color w:val="CE0F2C"/>
        </w:rPr>
      </w:pPr>
    </w:p>
    <w:p>
      <w:pPr>
        <w:ind w:left="400" w:hanging="250"/>
        <w:spacing w:after="0"/>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Reviews risk assessments as they relate to RTX’s compensation plans, policies and practices.</w:t>
      </w:r>
    </w:p>
    <w:p>
      <w:pPr>
        <w:spacing w:after="0" w:line="83" w:lineRule="exact"/>
        <w:rPr>
          <w:rFonts w:ascii="Arial" w:cs="Arial" w:eastAsia="Arial" w:hAnsi="Arial"/>
          <w:sz w:val="16"/>
          <w:szCs w:val="16"/>
          <w:color w:val="CE0F2C"/>
        </w:rPr>
      </w:pPr>
    </w:p>
    <w:p>
      <w:pPr>
        <w:ind w:left="400" w:hanging="250"/>
        <w:spacing w:after="0"/>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Considers shareowner input regarding executive compensation decisions and policies.</w:t>
      </w:r>
    </w:p>
    <w:p>
      <w:pPr>
        <w:spacing w:after="0" w:line="83" w:lineRule="exact"/>
        <w:rPr>
          <w:rFonts w:ascii="Arial" w:cs="Arial" w:eastAsia="Arial" w:hAnsi="Arial"/>
          <w:sz w:val="16"/>
          <w:szCs w:val="16"/>
          <w:color w:val="CE0F2C"/>
        </w:rPr>
      </w:pPr>
    </w:p>
    <w:p>
      <w:pPr>
        <w:ind w:left="400" w:hanging="250"/>
        <w:spacing w:after="0"/>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Reviews the Company’s initiatives relating to its human capital management function.</w:t>
      </w:r>
    </w:p>
    <w:p>
      <w:pPr>
        <w:spacing w:after="0" w:line="83" w:lineRule="exact"/>
        <w:rPr>
          <w:rFonts w:ascii="Arial" w:cs="Arial" w:eastAsia="Arial" w:hAnsi="Arial"/>
          <w:sz w:val="16"/>
          <w:szCs w:val="16"/>
          <w:color w:val="CE0F2C"/>
        </w:rPr>
      </w:pPr>
    </w:p>
    <w:p>
      <w:pPr>
        <w:ind w:left="400" w:right="760" w:hanging="250"/>
        <w:spacing w:after="0" w:line="256" w:lineRule="auto"/>
        <w:tabs>
          <w:tab w:leader="none" w:pos="400" w:val="left"/>
        </w:tabs>
        <w:numPr>
          <w:ilvl w:val="0"/>
          <w:numId w:val="141"/>
        </w:numPr>
        <w:rPr>
          <w:rFonts w:ascii="Arial" w:cs="Arial" w:eastAsia="Arial" w:hAnsi="Arial"/>
          <w:sz w:val="16"/>
          <w:szCs w:val="16"/>
          <w:color w:val="CE0F2C"/>
        </w:rPr>
      </w:pPr>
      <w:r>
        <w:rPr>
          <w:rFonts w:ascii="Arial" w:cs="Arial" w:eastAsia="Arial" w:hAnsi="Arial"/>
          <w:sz w:val="16"/>
          <w:szCs w:val="16"/>
          <w:color w:val="auto"/>
        </w:rPr>
        <w:t>Engages the Committee’s independent consultant, including approving the consultant’s compensation, determining the nature and scope of its services, evaluating its performance, terminating the engagement, and hiring a replacement or additional consultant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33590" cy="11734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3590" cy="117348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E0F2C"/>
        </w:rPr>
        <w:t>CEO</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Provides input to the Committee</w:t>
      </w:r>
    </w:p>
    <w:p>
      <w:pPr>
        <w:spacing w:after="0" w:line="104" w:lineRule="exact"/>
        <w:rPr>
          <w:sz w:val="20"/>
          <w:szCs w:val="20"/>
          <w:color w:val="auto"/>
        </w:rPr>
      </w:pPr>
    </w:p>
    <w:p>
      <w:pPr>
        <w:ind w:left="400" w:hanging="250"/>
        <w:spacing w:after="0"/>
        <w:tabs>
          <w:tab w:leader="none" w:pos="400" w:val="left"/>
        </w:tabs>
        <w:numPr>
          <w:ilvl w:val="0"/>
          <w:numId w:val="142"/>
        </w:numPr>
        <w:rPr>
          <w:rFonts w:ascii="Arial" w:cs="Arial" w:eastAsia="Arial" w:hAnsi="Arial"/>
          <w:sz w:val="16"/>
          <w:szCs w:val="16"/>
          <w:color w:val="CE0F2C"/>
        </w:rPr>
      </w:pPr>
      <w:r>
        <w:rPr>
          <w:rFonts w:ascii="Arial" w:cs="Arial" w:eastAsia="Arial" w:hAnsi="Arial"/>
          <w:sz w:val="16"/>
          <w:szCs w:val="16"/>
          <w:color w:val="auto"/>
        </w:rPr>
        <w:t>Presents the Committee with recommendations for each principal element of compensation for our officers, except for himself.</w:t>
      </w:r>
    </w:p>
    <w:p>
      <w:pPr>
        <w:spacing w:after="0" w:line="83" w:lineRule="exact"/>
        <w:rPr>
          <w:rFonts w:ascii="Arial" w:cs="Arial" w:eastAsia="Arial" w:hAnsi="Arial"/>
          <w:sz w:val="16"/>
          <w:szCs w:val="16"/>
          <w:color w:val="CE0F2C"/>
        </w:rPr>
      </w:pPr>
    </w:p>
    <w:p>
      <w:pPr>
        <w:ind w:left="400" w:right="140" w:hanging="250"/>
        <w:spacing w:after="0" w:line="256" w:lineRule="auto"/>
        <w:tabs>
          <w:tab w:leader="none" w:pos="400" w:val="left"/>
        </w:tabs>
        <w:numPr>
          <w:ilvl w:val="0"/>
          <w:numId w:val="142"/>
        </w:numPr>
        <w:rPr>
          <w:rFonts w:ascii="Arial" w:cs="Arial" w:eastAsia="Arial" w:hAnsi="Arial"/>
          <w:sz w:val="16"/>
          <w:szCs w:val="16"/>
          <w:color w:val="CE0F2C"/>
        </w:rPr>
      </w:pPr>
      <w:r>
        <w:rPr>
          <w:rFonts w:ascii="Arial" w:cs="Arial" w:eastAsia="Arial" w:hAnsi="Arial"/>
          <w:sz w:val="16"/>
          <w:szCs w:val="16"/>
          <w:color w:val="auto"/>
        </w:rPr>
        <w:t>Considers the performance of each officer, their business unit and/or function, market benchmarks, internal equity and retention risk when making such recommendations.</w:t>
      </w:r>
    </w:p>
    <w:p>
      <w:pPr>
        <w:spacing w:after="0" w:line="62" w:lineRule="exact"/>
        <w:rPr>
          <w:rFonts w:ascii="Arial" w:cs="Arial" w:eastAsia="Arial" w:hAnsi="Arial"/>
          <w:sz w:val="16"/>
          <w:szCs w:val="16"/>
          <w:color w:val="CE0F2C"/>
        </w:rPr>
      </w:pPr>
    </w:p>
    <w:p>
      <w:pPr>
        <w:ind w:left="400" w:hanging="250"/>
        <w:spacing w:after="0"/>
        <w:tabs>
          <w:tab w:leader="none" w:pos="400" w:val="left"/>
        </w:tabs>
        <w:numPr>
          <w:ilvl w:val="0"/>
          <w:numId w:val="142"/>
        </w:numPr>
        <w:rPr>
          <w:rFonts w:ascii="Arial" w:cs="Arial" w:eastAsia="Arial" w:hAnsi="Arial"/>
          <w:sz w:val="16"/>
          <w:szCs w:val="16"/>
          <w:color w:val="CE0F2C"/>
        </w:rPr>
      </w:pPr>
      <w:r>
        <w:rPr>
          <w:rFonts w:ascii="Arial" w:cs="Arial" w:eastAsia="Arial" w:hAnsi="Arial"/>
          <w:sz w:val="16"/>
          <w:szCs w:val="16"/>
          <w:color w:val="auto"/>
        </w:rPr>
        <w:t>Has no role in the Committee’s determination of his compensation or performance 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315595</wp:posOffset>
            </wp:positionV>
            <wp:extent cx="7133590" cy="11220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3590" cy="11220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E0F2C"/>
        </w:rPr>
        <w:t>Independent Consultant</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Provides an independent perspective and assessment</w:t>
      </w:r>
    </w:p>
    <w:p>
      <w:pPr>
        <w:spacing w:after="0" w:line="104" w:lineRule="exact"/>
        <w:rPr>
          <w:sz w:val="20"/>
          <w:szCs w:val="20"/>
          <w:color w:val="auto"/>
        </w:rPr>
      </w:pPr>
    </w:p>
    <w:p>
      <w:pPr>
        <w:ind w:left="400" w:right="400" w:hanging="250"/>
        <w:spacing w:after="0" w:line="256" w:lineRule="auto"/>
        <w:tabs>
          <w:tab w:leader="none" w:pos="400" w:val="left"/>
        </w:tabs>
        <w:numPr>
          <w:ilvl w:val="0"/>
          <w:numId w:val="143"/>
        </w:numPr>
        <w:rPr>
          <w:rFonts w:ascii="Arial" w:cs="Arial" w:eastAsia="Arial" w:hAnsi="Arial"/>
          <w:sz w:val="16"/>
          <w:szCs w:val="16"/>
          <w:color w:val="CE0F2C"/>
        </w:rPr>
      </w:pPr>
      <w:r>
        <w:rPr>
          <w:rFonts w:ascii="Arial" w:cs="Arial" w:eastAsia="Arial" w:hAnsi="Arial"/>
          <w:sz w:val="16"/>
          <w:szCs w:val="16"/>
          <w:color w:val="auto"/>
        </w:rPr>
        <w:t>Advises the Committee on a variety of subjects, including compensation plan design and trends, pay-for-performance analytics, benchmarking data and related matters.</w:t>
      </w:r>
    </w:p>
    <w:p>
      <w:pPr>
        <w:spacing w:after="0" w:line="62" w:lineRule="exact"/>
        <w:rPr>
          <w:rFonts w:ascii="Arial" w:cs="Arial" w:eastAsia="Arial" w:hAnsi="Arial"/>
          <w:sz w:val="16"/>
          <w:szCs w:val="16"/>
          <w:color w:val="CE0F2C"/>
        </w:rPr>
      </w:pPr>
    </w:p>
    <w:p>
      <w:pPr>
        <w:ind w:left="400" w:right="860" w:hanging="250"/>
        <w:spacing w:after="0" w:line="256" w:lineRule="auto"/>
        <w:tabs>
          <w:tab w:leader="none" w:pos="400" w:val="left"/>
        </w:tabs>
        <w:numPr>
          <w:ilvl w:val="0"/>
          <w:numId w:val="143"/>
        </w:numPr>
        <w:rPr>
          <w:rFonts w:ascii="Arial" w:cs="Arial" w:eastAsia="Arial" w:hAnsi="Arial"/>
          <w:sz w:val="16"/>
          <w:szCs w:val="16"/>
          <w:color w:val="CE0F2C"/>
        </w:rPr>
      </w:pPr>
      <w:r>
        <w:rPr>
          <w:rFonts w:ascii="Arial" w:cs="Arial" w:eastAsia="Arial" w:hAnsi="Arial"/>
          <w:sz w:val="16"/>
          <w:szCs w:val="16"/>
          <w:color w:val="auto"/>
        </w:rPr>
        <w:t>Reports directly to the Committee, participates in meetings as requested and communicates with the Committee Chair between meetings,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302260</wp:posOffset>
            </wp:positionV>
            <wp:extent cx="7133590" cy="9950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3590" cy="99504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E0F2C"/>
        </w:rPr>
        <w:t>Management</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Provide insight and assistance</w:t>
      </w:r>
    </w:p>
    <w:p>
      <w:pPr>
        <w:spacing w:after="0" w:line="184" w:lineRule="exact"/>
        <w:rPr>
          <w:sz w:val="20"/>
          <w:szCs w:val="20"/>
          <w:color w:val="auto"/>
        </w:rPr>
      </w:pPr>
    </w:p>
    <w:p>
      <w:pPr>
        <w:jc w:val="both"/>
        <w:ind w:left="140" w:right="140"/>
        <w:spacing w:after="0" w:line="250" w:lineRule="auto"/>
        <w:rPr>
          <w:sz w:val="20"/>
          <w:szCs w:val="20"/>
          <w:color w:val="auto"/>
        </w:rPr>
      </w:pPr>
      <w:r>
        <w:rPr>
          <w:rFonts w:ascii="Arial" w:cs="Arial" w:eastAsia="Arial" w:hAnsi="Arial"/>
          <w:sz w:val="16"/>
          <w:szCs w:val="16"/>
          <w:color w:val="auto"/>
        </w:rPr>
        <w:t>The Executive Vice President &amp; Chief Human Resources Officer, along with RTX’s Human Resources staff, provide insight on program design and gather compensation market data to assist the Committee with its decision-making process. Management also has responsibility for executive compensation plan administration for employees who are not officers of the Company, a function delegated to it by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7133590" cy="8845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3590" cy="8845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CE0F2C"/>
        </w:rPr>
        <w:t>Shareowners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Provide feedback on our programs</w:t>
      </w:r>
    </w:p>
    <w:p>
      <w:pPr>
        <w:spacing w:after="0" w:line="184" w:lineRule="exact"/>
        <w:rPr>
          <w:sz w:val="20"/>
          <w:szCs w:val="20"/>
          <w:color w:val="auto"/>
        </w:rPr>
      </w:pPr>
    </w:p>
    <w:p>
      <w:pPr>
        <w:ind w:left="140" w:right="760"/>
        <w:spacing w:after="0" w:line="256" w:lineRule="auto"/>
        <w:rPr>
          <w:sz w:val="20"/>
          <w:szCs w:val="20"/>
          <w:color w:val="auto"/>
        </w:rPr>
      </w:pPr>
      <w:r>
        <w:rPr>
          <w:rFonts w:ascii="Arial" w:cs="Arial" w:eastAsia="Arial" w:hAnsi="Arial"/>
          <w:sz w:val="16"/>
          <w:szCs w:val="16"/>
          <w:color w:val="auto"/>
        </w:rPr>
        <w:t>In assessing our programs each year, the Committee reviews the feedback received from shareowners. Together with other factors, this helps the Committee in its decision-making process and its ongoing assessment of the effectiveness of our program.</w:t>
      </w:r>
    </w:p>
    <w:p>
      <w:pPr>
        <w:sectPr>
          <w:pgSz w:w="11900" w:h="16838" w:orient="portrait"/>
          <w:cols w:equalWidth="0" w:num="1">
            <w:col w:w="11240"/>
          </w:cols>
          <w:pgMar w:left="320" w:top="118" w:right="339" w:bottom="1440" w:gutter="0" w:footer="0" w:header="0"/>
        </w:sectPr>
      </w:pPr>
    </w:p>
    <w:p>
      <w:pPr>
        <w:spacing w:after="0" w:line="330"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HOW WE MAKE PAY DECISIONS AND ASSESS OUR PROGRAMS</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2021 Independent Consultant Engagement</w:t>
      </w:r>
    </w:p>
    <w:p>
      <w:pPr>
        <w:spacing w:after="0" w:line="210"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 early 2021, the Committee again engaged Frederic W. Cook &amp; Co. (“FW Cook”) as the Committee’s independent consultant for the year. Prior to its engagement, the Committee reviewed the firm’s qualifications, independence and any potential conflicts of interest. FW Cook did not perform other services for or receive other fees from the Company. As a result, the Committee determined that FW Cook qualified as an independent consultant. During 2021, FW Cook representatives attended each of the five Committee meetings.</w:t>
      </w:r>
    </w:p>
    <w:p>
      <w:pPr>
        <w:spacing w:after="0" w:line="150"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No other consulting firm made recommendations to the Committee on RTX’s peer group composition or on the form, amount or design of executive compensation in 2021. However, the Committee does obtain market data from other compensation consulting firms for benchmarking and other purposes. Generally, such data is also available to other consulting clients of these firms.</w:t>
      </w:r>
    </w:p>
    <w:p>
      <w:pPr>
        <w:spacing w:after="0" w:line="11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Our Compensation Peer Group and Use of Market Data</w:t>
      </w:r>
    </w:p>
    <w:p>
      <w:pPr>
        <w:spacing w:after="0" w:line="19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b w:val="1"/>
          <w:bCs w:val="1"/>
          <w:color w:val="CE0F2D"/>
        </w:rPr>
        <w:t xml:space="preserve">How We Use Peer Group Data. </w:t>
      </w:r>
      <w:r>
        <w:rPr>
          <w:rFonts w:ascii="Arial" w:cs="Arial" w:eastAsia="Arial" w:hAnsi="Arial"/>
          <w:sz w:val="16"/>
          <w:szCs w:val="16"/>
          <w:color w:val="000000"/>
        </w:rPr>
        <w:t>The Committee believes that to keep our executive compensation program sufficiently competitive, the target value of each</w:t>
      </w:r>
      <w:r>
        <w:rPr>
          <w:rFonts w:ascii="Arial" w:cs="Arial" w:eastAsia="Arial" w:hAnsi="Arial"/>
          <w:sz w:val="16"/>
          <w:szCs w:val="16"/>
          <w:b w:val="1"/>
          <w:bCs w:val="1"/>
          <w:color w:val="CE0F2D"/>
        </w:rPr>
        <w:t xml:space="preserve"> </w:t>
      </w:r>
      <w:r>
        <w:rPr>
          <w:rFonts w:ascii="Arial" w:cs="Arial" w:eastAsia="Arial" w:hAnsi="Arial"/>
          <w:sz w:val="16"/>
          <w:szCs w:val="16"/>
          <w:color w:val="000000"/>
        </w:rPr>
        <w:t>principal element of compensation should approximate the market median of the companies RTX views as competitors for senior executive talent. For this reason, we compare our executive compensation program to the programs of companies within our Compensation Peer Group (“CPG”). In addition, we use market data from the aerospace and defense sector, the Fortune 100 and a broader group of companies to gain insight into general compensation trends and to supplement CPG market data when the Committee finds this necessary or appropriate. The Committee annually evaluates each compensation element relative to the market for each officer’s role and makes adjustments as necessary. However, individual compensation may vary from market median benchmarks based on the Committee’s assessment of other factors that it determines to be relevant, including Company, business unit, function and/or individual performance, job scope, retention risk, internal pay equity and tenure.</w:t>
      </w:r>
    </w:p>
    <w:p>
      <w:pPr>
        <w:spacing w:after="0" w:line="127"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CE0F2D"/>
        </w:rPr>
        <w:t xml:space="preserve">How Our Compensation Peer Group is Constructed. </w:t>
      </w:r>
      <w:r>
        <w:rPr>
          <w:rFonts w:ascii="Arial" w:cs="Arial" w:eastAsia="Arial" w:hAnsi="Arial"/>
          <w:sz w:val="16"/>
          <w:szCs w:val="16"/>
          <w:color w:val="000000"/>
        </w:rPr>
        <w:t>The CPG’s composition reflects a mix of industry and non-industry peers. The Committee believes</w:t>
      </w:r>
      <w:r>
        <w:rPr>
          <w:rFonts w:ascii="Arial" w:cs="Arial" w:eastAsia="Arial" w:hAnsi="Arial"/>
          <w:sz w:val="16"/>
          <w:szCs w:val="16"/>
          <w:b w:val="1"/>
          <w:bCs w:val="1"/>
          <w:color w:val="CE0F2D"/>
        </w:rPr>
        <w:t xml:space="preserve"> </w:t>
      </w:r>
      <w:r>
        <w:rPr>
          <w:rFonts w:ascii="Arial" w:cs="Arial" w:eastAsia="Arial" w:hAnsi="Arial"/>
          <w:sz w:val="16"/>
          <w:szCs w:val="16"/>
          <w:color w:val="000000"/>
        </w:rPr>
        <w:t>the 20 companies that make up the CPG provide a relevant comparison based on their similarity to RTX in size, geographic footprint and operational complexity, taking into account factors such as revenue, market capitalization, global scope of operations, manufacturing footprint, research and development activities, and technology and engineering focus. The CPG is used solely for the purpose of benchmarking executive compensation. As a result, we do not use the relative financial performance of the CPG as a performance metric in our incentive compensation programs.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121920</wp:posOffset>
            </wp:positionV>
            <wp:extent cx="450850" cy="4248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0850" cy="42481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121920</wp:posOffset>
            </wp:positionV>
            <wp:extent cx="424815" cy="4248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24815" cy="424815"/>
                    </a:xfrm>
                    <a:prstGeom prst="rect">
                      <a:avLst/>
                    </a:prstGeom>
                    <a:noFill/>
                  </pic:spPr>
                </pic:pic>
              </a:graphicData>
            </a:graphic>
          </wp:anchor>
        </w:drawing>
        <w:drawing>
          <wp:anchor simplePos="0" relativeHeight="251657728" behindDoc="1" locked="0" layoutInCell="0" allowOverlap="1">
            <wp:simplePos x="0" y="0"/>
            <wp:positionH relativeFrom="column">
              <wp:posOffset>5573395</wp:posOffset>
            </wp:positionH>
            <wp:positionV relativeFrom="paragraph">
              <wp:posOffset>121920</wp:posOffset>
            </wp:positionV>
            <wp:extent cx="493395" cy="4248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339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Aerospace &amp; Defense</w:t>
            </w:r>
          </w:p>
        </w:tc>
        <w:tc>
          <w:tcPr>
            <w:tcW w:w="2920" w:type="dxa"/>
            <w:vAlign w:val="bottom"/>
            <w:gridSpan w:val="2"/>
          </w:tcPr>
          <w:p>
            <w:pPr>
              <w:ind w:left="340"/>
              <w:spacing w:after="0"/>
              <w:rPr>
                <w:sz w:val="20"/>
                <w:szCs w:val="20"/>
                <w:color w:val="auto"/>
              </w:rPr>
            </w:pPr>
            <w:r>
              <w:rPr>
                <w:rFonts w:ascii="Arial" w:cs="Arial" w:eastAsia="Arial" w:hAnsi="Arial"/>
                <w:sz w:val="16"/>
                <w:szCs w:val="16"/>
                <w:b w:val="1"/>
                <w:bCs w:val="1"/>
                <w:color w:val="auto"/>
              </w:rPr>
              <w:t>Equipment &amp; Machinery</w:t>
            </w:r>
          </w:p>
        </w:tc>
        <w:tc>
          <w:tcPr>
            <w:tcW w:w="36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Technology/Communications</w:t>
            </w:r>
          </w:p>
        </w:tc>
        <w:tc>
          <w:tcPr>
            <w:tcW w:w="2800" w:type="dxa"/>
            <w:vAlign w:val="bottom"/>
            <w:gridSpan w:val="2"/>
          </w:tcPr>
          <w:p>
            <w:pPr>
              <w:ind w:left="340"/>
              <w:spacing w:after="0"/>
              <w:rPr>
                <w:sz w:val="20"/>
                <w:szCs w:val="20"/>
                <w:color w:val="auto"/>
              </w:rPr>
            </w:pPr>
            <w:r>
              <w:rPr>
                <w:rFonts w:ascii="Arial" w:cs="Arial" w:eastAsia="Arial" w:hAnsi="Arial"/>
                <w:sz w:val="16"/>
                <w:szCs w:val="16"/>
                <w:b w:val="1"/>
                <w:bCs w:val="1"/>
                <w:color w:val="auto"/>
              </w:rPr>
              <w:t>Oil &amp; Gas</w:t>
            </w:r>
          </w:p>
        </w:tc>
      </w:tr>
      <w:tr>
        <w:trPr>
          <w:trHeight w:val="93"/>
        </w:trPr>
        <w:tc>
          <w:tcPr>
            <w:tcW w:w="2600" w:type="dxa"/>
            <w:vAlign w:val="bottom"/>
            <w:tcBorders>
              <w:bottom w:val="single" w:sz="8" w:color="CE0F2D"/>
            </w:tcBorders>
          </w:tcPr>
          <w:p>
            <w:pPr>
              <w:spacing w:after="0"/>
              <w:rPr>
                <w:sz w:val="8"/>
                <w:szCs w:val="8"/>
                <w:color w:val="auto"/>
              </w:rPr>
            </w:pPr>
          </w:p>
        </w:tc>
        <w:tc>
          <w:tcPr>
            <w:tcW w:w="340" w:type="dxa"/>
            <w:vAlign w:val="bottom"/>
          </w:tcPr>
          <w:p>
            <w:pPr>
              <w:spacing w:after="0"/>
              <w:rPr>
                <w:sz w:val="8"/>
                <w:szCs w:val="8"/>
                <w:color w:val="auto"/>
              </w:rPr>
            </w:pPr>
          </w:p>
        </w:tc>
        <w:tc>
          <w:tcPr>
            <w:tcW w:w="2580" w:type="dxa"/>
            <w:vAlign w:val="bottom"/>
            <w:tcBorders>
              <w:bottom w:val="single" w:sz="8" w:color="CE0F2D"/>
            </w:tcBorders>
          </w:tcPr>
          <w:p>
            <w:pPr>
              <w:spacing w:after="0"/>
              <w:rPr>
                <w:sz w:val="8"/>
                <w:szCs w:val="8"/>
                <w:color w:val="auto"/>
              </w:rPr>
            </w:pPr>
          </w:p>
        </w:tc>
        <w:tc>
          <w:tcPr>
            <w:tcW w:w="360" w:type="dxa"/>
            <w:vAlign w:val="bottom"/>
          </w:tcPr>
          <w:p>
            <w:pPr>
              <w:spacing w:after="0"/>
              <w:rPr>
                <w:sz w:val="8"/>
                <w:szCs w:val="8"/>
                <w:color w:val="auto"/>
              </w:rPr>
            </w:pPr>
          </w:p>
        </w:tc>
        <w:tc>
          <w:tcPr>
            <w:tcW w:w="2560" w:type="dxa"/>
            <w:vAlign w:val="bottom"/>
            <w:tcBorders>
              <w:bottom w:val="single" w:sz="8" w:color="CE0F2D"/>
            </w:tcBorders>
          </w:tcPr>
          <w:p>
            <w:pPr>
              <w:spacing w:after="0"/>
              <w:rPr>
                <w:sz w:val="8"/>
                <w:szCs w:val="8"/>
                <w:color w:val="auto"/>
              </w:rPr>
            </w:pPr>
          </w:p>
        </w:tc>
        <w:tc>
          <w:tcPr>
            <w:tcW w:w="340" w:type="dxa"/>
            <w:vAlign w:val="bottom"/>
          </w:tcPr>
          <w:p>
            <w:pPr>
              <w:spacing w:after="0"/>
              <w:rPr>
                <w:sz w:val="8"/>
                <w:szCs w:val="8"/>
                <w:color w:val="auto"/>
              </w:rPr>
            </w:pPr>
          </w:p>
        </w:tc>
        <w:tc>
          <w:tcPr>
            <w:tcW w:w="2460" w:type="dxa"/>
            <w:vAlign w:val="bottom"/>
            <w:tcBorders>
              <w:bottom w:val="single" w:sz="8" w:color="CE0F2D"/>
            </w:tcBorders>
          </w:tcPr>
          <w:p>
            <w:pPr>
              <w:spacing w:after="0"/>
              <w:rPr>
                <w:sz w:val="8"/>
                <w:szCs w:val="8"/>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Boeing</w:t>
            </w:r>
          </w:p>
        </w:tc>
        <w:tc>
          <w:tcPr>
            <w:tcW w:w="2920" w:type="dxa"/>
            <w:vAlign w:val="bottom"/>
            <w:gridSpan w:val="2"/>
          </w:tcPr>
          <w:p>
            <w:pPr>
              <w:ind w:left="340"/>
              <w:spacing w:after="0"/>
              <w:rPr>
                <w:sz w:val="20"/>
                <w:szCs w:val="20"/>
                <w:color w:val="auto"/>
              </w:rPr>
            </w:pPr>
            <w:r>
              <w:rPr>
                <w:rFonts w:ascii="Arial" w:cs="Arial" w:eastAsia="Arial" w:hAnsi="Arial"/>
                <w:sz w:val="16"/>
                <w:szCs w:val="16"/>
                <w:color w:val="auto"/>
              </w:rPr>
              <w:t>3M</w:t>
            </w:r>
          </w:p>
        </w:tc>
        <w:tc>
          <w:tcPr>
            <w:tcW w:w="36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AT&amp;T</w:t>
            </w:r>
          </w:p>
        </w:tc>
        <w:tc>
          <w:tcPr>
            <w:tcW w:w="2800" w:type="dxa"/>
            <w:vAlign w:val="bottom"/>
            <w:gridSpan w:val="2"/>
          </w:tcPr>
          <w:p>
            <w:pPr>
              <w:ind w:left="340"/>
              <w:spacing w:after="0"/>
              <w:rPr>
                <w:sz w:val="20"/>
                <w:szCs w:val="20"/>
                <w:color w:val="auto"/>
              </w:rPr>
            </w:pPr>
            <w:r>
              <w:rPr>
                <w:rFonts w:ascii="Arial" w:cs="Arial" w:eastAsia="Arial" w:hAnsi="Arial"/>
                <w:sz w:val="16"/>
                <w:szCs w:val="16"/>
                <w:color w:val="auto"/>
              </w:rPr>
              <w:t>Chevron</w:t>
            </w:r>
          </w:p>
        </w:tc>
      </w:tr>
      <w:tr>
        <w:trPr>
          <w:trHeight w:val="187"/>
        </w:trPr>
        <w:tc>
          <w:tcPr>
            <w:tcW w:w="2600" w:type="dxa"/>
            <w:vAlign w:val="bottom"/>
          </w:tcPr>
          <w:p>
            <w:pPr>
              <w:spacing w:after="0"/>
              <w:rPr>
                <w:sz w:val="20"/>
                <w:szCs w:val="20"/>
                <w:color w:val="auto"/>
              </w:rPr>
            </w:pPr>
            <w:r>
              <w:rPr>
                <w:rFonts w:ascii="Arial" w:cs="Arial" w:eastAsia="Arial" w:hAnsi="Arial"/>
                <w:sz w:val="16"/>
                <w:szCs w:val="16"/>
                <w:color w:val="auto"/>
              </w:rPr>
              <w:t>General Dynamics</w:t>
            </w:r>
          </w:p>
        </w:tc>
        <w:tc>
          <w:tcPr>
            <w:tcW w:w="2920" w:type="dxa"/>
            <w:vAlign w:val="bottom"/>
            <w:gridSpan w:val="2"/>
          </w:tcPr>
          <w:p>
            <w:pPr>
              <w:ind w:left="340"/>
              <w:spacing w:after="0"/>
              <w:rPr>
                <w:sz w:val="20"/>
                <w:szCs w:val="20"/>
                <w:color w:val="auto"/>
              </w:rPr>
            </w:pPr>
            <w:r>
              <w:rPr>
                <w:rFonts w:ascii="Arial" w:cs="Arial" w:eastAsia="Arial" w:hAnsi="Arial"/>
                <w:sz w:val="16"/>
                <w:szCs w:val="16"/>
                <w:color w:val="auto"/>
              </w:rPr>
              <w:t>Caterpillar</w:t>
            </w:r>
          </w:p>
        </w:tc>
        <w:tc>
          <w:tcPr>
            <w:tcW w:w="3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Cisco</w:t>
            </w: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6"/>
                <w:szCs w:val="16"/>
                <w:color w:val="auto"/>
              </w:rPr>
              <w:t>L3Harris Technologies</w:t>
            </w:r>
          </w:p>
        </w:tc>
        <w:tc>
          <w:tcPr>
            <w:tcW w:w="2920" w:type="dxa"/>
            <w:vAlign w:val="bottom"/>
            <w:gridSpan w:val="2"/>
          </w:tcPr>
          <w:p>
            <w:pPr>
              <w:ind w:left="340"/>
              <w:spacing w:after="0"/>
              <w:rPr>
                <w:sz w:val="20"/>
                <w:szCs w:val="20"/>
                <w:color w:val="auto"/>
              </w:rPr>
            </w:pPr>
            <w:r>
              <w:rPr>
                <w:rFonts w:ascii="Arial" w:cs="Arial" w:eastAsia="Arial" w:hAnsi="Arial"/>
                <w:sz w:val="16"/>
                <w:szCs w:val="16"/>
                <w:color w:val="auto"/>
              </w:rPr>
              <w:t>Deere</w:t>
            </w:r>
          </w:p>
        </w:tc>
        <w:tc>
          <w:tcPr>
            <w:tcW w:w="3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HP, Inc.</w:t>
            </w: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6"/>
                <w:szCs w:val="16"/>
                <w:color w:val="auto"/>
              </w:rPr>
              <w:t>Lockheed Martin</w:t>
            </w: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IBM</w:t>
            </w: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87"/>
        </w:trPr>
        <w:tc>
          <w:tcPr>
            <w:tcW w:w="2600" w:type="dxa"/>
            <w:vAlign w:val="bottom"/>
          </w:tcPr>
          <w:p>
            <w:pPr>
              <w:spacing w:after="0"/>
              <w:rPr>
                <w:sz w:val="20"/>
                <w:szCs w:val="20"/>
                <w:color w:val="auto"/>
              </w:rPr>
            </w:pPr>
            <w:r>
              <w:rPr>
                <w:rFonts w:ascii="Arial" w:cs="Arial" w:eastAsia="Arial" w:hAnsi="Arial"/>
                <w:sz w:val="16"/>
                <w:szCs w:val="16"/>
                <w:color w:val="auto"/>
              </w:rPr>
              <w:t>Northrop Grumman</w:t>
            </w: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Intel</w:t>
            </w: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193"/>
        </w:trPr>
        <w:tc>
          <w:tcPr>
            <w:tcW w:w="2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Verizon</w:t>
            </w: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441960" cy="4248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1960" cy="424815"/>
                    </a:xfrm>
                    <a:prstGeom prst="rect">
                      <a:avLst/>
                    </a:prstGeom>
                    <a:noFill/>
                  </pic:spPr>
                </pic:pic>
              </a:graphicData>
            </a:graphic>
          </wp:anchor>
        </w:drawing>
        <w:drawing>
          <wp:anchor simplePos="0" relativeHeight="251657728" behindDoc="1" locked="0" layoutInCell="0" allowOverlap="1">
            <wp:simplePos x="0" y="0"/>
            <wp:positionH relativeFrom="column">
              <wp:posOffset>1866265</wp:posOffset>
            </wp:positionH>
            <wp:positionV relativeFrom="paragraph">
              <wp:posOffset>139700</wp:posOffset>
            </wp:positionV>
            <wp:extent cx="391160" cy="4248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91160" cy="42481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199390</wp:posOffset>
            </wp:positionV>
            <wp:extent cx="484505" cy="3403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84505" cy="340360"/>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114300</wp:posOffset>
            </wp:positionV>
            <wp:extent cx="424815" cy="42481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24815" cy="424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00" w:type="dxa"/>
            <w:vAlign w:val="bottom"/>
          </w:tcPr>
          <w:p>
            <w:pPr>
              <w:spacing w:after="0"/>
              <w:rPr>
                <w:sz w:val="20"/>
                <w:szCs w:val="20"/>
                <w:color w:val="auto"/>
              </w:rPr>
            </w:pPr>
            <w:r>
              <w:rPr>
                <w:rFonts w:ascii="Arial" w:cs="Arial" w:eastAsia="Arial" w:hAnsi="Arial"/>
                <w:sz w:val="16"/>
                <w:szCs w:val="16"/>
                <w:b w:val="1"/>
                <w:bCs w:val="1"/>
                <w:color w:val="auto"/>
              </w:rPr>
              <w:t>Chemicals</w:t>
            </w:r>
          </w:p>
        </w:tc>
        <w:tc>
          <w:tcPr>
            <w:tcW w:w="2920" w:type="dxa"/>
            <w:vAlign w:val="bottom"/>
            <w:gridSpan w:val="2"/>
          </w:tcPr>
          <w:p>
            <w:pPr>
              <w:ind w:left="340"/>
              <w:spacing w:after="0"/>
              <w:rPr>
                <w:sz w:val="20"/>
                <w:szCs w:val="20"/>
                <w:color w:val="auto"/>
              </w:rPr>
            </w:pPr>
            <w:r>
              <w:rPr>
                <w:rFonts w:ascii="Arial" w:cs="Arial" w:eastAsia="Arial" w:hAnsi="Arial"/>
                <w:sz w:val="16"/>
                <w:szCs w:val="16"/>
                <w:b w:val="1"/>
                <w:bCs w:val="1"/>
                <w:color w:val="auto"/>
              </w:rPr>
              <w:t>Diversified Industrials</w:t>
            </w:r>
          </w:p>
        </w:tc>
        <w:tc>
          <w:tcPr>
            <w:tcW w:w="36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6"/>
                <w:szCs w:val="16"/>
                <w:b w:val="1"/>
                <w:bCs w:val="1"/>
                <w:color w:val="auto"/>
              </w:rPr>
              <w:t>Automotive</w:t>
            </w:r>
          </w:p>
        </w:tc>
        <w:tc>
          <w:tcPr>
            <w:tcW w:w="2800" w:type="dxa"/>
            <w:vAlign w:val="bottom"/>
            <w:gridSpan w:val="2"/>
          </w:tcPr>
          <w:p>
            <w:pPr>
              <w:ind w:left="340"/>
              <w:spacing w:after="0"/>
              <w:rPr>
                <w:sz w:val="20"/>
                <w:szCs w:val="20"/>
                <w:color w:val="auto"/>
              </w:rPr>
            </w:pPr>
            <w:r>
              <w:rPr>
                <w:rFonts w:ascii="Arial" w:cs="Arial" w:eastAsia="Arial" w:hAnsi="Arial"/>
                <w:sz w:val="16"/>
                <w:szCs w:val="16"/>
                <w:b w:val="1"/>
                <w:bCs w:val="1"/>
                <w:color w:val="auto"/>
              </w:rPr>
              <w:t>Freight &amp; Logistics</w:t>
            </w:r>
          </w:p>
        </w:tc>
      </w:tr>
      <w:tr>
        <w:trPr>
          <w:trHeight w:val="93"/>
        </w:trPr>
        <w:tc>
          <w:tcPr>
            <w:tcW w:w="2600" w:type="dxa"/>
            <w:vAlign w:val="bottom"/>
            <w:tcBorders>
              <w:bottom w:val="single" w:sz="8" w:color="CE0F2D"/>
            </w:tcBorders>
          </w:tcPr>
          <w:p>
            <w:pPr>
              <w:spacing w:after="0"/>
              <w:rPr>
                <w:sz w:val="8"/>
                <w:szCs w:val="8"/>
                <w:color w:val="auto"/>
              </w:rPr>
            </w:pPr>
          </w:p>
        </w:tc>
        <w:tc>
          <w:tcPr>
            <w:tcW w:w="340" w:type="dxa"/>
            <w:vAlign w:val="bottom"/>
          </w:tcPr>
          <w:p>
            <w:pPr>
              <w:spacing w:after="0"/>
              <w:rPr>
                <w:sz w:val="8"/>
                <w:szCs w:val="8"/>
                <w:color w:val="auto"/>
              </w:rPr>
            </w:pPr>
          </w:p>
        </w:tc>
        <w:tc>
          <w:tcPr>
            <w:tcW w:w="2580" w:type="dxa"/>
            <w:vAlign w:val="bottom"/>
            <w:tcBorders>
              <w:bottom w:val="single" w:sz="8" w:color="CE0F2D"/>
            </w:tcBorders>
          </w:tcPr>
          <w:p>
            <w:pPr>
              <w:spacing w:after="0"/>
              <w:rPr>
                <w:sz w:val="8"/>
                <w:szCs w:val="8"/>
                <w:color w:val="auto"/>
              </w:rPr>
            </w:pPr>
          </w:p>
        </w:tc>
        <w:tc>
          <w:tcPr>
            <w:tcW w:w="360" w:type="dxa"/>
            <w:vAlign w:val="bottom"/>
          </w:tcPr>
          <w:p>
            <w:pPr>
              <w:spacing w:after="0"/>
              <w:rPr>
                <w:sz w:val="8"/>
                <w:szCs w:val="8"/>
                <w:color w:val="auto"/>
              </w:rPr>
            </w:pPr>
          </w:p>
        </w:tc>
        <w:tc>
          <w:tcPr>
            <w:tcW w:w="2560" w:type="dxa"/>
            <w:vAlign w:val="bottom"/>
            <w:tcBorders>
              <w:bottom w:val="single" w:sz="8" w:color="CE0F2D"/>
            </w:tcBorders>
          </w:tcPr>
          <w:p>
            <w:pPr>
              <w:spacing w:after="0"/>
              <w:rPr>
                <w:sz w:val="8"/>
                <w:szCs w:val="8"/>
                <w:color w:val="auto"/>
              </w:rPr>
            </w:pPr>
          </w:p>
        </w:tc>
        <w:tc>
          <w:tcPr>
            <w:tcW w:w="340" w:type="dxa"/>
            <w:vAlign w:val="bottom"/>
          </w:tcPr>
          <w:p>
            <w:pPr>
              <w:spacing w:after="0"/>
              <w:rPr>
                <w:sz w:val="8"/>
                <w:szCs w:val="8"/>
                <w:color w:val="auto"/>
              </w:rPr>
            </w:pPr>
          </w:p>
        </w:tc>
        <w:tc>
          <w:tcPr>
            <w:tcW w:w="2460" w:type="dxa"/>
            <w:vAlign w:val="bottom"/>
            <w:tcBorders>
              <w:bottom w:val="single" w:sz="8" w:color="CE0F2D"/>
            </w:tcBorders>
          </w:tcPr>
          <w:p>
            <w:pPr>
              <w:spacing w:after="0"/>
              <w:rPr>
                <w:sz w:val="8"/>
                <w:szCs w:val="8"/>
                <w:color w:val="auto"/>
              </w:rPr>
            </w:pPr>
          </w:p>
        </w:tc>
      </w:tr>
      <w:tr>
        <w:trPr>
          <w:trHeight w:val="270"/>
        </w:trPr>
        <w:tc>
          <w:tcPr>
            <w:tcW w:w="2600" w:type="dxa"/>
            <w:vAlign w:val="bottom"/>
          </w:tcPr>
          <w:p>
            <w:pPr>
              <w:spacing w:after="0"/>
              <w:rPr>
                <w:sz w:val="20"/>
                <w:szCs w:val="20"/>
                <w:color w:val="auto"/>
              </w:rPr>
            </w:pPr>
            <w:r>
              <w:rPr>
                <w:rFonts w:ascii="Arial" w:cs="Arial" w:eastAsia="Arial" w:hAnsi="Arial"/>
                <w:sz w:val="16"/>
                <w:szCs w:val="16"/>
                <w:color w:val="auto"/>
              </w:rPr>
              <w:t>Dow</w:t>
            </w:r>
          </w:p>
        </w:tc>
        <w:tc>
          <w:tcPr>
            <w:tcW w:w="2920" w:type="dxa"/>
            <w:vAlign w:val="bottom"/>
            <w:gridSpan w:val="2"/>
          </w:tcPr>
          <w:p>
            <w:pPr>
              <w:ind w:left="340"/>
              <w:spacing w:after="0"/>
              <w:rPr>
                <w:sz w:val="20"/>
                <w:szCs w:val="20"/>
                <w:color w:val="auto"/>
              </w:rPr>
            </w:pPr>
            <w:r>
              <w:rPr>
                <w:rFonts w:ascii="Arial" w:cs="Arial" w:eastAsia="Arial" w:hAnsi="Arial"/>
                <w:sz w:val="16"/>
                <w:szCs w:val="16"/>
                <w:color w:val="auto"/>
              </w:rPr>
              <w:t>General Electric</w:t>
            </w:r>
          </w:p>
        </w:tc>
        <w:tc>
          <w:tcPr>
            <w:tcW w:w="360" w:type="dxa"/>
            <w:vAlign w:val="bottom"/>
          </w:tcPr>
          <w:p>
            <w:pPr>
              <w:spacing w:after="0"/>
              <w:rPr>
                <w:sz w:val="23"/>
                <w:szCs w:val="23"/>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General Motors</w:t>
            </w:r>
          </w:p>
        </w:tc>
        <w:tc>
          <w:tcPr>
            <w:tcW w:w="2800" w:type="dxa"/>
            <w:vAlign w:val="bottom"/>
            <w:gridSpan w:val="2"/>
          </w:tcPr>
          <w:p>
            <w:pPr>
              <w:ind w:left="340"/>
              <w:spacing w:after="0"/>
              <w:rPr>
                <w:sz w:val="20"/>
                <w:szCs w:val="20"/>
                <w:color w:val="auto"/>
              </w:rPr>
            </w:pPr>
            <w:r>
              <w:rPr>
                <w:rFonts w:ascii="Arial" w:cs="Arial" w:eastAsia="Arial" w:hAnsi="Arial"/>
                <w:sz w:val="16"/>
                <w:szCs w:val="16"/>
                <w:color w:val="auto"/>
              </w:rPr>
              <w:t>UPS</w:t>
            </w:r>
          </w:p>
        </w:tc>
      </w:tr>
      <w:tr>
        <w:trPr>
          <w:trHeight w:val="193"/>
        </w:trPr>
        <w:tc>
          <w:tcPr>
            <w:tcW w:w="2600" w:type="dxa"/>
            <w:vAlign w:val="bottom"/>
          </w:tcPr>
          <w:p>
            <w:pPr>
              <w:spacing w:after="0"/>
              <w:rPr>
                <w:sz w:val="16"/>
                <w:szCs w:val="16"/>
                <w:color w:val="auto"/>
              </w:rPr>
            </w:pPr>
          </w:p>
        </w:tc>
        <w:tc>
          <w:tcPr>
            <w:tcW w:w="2920" w:type="dxa"/>
            <w:vAlign w:val="bottom"/>
            <w:gridSpan w:val="2"/>
          </w:tcPr>
          <w:p>
            <w:pPr>
              <w:ind w:left="340"/>
              <w:spacing w:after="0"/>
              <w:rPr>
                <w:sz w:val="20"/>
                <w:szCs w:val="20"/>
                <w:color w:val="auto"/>
              </w:rPr>
            </w:pPr>
            <w:r>
              <w:rPr>
                <w:rFonts w:ascii="Arial" w:cs="Arial" w:eastAsia="Arial" w:hAnsi="Arial"/>
                <w:sz w:val="16"/>
                <w:szCs w:val="16"/>
                <w:color w:val="auto"/>
              </w:rPr>
              <w:t>Honeywell</w:t>
            </w:r>
          </w:p>
        </w:tc>
        <w:tc>
          <w:tcPr>
            <w:tcW w:w="36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60" w:type="dxa"/>
            <w:vAlign w:val="bottom"/>
          </w:tcPr>
          <w:p>
            <w:pPr>
              <w:spacing w:after="0"/>
              <w:rPr>
                <w:sz w:val="16"/>
                <w:szCs w:val="16"/>
                <w:color w:val="auto"/>
              </w:rPr>
            </w:pPr>
          </w:p>
        </w:tc>
      </w:tr>
    </w:tbl>
    <w:p>
      <w:pPr>
        <w:spacing w:after="0" w:line="128" w:lineRule="exact"/>
        <w:rPr>
          <w:sz w:val="20"/>
          <w:szCs w:val="20"/>
          <w:color w:val="auto"/>
        </w:rPr>
      </w:pPr>
    </w:p>
    <w:p>
      <w:pPr>
        <w:ind w:left="260" w:hanging="253"/>
        <w:spacing w:after="0"/>
        <w:tabs>
          <w:tab w:leader="none" w:pos="260" w:val="left"/>
        </w:tabs>
        <w:numPr>
          <w:ilvl w:val="0"/>
          <w:numId w:val="144"/>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TIMELINE FOR COMPENSATION DECISIONS</w:t>
      </w:r>
    </w:p>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The Committee followed the process shown below in making 2021 annual pay decisions for each principal component of compensation included in 2021 total direct compensation, which includes the 2022 LTI awards. Total direct compensation for each of our NEOs is shown on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1296670</wp:posOffset>
            </wp:positionH>
            <wp:positionV relativeFrom="paragraph">
              <wp:posOffset>89535</wp:posOffset>
            </wp:positionV>
            <wp:extent cx="76835" cy="157289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157289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89535</wp:posOffset>
            </wp:positionV>
            <wp:extent cx="67945" cy="15728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7945" cy="1572895"/>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89535</wp:posOffset>
            </wp:positionV>
            <wp:extent cx="67945" cy="15728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945" cy="1572895"/>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89535</wp:posOffset>
            </wp:positionV>
            <wp:extent cx="67945" cy="15728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7945" cy="1572895"/>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388"/>
        </w:trPr>
        <w:tc>
          <w:tcPr>
            <w:tcW w:w="2040" w:type="dxa"/>
            <w:vAlign w:val="bottom"/>
            <w:tcBorders>
              <w:top w:val="single" w:sz="8" w:color="CE0F2D"/>
            </w:tcBorders>
            <w:shd w:val="clear" w:color="auto" w:fill="ECEDEF"/>
          </w:tcPr>
          <w:p>
            <w:pPr>
              <w:ind w:left="100"/>
              <w:spacing w:after="0"/>
              <w:rPr>
                <w:sz w:val="20"/>
                <w:szCs w:val="20"/>
                <w:color w:val="auto"/>
              </w:rPr>
            </w:pPr>
            <w:r>
              <w:rPr>
                <w:rFonts w:ascii="Arial" w:cs="Arial" w:eastAsia="Arial" w:hAnsi="Arial"/>
                <w:sz w:val="14"/>
                <w:szCs w:val="14"/>
                <w:b w:val="1"/>
                <w:bCs w:val="1"/>
                <w:color w:val="CE0F2D"/>
              </w:rPr>
              <w:t>February 2021</w:t>
            </w:r>
          </w:p>
        </w:tc>
        <w:tc>
          <w:tcPr>
            <w:tcW w:w="120" w:type="dxa"/>
            <w:vAlign w:val="bottom"/>
            <w:tcBorders>
              <w:top w:val="single" w:sz="8" w:color="ECEDEF"/>
            </w:tcBorders>
            <w:shd w:val="clear" w:color="auto" w:fill="ECEDEF"/>
          </w:tcPr>
          <w:p>
            <w:pPr>
              <w:spacing w:after="0"/>
              <w:rPr>
                <w:sz w:val="24"/>
                <w:szCs w:val="24"/>
                <w:color w:val="auto"/>
              </w:rPr>
            </w:pPr>
          </w:p>
        </w:tc>
        <w:tc>
          <w:tcPr>
            <w:tcW w:w="2020" w:type="dxa"/>
            <w:vAlign w:val="bottom"/>
            <w:tcBorders>
              <w:top w:val="single" w:sz="8" w:color="CE0F2D"/>
            </w:tcBorders>
            <w:shd w:val="clear" w:color="auto" w:fill="ECEDEF"/>
          </w:tcPr>
          <w:p>
            <w:pPr>
              <w:ind w:left="100"/>
              <w:spacing w:after="0"/>
              <w:rPr>
                <w:sz w:val="20"/>
                <w:szCs w:val="20"/>
                <w:color w:val="auto"/>
              </w:rPr>
            </w:pPr>
            <w:r>
              <w:rPr>
                <w:rFonts w:ascii="Arial" w:cs="Arial" w:eastAsia="Arial" w:hAnsi="Arial"/>
                <w:sz w:val="14"/>
                <w:szCs w:val="14"/>
                <w:b w:val="1"/>
                <w:bCs w:val="1"/>
                <w:color w:val="CE0F2D"/>
              </w:rPr>
              <w:t>April 2021*</w:t>
            </w:r>
          </w:p>
        </w:tc>
        <w:tc>
          <w:tcPr>
            <w:tcW w:w="120" w:type="dxa"/>
            <w:vAlign w:val="bottom"/>
            <w:tcBorders>
              <w:top w:val="single" w:sz="8" w:color="ECEDEF"/>
            </w:tcBorders>
            <w:shd w:val="clear" w:color="auto" w:fill="ECEDEF"/>
          </w:tcPr>
          <w:p>
            <w:pPr>
              <w:spacing w:after="0"/>
              <w:rPr>
                <w:sz w:val="24"/>
                <w:szCs w:val="24"/>
                <w:color w:val="auto"/>
              </w:rPr>
            </w:pPr>
          </w:p>
        </w:tc>
        <w:tc>
          <w:tcPr>
            <w:tcW w:w="2020" w:type="dxa"/>
            <w:vAlign w:val="bottom"/>
            <w:tcBorders>
              <w:top w:val="single" w:sz="8" w:color="CE0F2D"/>
            </w:tcBorders>
            <w:shd w:val="clear" w:color="auto" w:fill="ECEDEF"/>
          </w:tcPr>
          <w:p>
            <w:pPr>
              <w:ind w:left="80"/>
              <w:spacing w:after="0"/>
              <w:rPr>
                <w:sz w:val="20"/>
                <w:szCs w:val="20"/>
                <w:color w:val="auto"/>
              </w:rPr>
            </w:pPr>
            <w:r>
              <w:rPr>
                <w:rFonts w:ascii="Arial" w:cs="Arial" w:eastAsia="Arial" w:hAnsi="Arial"/>
                <w:sz w:val="14"/>
                <w:szCs w:val="14"/>
                <w:b w:val="1"/>
                <w:bCs w:val="1"/>
                <w:color w:val="CE0F2D"/>
              </w:rPr>
              <w:t>December 2021</w:t>
            </w:r>
          </w:p>
        </w:tc>
        <w:tc>
          <w:tcPr>
            <w:tcW w:w="100" w:type="dxa"/>
            <w:vAlign w:val="bottom"/>
            <w:tcBorders>
              <w:top w:val="single" w:sz="8" w:color="ECEDEF"/>
            </w:tcBorders>
            <w:shd w:val="clear" w:color="auto" w:fill="ECEDEF"/>
          </w:tcPr>
          <w:p>
            <w:pPr>
              <w:spacing w:after="0"/>
              <w:rPr>
                <w:sz w:val="24"/>
                <w:szCs w:val="24"/>
                <w:color w:val="auto"/>
              </w:rPr>
            </w:pPr>
          </w:p>
        </w:tc>
        <w:tc>
          <w:tcPr>
            <w:tcW w:w="2700" w:type="dxa"/>
            <w:vAlign w:val="bottom"/>
            <w:tcBorders>
              <w:top w:val="single" w:sz="8" w:color="CE0F2D"/>
            </w:tcBorders>
            <w:shd w:val="clear" w:color="auto" w:fill="ECEDEF"/>
          </w:tcPr>
          <w:p>
            <w:pPr>
              <w:ind w:left="80"/>
              <w:spacing w:after="0"/>
              <w:rPr>
                <w:sz w:val="20"/>
                <w:szCs w:val="20"/>
                <w:color w:val="auto"/>
              </w:rPr>
            </w:pPr>
            <w:r>
              <w:rPr>
                <w:rFonts w:ascii="Arial" w:cs="Arial" w:eastAsia="Arial" w:hAnsi="Arial"/>
                <w:sz w:val="14"/>
                <w:szCs w:val="14"/>
                <w:b w:val="1"/>
                <w:bCs w:val="1"/>
                <w:color w:val="CE0F2D"/>
              </w:rPr>
              <w:t>February 2022</w:t>
            </w:r>
          </w:p>
        </w:tc>
        <w:tc>
          <w:tcPr>
            <w:tcW w:w="100" w:type="dxa"/>
            <w:vAlign w:val="bottom"/>
            <w:tcBorders>
              <w:top w:val="single" w:sz="8" w:color="ECEDEF"/>
            </w:tcBorders>
            <w:shd w:val="clear" w:color="auto" w:fill="ECEDEF"/>
          </w:tcPr>
          <w:p>
            <w:pPr>
              <w:spacing w:after="0"/>
              <w:rPr>
                <w:sz w:val="24"/>
                <w:szCs w:val="24"/>
                <w:color w:val="auto"/>
              </w:rPr>
            </w:pPr>
          </w:p>
        </w:tc>
        <w:tc>
          <w:tcPr>
            <w:tcW w:w="2020" w:type="dxa"/>
            <w:vAlign w:val="bottom"/>
            <w:tcBorders>
              <w:top w:val="single" w:sz="8" w:color="CE0F2D"/>
            </w:tcBorders>
            <w:shd w:val="clear" w:color="auto" w:fill="ECEDEF"/>
          </w:tcPr>
          <w:p>
            <w:pPr>
              <w:ind w:left="80"/>
              <w:spacing w:after="0"/>
              <w:rPr>
                <w:sz w:val="20"/>
                <w:szCs w:val="20"/>
                <w:color w:val="auto"/>
              </w:rPr>
            </w:pPr>
            <w:r>
              <w:rPr>
                <w:rFonts w:ascii="Arial" w:cs="Arial" w:eastAsia="Arial" w:hAnsi="Arial"/>
                <w:sz w:val="14"/>
                <w:szCs w:val="14"/>
                <w:b w:val="1"/>
                <w:bCs w:val="1"/>
                <w:color w:val="CE0F2D"/>
              </w:rPr>
              <w:t>1</w:t>
            </w:r>
            <w:r>
              <w:rPr>
                <w:rFonts w:ascii="Arial" w:cs="Arial" w:eastAsia="Arial" w:hAnsi="Arial"/>
                <w:sz w:val="23"/>
                <w:szCs w:val="23"/>
                <w:b w:val="1"/>
                <w:bCs w:val="1"/>
                <w:color w:val="CE0F2D"/>
                <w:vertAlign w:val="superscript"/>
              </w:rPr>
              <w:t>st</w:t>
            </w:r>
            <w:r>
              <w:rPr>
                <w:rFonts w:ascii="Arial" w:cs="Arial" w:eastAsia="Arial" w:hAnsi="Arial"/>
                <w:sz w:val="14"/>
                <w:szCs w:val="14"/>
                <w:b w:val="1"/>
                <w:bCs w:val="1"/>
                <w:color w:val="CE0F2D"/>
              </w:rPr>
              <w:t xml:space="preserve"> Quarter of 2022</w:t>
            </w:r>
          </w:p>
        </w:tc>
        <w:tc>
          <w:tcPr>
            <w:tcW w:w="0" w:type="dxa"/>
            <w:vAlign w:val="bottom"/>
          </w:tcPr>
          <w:p>
            <w:pPr>
              <w:spacing w:after="0"/>
              <w:rPr>
                <w:sz w:val="1"/>
                <w:szCs w:val="1"/>
                <w:color w:val="auto"/>
              </w:rPr>
            </w:pPr>
          </w:p>
        </w:tc>
      </w:tr>
      <w:tr>
        <w:trPr>
          <w:trHeight w:val="189"/>
        </w:trPr>
        <w:tc>
          <w:tcPr>
            <w:tcW w:w="2040" w:type="dxa"/>
            <w:vAlign w:val="bottom"/>
            <w:shd w:val="clear" w:color="auto" w:fill="ECEDEF"/>
          </w:tcPr>
          <w:p>
            <w:pPr>
              <w:ind w:left="100"/>
              <w:spacing w:after="0"/>
              <w:rPr>
                <w:sz w:val="20"/>
                <w:szCs w:val="20"/>
                <w:color w:val="auto"/>
              </w:rPr>
            </w:pPr>
            <w:r>
              <w:rPr>
                <w:rFonts w:ascii="Arial" w:cs="Arial" w:eastAsia="Arial" w:hAnsi="Arial"/>
                <w:sz w:val="16"/>
                <w:szCs w:val="16"/>
                <w:color w:val="auto"/>
              </w:rPr>
              <w:t>Approved 2021 base</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2021 base salary</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ind w:left="80"/>
              <w:spacing w:after="0"/>
              <w:rPr>
                <w:sz w:val="20"/>
                <w:szCs w:val="20"/>
                <w:color w:val="auto"/>
              </w:rPr>
            </w:pPr>
            <w:r>
              <w:rPr>
                <w:rFonts w:ascii="Arial" w:cs="Arial" w:eastAsia="Arial" w:hAnsi="Arial"/>
                <w:sz w:val="16"/>
                <w:szCs w:val="16"/>
                <w:color w:val="auto"/>
              </w:rPr>
              <w:t>Reviewed preliminary</w:t>
            </w: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Reviewed final 2021 Company,</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ind w:left="80"/>
              <w:spacing w:after="0"/>
              <w:rPr>
                <w:sz w:val="20"/>
                <w:szCs w:val="20"/>
                <w:color w:val="auto"/>
              </w:rPr>
            </w:pPr>
            <w:r>
              <w:rPr>
                <w:rFonts w:ascii="Arial" w:cs="Arial" w:eastAsia="Arial" w:hAnsi="Arial"/>
                <w:sz w:val="16"/>
                <w:szCs w:val="16"/>
                <w:color w:val="auto"/>
              </w:rPr>
              <w:t>2021 annual incentive</w:t>
            </w:r>
          </w:p>
        </w:tc>
        <w:tc>
          <w:tcPr>
            <w:tcW w:w="0" w:type="dxa"/>
            <w:vAlign w:val="bottom"/>
          </w:tcPr>
          <w:p>
            <w:pPr>
              <w:spacing w:after="0"/>
              <w:rPr>
                <w:sz w:val="1"/>
                <w:szCs w:val="1"/>
                <w:color w:val="auto"/>
              </w:rPr>
            </w:pPr>
          </w:p>
        </w:tc>
      </w:tr>
      <w:tr>
        <w:trPr>
          <w:trHeight w:val="187"/>
        </w:trPr>
        <w:tc>
          <w:tcPr>
            <w:tcW w:w="2040" w:type="dxa"/>
            <w:vAlign w:val="bottom"/>
            <w:shd w:val="clear" w:color="auto" w:fill="ECEDEF"/>
          </w:tcPr>
          <w:p>
            <w:pPr>
              <w:ind w:left="100"/>
              <w:spacing w:after="0"/>
              <w:rPr>
                <w:sz w:val="20"/>
                <w:szCs w:val="20"/>
                <w:color w:val="auto"/>
              </w:rPr>
            </w:pPr>
            <w:r>
              <w:rPr>
                <w:rFonts w:ascii="Arial" w:cs="Arial" w:eastAsia="Arial" w:hAnsi="Arial"/>
                <w:sz w:val="16"/>
                <w:szCs w:val="16"/>
                <w:color w:val="auto"/>
              </w:rPr>
              <w:t>salary merit adjustments.</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ind w:left="100"/>
              <w:spacing w:after="0"/>
              <w:rPr>
                <w:sz w:val="20"/>
                <w:szCs w:val="20"/>
                <w:color w:val="auto"/>
              </w:rPr>
            </w:pPr>
            <w:r>
              <w:rPr>
                <w:rFonts w:ascii="Arial" w:cs="Arial" w:eastAsia="Arial" w:hAnsi="Arial"/>
                <w:sz w:val="16"/>
                <w:szCs w:val="16"/>
                <w:color w:val="auto"/>
              </w:rPr>
              <w:t>adjustments took effect.</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ind w:left="80"/>
              <w:spacing w:after="0"/>
              <w:rPr>
                <w:sz w:val="20"/>
                <w:szCs w:val="20"/>
                <w:color w:val="auto"/>
              </w:rPr>
            </w:pPr>
            <w:r>
              <w:rPr>
                <w:rFonts w:ascii="Arial" w:cs="Arial" w:eastAsia="Arial" w:hAnsi="Arial"/>
                <w:sz w:val="16"/>
                <w:szCs w:val="16"/>
                <w:color w:val="auto"/>
              </w:rPr>
              <w:t>2021 Company, business</w:t>
            </w: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business unit and individual NEO</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ind w:left="80"/>
              <w:spacing w:after="0"/>
              <w:rPr>
                <w:sz w:val="20"/>
                <w:szCs w:val="20"/>
                <w:color w:val="auto"/>
              </w:rPr>
            </w:pPr>
            <w:r>
              <w:rPr>
                <w:rFonts w:ascii="Arial" w:cs="Arial" w:eastAsia="Arial" w:hAnsi="Arial"/>
                <w:sz w:val="16"/>
                <w:szCs w:val="16"/>
                <w:color w:val="auto"/>
              </w:rPr>
              <w:t>awards paid.</w:t>
            </w:r>
          </w:p>
        </w:tc>
        <w:tc>
          <w:tcPr>
            <w:tcW w:w="0" w:type="dxa"/>
            <w:vAlign w:val="bottom"/>
          </w:tcPr>
          <w:p>
            <w:pPr>
              <w:spacing w:after="0"/>
              <w:rPr>
                <w:sz w:val="1"/>
                <w:szCs w:val="1"/>
                <w:color w:val="auto"/>
              </w:rPr>
            </w:pPr>
          </w:p>
        </w:tc>
      </w:tr>
      <w:tr>
        <w:trPr>
          <w:trHeight w:val="187"/>
        </w:trPr>
        <w:tc>
          <w:tcPr>
            <w:tcW w:w="2040" w:type="dxa"/>
            <w:vAlign w:val="bottom"/>
            <w:vMerge w:val="restart"/>
            <w:shd w:val="clear" w:color="auto" w:fill="ECEDEF"/>
          </w:tcPr>
          <w:p>
            <w:pPr>
              <w:ind w:left="100"/>
              <w:spacing w:after="0"/>
              <w:rPr>
                <w:sz w:val="20"/>
                <w:szCs w:val="20"/>
                <w:color w:val="auto"/>
              </w:rPr>
            </w:pPr>
            <w:r>
              <w:rPr>
                <w:rFonts w:ascii="Arial" w:cs="Arial" w:eastAsia="Arial" w:hAnsi="Arial"/>
                <w:sz w:val="16"/>
                <w:szCs w:val="16"/>
                <w:color w:val="auto"/>
              </w:rPr>
              <w:t>Approved 2021 annual</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ind w:left="80"/>
              <w:spacing w:after="0"/>
              <w:rPr>
                <w:sz w:val="20"/>
                <w:szCs w:val="20"/>
                <w:color w:val="auto"/>
              </w:rPr>
            </w:pPr>
            <w:r>
              <w:rPr>
                <w:rFonts w:ascii="Arial" w:cs="Arial" w:eastAsia="Arial" w:hAnsi="Arial"/>
                <w:sz w:val="16"/>
                <w:szCs w:val="16"/>
                <w:color w:val="auto"/>
              </w:rPr>
              <w:t>unit and individual NEO</w:t>
            </w: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performance.</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040" w:type="dxa"/>
            <w:vAlign w:val="bottom"/>
            <w:vMerge w:val="continue"/>
            <w:shd w:val="clear" w:color="auto" w:fill="ECEDEF"/>
          </w:tcPr>
          <w:p>
            <w:pPr>
              <w:spacing w:after="0"/>
              <w:rPr>
                <w:sz w:val="13"/>
                <w:szCs w:val="13"/>
                <w:color w:val="auto"/>
              </w:rPr>
            </w:pPr>
          </w:p>
        </w:tc>
        <w:tc>
          <w:tcPr>
            <w:tcW w:w="120" w:type="dxa"/>
            <w:vAlign w:val="bottom"/>
            <w:shd w:val="clear" w:color="auto" w:fill="ECEDEF"/>
          </w:tcPr>
          <w:p>
            <w:pPr>
              <w:spacing w:after="0"/>
              <w:rPr>
                <w:sz w:val="13"/>
                <w:szCs w:val="13"/>
                <w:color w:val="auto"/>
              </w:rPr>
            </w:pPr>
          </w:p>
        </w:tc>
        <w:tc>
          <w:tcPr>
            <w:tcW w:w="2020" w:type="dxa"/>
            <w:vAlign w:val="bottom"/>
            <w:shd w:val="clear" w:color="auto" w:fill="ECEDEF"/>
          </w:tcPr>
          <w:p>
            <w:pPr>
              <w:spacing w:after="0"/>
              <w:rPr>
                <w:sz w:val="13"/>
                <w:szCs w:val="13"/>
                <w:color w:val="auto"/>
              </w:rPr>
            </w:pPr>
          </w:p>
        </w:tc>
        <w:tc>
          <w:tcPr>
            <w:tcW w:w="120" w:type="dxa"/>
            <w:vAlign w:val="bottom"/>
            <w:shd w:val="clear" w:color="auto" w:fill="ECEDEF"/>
          </w:tcPr>
          <w:p>
            <w:pPr>
              <w:spacing w:after="0"/>
              <w:rPr>
                <w:sz w:val="13"/>
                <w:szCs w:val="13"/>
                <w:color w:val="auto"/>
              </w:rPr>
            </w:pPr>
          </w:p>
        </w:tc>
        <w:tc>
          <w:tcPr>
            <w:tcW w:w="2020" w:type="dxa"/>
            <w:vAlign w:val="bottom"/>
            <w:shd w:val="clear" w:color="auto" w:fill="ECEDEF"/>
          </w:tcPr>
          <w:p>
            <w:pPr>
              <w:ind w:left="80"/>
              <w:spacing w:after="0" w:line="161" w:lineRule="exact"/>
              <w:rPr>
                <w:sz w:val="20"/>
                <w:szCs w:val="20"/>
                <w:color w:val="auto"/>
              </w:rPr>
            </w:pPr>
            <w:r>
              <w:rPr>
                <w:rFonts w:ascii="Arial" w:cs="Arial" w:eastAsia="Arial" w:hAnsi="Arial"/>
                <w:sz w:val="16"/>
                <w:szCs w:val="16"/>
                <w:color w:val="auto"/>
              </w:rPr>
              <w:t>performance.</w:t>
            </w:r>
          </w:p>
        </w:tc>
        <w:tc>
          <w:tcPr>
            <w:tcW w:w="100" w:type="dxa"/>
            <w:vAlign w:val="bottom"/>
            <w:shd w:val="clear" w:color="auto" w:fill="ECEDEF"/>
          </w:tcPr>
          <w:p>
            <w:pPr>
              <w:spacing w:after="0"/>
              <w:rPr>
                <w:sz w:val="13"/>
                <w:szCs w:val="13"/>
                <w:color w:val="auto"/>
              </w:rPr>
            </w:pPr>
          </w:p>
        </w:tc>
        <w:tc>
          <w:tcPr>
            <w:tcW w:w="2700" w:type="dxa"/>
            <w:vAlign w:val="bottom"/>
            <w:shd w:val="clear" w:color="auto" w:fill="ECEDEF"/>
          </w:tcPr>
          <w:p>
            <w:pPr>
              <w:spacing w:after="0"/>
              <w:rPr>
                <w:sz w:val="13"/>
                <w:szCs w:val="13"/>
                <w:color w:val="auto"/>
              </w:rPr>
            </w:pPr>
          </w:p>
        </w:tc>
        <w:tc>
          <w:tcPr>
            <w:tcW w:w="100" w:type="dxa"/>
            <w:vAlign w:val="bottom"/>
            <w:shd w:val="clear" w:color="auto" w:fill="ECEDEF"/>
          </w:tcPr>
          <w:p>
            <w:pPr>
              <w:spacing w:after="0"/>
              <w:rPr>
                <w:sz w:val="13"/>
                <w:szCs w:val="13"/>
                <w:color w:val="auto"/>
              </w:rPr>
            </w:pPr>
          </w:p>
        </w:tc>
        <w:tc>
          <w:tcPr>
            <w:tcW w:w="2020" w:type="dxa"/>
            <w:vAlign w:val="bottom"/>
            <w:shd w:val="clear" w:color="auto" w:fill="ECEDEF"/>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ECEDEF"/>
          </w:tcPr>
          <w:p>
            <w:pPr>
              <w:ind w:left="100"/>
              <w:spacing w:after="0"/>
              <w:rPr>
                <w:sz w:val="20"/>
                <w:szCs w:val="20"/>
                <w:color w:val="auto"/>
              </w:rPr>
            </w:pPr>
            <w:r>
              <w:rPr>
                <w:rFonts w:ascii="Arial" w:cs="Arial" w:eastAsia="Arial" w:hAnsi="Arial"/>
                <w:sz w:val="16"/>
                <w:szCs w:val="16"/>
                <w:color w:val="auto"/>
              </w:rPr>
              <w:t>incentive performance</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Approved performance factors and</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ECEDEF"/>
          </w:tcPr>
          <w:p>
            <w:pPr>
              <w:ind w:left="100"/>
              <w:spacing w:after="0"/>
              <w:rPr>
                <w:sz w:val="20"/>
                <w:szCs w:val="20"/>
                <w:color w:val="auto"/>
              </w:rPr>
            </w:pPr>
            <w:r>
              <w:rPr>
                <w:rFonts w:ascii="Arial" w:cs="Arial" w:eastAsia="Arial" w:hAnsi="Arial"/>
                <w:sz w:val="16"/>
                <w:szCs w:val="16"/>
                <w:color w:val="auto"/>
              </w:rPr>
              <w:t>goals.</w:t>
            </w: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individual payouts for 2021 annual</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incentive awards.</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342"/>
        </w:trPr>
        <w:tc>
          <w:tcPr>
            <w:tcW w:w="2040" w:type="dxa"/>
            <w:vAlign w:val="bottom"/>
            <w:shd w:val="clear" w:color="auto" w:fill="ECEDEF"/>
          </w:tcPr>
          <w:p>
            <w:pPr>
              <w:spacing w:after="0"/>
              <w:rPr>
                <w:sz w:val="24"/>
                <w:szCs w:val="24"/>
                <w:color w:val="auto"/>
              </w:rPr>
            </w:pPr>
          </w:p>
        </w:tc>
        <w:tc>
          <w:tcPr>
            <w:tcW w:w="120" w:type="dxa"/>
            <w:vAlign w:val="bottom"/>
            <w:shd w:val="clear" w:color="auto" w:fill="ECEDEF"/>
          </w:tcPr>
          <w:p>
            <w:pPr>
              <w:spacing w:after="0"/>
              <w:rPr>
                <w:sz w:val="24"/>
                <w:szCs w:val="24"/>
                <w:color w:val="auto"/>
              </w:rPr>
            </w:pPr>
          </w:p>
        </w:tc>
        <w:tc>
          <w:tcPr>
            <w:tcW w:w="2020" w:type="dxa"/>
            <w:vAlign w:val="bottom"/>
            <w:shd w:val="clear" w:color="auto" w:fill="ECEDEF"/>
          </w:tcPr>
          <w:p>
            <w:pPr>
              <w:spacing w:after="0"/>
              <w:rPr>
                <w:sz w:val="24"/>
                <w:szCs w:val="24"/>
                <w:color w:val="auto"/>
              </w:rPr>
            </w:pPr>
          </w:p>
        </w:tc>
        <w:tc>
          <w:tcPr>
            <w:tcW w:w="120" w:type="dxa"/>
            <w:vAlign w:val="bottom"/>
            <w:shd w:val="clear" w:color="auto" w:fill="ECEDEF"/>
          </w:tcPr>
          <w:p>
            <w:pPr>
              <w:spacing w:after="0"/>
              <w:rPr>
                <w:sz w:val="24"/>
                <w:szCs w:val="24"/>
                <w:color w:val="auto"/>
              </w:rPr>
            </w:pPr>
          </w:p>
        </w:tc>
        <w:tc>
          <w:tcPr>
            <w:tcW w:w="2020" w:type="dxa"/>
            <w:vAlign w:val="bottom"/>
            <w:shd w:val="clear" w:color="auto" w:fill="ECEDEF"/>
          </w:tcPr>
          <w:p>
            <w:pPr>
              <w:spacing w:after="0"/>
              <w:rPr>
                <w:sz w:val="24"/>
                <w:szCs w:val="24"/>
                <w:color w:val="auto"/>
              </w:rPr>
            </w:pPr>
          </w:p>
        </w:tc>
        <w:tc>
          <w:tcPr>
            <w:tcW w:w="100" w:type="dxa"/>
            <w:vAlign w:val="bottom"/>
            <w:shd w:val="clear" w:color="auto" w:fill="ECEDEF"/>
          </w:tcPr>
          <w:p>
            <w:pPr>
              <w:spacing w:after="0"/>
              <w:rPr>
                <w:sz w:val="24"/>
                <w:szCs w:val="24"/>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Approved and granted 2022 LTI</w:t>
            </w:r>
          </w:p>
        </w:tc>
        <w:tc>
          <w:tcPr>
            <w:tcW w:w="100" w:type="dxa"/>
            <w:vAlign w:val="bottom"/>
            <w:shd w:val="clear" w:color="auto" w:fill="ECEDEF"/>
          </w:tcPr>
          <w:p>
            <w:pPr>
              <w:spacing w:after="0"/>
              <w:rPr>
                <w:sz w:val="24"/>
                <w:szCs w:val="24"/>
                <w:color w:val="auto"/>
              </w:rPr>
            </w:pPr>
          </w:p>
        </w:tc>
        <w:tc>
          <w:tcPr>
            <w:tcW w:w="2020" w:type="dxa"/>
            <w:vAlign w:val="bottom"/>
            <w:shd w:val="clear" w:color="auto" w:fill="ECEDEF"/>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4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awards reflective of 2021</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4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2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100" w:type="dxa"/>
            <w:vAlign w:val="bottom"/>
            <w:shd w:val="clear" w:color="auto" w:fill="ECEDEF"/>
          </w:tcPr>
          <w:p>
            <w:pPr>
              <w:spacing w:after="0"/>
              <w:rPr>
                <w:sz w:val="16"/>
                <w:szCs w:val="16"/>
                <w:color w:val="auto"/>
              </w:rPr>
            </w:pPr>
          </w:p>
        </w:tc>
        <w:tc>
          <w:tcPr>
            <w:tcW w:w="2700" w:type="dxa"/>
            <w:vAlign w:val="bottom"/>
            <w:shd w:val="clear" w:color="auto" w:fill="ECEDEF"/>
          </w:tcPr>
          <w:p>
            <w:pPr>
              <w:ind w:left="80"/>
              <w:spacing w:after="0"/>
              <w:rPr>
                <w:sz w:val="20"/>
                <w:szCs w:val="20"/>
                <w:color w:val="auto"/>
              </w:rPr>
            </w:pPr>
            <w:r>
              <w:rPr>
                <w:rFonts w:ascii="Arial" w:cs="Arial" w:eastAsia="Arial" w:hAnsi="Arial"/>
                <w:sz w:val="16"/>
                <w:szCs w:val="16"/>
                <w:color w:val="auto"/>
              </w:rPr>
              <w:t>performance.</w:t>
            </w:r>
          </w:p>
        </w:tc>
        <w:tc>
          <w:tcPr>
            <w:tcW w:w="100" w:type="dxa"/>
            <w:vAlign w:val="bottom"/>
            <w:shd w:val="clear" w:color="auto" w:fill="ECEDEF"/>
          </w:tcPr>
          <w:p>
            <w:pPr>
              <w:spacing w:after="0"/>
              <w:rPr>
                <w:sz w:val="16"/>
                <w:szCs w:val="16"/>
                <w:color w:val="auto"/>
              </w:rPr>
            </w:pPr>
          </w:p>
        </w:tc>
        <w:tc>
          <w:tcPr>
            <w:tcW w:w="2020" w:type="dxa"/>
            <w:vAlign w:val="bottom"/>
            <w:shd w:val="clear" w:color="auto" w:fill="ECEDE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2040" w:type="dxa"/>
            <w:vAlign w:val="bottom"/>
            <w:shd w:val="clear" w:color="auto" w:fill="ECEDEF"/>
          </w:tcPr>
          <w:p>
            <w:pPr>
              <w:spacing w:after="0"/>
              <w:rPr>
                <w:sz w:val="6"/>
                <w:szCs w:val="6"/>
                <w:color w:val="auto"/>
              </w:rPr>
            </w:pPr>
          </w:p>
        </w:tc>
        <w:tc>
          <w:tcPr>
            <w:tcW w:w="120" w:type="dxa"/>
            <w:vAlign w:val="bottom"/>
            <w:shd w:val="clear" w:color="auto" w:fill="ECEDEF"/>
          </w:tcPr>
          <w:p>
            <w:pPr>
              <w:spacing w:after="0"/>
              <w:rPr>
                <w:sz w:val="6"/>
                <w:szCs w:val="6"/>
                <w:color w:val="auto"/>
              </w:rPr>
            </w:pPr>
          </w:p>
        </w:tc>
        <w:tc>
          <w:tcPr>
            <w:tcW w:w="2020" w:type="dxa"/>
            <w:vAlign w:val="bottom"/>
            <w:shd w:val="clear" w:color="auto" w:fill="ECEDEF"/>
          </w:tcPr>
          <w:p>
            <w:pPr>
              <w:spacing w:after="0"/>
              <w:rPr>
                <w:sz w:val="6"/>
                <w:szCs w:val="6"/>
                <w:color w:val="auto"/>
              </w:rPr>
            </w:pPr>
          </w:p>
        </w:tc>
        <w:tc>
          <w:tcPr>
            <w:tcW w:w="120" w:type="dxa"/>
            <w:vAlign w:val="bottom"/>
            <w:shd w:val="clear" w:color="auto" w:fill="ECEDEF"/>
          </w:tcPr>
          <w:p>
            <w:pPr>
              <w:spacing w:after="0"/>
              <w:rPr>
                <w:sz w:val="6"/>
                <w:szCs w:val="6"/>
                <w:color w:val="auto"/>
              </w:rPr>
            </w:pPr>
          </w:p>
        </w:tc>
        <w:tc>
          <w:tcPr>
            <w:tcW w:w="2020" w:type="dxa"/>
            <w:vAlign w:val="bottom"/>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2700" w:type="dxa"/>
            <w:vAlign w:val="bottom"/>
            <w:shd w:val="clear" w:color="auto" w:fill="ECEDEF"/>
          </w:tcPr>
          <w:p>
            <w:pPr>
              <w:spacing w:after="0"/>
              <w:rPr>
                <w:sz w:val="6"/>
                <w:szCs w:val="6"/>
                <w:color w:val="auto"/>
              </w:rPr>
            </w:pPr>
          </w:p>
        </w:tc>
        <w:tc>
          <w:tcPr>
            <w:tcW w:w="100" w:type="dxa"/>
            <w:vAlign w:val="bottom"/>
            <w:shd w:val="clear" w:color="auto" w:fill="ECEDEF"/>
          </w:tcPr>
          <w:p>
            <w:pPr>
              <w:spacing w:after="0"/>
              <w:rPr>
                <w:sz w:val="6"/>
                <w:szCs w:val="6"/>
                <w:color w:val="auto"/>
              </w:rPr>
            </w:pPr>
          </w:p>
        </w:tc>
        <w:tc>
          <w:tcPr>
            <w:tcW w:w="2020" w:type="dxa"/>
            <w:vAlign w:val="bottom"/>
            <w:shd w:val="clear" w:color="auto" w:fill="ECEDEF"/>
          </w:tcPr>
          <w:p>
            <w:pPr>
              <w:spacing w:after="0"/>
              <w:rPr>
                <w:sz w:val="6"/>
                <w:szCs w:val="6"/>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2"/>
          <w:szCs w:val="12"/>
          <w:color w:val="auto"/>
        </w:rPr>
        <w:t>* Certain NEOs may have received merit increases in late March due to differences in payroll schedules.</w:t>
      </w:r>
    </w:p>
    <w:p>
      <w:pPr>
        <w:spacing w:after="0" w:line="126"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2021 Principal Elements of Compensation</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Base Salary</w:t>
      </w:r>
    </w:p>
    <w:p>
      <w:pPr>
        <w:spacing w:after="0" w:line="21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To attract and retain talented and qualified executives, we provide competitive base salaries that are generally targeted at the peer group market median and range above or below based on tenure, experience, sustained performance over time, job scope and responsibilities, retention risk and internal pay equity. Each year, the Committee reviews the CEO’s recommendations for base salary merit adjustments for our officers relative to market data for similar roles. The Committee has complete discretion to modify or approve the CEO’s recommendations, and the CEO is not involved in the Committee’s determination of his own base salary.</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Annual Incentive Awards</w:t>
      </w:r>
    </w:p>
    <w:p>
      <w:pPr>
        <w:spacing w:after="0" w:line="21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Annual incentive awards, which are awarded under the Raytheon Technologies Corporation Executive Annual Incentive Plan (“AIP”), are an integral component of our executive compensation program. The AIP reinforces corporate, organizational and business unit goals, promotes the achievement of these goals, and enables us to attract, retain and motivate the highest caliber of executive talent.</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ANNUAL INCENTIVE AWARDS ARE DETERMINED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formula is the basis for determining annual incentive awards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599440</wp:posOffset>
            </wp:positionH>
            <wp:positionV relativeFrom="paragraph">
              <wp:posOffset>102870</wp:posOffset>
            </wp:positionV>
            <wp:extent cx="5951855" cy="9950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51855" cy="995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78"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Though performance relative to pre-established financial goals is the primary basis for determining the financial performance factors, the Committee retains the right to make discretionary adjustments to the overall performance factors if it determines such financial performance does not accurately reflect the overall quality of performance for the year. In the past, the Committee has made both positive and negative adjustments. Examples of situations that could result in discretionary adjustments include:</w:t>
      </w:r>
    </w:p>
    <w:p>
      <w:pPr>
        <w:spacing w:after="0" w:line="150" w:lineRule="exact"/>
        <w:rPr>
          <w:sz w:val="20"/>
          <w:szCs w:val="20"/>
          <w:color w:val="auto"/>
        </w:rPr>
      </w:pPr>
    </w:p>
    <w:p>
      <w:pPr>
        <w:ind w:left="240" w:right="120" w:hanging="233"/>
        <w:spacing w:after="0" w:line="256" w:lineRule="auto"/>
        <w:tabs>
          <w:tab w:leader="none" w:pos="240" w:val="left"/>
        </w:tabs>
        <w:numPr>
          <w:ilvl w:val="0"/>
          <w:numId w:val="145"/>
        </w:numPr>
        <w:rPr>
          <w:rFonts w:ascii="Arial" w:cs="Arial" w:eastAsia="Arial" w:hAnsi="Arial"/>
          <w:sz w:val="16"/>
          <w:szCs w:val="16"/>
          <w:color w:val="CE0F2D"/>
        </w:rPr>
      </w:pPr>
      <w:r>
        <w:rPr>
          <w:rFonts w:ascii="Arial" w:cs="Arial" w:eastAsia="Arial" w:hAnsi="Arial"/>
          <w:sz w:val="16"/>
          <w:szCs w:val="16"/>
          <w:color w:val="auto"/>
        </w:rPr>
        <w:t>Material, unforeseen circumstances beyond management’s control that affected financial performance relative to the established goals, including certain non-recurring charges and credits unrelated to operating performance;</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145"/>
        </w:numPr>
        <w:rPr>
          <w:rFonts w:ascii="Arial" w:cs="Arial" w:eastAsia="Arial" w:hAnsi="Arial"/>
          <w:sz w:val="16"/>
          <w:szCs w:val="16"/>
          <w:color w:val="CE0F2D"/>
        </w:rPr>
      </w:pPr>
      <w:r>
        <w:rPr>
          <w:rFonts w:ascii="Arial" w:cs="Arial" w:eastAsia="Arial" w:hAnsi="Arial"/>
          <w:sz w:val="16"/>
          <w:szCs w:val="16"/>
          <w:color w:val="auto"/>
        </w:rPr>
        <w:t>Tax or accounting rule changes that positively or negatively impact performance; and</w:t>
      </w:r>
    </w:p>
    <w:p>
      <w:pPr>
        <w:spacing w:after="0" w:line="83" w:lineRule="exact"/>
        <w:rPr>
          <w:rFonts w:ascii="Arial" w:cs="Arial" w:eastAsia="Arial" w:hAnsi="Arial"/>
          <w:sz w:val="16"/>
          <w:szCs w:val="16"/>
          <w:color w:val="CE0F2D"/>
        </w:rPr>
      </w:pPr>
    </w:p>
    <w:p>
      <w:pPr>
        <w:ind w:left="240" w:hanging="233"/>
        <w:spacing w:after="0"/>
        <w:tabs>
          <w:tab w:leader="none" w:pos="240" w:val="left"/>
        </w:tabs>
        <w:numPr>
          <w:ilvl w:val="0"/>
          <w:numId w:val="145"/>
        </w:numPr>
        <w:rPr>
          <w:rFonts w:ascii="Arial" w:cs="Arial" w:eastAsia="Arial" w:hAnsi="Arial"/>
          <w:sz w:val="16"/>
          <w:szCs w:val="16"/>
          <w:color w:val="CE0F2D"/>
        </w:rPr>
      </w:pPr>
      <w:r>
        <w:rPr>
          <w:rFonts w:ascii="Arial" w:cs="Arial" w:eastAsia="Arial" w:hAnsi="Arial"/>
          <w:sz w:val="16"/>
          <w:szCs w:val="16"/>
          <w:color w:val="auto"/>
        </w:rPr>
        <w:t>Changes to the Company’s capital structure.</w:t>
      </w:r>
    </w:p>
    <w:p>
      <w:pPr>
        <w:spacing w:after="0" w:line="352"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Further, our NEOs begin the year with individual financial, strategic and/or operational objectives. Based on the CEO’s assessment of each NEO’s performance, he may recommend that the Committee use its discretion to increase or decrease the annual incentive award calculated using the performance factor approved by the Committee. The Committee considers these recommendations and makes adjustments it deems appropriate, ranging anywhere from -100% to +30% of the approved performance factor.</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2021 ANNUAL INCENTIVE TARGETS</w:t>
      </w:r>
    </w:p>
    <w:p>
      <w:pPr>
        <w:spacing w:after="0" w:line="215" w:lineRule="exact"/>
        <w:rPr>
          <w:sz w:val="20"/>
          <w:szCs w:val="20"/>
          <w:color w:val="auto"/>
        </w:rPr>
      </w:pPr>
    </w:p>
    <w:p>
      <w:pPr>
        <w:ind w:right="260"/>
        <w:spacing w:after="0" w:line="250" w:lineRule="auto"/>
        <w:rPr>
          <w:sz w:val="20"/>
          <w:szCs w:val="20"/>
          <w:color w:val="auto"/>
        </w:rPr>
      </w:pPr>
      <w:r>
        <w:rPr>
          <w:rFonts w:ascii="Arial" w:cs="Arial" w:eastAsia="Arial" w:hAnsi="Arial"/>
          <w:sz w:val="16"/>
          <w:szCs w:val="16"/>
          <w:color w:val="auto"/>
        </w:rPr>
        <w:t>Each NEO has an annual incentive target that is expressed as a percentage of the NEO’s base salary as in effect on December 1, 2021. Annual incentive targets are based on relevant market data for each NEO’s role and generally are set to approximate the median of our CPG. Below are the 2021 annual incentive target percentages for each of our NEOs who were employed by the Company as of year-end.</w:t>
      </w:r>
    </w:p>
    <w:p>
      <w:pPr>
        <w:sectPr>
          <w:pgSz w:w="11900" w:h="16838" w:orient="portrait"/>
          <w:cols w:equalWidth="0" w:num="1">
            <w:col w:w="11160"/>
          </w:cols>
          <w:pgMar w:left="320" w:top="118" w:right="419" w:bottom="1440" w:gutter="0" w:footer="0" w:header="0"/>
        </w:sectPr>
      </w:pP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2560" w:type="dxa"/>
            <w:vAlign w:val="bottom"/>
          </w:tcPr>
          <w:p>
            <w:pPr>
              <w:jc w:val="right"/>
              <w:spacing w:after="0"/>
              <w:rPr>
                <w:sz w:val="20"/>
                <w:szCs w:val="20"/>
                <w:color w:val="auto"/>
              </w:rPr>
            </w:pPr>
            <w:r>
              <w:rPr>
                <w:rFonts w:ascii="Arial" w:cs="Arial" w:eastAsia="Arial" w:hAnsi="Arial"/>
                <w:sz w:val="14"/>
                <w:szCs w:val="14"/>
                <w:color w:val="61676D"/>
              </w:rPr>
              <w:t>Annual Incentive Target</w:t>
            </w:r>
          </w:p>
        </w:tc>
      </w:tr>
      <w:tr>
        <w:trPr>
          <w:trHeight w:val="203"/>
        </w:trPr>
        <w:tc>
          <w:tcPr>
            <w:tcW w:w="2600" w:type="dxa"/>
            <w:vAlign w:val="bottom"/>
            <w:tcBorders>
              <w:bottom w:val="single" w:sz="8" w:color="CE0F2D"/>
            </w:tcBorders>
          </w:tcPr>
          <w:p>
            <w:pPr>
              <w:spacing w:after="0"/>
              <w:rPr>
                <w:sz w:val="20"/>
                <w:szCs w:val="20"/>
                <w:color w:val="auto"/>
              </w:rPr>
            </w:pPr>
            <w:r>
              <w:rPr>
                <w:rFonts w:ascii="Arial" w:cs="Arial" w:eastAsia="Arial" w:hAnsi="Arial"/>
                <w:sz w:val="14"/>
                <w:szCs w:val="14"/>
                <w:color w:val="61676D"/>
              </w:rPr>
              <w:t>NEO</w:t>
            </w:r>
          </w:p>
        </w:tc>
        <w:tc>
          <w:tcPr>
            <w:tcW w:w="256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(as % of base salary)</w:t>
            </w:r>
          </w:p>
        </w:tc>
      </w:tr>
      <w:tr>
        <w:trPr>
          <w:trHeight w:val="248"/>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Gregory J. Hayes</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48"/>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Neil G. Mitchill, Jr.</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r>
      <w:tr>
        <w:trPr>
          <w:trHeight w:val="248"/>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Michael R. Dumais</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48"/>
        </w:trPr>
        <w:tc>
          <w:tcPr>
            <w:tcW w:w="2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CE0F2D"/>
              </w:rPr>
              <w:t>Christopher T. Calio</w:t>
            </w:r>
          </w:p>
        </w:tc>
        <w:tc>
          <w:tcPr>
            <w:tcW w:w="2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261"/>
        </w:trPr>
        <w:tc>
          <w:tcPr>
            <w:tcW w:w="2600" w:type="dxa"/>
            <w:vAlign w:val="bottom"/>
            <w:tcBorders>
              <w:bottom w:val="single" w:sz="8" w:color="636466"/>
            </w:tcBorders>
          </w:tcPr>
          <w:p>
            <w:pPr>
              <w:spacing w:after="0"/>
              <w:rPr>
                <w:sz w:val="20"/>
                <w:szCs w:val="20"/>
                <w:color w:val="auto"/>
              </w:rPr>
            </w:pPr>
            <w:r>
              <w:rPr>
                <w:rFonts w:ascii="Arial" w:cs="Arial" w:eastAsia="Arial" w:hAnsi="Arial"/>
                <w:sz w:val="16"/>
                <w:szCs w:val="16"/>
                <w:b w:val="1"/>
                <w:bCs w:val="1"/>
                <w:color w:val="CE0F2D"/>
              </w:rPr>
              <w:t>Stephen J. Timm</w:t>
            </w:r>
          </w:p>
        </w:tc>
        <w:tc>
          <w:tcPr>
            <w:tcW w:w="256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100%</w:t>
            </w:r>
          </w:p>
        </w:tc>
      </w:tr>
    </w:tbl>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Annual incentive targets are pro-rated for the year if adjustments are made during the year due to role changes. In connection with Mr. Mitchill’s appointment to the role of Executive Vice President &amp; Chief Financial Officer on April 7, 2021, the Committee increased his annual incentive target percentage from 70% to 110% of base salary, to more closely align his target with the CPG median for his new role. As a result, Mr. Mitchill’s pro-rated annual incentive target for 2021 was 100% of base salary.</w:t>
      </w:r>
    </w:p>
    <w:p>
      <w:pPr>
        <w:spacing w:after="0" w:line="444" w:lineRule="exact"/>
        <w:rPr>
          <w:sz w:val="20"/>
          <w:szCs w:val="20"/>
          <w:color w:val="auto"/>
        </w:rPr>
      </w:pPr>
    </w:p>
    <w:p>
      <w:pPr>
        <w:sectPr>
          <w:pgSz w:w="11900" w:h="16838" w:orient="portrait"/>
          <w:cols w:equalWidth="0" w:num="2">
            <w:col w:w="5160" w:space="680"/>
            <w:col w:w="5320"/>
          </w:cols>
          <w:pgMar w:left="320" w:top="118" w:right="41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PERFORMANCE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135255</wp:posOffset>
            </wp:positionV>
            <wp:extent cx="7133590" cy="129222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3590" cy="1292225"/>
                    </a:xfrm>
                    <a:prstGeom prst="rect">
                      <a:avLst/>
                    </a:prstGeom>
                    <a:noFill/>
                  </pic:spPr>
                </pic:pic>
              </a:graphicData>
            </a:graphic>
          </wp:anchor>
        </w:drawing>
      </w:r>
    </w:p>
    <w:p>
      <w:pPr>
        <w:spacing w:after="0" w:line="3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CE0F2D"/>
        </w:rPr>
        <w:t>New Corporate Responsibility Scorecard</w:t>
      </w:r>
    </w:p>
    <w:p>
      <w:pPr>
        <w:spacing w:after="0" w:line="193" w:lineRule="exact"/>
        <w:rPr>
          <w:sz w:val="20"/>
          <w:szCs w:val="20"/>
          <w:color w:val="auto"/>
        </w:rPr>
      </w:pPr>
    </w:p>
    <w:p>
      <w:pPr>
        <w:ind w:left="180" w:right="240"/>
        <w:spacing w:after="0" w:line="250" w:lineRule="auto"/>
        <w:rPr>
          <w:sz w:val="20"/>
          <w:szCs w:val="20"/>
          <w:color w:val="auto"/>
        </w:rPr>
      </w:pPr>
      <w:r>
        <w:rPr>
          <w:rFonts w:ascii="Arial" w:cs="Arial" w:eastAsia="Arial" w:hAnsi="Arial"/>
          <w:sz w:val="16"/>
          <w:szCs w:val="16"/>
          <w:color w:val="auto"/>
        </w:rPr>
        <w:t>Since the Merger, we have been engaging in a significant effort to integrate and build upon our legacy companies’ ESG approaches. RTX management and the Board of Directors view ESG as integral to our long-term strategy, our business operations, our values and how we engage with our stakeholders.</w:t>
      </w:r>
    </w:p>
    <w:p>
      <w:pPr>
        <w:spacing w:after="0" w:line="148" w:lineRule="exact"/>
        <w:rPr>
          <w:sz w:val="20"/>
          <w:szCs w:val="20"/>
          <w:color w:val="auto"/>
        </w:rPr>
      </w:pPr>
    </w:p>
    <w:p>
      <w:pPr>
        <w:ind w:left="180" w:right="180"/>
        <w:spacing w:after="0" w:line="250" w:lineRule="auto"/>
        <w:rPr>
          <w:sz w:val="20"/>
          <w:szCs w:val="20"/>
          <w:color w:val="auto"/>
        </w:rPr>
      </w:pPr>
      <w:r>
        <w:rPr>
          <w:rFonts w:ascii="Arial" w:cs="Arial" w:eastAsia="Arial" w:hAnsi="Arial"/>
          <w:sz w:val="16"/>
          <w:szCs w:val="16"/>
          <w:color w:val="auto"/>
        </w:rPr>
        <w:t>In line with this continued emphasis on ESG, the Committee incorporated non-financial performance objectives into our Executive Annual Incentive Plan starting in 2021. This was done by adding a Corporate Responsibility Scorecard (“CRS”), which is comprised of two categories—People &amp; Culture and Sustainability &amp; Safety—each weighted at 10%, while our financial metrics—earnings and free cash flow (“FCF”)—are now each weighted at 40%.</w:t>
      </w:r>
    </w:p>
    <w:p>
      <w:pPr>
        <w:spacing w:after="0" w:line="322" w:lineRule="exact"/>
        <w:rPr>
          <w:sz w:val="20"/>
          <w:szCs w:val="20"/>
          <w:color w:val="auto"/>
        </w:rPr>
      </w:pPr>
    </w:p>
    <w:p>
      <w:pPr>
        <w:ind w:left="260" w:hanging="253"/>
        <w:spacing w:after="0"/>
        <w:tabs>
          <w:tab w:leader="none" w:pos="260" w:val="left"/>
        </w:tabs>
        <w:numPr>
          <w:ilvl w:val="0"/>
          <w:numId w:val="14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53" w:name="page54"/>
    <w:bookmarkEnd w:id="5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2021 Performance Metrics and Weightings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charts below show the 2021 performance metrics and weightings for our Corporate and business unit executives.</w:t>
      </w:r>
    </w:p>
    <w:p>
      <w:pPr>
        <w:spacing w:after="0" w:line="162" w:lineRule="exact"/>
        <w:rPr>
          <w:sz w:val="20"/>
          <w:szCs w:val="20"/>
          <w:color w:val="auto"/>
        </w:rPr>
      </w:pPr>
    </w:p>
    <w:tbl>
      <w:tblPr>
        <w:tblLayout w:type="fixed"/>
        <w:tblInd w:w="2620" w:type="dxa"/>
        <w:tblCellMar>
          <w:top w:w="0" w:type="dxa"/>
          <w:left w:w="0" w:type="dxa"/>
          <w:bottom w:w="0" w:type="dxa"/>
          <w:right w:w="0" w:type="dxa"/>
        </w:tblCellMar>
      </w:tblPr>
      <w:tr>
        <w:trPr>
          <w:trHeight w:val="288"/>
        </w:trPr>
        <w:tc>
          <w:tcPr>
            <w:tcW w:w="1240" w:type="dxa"/>
            <w:vAlign w:val="bottom"/>
            <w:tcBorders>
              <w:bottom w:val="single" w:sz="8" w:color="ECEDEF"/>
            </w:tcBorders>
            <w:shd w:val="clear" w:color="auto" w:fill="ECEDEF"/>
          </w:tcPr>
          <w:p>
            <w:pPr>
              <w:spacing w:after="0"/>
              <w:rPr>
                <w:sz w:val="24"/>
                <w:szCs w:val="24"/>
                <w:color w:val="auto"/>
              </w:rPr>
            </w:pPr>
          </w:p>
        </w:tc>
        <w:tc>
          <w:tcPr>
            <w:tcW w:w="2860" w:type="dxa"/>
            <w:vAlign w:val="bottom"/>
            <w:tcBorders>
              <w:bottom w:val="single" w:sz="8" w:color="ECEDEF"/>
            </w:tcBorders>
            <w:shd w:val="clear" w:color="auto" w:fill="ECEDEF"/>
          </w:tcPr>
          <w:p>
            <w:pPr>
              <w:ind w:left="220"/>
              <w:spacing w:after="0"/>
              <w:rPr>
                <w:sz w:val="20"/>
                <w:szCs w:val="20"/>
                <w:color w:val="auto"/>
              </w:rPr>
            </w:pPr>
            <w:r>
              <w:rPr>
                <w:rFonts w:ascii="Arial" w:cs="Arial" w:eastAsia="Arial" w:hAnsi="Arial"/>
                <w:sz w:val="16"/>
                <w:szCs w:val="16"/>
                <w:b w:val="1"/>
                <w:bCs w:val="1"/>
                <w:color w:val="CE0F2D"/>
              </w:rPr>
              <w:t>Financial Goals</w:t>
            </w:r>
          </w:p>
        </w:tc>
        <w:tc>
          <w:tcPr>
            <w:tcW w:w="120" w:type="dxa"/>
            <w:vAlign w:val="bottom"/>
          </w:tcPr>
          <w:p>
            <w:pPr>
              <w:spacing w:after="0"/>
              <w:rPr>
                <w:sz w:val="24"/>
                <w:szCs w:val="24"/>
                <w:color w:val="auto"/>
              </w:rPr>
            </w:pPr>
          </w:p>
        </w:tc>
        <w:tc>
          <w:tcPr>
            <w:tcW w:w="4400" w:type="dxa"/>
            <w:vAlign w:val="bottom"/>
            <w:tcBorders>
              <w:bottom w:val="single" w:sz="8" w:color="ECEDEF"/>
            </w:tcBorders>
            <w:gridSpan w:val="2"/>
            <w:shd w:val="clear" w:color="auto" w:fill="ECEDEF"/>
          </w:tcPr>
          <w:p>
            <w:pPr>
              <w:ind w:left="400"/>
              <w:spacing w:after="0"/>
              <w:rPr>
                <w:sz w:val="20"/>
                <w:szCs w:val="20"/>
                <w:color w:val="auto"/>
              </w:rPr>
            </w:pPr>
            <w:r>
              <w:rPr>
                <w:rFonts w:ascii="Arial" w:cs="Arial" w:eastAsia="Arial" w:hAnsi="Arial"/>
                <w:sz w:val="16"/>
                <w:szCs w:val="16"/>
                <w:b w:val="1"/>
                <w:bCs w:val="1"/>
                <w:color w:val="auto"/>
              </w:rPr>
              <w:t>Corporate Responsibility Scorecard Objectives</w:t>
            </w:r>
          </w:p>
        </w:tc>
      </w:tr>
      <w:tr>
        <w:trPr>
          <w:trHeight w:val="262"/>
        </w:trPr>
        <w:tc>
          <w:tcPr>
            <w:tcW w:w="1240" w:type="dxa"/>
            <w:vAlign w:val="bottom"/>
          </w:tcPr>
          <w:p>
            <w:pPr>
              <w:ind w:left="380"/>
              <w:spacing w:after="0"/>
              <w:rPr>
                <w:sz w:val="20"/>
                <w:szCs w:val="20"/>
                <w:color w:val="auto"/>
              </w:rPr>
            </w:pPr>
            <w:r>
              <w:rPr>
                <w:rFonts w:ascii="Arial" w:cs="Arial" w:eastAsia="Arial" w:hAnsi="Arial"/>
                <w:sz w:val="16"/>
                <w:szCs w:val="16"/>
                <w:color w:val="CE0F2D"/>
              </w:rPr>
              <w:t>Earnings</w:t>
            </w:r>
          </w:p>
        </w:tc>
        <w:tc>
          <w:tcPr>
            <w:tcW w:w="2860" w:type="dxa"/>
            <w:vAlign w:val="bottom"/>
          </w:tcPr>
          <w:p>
            <w:pPr>
              <w:ind w:left="1220"/>
              <w:spacing w:after="0"/>
              <w:rPr>
                <w:sz w:val="20"/>
                <w:szCs w:val="20"/>
                <w:color w:val="auto"/>
              </w:rPr>
            </w:pPr>
            <w:r>
              <w:rPr>
                <w:rFonts w:ascii="Arial" w:cs="Arial" w:eastAsia="Arial" w:hAnsi="Arial"/>
                <w:sz w:val="16"/>
                <w:szCs w:val="16"/>
                <w:color w:val="CE0F2D"/>
              </w:rPr>
              <w:t>Free Cash Flow</w:t>
            </w:r>
          </w:p>
        </w:tc>
        <w:tc>
          <w:tcPr>
            <w:tcW w:w="120" w:type="dxa"/>
            <w:vAlign w:val="bottom"/>
          </w:tcPr>
          <w:p>
            <w:pPr>
              <w:spacing w:after="0"/>
              <w:rPr>
                <w:sz w:val="22"/>
                <w:szCs w:val="22"/>
                <w:color w:val="auto"/>
              </w:rPr>
            </w:pPr>
          </w:p>
        </w:tc>
        <w:tc>
          <w:tcPr>
            <w:tcW w:w="2220" w:type="dxa"/>
            <w:vAlign w:val="bottom"/>
          </w:tcPr>
          <w:p>
            <w:pPr>
              <w:ind w:left="560"/>
              <w:spacing w:after="0"/>
              <w:rPr>
                <w:sz w:val="20"/>
                <w:szCs w:val="20"/>
                <w:color w:val="auto"/>
              </w:rPr>
            </w:pPr>
            <w:r>
              <w:rPr>
                <w:rFonts w:ascii="Arial" w:cs="Arial" w:eastAsia="Arial" w:hAnsi="Arial"/>
                <w:sz w:val="16"/>
                <w:szCs w:val="16"/>
                <w:color w:val="auto"/>
              </w:rPr>
              <w:t>People &amp; Culture</w:t>
            </w:r>
          </w:p>
        </w:tc>
        <w:tc>
          <w:tcPr>
            <w:tcW w:w="2180" w:type="dxa"/>
            <w:vAlign w:val="bottom"/>
          </w:tcPr>
          <w:p>
            <w:pPr>
              <w:ind w:left="460"/>
              <w:spacing w:after="0"/>
              <w:rPr>
                <w:sz w:val="20"/>
                <w:szCs w:val="20"/>
                <w:color w:val="auto"/>
              </w:rPr>
            </w:pPr>
            <w:r>
              <w:rPr>
                <w:rFonts w:ascii="Arial" w:cs="Arial" w:eastAsia="Arial" w:hAnsi="Arial"/>
                <w:sz w:val="16"/>
                <w:szCs w:val="16"/>
                <w:color w:val="auto"/>
              </w:rPr>
              <w:t>Sustainability &amp; Safety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7133590"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Corporate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1687830</wp:posOffset>
            </wp:positionH>
            <wp:positionV relativeFrom="paragraph">
              <wp:posOffset>-74295</wp:posOffset>
            </wp:positionV>
            <wp:extent cx="850265" cy="8502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0265" cy="850265"/>
                    </a:xfrm>
                    <a:prstGeom prst="rect">
                      <a:avLst/>
                    </a:prstGeom>
                    <a:noFill/>
                  </pic:spPr>
                </pic:pic>
              </a:graphicData>
            </a:graphic>
          </wp:anchor>
        </w:drawing>
        <w:drawing>
          <wp:anchor simplePos="0" relativeHeight="251657728" behindDoc="1" locked="0" layoutInCell="0" allowOverlap="1">
            <wp:simplePos x="0" y="0"/>
            <wp:positionH relativeFrom="column">
              <wp:posOffset>3209925</wp:posOffset>
            </wp:positionH>
            <wp:positionV relativeFrom="paragraph">
              <wp:posOffset>-74295</wp:posOffset>
            </wp:positionV>
            <wp:extent cx="850265" cy="85026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50265" cy="850265"/>
                    </a:xfrm>
                    <a:prstGeom prst="rect">
                      <a:avLst/>
                    </a:prstGeom>
                    <a:noFill/>
                  </pic:spPr>
                </pic:pic>
              </a:graphicData>
            </a:graphic>
          </wp:anchor>
        </w:drawing>
        <w:drawing>
          <wp:anchor simplePos="0" relativeHeight="251657728" behindDoc="1" locked="0" layoutInCell="0" allowOverlap="1">
            <wp:simplePos x="0" y="0"/>
            <wp:positionH relativeFrom="column">
              <wp:posOffset>4672330</wp:posOffset>
            </wp:positionH>
            <wp:positionV relativeFrom="paragraph">
              <wp:posOffset>-48895</wp:posOffset>
            </wp:positionV>
            <wp:extent cx="833120" cy="8331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33120" cy="833120"/>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-57150</wp:posOffset>
            </wp:positionV>
            <wp:extent cx="833120" cy="85026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33120" cy="850265"/>
                    </a:xfrm>
                    <a:prstGeom prst="rect">
                      <a:avLst/>
                    </a:prstGeom>
                    <a:noFill/>
                  </pic:spPr>
                </pic:pic>
              </a:graphicData>
            </a:graphic>
          </wp:anchor>
        </w:drawing>
      </w:r>
    </w:p>
    <w:p>
      <w:pPr>
        <w:spacing w:after="0" w:line="110" w:lineRule="exact"/>
        <w:rPr>
          <w:sz w:val="20"/>
          <w:szCs w:val="20"/>
          <w:color w:val="auto"/>
        </w:rPr>
      </w:pPr>
    </w:p>
    <w:p>
      <w:pPr>
        <w:ind w:right="8920"/>
        <w:spacing w:after="0" w:line="252" w:lineRule="auto"/>
        <w:rPr>
          <w:sz w:val="20"/>
          <w:szCs w:val="20"/>
          <w:color w:val="auto"/>
        </w:rPr>
      </w:pPr>
      <w:r>
        <w:rPr>
          <w:rFonts w:ascii="Arial" w:cs="Arial" w:eastAsia="Arial" w:hAnsi="Arial"/>
          <w:sz w:val="12"/>
          <w:szCs w:val="12"/>
          <w:color w:val="auto"/>
        </w:rPr>
        <w:t>Funding based entirely on Company-wide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sz w:val="1"/>
          <w:szCs w:val="1"/>
          <w:color w:val="auto"/>
        </w:rPr>
        <w:drawing>
          <wp:inline distT="0" distB="0" distL="0" distR="0">
            <wp:extent cx="118745" cy="11874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8745" cy="118745"/>
                    </a:xfrm>
                    <a:prstGeom prst="rect">
                      <a:avLst/>
                    </a:prstGeom>
                    <a:noFill/>
                    <a:ln>
                      <a:noFill/>
                    </a:ln>
                  </pic:spPr>
                </pic:pic>
              </a:graphicData>
            </a:graphic>
          </wp:inline>
        </w:drawing>
      </w:r>
      <w:r>
        <w:rPr>
          <w:rFonts w:ascii="Arial" w:cs="Arial" w:eastAsia="Arial" w:hAnsi="Arial"/>
          <w:sz w:val="11"/>
          <w:szCs w:val="11"/>
          <w:color w:val="auto"/>
        </w:rPr>
        <w:t xml:space="preserve"> Company-Wide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Business Unit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1662430</wp:posOffset>
            </wp:positionH>
            <wp:positionV relativeFrom="paragraph">
              <wp:posOffset>-74295</wp:posOffset>
            </wp:positionV>
            <wp:extent cx="2414905" cy="9353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14905" cy="935355"/>
                    </a:xfrm>
                    <a:prstGeom prst="rect">
                      <a:avLst/>
                    </a:prstGeom>
                    <a:noFill/>
                  </pic:spPr>
                </pic:pic>
              </a:graphicData>
            </a:graphic>
          </wp:anchor>
        </w:drawing>
        <w:drawing>
          <wp:anchor simplePos="0" relativeHeight="251657728" behindDoc="1" locked="0" layoutInCell="0" allowOverlap="1">
            <wp:simplePos x="0" y="0"/>
            <wp:positionH relativeFrom="column">
              <wp:posOffset>6134735</wp:posOffset>
            </wp:positionH>
            <wp:positionV relativeFrom="paragraph">
              <wp:posOffset>-74295</wp:posOffset>
            </wp:positionV>
            <wp:extent cx="833120" cy="9353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33120" cy="935355"/>
                    </a:xfrm>
                    <a:prstGeom prst="rect">
                      <a:avLst/>
                    </a:prstGeom>
                    <a:noFill/>
                  </pic:spPr>
                </pic:pic>
              </a:graphicData>
            </a:graphic>
          </wp:anchor>
        </w:drawing>
      </w:r>
    </w:p>
    <w:p>
      <w:pPr>
        <w:spacing w:after="0" w:line="110" w:lineRule="exact"/>
        <w:rPr>
          <w:sz w:val="20"/>
          <w:szCs w:val="20"/>
          <w:color w:val="auto"/>
        </w:rPr>
      </w:pPr>
    </w:p>
    <w:p>
      <w:pPr>
        <w:ind w:right="9040"/>
        <w:spacing w:after="0" w:line="242" w:lineRule="auto"/>
        <w:rPr>
          <w:sz w:val="20"/>
          <w:szCs w:val="20"/>
          <w:color w:val="auto"/>
        </w:rPr>
      </w:pPr>
      <w:r>
        <w:rPr>
          <w:rFonts w:ascii="Arial" w:cs="Arial" w:eastAsia="Arial" w:hAnsi="Arial"/>
          <w:sz w:val="12"/>
          <w:szCs w:val="12"/>
          <w:color w:val="auto"/>
        </w:rPr>
        <w:t>Funding based equally on business unit performance and Company-wide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sz w:val="1"/>
          <w:szCs w:val="1"/>
          <w:color w:val="auto"/>
        </w:rPr>
        <w:drawing>
          <wp:inline distT="0" distB="0" distL="0" distR="0">
            <wp:extent cx="118745" cy="11874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18745" cy="118745"/>
                    </a:xfrm>
                    <a:prstGeom prst="rect">
                      <a:avLst/>
                    </a:prstGeom>
                    <a:noFill/>
                    <a:ln>
                      <a:noFill/>
                    </a:ln>
                  </pic:spPr>
                </pic:pic>
              </a:graphicData>
            </a:graphic>
          </wp:inline>
        </w:drawing>
      </w:r>
      <w:r>
        <w:rPr>
          <w:rFonts w:ascii="Arial" w:cs="Arial" w:eastAsia="Arial" w:hAnsi="Arial"/>
          <w:sz w:val="11"/>
          <w:szCs w:val="11"/>
          <w:color w:val="auto"/>
        </w:rPr>
        <w:t xml:space="preserve"> Company-Wide    </w:t>
      </w:r>
      <w:r>
        <w:rPr>
          <w:sz w:val="1"/>
          <w:szCs w:val="1"/>
          <w:color w:val="auto"/>
        </w:rPr>
        <w:drawing>
          <wp:inline distT="0" distB="0" distL="0" distR="0">
            <wp:extent cx="127635" cy="118745"/>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635" cy="118745"/>
                    </a:xfrm>
                    <a:prstGeom prst="rect">
                      <a:avLst/>
                    </a:prstGeom>
                    <a:noFill/>
                    <a:ln>
                      <a:noFill/>
                    </a:ln>
                  </pic:spPr>
                </pic:pic>
              </a:graphicData>
            </a:graphic>
          </wp:inline>
        </w:drawing>
      </w:r>
      <w:r>
        <w:rPr>
          <w:rFonts w:ascii="Arial" w:cs="Arial" w:eastAsia="Arial" w:hAnsi="Arial"/>
          <w:sz w:val="11"/>
          <w:szCs w:val="11"/>
          <w:color w:val="auto"/>
        </w:rPr>
        <w:t xml:space="preserve"> Business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713359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96"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For our Corporate executives, performance on each metric is measured on a Company-wide basis. At the business unit level, the Committee believes our annual incentive awards should balance the importance of delivering on customer commitments while also leveraging expertise and resources across the Company to advance technology and innovation and to drive progress toward our corporate responsibility goals. As a result, for our business unit executives, performance on each of the four metrics is based equally on business unit results and Company-wide results. In the case of both financial goals and CRS objectives, payout funding ranges from 0% to 200% of target.</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OUR FINANCIAL PERFORMANCE METRICS</w:t>
      </w:r>
    </w:p>
    <w:p>
      <w:pPr>
        <w:spacing w:after="0" w:line="192" w:lineRule="exact"/>
        <w:rPr>
          <w:sz w:val="20"/>
          <w:szCs w:val="20"/>
          <w:color w:val="auto"/>
        </w:rPr>
      </w:pPr>
    </w:p>
    <w:tbl>
      <w:tblPr>
        <w:tblLayout w:type="fixed"/>
        <w:tblInd w:w="2040" w:type="dxa"/>
        <w:tblCellMar>
          <w:top w:w="0" w:type="dxa"/>
          <w:left w:w="0" w:type="dxa"/>
          <w:bottom w:w="0" w:type="dxa"/>
          <w:right w:w="0" w:type="dxa"/>
        </w:tblCellMar>
      </w:tblPr>
      <w:tr>
        <w:trPr>
          <w:trHeight w:val="254"/>
        </w:trPr>
        <w:tc>
          <w:tcPr>
            <w:tcW w:w="4380" w:type="dxa"/>
            <w:vAlign w:val="bottom"/>
            <w:gridSpan w:val="2"/>
            <w:shd w:val="clear" w:color="auto" w:fill="ECEDEF"/>
          </w:tcPr>
          <w:p>
            <w:pPr>
              <w:ind w:left="1380"/>
              <w:spacing w:after="0"/>
              <w:rPr>
                <w:sz w:val="20"/>
                <w:szCs w:val="20"/>
                <w:color w:val="auto"/>
              </w:rPr>
            </w:pPr>
            <w:r>
              <w:rPr>
                <w:rFonts w:ascii="Arial" w:cs="Arial" w:eastAsia="Arial" w:hAnsi="Arial"/>
                <w:sz w:val="16"/>
                <w:szCs w:val="16"/>
                <w:b w:val="1"/>
                <w:bCs w:val="1"/>
                <w:color w:val="CE0F2D"/>
              </w:rPr>
              <w:t>Company-Wide Metrics</w:t>
            </w:r>
          </w:p>
        </w:tc>
        <w:tc>
          <w:tcPr>
            <w:tcW w:w="4820" w:type="dxa"/>
            <w:vAlign w:val="bottom"/>
            <w:gridSpan w:val="2"/>
            <w:shd w:val="clear" w:color="auto" w:fill="ECEDEF"/>
          </w:tcPr>
          <w:p>
            <w:pPr>
              <w:ind w:left="1740"/>
              <w:spacing w:after="0"/>
              <w:rPr>
                <w:sz w:val="20"/>
                <w:szCs w:val="20"/>
                <w:color w:val="auto"/>
              </w:rPr>
            </w:pPr>
            <w:r>
              <w:rPr>
                <w:rFonts w:ascii="Arial" w:cs="Arial" w:eastAsia="Arial" w:hAnsi="Arial"/>
                <w:sz w:val="16"/>
                <w:szCs w:val="16"/>
                <w:b w:val="1"/>
                <w:bCs w:val="1"/>
                <w:color w:val="auto"/>
              </w:rPr>
              <w:t>Business Unit Metrics</w:t>
            </w:r>
          </w:p>
        </w:tc>
      </w:tr>
      <w:tr>
        <w:trPr>
          <w:trHeight w:val="235"/>
        </w:trPr>
        <w:tc>
          <w:tcPr>
            <w:tcW w:w="2340" w:type="dxa"/>
            <w:vAlign w:val="bottom"/>
          </w:tcPr>
          <w:p>
            <w:pPr>
              <w:ind w:left="580"/>
              <w:spacing w:after="0"/>
              <w:rPr>
                <w:sz w:val="20"/>
                <w:szCs w:val="20"/>
                <w:color w:val="auto"/>
              </w:rPr>
            </w:pPr>
            <w:r>
              <w:rPr>
                <w:rFonts w:ascii="Arial" w:cs="Arial" w:eastAsia="Arial" w:hAnsi="Arial"/>
                <w:sz w:val="16"/>
                <w:szCs w:val="16"/>
                <w:color w:val="CE0F2D"/>
              </w:rPr>
              <w:t>RTX Earnings</w:t>
            </w:r>
          </w:p>
        </w:tc>
        <w:tc>
          <w:tcPr>
            <w:tcW w:w="2040" w:type="dxa"/>
            <w:vAlign w:val="bottom"/>
          </w:tcPr>
          <w:p>
            <w:pPr>
              <w:ind w:left="760"/>
              <w:spacing w:after="0"/>
              <w:rPr>
                <w:sz w:val="20"/>
                <w:szCs w:val="20"/>
                <w:color w:val="auto"/>
              </w:rPr>
            </w:pPr>
            <w:r>
              <w:rPr>
                <w:rFonts w:ascii="Arial" w:cs="Arial" w:eastAsia="Arial" w:hAnsi="Arial"/>
                <w:sz w:val="16"/>
                <w:szCs w:val="16"/>
                <w:color w:val="CE0F2D"/>
              </w:rPr>
              <w:t>RTX FCF</w:t>
            </w:r>
          </w:p>
        </w:tc>
        <w:tc>
          <w:tcPr>
            <w:tcW w:w="2660" w:type="dxa"/>
            <w:vAlign w:val="bottom"/>
          </w:tcPr>
          <w:p>
            <w:pPr>
              <w:ind w:left="580"/>
              <w:spacing w:after="0"/>
              <w:rPr>
                <w:sz w:val="20"/>
                <w:szCs w:val="20"/>
                <w:color w:val="auto"/>
              </w:rPr>
            </w:pPr>
            <w:r>
              <w:rPr>
                <w:rFonts w:ascii="Arial" w:cs="Arial" w:eastAsia="Arial" w:hAnsi="Arial"/>
                <w:sz w:val="16"/>
                <w:szCs w:val="16"/>
                <w:color w:val="auto"/>
              </w:rPr>
              <w:t>Business Unit Earnings</w:t>
            </w:r>
          </w:p>
        </w:tc>
        <w:tc>
          <w:tcPr>
            <w:tcW w:w="2160" w:type="dxa"/>
            <w:vAlign w:val="bottom"/>
          </w:tcPr>
          <w:p>
            <w:pPr>
              <w:ind w:left="420"/>
              <w:spacing w:after="0"/>
              <w:rPr>
                <w:sz w:val="20"/>
                <w:szCs w:val="20"/>
                <w:color w:val="auto"/>
              </w:rPr>
            </w:pPr>
            <w:r>
              <w:rPr>
                <w:rFonts w:ascii="Arial" w:cs="Arial" w:eastAsia="Arial" w:hAnsi="Arial"/>
                <w:sz w:val="16"/>
                <w:szCs w:val="16"/>
                <w:color w:val="auto"/>
              </w:rPr>
              <w:t>Business Unit FCF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80" w:lineRule="exact"/>
        <w:rPr>
          <w:sz w:val="20"/>
          <w:szCs w:val="20"/>
          <w:color w:val="auto"/>
        </w:rPr>
      </w:pPr>
    </w:p>
    <w:p>
      <w:pPr>
        <w:spacing w:after="0" w:line="252" w:lineRule="auto"/>
        <w:rPr>
          <w:sz w:val="20"/>
          <w:szCs w:val="20"/>
          <w:color w:val="auto"/>
        </w:rPr>
      </w:pPr>
      <w:r>
        <w:rPr>
          <w:rFonts w:ascii="Arial" w:cs="Arial" w:eastAsia="Arial" w:hAnsi="Arial"/>
          <w:sz w:val="12"/>
          <w:szCs w:val="12"/>
          <w:color w:val="CE0F2D"/>
        </w:rPr>
        <w:t>How are AIP financial metrics defined?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RTX’s net income attributable to common shareowners (as reported in the 2021 Annual Report on Form 10-K), adjusted for restructuring, the impact of acquisitions and divestitures (including acquisition accounting adjustments), and non-recurring and other significant, non-operational items.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Consolidated net cash flow provided by operating activities, less capital expenditures (both as reported in the 2021 Annual Report on Form 10-K), adjusted for restructuring, the impact of acquisitions and divestitures, and non-recurring and other significant, non-operational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-2801620</wp:posOffset>
            </wp:positionH>
            <wp:positionV relativeFrom="paragraph">
              <wp:posOffset>96520</wp:posOffset>
            </wp:positionV>
            <wp:extent cx="71335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236" w:lineRule="auto"/>
        <w:rPr>
          <w:sz w:val="20"/>
          <w:szCs w:val="20"/>
          <w:color w:val="auto"/>
        </w:rPr>
      </w:pPr>
      <w:r>
        <w:rPr>
          <w:rFonts w:ascii="Arial" w:cs="Arial" w:eastAsia="Arial" w:hAnsi="Arial"/>
          <w:sz w:val="12"/>
          <w:szCs w:val="12"/>
          <w:color w:val="auto"/>
        </w:rPr>
        <w:t>Business unit operating income (as reported in the 2021 Annual Report on Form 10-K), adjusted for restructuring costs, the impact of acquisitions and divestitures (including acquisition accounting adjustments), and non-recurring and other significant, non-operational items.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color w:val="auto"/>
        </w:rPr>
        <w:t>Internal measure based on business unit net cash flow provided by operating activities, less capital expenditures, adjusted for restructuring, the impact of acquisitions and divestitures, and non-recurring and other significant, non-operational items.</w:t>
      </w:r>
    </w:p>
    <w:p>
      <w:pPr>
        <w:spacing w:after="0" w:line="305" w:lineRule="exact"/>
        <w:rPr>
          <w:sz w:val="20"/>
          <w:szCs w:val="20"/>
          <w:color w:val="auto"/>
        </w:rPr>
      </w:pPr>
    </w:p>
    <w:p>
      <w:pPr>
        <w:sectPr>
          <w:pgSz w:w="11900" w:h="16838" w:orient="portrait"/>
          <w:cols w:equalWidth="0" w:num="5">
            <w:col w:w="1640" w:space="400"/>
            <w:col w:w="2100" w:space="280"/>
            <w:col w:w="2040" w:space="300"/>
            <w:col w:w="2140" w:space="220"/>
            <w:col w:w="2120"/>
          </w:cols>
          <w:pgMar w:left="320" w:top="118" w:right="339" w:bottom="1440" w:gutter="0" w:footer="0" w:header="0"/>
          <w:type w:val="continuous"/>
        </w:sectPr>
      </w:pPr>
    </w:p>
    <w:p>
      <w:pPr>
        <w:spacing w:after="0" w:line="252" w:lineRule="auto"/>
        <w:rPr>
          <w:sz w:val="20"/>
          <w:szCs w:val="20"/>
          <w:color w:val="auto"/>
        </w:rPr>
      </w:pPr>
      <w:r>
        <w:rPr>
          <w:rFonts w:ascii="Arial" w:cs="Arial" w:eastAsia="Arial" w:hAnsi="Arial"/>
          <w:sz w:val="12"/>
          <w:szCs w:val="12"/>
          <w:color w:val="CE0F2D"/>
        </w:rPr>
        <w:t>Why did the Committee choose these metrics?</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2"/>
          <w:szCs w:val="12"/>
          <w:color w:val="auto"/>
        </w:rPr>
        <w:t>The Committee believes adjusted net income is relevant to assessing RTX’s overall performance because it includes the impact of items such as tax, interest and foreign exchange fluctuations, which are managed at the Corporate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12700</wp:posOffset>
            </wp:positionV>
            <wp:extent cx="41573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2"/>
          <w:szCs w:val="12"/>
          <w:color w:val="auto"/>
        </w:rPr>
        <w:t>The Committee believes that FCF performance is a relevant measure of our ability to generate cash to fund our operations and key business investments and to return capital to our shareowners.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2"/>
          <w:szCs w:val="12"/>
          <w:color w:val="auto"/>
        </w:rPr>
        <w:t>The Committee believes that operating income, exclusive of tax, interest and foreign exchange exposure, should be the focus of our business units.</w:t>
      </w:r>
    </w:p>
    <w:p>
      <w:pPr>
        <w:spacing w:after="0" w:line="20" w:lineRule="exact"/>
        <w:rPr>
          <w:sz w:val="20"/>
          <w:szCs w:val="20"/>
          <w:color w:val="auto"/>
        </w:rPr>
      </w:pPr>
      <w:r>
        <w:rPr>
          <w:sz w:val="20"/>
          <w:szCs w:val="20"/>
          <w:color w:val="auto"/>
        </w:rPr>
        <w:br w:type="column"/>
      </w:r>
    </w:p>
    <w:p>
      <w:pPr>
        <w:ind w:right="20"/>
        <w:spacing w:after="0" w:line="238" w:lineRule="auto"/>
        <w:rPr>
          <w:sz w:val="20"/>
          <w:szCs w:val="20"/>
          <w:color w:val="auto"/>
        </w:rPr>
      </w:pPr>
      <w:r>
        <w:rPr>
          <w:rFonts w:ascii="Arial" w:cs="Arial" w:eastAsia="Arial" w:hAnsi="Arial"/>
          <w:sz w:val="12"/>
          <w:szCs w:val="12"/>
          <w:color w:val="auto"/>
        </w:rPr>
        <w:t>The Committee believes that FCF performance is a relevant measure of the business units’ ability to generate cash . to fund their operations and key business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181610</wp:posOffset>
            </wp:positionV>
            <wp:extent cx="283972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839720" cy="8255"/>
                    </a:xfrm>
                    <a:prstGeom prst="rect">
                      <a:avLst/>
                    </a:prstGeom>
                    <a:noFill/>
                  </pic:spPr>
                </pic:pic>
              </a:graphicData>
            </a:graphic>
          </wp:anchor>
        </w:drawing>
      </w:r>
    </w:p>
    <w:p>
      <w:pPr>
        <w:spacing w:after="0" w:line="319" w:lineRule="exact"/>
        <w:rPr>
          <w:sz w:val="20"/>
          <w:szCs w:val="20"/>
          <w:color w:val="auto"/>
        </w:rPr>
      </w:pPr>
    </w:p>
    <w:p>
      <w:pPr>
        <w:sectPr>
          <w:pgSz w:w="11900" w:h="16838" w:orient="portrait"/>
          <w:cols w:equalWidth="0" w:num="5">
            <w:col w:w="1740" w:space="300"/>
            <w:col w:w="2140" w:space="240"/>
            <w:col w:w="2120" w:space="220"/>
            <w:col w:w="2020" w:space="340"/>
            <w:col w:w="2120"/>
          </w:cols>
          <w:pgMar w:left="320" w:top="118" w:right="339" w:bottom="1440" w:gutter="0" w:footer="0" w:header="0"/>
          <w:type w:val="continuous"/>
        </w:sectPr>
      </w:pPr>
    </w:p>
    <w:p>
      <w:pPr>
        <w:jc w:val="both"/>
        <w:spacing w:after="0" w:line="242" w:lineRule="auto"/>
        <w:rPr>
          <w:sz w:val="20"/>
          <w:szCs w:val="20"/>
          <w:color w:val="auto"/>
        </w:rPr>
      </w:pPr>
      <w:r>
        <w:rPr>
          <w:rFonts w:ascii="Arial" w:cs="Arial" w:eastAsia="Arial" w:hAnsi="Arial"/>
          <w:sz w:val="12"/>
          <w:szCs w:val="12"/>
          <w:color w:val="CE0F2D"/>
        </w:rPr>
        <w:t>Why do we use non- GAAP financial metrics for annual incentives?</w:t>
      </w:r>
    </w:p>
    <w:p>
      <w:pPr>
        <w:spacing w:after="0" w:line="20" w:lineRule="exact"/>
        <w:rPr>
          <w:sz w:val="20"/>
          <w:szCs w:val="20"/>
          <w:color w:val="auto"/>
        </w:rPr>
      </w:pPr>
      <w:r>
        <w:rPr>
          <w:sz w:val="20"/>
          <w:szCs w:val="20"/>
          <w:color w:val="auto"/>
        </w:rPr>
        <w:br w:type="column"/>
      </w:r>
    </w:p>
    <w:p>
      <w:pPr>
        <w:ind w:right="40"/>
        <w:spacing w:after="0" w:line="239" w:lineRule="auto"/>
        <w:rPr>
          <w:sz w:val="20"/>
          <w:szCs w:val="20"/>
          <w:color w:val="auto"/>
        </w:rPr>
      </w:pPr>
      <w:r>
        <w:rPr>
          <w:rFonts w:ascii="Arial" w:cs="Arial" w:eastAsia="Arial" w:hAnsi="Arial"/>
          <w:sz w:val="12"/>
          <w:szCs w:val="12"/>
          <w:color w:val="auto"/>
        </w:rPr>
        <w:t>The Committee believes annual incentives should not be positively or negatively impacted by short-term decisions made in the best interest of RTX’s long-term business strategies. Our non-GAAP performance measures encourage decision-making that considers long-term value creation but does not conflict with our short-term incentive metrics. Adjustments for restructuring, non-recurring and other significant, non-operational items and for acquisitions and divestitures allow for a clearer assessment of business performance and help to align our annual incentive goals with the non-GAAP financial expectations we communicate to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12065</wp:posOffset>
            </wp:positionV>
            <wp:extent cx="713359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20" w:space="520"/>
            <w:col w:w="9200"/>
          </w:cols>
          <w:pgMar w:left="320" w:top="118" w:right="339" w:bottom="1440" w:gutter="0" w:footer="0" w:header="0"/>
          <w:type w:val="continuous"/>
        </w:sectPr>
      </w:pPr>
    </w:p>
    <w:p>
      <w:pPr>
        <w:spacing w:after="0" w:line="75"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OUR CORPORATE RESPONSIBILITY SCORECARD</w:t>
      </w:r>
    </w:p>
    <w:p>
      <w:pPr>
        <w:spacing w:after="0" w:line="19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RTX is committed to building a company that embraces diversity, equity and inclusion, ensuring our operations do not compromise the environmental health of future generations, and creating a safe workplace for our employees. For us, advancing these commitments are both a business and social imperative that requires our leadership team be held accountable for making tangible progress.</w:t>
      </w:r>
    </w:p>
    <w:p>
      <w:pPr>
        <w:spacing w:after="0" w:line="148" w:lineRule="exact"/>
        <w:rPr>
          <w:sz w:val="20"/>
          <w:szCs w:val="20"/>
          <w:color w:val="auto"/>
        </w:rPr>
      </w:pPr>
    </w:p>
    <w:p>
      <w:pPr>
        <w:ind w:right="820"/>
        <w:spacing w:after="0" w:line="256" w:lineRule="auto"/>
        <w:rPr>
          <w:sz w:val="20"/>
          <w:szCs w:val="20"/>
          <w:color w:val="auto"/>
        </w:rPr>
      </w:pPr>
      <w:r>
        <w:rPr>
          <w:rFonts w:ascii="Arial" w:cs="Arial" w:eastAsia="Arial" w:hAnsi="Arial"/>
          <w:sz w:val="16"/>
          <w:szCs w:val="16"/>
          <w:color w:val="auto"/>
        </w:rPr>
        <w:t>To accelerate the pace of our progress, the Committee incorporated the Corporate Responsibility Scorecard objectives listed below to reinforce the Company’s commitment to our long-term goals and to strengthen alignment between the interests of executives and shareowners.</w:t>
      </w:r>
    </w:p>
    <w:p>
      <w:pPr>
        <w:spacing w:after="0" w:line="141" w:lineRule="exact"/>
        <w:rPr>
          <w:sz w:val="20"/>
          <w:szCs w:val="20"/>
          <w:color w:val="auto"/>
        </w:rPr>
      </w:pPr>
    </w:p>
    <w:tbl>
      <w:tblPr>
        <w:tblLayout w:type="fixed"/>
        <w:tblInd w:w="2060" w:type="dxa"/>
        <w:tblCellMar>
          <w:top w:w="0" w:type="dxa"/>
          <w:left w:w="0" w:type="dxa"/>
          <w:bottom w:w="0" w:type="dxa"/>
          <w:right w:w="0" w:type="dxa"/>
        </w:tblCellMar>
      </w:tblPr>
      <w:tr>
        <w:trPr>
          <w:trHeight w:val="254"/>
        </w:trPr>
        <w:tc>
          <w:tcPr>
            <w:tcW w:w="3800" w:type="dxa"/>
            <w:vAlign w:val="bottom"/>
            <w:shd w:val="clear" w:color="auto" w:fill="ECEDEF"/>
          </w:tcPr>
          <w:p>
            <w:pPr>
              <w:ind w:left="2380"/>
              <w:spacing w:after="0"/>
              <w:rPr>
                <w:sz w:val="20"/>
                <w:szCs w:val="20"/>
                <w:color w:val="auto"/>
              </w:rPr>
            </w:pPr>
            <w:r>
              <w:rPr>
                <w:rFonts w:ascii="Arial" w:cs="Arial" w:eastAsia="Arial" w:hAnsi="Arial"/>
                <w:sz w:val="16"/>
                <w:szCs w:val="16"/>
                <w:b w:val="1"/>
                <w:bCs w:val="1"/>
                <w:color w:val="CE0F2D"/>
              </w:rPr>
              <w:t>People &amp; Culture</w:t>
            </w:r>
          </w:p>
        </w:tc>
        <w:tc>
          <w:tcPr>
            <w:tcW w:w="2280" w:type="dxa"/>
            <w:vAlign w:val="bottom"/>
            <w:shd w:val="clear" w:color="auto" w:fill="ECEDEF"/>
          </w:tcPr>
          <w:p>
            <w:pPr>
              <w:spacing w:after="0"/>
              <w:rPr>
                <w:sz w:val="22"/>
                <w:szCs w:val="22"/>
                <w:color w:val="auto"/>
              </w:rPr>
            </w:pPr>
          </w:p>
        </w:tc>
        <w:tc>
          <w:tcPr>
            <w:tcW w:w="120" w:type="dxa"/>
            <w:vAlign w:val="bottom"/>
          </w:tcPr>
          <w:p>
            <w:pPr>
              <w:spacing w:after="0"/>
              <w:rPr>
                <w:sz w:val="22"/>
                <w:szCs w:val="22"/>
                <w:color w:val="auto"/>
              </w:rPr>
            </w:pPr>
          </w:p>
        </w:tc>
        <w:tc>
          <w:tcPr>
            <w:tcW w:w="2980" w:type="dxa"/>
            <w:vAlign w:val="bottom"/>
            <w:gridSpan w:val="2"/>
            <w:shd w:val="clear" w:color="auto" w:fill="ECEDEF"/>
          </w:tcPr>
          <w:p>
            <w:pPr>
              <w:ind w:left="600"/>
              <w:spacing w:after="0"/>
              <w:rPr>
                <w:sz w:val="20"/>
                <w:szCs w:val="20"/>
                <w:color w:val="auto"/>
              </w:rPr>
            </w:pPr>
            <w:r>
              <w:rPr>
                <w:rFonts w:ascii="Arial" w:cs="Arial" w:eastAsia="Arial" w:hAnsi="Arial"/>
                <w:sz w:val="16"/>
                <w:szCs w:val="16"/>
                <w:b w:val="1"/>
                <w:bCs w:val="1"/>
                <w:color w:val="auto"/>
              </w:rPr>
              <w:t>Sustainability &amp; Safety</w:t>
            </w:r>
          </w:p>
        </w:tc>
      </w:tr>
      <w:tr>
        <w:trPr>
          <w:trHeight w:val="276"/>
        </w:trPr>
        <w:tc>
          <w:tcPr>
            <w:tcW w:w="3800" w:type="dxa"/>
            <w:vAlign w:val="bottom"/>
          </w:tcPr>
          <w:p>
            <w:pPr>
              <w:ind w:left="600"/>
              <w:spacing w:after="0"/>
              <w:rPr>
                <w:sz w:val="20"/>
                <w:szCs w:val="20"/>
                <w:color w:val="auto"/>
              </w:rPr>
            </w:pPr>
            <w:r>
              <w:rPr>
                <w:rFonts w:ascii="Arial" w:cs="Arial" w:eastAsia="Arial" w:hAnsi="Arial"/>
                <w:sz w:val="16"/>
                <w:szCs w:val="16"/>
                <w:color w:val="CE0F2D"/>
              </w:rPr>
              <w:t>Diversity Representation</w:t>
            </w:r>
          </w:p>
        </w:tc>
        <w:tc>
          <w:tcPr>
            <w:tcW w:w="2280" w:type="dxa"/>
            <w:vAlign w:val="bottom"/>
          </w:tcPr>
          <w:p>
            <w:pPr>
              <w:ind w:left="80"/>
              <w:spacing w:after="0"/>
              <w:rPr>
                <w:sz w:val="20"/>
                <w:szCs w:val="20"/>
                <w:color w:val="auto"/>
              </w:rPr>
            </w:pPr>
            <w:r>
              <w:rPr>
                <w:rFonts w:ascii="Arial" w:cs="Arial" w:eastAsia="Arial" w:hAnsi="Arial"/>
                <w:sz w:val="16"/>
                <w:szCs w:val="16"/>
                <w:color w:val="CE0F2D"/>
              </w:rPr>
              <w:t>Culture of Inclusion</w:t>
            </w:r>
          </w:p>
        </w:tc>
        <w:tc>
          <w:tcPr>
            <w:tcW w:w="120" w:type="dxa"/>
            <w:vAlign w:val="bottom"/>
          </w:tcPr>
          <w:p>
            <w:pPr>
              <w:spacing w:after="0"/>
              <w:rPr>
                <w:sz w:val="23"/>
                <w:szCs w:val="23"/>
                <w:color w:val="auto"/>
              </w:rPr>
            </w:pPr>
          </w:p>
        </w:tc>
        <w:tc>
          <w:tcPr>
            <w:tcW w:w="1280" w:type="dxa"/>
            <w:vAlign w:val="bottom"/>
          </w:tcPr>
          <w:p>
            <w:pPr>
              <w:ind w:left="20"/>
              <w:spacing w:after="0"/>
              <w:rPr>
                <w:sz w:val="20"/>
                <w:szCs w:val="20"/>
                <w:color w:val="auto"/>
              </w:rPr>
            </w:pPr>
            <w:r>
              <w:rPr>
                <w:rFonts w:ascii="Arial" w:cs="Arial" w:eastAsia="Arial" w:hAnsi="Arial"/>
                <w:sz w:val="16"/>
                <w:szCs w:val="16"/>
                <w:color w:val="auto"/>
              </w:rPr>
              <w:t>Environmental</w:t>
            </w:r>
          </w:p>
        </w:tc>
        <w:tc>
          <w:tcPr>
            <w:tcW w:w="1700" w:type="dxa"/>
            <w:vAlign w:val="bottom"/>
          </w:tcPr>
          <w:p>
            <w:pPr>
              <w:ind w:left="240"/>
              <w:spacing w:after="0"/>
              <w:rPr>
                <w:sz w:val="20"/>
                <w:szCs w:val="20"/>
                <w:color w:val="auto"/>
              </w:rPr>
            </w:pPr>
            <w:r>
              <w:rPr>
                <w:rFonts w:ascii="Arial" w:cs="Arial" w:eastAsia="Arial" w:hAnsi="Arial"/>
                <w:sz w:val="16"/>
                <w:szCs w:val="16"/>
                <w:color w:val="auto"/>
              </w:rPr>
              <w:t>Health &amp; Safety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80" w:lineRule="exact"/>
        <w:rPr>
          <w:sz w:val="20"/>
          <w:szCs w:val="20"/>
          <w:color w:val="auto"/>
        </w:rPr>
      </w:pPr>
    </w:p>
    <w:p>
      <w:pPr>
        <w:spacing w:after="0" w:line="242" w:lineRule="auto"/>
        <w:rPr>
          <w:sz w:val="20"/>
          <w:szCs w:val="20"/>
          <w:color w:val="auto"/>
        </w:rPr>
      </w:pPr>
      <w:r>
        <w:rPr>
          <w:rFonts w:ascii="Arial" w:cs="Arial" w:eastAsia="Arial" w:hAnsi="Arial"/>
          <w:sz w:val="12"/>
          <w:szCs w:val="12"/>
          <w:color w:val="CE0F2D"/>
        </w:rPr>
        <w:t>What objectives are in the 2021 Corporate Responsibility Scorecard?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164" w:hanging="164"/>
        <w:spacing w:after="0" w:line="242" w:lineRule="auto"/>
        <w:tabs>
          <w:tab w:leader="none" w:pos="174" w:val="left"/>
        </w:tabs>
        <w:numPr>
          <w:ilvl w:val="0"/>
          <w:numId w:val="147"/>
        </w:numPr>
        <w:rPr>
          <w:rFonts w:ascii="Arial" w:cs="Arial" w:eastAsia="Arial" w:hAnsi="Arial"/>
          <w:sz w:val="12"/>
          <w:szCs w:val="12"/>
          <w:color w:val="CE0F2D"/>
        </w:rPr>
      </w:pPr>
      <w:r>
        <w:rPr>
          <w:rFonts w:ascii="Arial" w:cs="Arial" w:eastAsia="Arial" w:hAnsi="Arial"/>
          <w:sz w:val="12"/>
          <w:szCs w:val="12"/>
          <w:color w:val="auto"/>
        </w:rPr>
        <w:t>Improve representation of women and people of color through external hires, promotions and retention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20"/>
                <w:szCs w:val="20"/>
                <w:color w:val="auto"/>
              </w:rPr>
            </w:pPr>
            <w:r>
              <w:rPr>
                <w:rFonts w:ascii="Arial" w:cs="Arial" w:eastAsia="Arial" w:hAnsi="Arial"/>
                <w:sz w:val="12"/>
                <w:szCs w:val="12"/>
                <w:color w:val="CE0F2D"/>
              </w:rPr>
              <w:t xml:space="preserve">●  </w:t>
            </w:r>
            <w:r>
              <w:rPr>
                <w:rFonts w:ascii="Arial" w:cs="Arial" w:eastAsia="Arial" w:hAnsi="Arial"/>
                <w:sz w:val="12"/>
                <w:szCs w:val="12"/>
                <w:color w:val="000000"/>
              </w:rPr>
              <w:t>Enhance and increase participation in DE&amp;I</w:t>
            </w:r>
          </w:p>
        </w:tc>
        <w:tc>
          <w:tcPr>
            <w:tcW w:w="240" w:type="dxa"/>
            <w:vAlign w:val="bottom"/>
          </w:tcPr>
          <w:p>
            <w:pPr>
              <w:ind w:left="140"/>
              <w:spacing w:after="0"/>
              <w:rPr>
                <w:sz w:val="20"/>
                <w:szCs w:val="20"/>
                <w:color w:val="auto"/>
              </w:rPr>
            </w:pPr>
            <w:r>
              <w:rPr>
                <w:rFonts w:ascii="Arial" w:cs="Arial" w:eastAsia="Arial" w:hAnsi="Arial"/>
                <w:sz w:val="12"/>
                <w:szCs w:val="12"/>
                <w:color w:val="CE0F2D"/>
              </w:rPr>
              <w:t>●</w:t>
            </w:r>
          </w:p>
        </w:tc>
        <w:tc>
          <w:tcPr>
            <w:tcW w:w="980" w:type="dxa"/>
            <w:vAlign w:val="bottom"/>
          </w:tcPr>
          <w:p>
            <w:pPr>
              <w:ind w:left="80"/>
              <w:spacing w:after="0"/>
              <w:rPr>
                <w:sz w:val="20"/>
                <w:szCs w:val="20"/>
                <w:color w:val="auto"/>
              </w:rPr>
            </w:pPr>
            <w:r>
              <w:rPr>
                <w:rFonts w:ascii="Arial" w:cs="Arial" w:eastAsia="Arial" w:hAnsi="Arial"/>
                <w:sz w:val="12"/>
                <w:szCs w:val="12"/>
                <w:color w:val="auto"/>
              </w:rPr>
              <w:t>Reduce</w:t>
            </w:r>
          </w:p>
        </w:tc>
        <w:tc>
          <w:tcPr>
            <w:tcW w:w="240" w:type="dxa"/>
            <w:vAlign w:val="bottom"/>
          </w:tcPr>
          <w:p>
            <w:pPr>
              <w:ind w:left="100"/>
              <w:spacing w:after="0"/>
              <w:rPr>
                <w:sz w:val="20"/>
                <w:szCs w:val="20"/>
                <w:color w:val="auto"/>
              </w:rPr>
            </w:pPr>
            <w:r>
              <w:rPr>
                <w:rFonts w:ascii="Arial" w:cs="Arial" w:eastAsia="Arial" w:hAnsi="Arial"/>
                <w:sz w:val="12"/>
                <w:szCs w:val="12"/>
                <w:color w:val="CE0F2D"/>
              </w:rPr>
              <w:t>●</w:t>
            </w:r>
          </w:p>
        </w:tc>
        <w:tc>
          <w:tcPr>
            <w:tcW w:w="1500" w:type="dxa"/>
            <w:vAlign w:val="bottom"/>
          </w:tcPr>
          <w:p>
            <w:pPr>
              <w:ind w:left="40"/>
              <w:spacing w:after="0"/>
              <w:rPr>
                <w:sz w:val="20"/>
                <w:szCs w:val="20"/>
                <w:color w:val="auto"/>
              </w:rPr>
            </w:pPr>
            <w:r>
              <w:rPr>
                <w:rFonts w:ascii="Arial" w:cs="Arial" w:eastAsia="Arial" w:hAnsi="Arial"/>
                <w:sz w:val="12"/>
                <w:szCs w:val="12"/>
                <w:color w:val="auto"/>
              </w:rPr>
              <w:t>Reduce enterprise-wide</w:t>
            </w:r>
          </w:p>
        </w:tc>
        <w:tc>
          <w:tcPr>
            <w:tcW w:w="0" w:type="dxa"/>
            <w:vAlign w:val="bottom"/>
          </w:tcPr>
          <w:p>
            <w:pPr>
              <w:spacing w:after="0"/>
              <w:rPr>
                <w:sz w:val="1"/>
                <w:szCs w:val="1"/>
                <w:color w:val="auto"/>
              </w:rPr>
            </w:pPr>
          </w:p>
        </w:tc>
      </w:tr>
      <w:tr>
        <w:trPr>
          <w:trHeight w:val="134"/>
        </w:trPr>
        <w:tc>
          <w:tcPr>
            <w:tcW w:w="3000" w:type="dxa"/>
            <w:vAlign w:val="bottom"/>
          </w:tcPr>
          <w:p>
            <w:pPr>
              <w:ind w:left="180"/>
              <w:spacing w:after="0" w:line="134" w:lineRule="exact"/>
              <w:rPr>
                <w:sz w:val="20"/>
                <w:szCs w:val="20"/>
                <w:color w:val="auto"/>
              </w:rPr>
            </w:pPr>
            <w:r>
              <w:rPr>
                <w:rFonts w:ascii="Arial" w:cs="Arial" w:eastAsia="Arial" w:hAnsi="Arial"/>
                <w:sz w:val="12"/>
                <w:szCs w:val="12"/>
                <w:color w:val="auto"/>
              </w:rPr>
              <w:t>programs</w:t>
            </w:r>
          </w:p>
        </w:tc>
        <w:tc>
          <w:tcPr>
            <w:tcW w:w="24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color w:val="auto"/>
              </w:rPr>
              <w:t>greenhouse</w:t>
            </w:r>
          </w:p>
        </w:tc>
        <w:tc>
          <w:tcPr>
            <w:tcW w:w="240" w:type="dxa"/>
            <w:vAlign w:val="bottom"/>
          </w:tcPr>
          <w:p>
            <w:pPr>
              <w:spacing w:after="0"/>
              <w:rPr>
                <w:sz w:val="11"/>
                <w:szCs w:val="11"/>
                <w:color w:val="auto"/>
              </w:rPr>
            </w:pPr>
          </w:p>
        </w:tc>
        <w:tc>
          <w:tcPr>
            <w:tcW w:w="1500" w:type="dxa"/>
            <w:vAlign w:val="bottom"/>
          </w:tcPr>
          <w:p>
            <w:pPr>
              <w:ind w:left="60"/>
              <w:spacing w:after="0" w:line="134" w:lineRule="exact"/>
              <w:rPr>
                <w:sz w:val="20"/>
                <w:szCs w:val="20"/>
                <w:color w:val="auto"/>
              </w:rPr>
            </w:pPr>
            <w:r>
              <w:rPr>
                <w:rFonts w:ascii="Arial" w:cs="Arial" w:eastAsia="Arial" w:hAnsi="Arial"/>
                <w:sz w:val="12"/>
                <w:szCs w:val="12"/>
                <w:color w:val="auto"/>
              </w:rPr>
              <w:t>environmental, health and</w:t>
            </w:r>
          </w:p>
        </w:tc>
        <w:tc>
          <w:tcPr>
            <w:tcW w:w="0" w:type="dxa"/>
            <w:vAlign w:val="bottom"/>
          </w:tcPr>
          <w:p>
            <w:pPr>
              <w:spacing w:after="0"/>
              <w:rPr>
                <w:sz w:val="1"/>
                <w:szCs w:val="1"/>
                <w:color w:val="auto"/>
              </w:rPr>
            </w:pPr>
          </w:p>
        </w:tc>
      </w:tr>
      <w:tr>
        <w:trPr>
          <w:trHeight w:val="149"/>
        </w:trPr>
        <w:tc>
          <w:tcPr>
            <w:tcW w:w="3000" w:type="dxa"/>
            <w:vAlign w:val="bottom"/>
            <w:vMerge w:val="restart"/>
          </w:tcPr>
          <w:p>
            <w:pPr>
              <w:spacing w:after="0"/>
              <w:rPr>
                <w:sz w:val="20"/>
                <w:szCs w:val="20"/>
                <w:color w:val="auto"/>
              </w:rPr>
            </w:pPr>
            <w:r>
              <w:rPr>
                <w:rFonts w:ascii="Arial" w:cs="Arial" w:eastAsia="Arial" w:hAnsi="Arial"/>
                <w:sz w:val="12"/>
                <w:szCs w:val="12"/>
                <w:color w:val="CE0F2D"/>
              </w:rPr>
              <w:t xml:space="preserve">●  </w:t>
            </w:r>
            <w:r>
              <w:rPr>
                <w:rFonts w:ascii="Arial" w:cs="Arial" w:eastAsia="Arial" w:hAnsi="Arial"/>
                <w:sz w:val="12"/>
                <w:szCs w:val="12"/>
                <w:color w:val="000000"/>
              </w:rPr>
              <w:t>Drive inclusive culture through DE&amp;I training and</w:t>
            </w:r>
          </w:p>
        </w:tc>
        <w:tc>
          <w:tcPr>
            <w:tcW w:w="24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gas emissions</w:t>
            </w:r>
          </w:p>
        </w:tc>
        <w:tc>
          <w:tcPr>
            <w:tcW w:w="240" w:type="dxa"/>
            <w:vAlign w:val="bottom"/>
          </w:tcPr>
          <w:p>
            <w:pPr>
              <w:spacing w:after="0"/>
              <w:rPr>
                <w:sz w:val="12"/>
                <w:szCs w:val="12"/>
                <w:color w:val="auto"/>
              </w:rPr>
            </w:pPr>
          </w:p>
        </w:tc>
        <w:tc>
          <w:tcPr>
            <w:tcW w:w="1500" w:type="dxa"/>
            <w:vAlign w:val="bottom"/>
          </w:tcPr>
          <w:p>
            <w:pPr>
              <w:ind w:left="60"/>
              <w:spacing w:after="0"/>
              <w:rPr>
                <w:sz w:val="20"/>
                <w:szCs w:val="20"/>
                <w:color w:val="auto"/>
              </w:rPr>
            </w:pPr>
            <w:r>
              <w:rPr>
                <w:rFonts w:ascii="Arial" w:cs="Arial" w:eastAsia="Arial" w:hAnsi="Arial"/>
                <w:sz w:val="12"/>
                <w:szCs w:val="12"/>
                <w:color w:val="auto"/>
              </w:rPr>
              <w:t>safety risks</w:t>
            </w:r>
          </w:p>
        </w:tc>
        <w:tc>
          <w:tcPr>
            <w:tcW w:w="0" w:type="dxa"/>
            <w:vAlign w:val="bottom"/>
          </w:tcPr>
          <w:p>
            <w:pPr>
              <w:spacing w:after="0"/>
              <w:rPr>
                <w:sz w:val="1"/>
                <w:szCs w:val="1"/>
                <w:color w:val="auto"/>
              </w:rPr>
            </w:pPr>
          </w:p>
        </w:tc>
      </w:tr>
      <w:tr>
        <w:trPr>
          <w:trHeight w:val="38"/>
        </w:trPr>
        <w:tc>
          <w:tcPr>
            <w:tcW w:w="300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9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3000" w:type="dxa"/>
            <w:vAlign w:val="bottom"/>
          </w:tcPr>
          <w:p>
            <w:pPr>
              <w:ind w:left="180"/>
              <w:spacing w:after="0" w:line="134" w:lineRule="exact"/>
              <w:rPr>
                <w:sz w:val="20"/>
                <w:szCs w:val="20"/>
                <w:color w:val="auto"/>
              </w:rPr>
            </w:pPr>
            <w:r>
              <w:rPr>
                <w:rFonts w:ascii="Arial" w:cs="Arial" w:eastAsia="Arial" w:hAnsi="Arial"/>
                <w:sz w:val="12"/>
                <w:szCs w:val="12"/>
                <w:color w:val="auto"/>
              </w:rPr>
              <w:t>Employee Resource Group evolution</w:t>
            </w:r>
          </w:p>
        </w:tc>
        <w:tc>
          <w:tcPr>
            <w:tcW w:w="240" w:type="dxa"/>
            <w:vAlign w:val="bottom"/>
          </w:tcPr>
          <w:p>
            <w:pPr>
              <w:ind w:left="140"/>
              <w:spacing w:after="0" w:line="134" w:lineRule="exact"/>
              <w:rPr>
                <w:sz w:val="20"/>
                <w:szCs w:val="20"/>
                <w:color w:val="auto"/>
              </w:rPr>
            </w:pPr>
            <w:r>
              <w:rPr>
                <w:rFonts w:ascii="Arial" w:cs="Arial" w:eastAsia="Arial" w:hAnsi="Arial"/>
                <w:sz w:val="12"/>
                <w:szCs w:val="12"/>
                <w:color w:val="CE0F2D"/>
              </w:rPr>
              <w:t>●</w:t>
            </w:r>
          </w:p>
        </w:tc>
        <w:tc>
          <w:tcPr>
            <w:tcW w:w="980" w:type="dxa"/>
            <w:vAlign w:val="bottom"/>
          </w:tcPr>
          <w:p>
            <w:pPr>
              <w:ind w:left="80"/>
              <w:spacing w:after="0" w:line="134" w:lineRule="exact"/>
              <w:rPr>
                <w:sz w:val="20"/>
                <w:szCs w:val="20"/>
                <w:color w:val="auto"/>
              </w:rPr>
            </w:pPr>
            <w:r>
              <w:rPr>
                <w:rFonts w:ascii="Arial" w:cs="Arial" w:eastAsia="Arial" w:hAnsi="Arial"/>
                <w:sz w:val="12"/>
                <w:szCs w:val="12"/>
                <w:color w:val="auto"/>
              </w:rPr>
              <w:t>Reduce waste</w:t>
            </w:r>
          </w:p>
        </w:tc>
        <w:tc>
          <w:tcPr>
            <w:tcW w:w="240" w:type="dxa"/>
            <w:vAlign w:val="bottom"/>
          </w:tcPr>
          <w:p>
            <w:pPr>
              <w:ind w:left="100"/>
              <w:spacing w:after="0" w:line="134" w:lineRule="exact"/>
              <w:rPr>
                <w:sz w:val="20"/>
                <w:szCs w:val="20"/>
                <w:color w:val="auto"/>
              </w:rPr>
            </w:pPr>
            <w:r>
              <w:rPr>
                <w:rFonts w:ascii="Arial" w:cs="Arial" w:eastAsia="Arial" w:hAnsi="Arial"/>
                <w:sz w:val="12"/>
                <w:szCs w:val="12"/>
                <w:color w:val="CE0F2D"/>
              </w:rPr>
              <w:t>●</w:t>
            </w:r>
          </w:p>
        </w:tc>
        <w:tc>
          <w:tcPr>
            <w:tcW w:w="1500" w:type="dxa"/>
            <w:vAlign w:val="bottom"/>
          </w:tcPr>
          <w:p>
            <w:pPr>
              <w:ind w:left="40"/>
              <w:spacing w:after="0" w:line="134" w:lineRule="exact"/>
              <w:rPr>
                <w:sz w:val="20"/>
                <w:szCs w:val="20"/>
                <w:color w:val="auto"/>
              </w:rPr>
            </w:pPr>
            <w:r>
              <w:rPr>
                <w:rFonts w:ascii="Arial" w:cs="Arial" w:eastAsia="Arial" w:hAnsi="Arial"/>
                <w:sz w:val="12"/>
                <w:szCs w:val="12"/>
                <w:color w:val="auto"/>
              </w:rPr>
              <w:t>Reduce ergonomic risk</w:t>
            </w:r>
          </w:p>
        </w:tc>
        <w:tc>
          <w:tcPr>
            <w:tcW w:w="0" w:type="dxa"/>
            <w:vAlign w:val="bottom"/>
          </w:tcPr>
          <w:p>
            <w:pPr>
              <w:spacing w:after="0"/>
              <w:rPr>
                <w:sz w:val="1"/>
                <w:szCs w:val="1"/>
                <w:color w:val="auto"/>
              </w:rPr>
            </w:pPr>
          </w:p>
        </w:tc>
      </w:tr>
      <w:tr>
        <w:trPr>
          <w:trHeight w:val="149"/>
        </w:trPr>
        <w:tc>
          <w:tcPr>
            <w:tcW w:w="3000" w:type="dxa"/>
            <w:vAlign w:val="bottom"/>
          </w:tcPr>
          <w:p>
            <w:pPr>
              <w:ind w:left="180"/>
              <w:spacing w:after="0"/>
              <w:rPr>
                <w:sz w:val="20"/>
                <w:szCs w:val="20"/>
                <w:color w:val="auto"/>
              </w:rPr>
            </w:pPr>
            <w:r>
              <w:rPr>
                <w:rFonts w:ascii="Arial" w:cs="Arial" w:eastAsia="Arial" w:hAnsi="Arial"/>
                <w:sz w:val="12"/>
                <w:szCs w:val="12"/>
                <w:color w:val="auto"/>
              </w:rPr>
              <w:t>and sponsorships</w:t>
            </w:r>
          </w:p>
        </w:tc>
        <w:tc>
          <w:tcPr>
            <w:tcW w:w="240" w:type="dxa"/>
            <w:vAlign w:val="bottom"/>
          </w:tcPr>
          <w:p>
            <w:pPr>
              <w:spacing w:after="0"/>
              <w:rPr>
                <w:sz w:val="12"/>
                <w:szCs w:val="12"/>
                <w:color w:val="auto"/>
              </w:rPr>
            </w:pPr>
          </w:p>
        </w:tc>
        <w:tc>
          <w:tcPr>
            <w:tcW w:w="980" w:type="dxa"/>
            <w:vAlign w:val="bottom"/>
          </w:tcPr>
          <w:p>
            <w:pPr>
              <w:ind w:left="80"/>
              <w:spacing w:after="0"/>
              <w:rPr>
                <w:sz w:val="20"/>
                <w:szCs w:val="20"/>
                <w:color w:val="auto"/>
              </w:rPr>
            </w:pPr>
            <w:r>
              <w:rPr>
                <w:rFonts w:ascii="Arial" w:cs="Arial" w:eastAsia="Arial" w:hAnsi="Arial"/>
                <w:sz w:val="12"/>
                <w:szCs w:val="12"/>
                <w:color w:val="auto"/>
              </w:rPr>
              <w:t>generation</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3000" w:type="dxa"/>
            <w:vAlign w:val="bottom"/>
          </w:tcPr>
          <w:p>
            <w:pPr>
              <w:spacing w:after="0"/>
              <w:rPr>
                <w:sz w:val="20"/>
                <w:szCs w:val="20"/>
                <w:color w:val="auto"/>
              </w:rPr>
            </w:pPr>
            <w:r>
              <w:rPr>
                <w:rFonts w:ascii="Arial" w:cs="Arial" w:eastAsia="Arial" w:hAnsi="Arial"/>
                <w:sz w:val="12"/>
                <w:szCs w:val="12"/>
                <w:color w:val="CE0F2D"/>
              </w:rPr>
              <w:t xml:space="preserve">●  </w:t>
            </w:r>
            <w:r>
              <w:rPr>
                <w:rFonts w:ascii="Arial" w:cs="Arial" w:eastAsia="Arial" w:hAnsi="Arial"/>
                <w:sz w:val="12"/>
                <w:szCs w:val="12"/>
                <w:color w:val="000000"/>
              </w:rPr>
              <w:t>Develop and move talent across the enterprise</w:t>
            </w:r>
          </w:p>
        </w:tc>
        <w:tc>
          <w:tcPr>
            <w:tcW w:w="240" w:type="dxa"/>
            <w:vAlign w:val="bottom"/>
          </w:tcPr>
          <w:p>
            <w:pPr>
              <w:ind w:left="140"/>
              <w:spacing w:after="0"/>
              <w:rPr>
                <w:sz w:val="20"/>
                <w:szCs w:val="20"/>
                <w:color w:val="auto"/>
              </w:rPr>
            </w:pPr>
            <w:r>
              <w:rPr>
                <w:rFonts w:ascii="Arial" w:cs="Arial" w:eastAsia="Arial" w:hAnsi="Arial"/>
                <w:sz w:val="12"/>
                <w:szCs w:val="12"/>
                <w:color w:val="CE0F2D"/>
              </w:rPr>
              <w:t>●</w:t>
            </w:r>
          </w:p>
        </w:tc>
        <w:tc>
          <w:tcPr>
            <w:tcW w:w="980" w:type="dxa"/>
            <w:vAlign w:val="bottom"/>
          </w:tcPr>
          <w:p>
            <w:pPr>
              <w:ind w:left="80"/>
              <w:spacing w:after="0"/>
              <w:rPr>
                <w:sz w:val="20"/>
                <w:szCs w:val="20"/>
                <w:color w:val="auto"/>
              </w:rPr>
            </w:pPr>
            <w:r>
              <w:rPr>
                <w:rFonts w:ascii="Arial" w:cs="Arial" w:eastAsia="Arial" w:hAnsi="Arial"/>
                <w:sz w:val="12"/>
                <w:szCs w:val="12"/>
                <w:color w:val="auto"/>
              </w:rPr>
              <w:t>Reduce water</w:t>
            </w: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ind w:left="40"/>
              <w:spacing w:after="0"/>
              <w:rPr>
                <w:sz w:val="20"/>
                <w:szCs w:val="20"/>
                <w:color w:val="auto"/>
              </w:rPr>
            </w:pPr>
            <w:r>
              <w:rPr>
                <w:rFonts w:ascii="Arial" w:cs="Arial" w:eastAsia="Arial" w:hAnsi="Arial"/>
                <w:sz w:val="12"/>
                <w:szCs w:val="12"/>
                <w:color w:val="auto"/>
              </w:rPr>
              <w:t>usage</w:t>
            </w:r>
          </w:p>
        </w:tc>
        <w:tc>
          <w:tcPr>
            <w:tcW w:w="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-3246120</wp:posOffset>
            </wp:positionH>
            <wp:positionV relativeFrom="paragraph">
              <wp:posOffset>11430</wp:posOffset>
            </wp:positionV>
            <wp:extent cx="71335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1760" w:space="296"/>
            <w:col w:w="2824" w:space="240"/>
            <w:col w:w="6120"/>
          </w:cols>
          <w:pgMar w:left="320" w:top="118" w:right="339" w:bottom="1440" w:gutter="0" w:footer="0" w:header="0"/>
          <w:type w:val="continuous"/>
        </w:sectPr>
      </w:pPr>
    </w:p>
    <w:p>
      <w:pPr>
        <w:spacing w:after="0" w:line="252" w:lineRule="auto"/>
        <w:rPr>
          <w:sz w:val="20"/>
          <w:szCs w:val="20"/>
          <w:color w:val="auto"/>
        </w:rPr>
      </w:pPr>
      <w:r>
        <w:rPr>
          <w:rFonts w:ascii="Arial" w:cs="Arial" w:eastAsia="Arial" w:hAnsi="Arial"/>
          <w:sz w:val="12"/>
          <w:szCs w:val="12"/>
          <w:color w:val="CE0F2D"/>
        </w:rPr>
        <w:t>Are the objectives in the CRS weighted?</w:t>
      </w:r>
    </w:p>
    <w:p>
      <w:pPr>
        <w:spacing w:after="0" w:line="20" w:lineRule="exact"/>
        <w:rPr>
          <w:sz w:val="20"/>
          <w:szCs w:val="20"/>
          <w:color w:val="auto"/>
        </w:rPr>
      </w:pPr>
      <w:r>
        <w:rPr>
          <w:sz w:val="20"/>
          <w:szCs w:val="20"/>
          <w:color w:val="auto"/>
        </w:rPr>
        <w:br w:type="column"/>
      </w:r>
    </w:p>
    <w:p>
      <w:pPr>
        <w:ind w:right="460"/>
        <w:spacing w:after="0" w:line="252" w:lineRule="auto"/>
        <w:rPr>
          <w:sz w:val="20"/>
          <w:szCs w:val="20"/>
          <w:color w:val="auto"/>
        </w:rPr>
      </w:pPr>
      <w:r>
        <w:rPr>
          <w:rFonts w:ascii="Arial" w:cs="Arial" w:eastAsia="Arial" w:hAnsi="Arial"/>
          <w:sz w:val="12"/>
          <w:szCs w:val="12"/>
          <w:color w:val="auto"/>
        </w:rPr>
        <w:t>The Committee believes the relative importance of the objectives within the CRS will evolve over time, and as such, did not assign specific weightings to these objectives. This will allow the Committee to maintain flexibility in its performance evaluation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-1303020</wp:posOffset>
            </wp:positionH>
            <wp:positionV relativeFrom="paragraph">
              <wp:posOffset>6985</wp:posOffset>
            </wp:positionV>
            <wp:extent cx="713359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3590" cy="17145"/>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1640" w:space="420"/>
            <w:col w:w="9180"/>
          </w:cols>
          <w:pgMar w:left="320" w:top="118"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HOW WE PERFORMED ON OUR 2021 FINANCIAL GOALS</w:t>
      </w:r>
    </w:p>
    <w:p>
      <w:pPr>
        <w:spacing w:after="0" w:line="174"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For each financial metric previously described, the Committee established numerical goals for earnings and free cash flow at threshold, target and maximum levels for the Company overall and for each business unit. Performance relative to these goals determines the financial performance factors used to fund the annual incentive pool for Corporate executives and for executives at each business unit.</w:t>
      </w:r>
    </w:p>
    <w:p>
      <w:pPr>
        <w:spacing w:after="0" w:line="148"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Performance below the threshold level will result in 0% funding for that metric, while performance above the maximum level cannot exceed the maximum funding level of 200%. Performance that falls between the threshold, target and maximum levels results in funding between the applicable levels.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below chart shows the 2021 Company-wide financial goals, results and financial performance factors: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160" w:type="dxa"/>
            <w:vAlign w:val="bottom"/>
          </w:tcPr>
          <w:p>
            <w:pPr>
              <w:jc w:val="right"/>
              <w:ind w:right="64"/>
              <w:spacing w:after="0"/>
              <w:rPr>
                <w:sz w:val="20"/>
                <w:szCs w:val="20"/>
                <w:color w:val="auto"/>
              </w:rPr>
            </w:pPr>
            <w:r>
              <w:rPr>
                <w:rFonts w:ascii="Arial" w:cs="Arial" w:eastAsia="Arial" w:hAnsi="Arial"/>
                <w:sz w:val="14"/>
                <w:szCs w:val="14"/>
                <w:color w:val="61676D"/>
              </w:rPr>
              <w:t>Threshold</w:t>
            </w:r>
          </w:p>
        </w:tc>
        <w:tc>
          <w:tcPr>
            <w:tcW w:w="1240" w:type="dxa"/>
            <w:vAlign w:val="bottom"/>
          </w:tcPr>
          <w:p>
            <w:pPr>
              <w:jc w:val="right"/>
              <w:ind w:right="64"/>
              <w:spacing w:after="0"/>
              <w:rPr>
                <w:sz w:val="20"/>
                <w:szCs w:val="20"/>
                <w:color w:val="auto"/>
              </w:rPr>
            </w:pPr>
            <w:r>
              <w:rPr>
                <w:rFonts w:ascii="Arial" w:cs="Arial" w:eastAsia="Arial" w:hAnsi="Arial"/>
                <w:sz w:val="14"/>
                <w:szCs w:val="14"/>
                <w:color w:val="61676D"/>
              </w:rPr>
              <w:t>Target</w:t>
            </w:r>
          </w:p>
        </w:tc>
        <w:tc>
          <w:tcPr>
            <w:tcW w:w="1240" w:type="dxa"/>
            <w:vAlign w:val="bottom"/>
          </w:tcPr>
          <w:p>
            <w:pPr>
              <w:jc w:val="right"/>
              <w:ind w:right="44"/>
              <w:spacing w:after="0"/>
              <w:rPr>
                <w:sz w:val="20"/>
                <w:szCs w:val="20"/>
                <w:color w:val="auto"/>
              </w:rPr>
            </w:pPr>
            <w:r>
              <w:rPr>
                <w:rFonts w:ascii="Arial" w:cs="Arial" w:eastAsia="Arial" w:hAnsi="Arial"/>
                <w:sz w:val="14"/>
                <w:szCs w:val="14"/>
                <w:color w:val="61676D"/>
              </w:rPr>
              <w:t>Maximum</w:t>
            </w:r>
          </w:p>
        </w:tc>
        <w:tc>
          <w:tcPr>
            <w:tcW w:w="940" w:type="dxa"/>
            <w:vAlign w:val="bottom"/>
          </w:tcPr>
          <w:p>
            <w:pPr>
              <w:jc w:val="right"/>
              <w:ind w:right="64"/>
              <w:spacing w:after="0"/>
              <w:rPr>
                <w:sz w:val="20"/>
                <w:szCs w:val="20"/>
                <w:color w:val="auto"/>
              </w:rPr>
            </w:pPr>
            <w:r>
              <w:rPr>
                <w:rFonts w:ascii="Arial" w:cs="Arial" w:eastAsia="Arial" w:hAnsi="Arial"/>
                <w:sz w:val="14"/>
                <w:szCs w:val="14"/>
                <w:color w:val="61676D"/>
              </w:rPr>
              <w:t>2021</w:t>
            </w:r>
          </w:p>
        </w:tc>
        <w:tc>
          <w:tcPr>
            <w:tcW w:w="1460" w:type="dxa"/>
            <w:vAlign w:val="bottom"/>
          </w:tcPr>
          <w:p>
            <w:pPr>
              <w:jc w:val="right"/>
              <w:spacing w:after="0"/>
              <w:rPr>
                <w:sz w:val="20"/>
                <w:szCs w:val="20"/>
                <w:color w:val="auto"/>
              </w:rPr>
            </w:pPr>
            <w:r>
              <w:rPr>
                <w:rFonts w:ascii="Arial" w:cs="Arial" w:eastAsia="Arial" w:hAnsi="Arial"/>
                <w:sz w:val="14"/>
                <w:szCs w:val="14"/>
                <w:color w:val="61676D"/>
              </w:rPr>
              <w:t>Financial</w:t>
            </w:r>
          </w:p>
        </w:tc>
      </w:tr>
      <w:tr>
        <w:trPr>
          <w:trHeight w:val="203"/>
        </w:trPr>
        <w:tc>
          <w:tcPr>
            <w:tcW w:w="3280" w:type="dxa"/>
            <w:vAlign w:val="bottom"/>
            <w:tcBorders>
              <w:bottom w:val="single" w:sz="8" w:color="CE0F2D"/>
            </w:tcBorders>
          </w:tcPr>
          <w:p>
            <w:pPr>
              <w:spacing w:after="0"/>
              <w:rPr>
                <w:sz w:val="20"/>
                <w:szCs w:val="20"/>
                <w:color w:val="auto"/>
              </w:rPr>
            </w:pPr>
            <w:r>
              <w:rPr>
                <w:rFonts w:ascii="Arial" w:cs="Arial" w:eastAsia="Arial" w:hAnsi="Arial"/>
                <w:sz w:val="14"/>
                <w:szCs w:val="14"/>
                <w:color w:val="61676D"/>
              </w:rPr>
              <w:t>Financial Metric</w:t>
            </w:r>
          </w:p>
        </w:tc>
        <w:tc>
          <w:tcPr>
            <w:tcW w:w="1920" w:type="dxa"/>
            <w:vAlign w:val="bottom"/>
            <w:tcBorders>
              <w:bottom w:val="single" w:sz="8" w:color="CE0F2D"/>
            </w:tcBorders>
          </w:tcPr>
          <w:p>
            <w:pPr>
              <w:jc w:val="right"/>
              <w:ind w:right="63"/>
              <w:spacing w:after="0"/>
              <w:rPr>
                <w:sz w:val="20"/>
                <w:szCs w:val="20"/>
                <w:color w:val="auto"/>
              </w:rPr>
            </w:pPr>
            <w:r>
              <w:rPr>
                <w:rFonts w:ascii="Arial" w:cs="Arial" w:eastAsia="Arial" w:hAnsi="Arial"/>
                <w:sz w:val="14"/>
                <w:szCs w:val="14"/>
                <w:color w:val="61676D"/>
              </w:rPr>
              <w:t>Weight</w:t>
            </w:r>
          </w:p>
        </w:tc>
        <w:tc>
          <w:tcPr>
            <w:tcW w:w="1160" w:type="dxa"/>
            <w:vAlign w:val="bottom"/>
            <w:tcBorders>
              <w:bottom w:val="single" w:sz="8" w:color="CE0F2D"/>
            </w:tcBorders>
          </w:tcPr>
          <w:p>
            <w:pPr>
              <w:jc w:val="right"/>
              <w:ind w:right="64"/>
              <w:spacing w:after="0"/>
              <w:rPr>
                <w:sz w:val="20"/>
                <w:szCs w:val="20"/>
                <w:color w:val="auto"/>
              </w:rPr>
            </w:pPr>
            <w:r>
              <w:rPr>
                <w:rFonts w:ascii="Arial" w:cs="Arial" w:eastAsia="Arial" w:hAnsi="Arial"/>
                <w:sz w:val="14"/>
                <w:szCs w:val="14"/>
                <w:color w:val="61676D"/>
              </w:rPr>
              <w:t>(50% funding)</w:t>
            </w:r>
          </w:p>
        </w:tc>
        <w:tc>
          <w:tcPr>
            <w:tcW w:w="1240" w:type="dxa"/>
            <w:vAlign w:val="bottom"/>
            <w:tcBorders>
              <w:bottom w:val="single" w:sz="8" w:color="CE0F2D"/>
            </w:tcBorders>
          </w:tcPr>
          <w:p>
            <w:pPr>
              <w:jc w:val="right"/>
              <w:ind w:right="64"/>
              <w:spacing w:after="0"/>
              <w:rPr>
                <w:sz w:val="20"/>
                <w:szCs w:val="20"/>
                <w:color w:val="auto"/>
              </w:rPr>
            </w:pPr>
            <w:r>
              <w:rPr>
                <w:rFonts w:ascii="Arial" w:cs="Arial" w:eastAsia="Arial" w:hAnsi="Arial"/>
                <w:sz w:val="14"/>
                <w:szCs w:val="14"/>
                <w:color w:val="61676D"/>
              </w:rPr>
              <w:t>(100% funding)</w:t>
            </w:r>
          </w:p>
        </w:tc>
        <w:tc>
          <w:tcPr>
            <w:tcW w:w="1240" w:type="dxa"/>
            <w:vAlign w:val="bottom"/>
            <w:tcBorders>
              <w:bottom w:val="single" w:sz="8" w:color="CE0F2D"/>
            </w:tcBorders>
          </w:tcPr>
          <w:p>
            <w:pPr>
              <w:jc w:val="right"/>
              <w:ind w:right="44"/>
              <w:spacing w:after="0"/>
              <w:rPr>
                <w:sz w:val="20"/>
                <w:szCs w:val="20"/>
                <w:color w:val="auto"/>
              </w:rPr>
            </w:pPr>
            <w:r>
              <w:rPr>
                <w:rFonts w:ascii="Arial" w:cs="Arial" w:eastAsia="Arial" w:hAnsi="Arial"/>
                <w:sz w:val="14"/>
                <w:szCs w:val="14"/>
                <w:color w:val="61676D"/>
              </w:rPr>
              <w:t>(200% funding)</w:t>
            </w:r>
          </w:p>
        </w:tc>
        <w:tc>
          <w:tcPr>
            <w:tcW w:w="940" w:type="dxa"/>
            <w:vAlign w:val="bottom"/>
            <w:tcBorders>
              <w:bottom w:val="single" w:sz="8" w:color="CE0F2D"/>
            </w:tcBorders>
          </w:tcPr>
          <w:p>
            <w:pPr>
              <w:jc w:val="right"/>
              <w:ind w:right="64"/>
              <w:spacing w:after="0"/>
              <w:rPr>
                <w:sz w:val="20"/>
                <w:szCs w:val="20"/>
                <w:color w:val="auto"/>
              </w:rPr>
            </w:pPr>
            <w:r>
              <w:rPr>
                <w:rFonts w:ascii="Arial" w:cs="Arial" w:eastAsia="Arial" w:hAnsi="Arial"/>
                <w:sz w:val="14"/>
                <w:szCs w:val="14"/>
                <w:color w:val="61676D"/>
              </w:rPr>
              <w:t>Results</w:t>
            </w:r>
          </w:p>
        </w:tc>
        <w:tc>
          <w:tcPr>
            <w:tcW w:w="146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Performance Factors</w:t>
            </w:r>
          </w:p>
        </w:tc>
      </w:tr>
      <w:tr>
        <w:trPr>
          <w:trHeight w:val="295"/>
        </w:trPr>
        <w:tc>
          <w:tcPr>
            <w:tcW w:w="3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Earnings—net income ($M)</w:t>
            </w:r>
          </w:p>
        </w:tc>
        <w:tc>
          <w:tcPr>
            <w:tcW w:w="19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40%</w:t>
            </w:r>
          </w:p>
        </w:tc>
        <w:tc>
          <w:tcPr>
            <w:tcW w:w="116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$4,775</w:t>
            </w:r>
          </w:p>
        </w:tc>
        <w:tc>
          <w:tcPr>
            <w:tcW w:w="12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$5,600</w:t>
            </w:r>
          </w:p>
        </w:tc>
        <w:tc>
          <w:tcPr>
            <w:tcW w:w="12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$6,460</w:t>
            </w:r>
          </w:p>
        </w:tc>
        <w:tc>
          <w:tcPr>
            <w:tcW w:w="940" w:type="dxa"/>
            <w:vAlign w:val="bottom"/>
            <w:tcBorders>
              <w:bottom w:val="single" w:sz="8" w:color="auto"/>
            </w:tcBorders>
          </w:tcPr>
          <w:p>
            <w:pPr>
              <w:jc w:val="right"/>
              <w:ind w:right="64"/>
              <w:spacing w:after="0" w:line="295" w:lineRule="exact"/>
              <w:rPr>
                <w:sz w:val="20"/>
                <w:szCs w:val="20"/>
                <w:color w:val="auto"/>
              </w:rPr>
            </w:pPr>
            <w:r>
              <w:rPr>
                <w:rFonts w:ascii="Arial" w:cs="Arial" w:eastAsia="Arial" w:hAnsi="Arial"/>
                <w:sz w:val="16"/>
                <w:szCs w:val="16"/>
                <w:color w:val="auto"/>
              </w:rPr>
              <w:t>$6,465</w:t>
            </w:r>
            <w:r>
              <w:rPr>
                <w:rFonts w:ascii="Arial" w:cs="Arial" w:eastAsia="Arial" w:hAnsi="Arial"/>
                <w:sz w:val="26"/>
                <w:szCs w:val="26"/>
                <w:color w:val="auto"/>
                <w:vertAlign w:val="superscript"/>
              </w:rPr>
              <w:t>(1)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r>
      <w:tr>
        <w:trPr>
          <w:trHeight w:val="295"/>
        </w:trPr>
        <w:tc>
          <w:tcPr>
            <w:tcW w:w="3280" w:type="dxa"/>
            <w:vAlign w:val="bottom"/>
            <w:tcBorders>
              <w:bottom w:val="single" w:sz="8" w:color="636466"/>
            </w:tcBorders>
          </w:tcPr>
          <w:p>
            <w:pPr>
              <w:spacing w:after="0"/>
              <w:rPr>
                <w:sz w:val="20"/>
                <w:szCs w:val="20"/>
                <w:color w:val="auto"/>
              </w:rPr>
            </w:pPr>
            <w:r>
              <w:rPr>
                <w:rFonts w:ascii="Arial" w:cs="Arial" w:eastAsia="Arial" w:hAnsi="Arial"/>
                <w:sz w:val="16"/>
                <w:szCs w:val="16"/>
                <w:color w:val="auto"/>
              </w:rPr>
              <w:t>Free Cash Flow ($M)</w:t>
            </w:r>
          </w:p>
        </w:tc>
        <w:tc>
          <w:tcPr>
            <w:tcW w:w="1920" w:type="dxa"/>
            <w:vAlign w:val="bottom"/>
            <w:tcBorders>
              <w:bottom w:val="single" w:sz="8" w:color="636466"/>
            </w:tcBorders>
          </w:tcPr>
          <w:p>
            <w:pPr>
              <w:jc w:val="right"/>
              <w:ind w:right="63"/>
              <w:spacing w:after="0"/>
              <w:rPr>
                <w:sz w:val="20"/>
                <w:szCs w:val="20"/>
                <w:color w:val="auto"/>
              </w:rPr>
            </w:pPr>
            <w:r>
              <w:rPr>
                <w:rFonts w:ascii="Arial" w:cs="Arial" w:eastAsia="Arial" w:hAnsi="Arial"/>
                <w:sz w:val="16"/>
                <w:szCs w:val="16"/>
                <w:color w:val="auto"/>
              </w:rPr>
              <w:t>40%</w:t>
            </w:r>
          </w:p>
        </w:tc>
        <w:tc>
          <w:tcPr>
            <w:tcW w:w="1160" w:type="dxa"/>
            <w:vAlign w:val="bottom"/>
            <w:tcBorders>
              <w:bottom w:val="single" w:sz="8" w:color="636466"/>
            </w:tcBorders>
          </w:tcPr>
          <w:p>
            <w:pPr>
              <w:jc w:val="right"/>
              <w:ind w:right="64"/>
              <w:spacing w:after="0"/>
              <w:rPr>
                <w:sz w:val="20"/>
                <w:szCs w:val="20"/>
                <w:color w:val="auto"/>
              </w:rPr>
            </w:pPr>
            <w:r>
              <w:rPr>
                <w:rFonts w:ascii="Arial" w:cs="Arial" w:eastAsia="Arial" w:hAnsi="Arial"/>
                <w:sz w:val="16"/>
                <w:szCs w:val="16"/>
                <w:color w:val="auto"/>
              </w:rPr>
              <w:t>$3,500</w:t>
            </w:r>
          </w:p>
        </w:tc>
        <w:tc>
          <w:tcPr>
            <w:tcW w:w="1240" w:type="dxa"/>
            <w:vAlign w:val="bottom"/>
            <w:tcBorders>
              <w:bottom w:val="single" w:sz="8" w:color="636466"/>
            </w:tcBorders>
          </w:tcPr>
          <w:p>
            <w:pPr>
              <w:jc w:val="right"/>
              <w:ind w:right="64"/>
              <w:spacing w:after="0"/>
              <w:rPr>
                <w:sz w:val="20"/>
                <w:szCs w:val="20"/>
                <w:color w:val="auto"/>
              </w:rPr>
            </w:pPr>
            <w:r>
              <w:rPr>
                <w:rFonts w:ascii="Arial" w:cs="Arial" w:eastAsia="Arial" w:hAnsi="Arial"/>
                <w:sz w:val="16"/>
                <w:szCs w:val="16"/>
                <w:color w:val="auto"/>
              </w:rPr>
              <w:t>$4,500</w:t>
            </w:r>
          </w:p>
        </w:tc>
        <w:tc>
          <w:tcPr>
            <w:tcW w:w="1240" w:type="dxa"/>
            <w:vAlign w:val="bottom"/>
            <w:tcBorders>
              <w:bottom w:val="single" w:sz="8" w:color="636466"/>
            </w:tcBorders>
          </w:tcPr>
          <w:p>
            <w:pPr>
              <w:jc w:val="right"/>
              <w:ind w:right="44"/>
              <w:spacing w:after="0"/>
              <w:rPr>
                <w:sz w:val="20"/>
                <w:szCs w:val="20"/>
                <w:color w:val="auto"/>
              </w:rPr>
            </w:pPr>
            <w:r>
              <w:rPr>
                <w:rFonts w:ascii="Arial" w:cs="Arial" w:eastAsia="Arial" w:hAnsi="Arial"/>
                <w:sz w:val="16"/>
                <w:szCs w:val="16"/>
                <w:color w:val="auto"/>
              </w:rPr>
              <w:t>$6,100</w:t>
            </w:r>
          </w:p>
        </w:tc>
        <w:tc>
          <w:tcPr>
            <w:tcW w:w="940" w:type="dxa"/>
            <w:vAlign w:val="bottom"/>
            <w:tcBorders>
              <w:bottom w:val="single" w:sz="8" w:color="636466"/>
            </w:tcBorders>
          </w:tcPr>
          <w:p>
            <w:pPr>
              <w:jc w:val="right"/>
              <w:ind w:right="64"/>
              <w:spacing w:after="0" w:line="288" w:lineRule="exact"/>
              <w:rPr>
                <w:sz w:val="20"/>
                <w:szCs w:val="20"/>
                <w:color w:val="auto"/>
              </w:rPr>
            </w:pPr>
            <w:r>
              <w:rPr>
                <w:rFonts w:ascii="Arial" w:cs="Arial" w:eastAsia="Arial" w:hAnsi="Arial"/>
                <w:sz w:val="16"/>
                <w:szCs w:val="16"/>
                <w:color w:val="auto"/>
              </w:rPr>
              <w:t>$5,105</w:t>
            </w:r>
            <w:r>
              <w:rPr>
                <w:rFonts w:ascii="Arial" w:cs="Arial" w:eastAsia="Arial" w:hAnsi="Arial"/>
                <w:sz w:val="26"/>
                <w:szCs w:val="26"/>
                <w:color w:val="auto"/>
                <w:vertAlign w:val="superscript"/>
              </w:rPr>
              <w:t>(2)</w:t>
            </w:r>
          </w:p>
        </w:tc>
        <w:tc>
          <w:tcPr>
            <w:tcW w:w="146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138%</w:t>
            </w:r>
          </w:p>
        </w:tc>
      </w:tr>
    </w:tbl>
    <w:p>
      <w:pPr>
        <w:spacing w:after="0" w:line="48" w:lineRule="exact"/>
        <w:rPr>
          <w:sz w:val="20"/>
          <w:szCs w:val="20"/>
          <w:color w:val="auto"/>
        </w:rPr>
      </w:pPr>
    </w:p>
    <w:p>
      <w:pPr>
        <w:ind w:left="320" w:right="180" w:hanging="313"/>
        <w:spacing w:after="0" w:line="252" w:lineRule="auto"/>
        <w:tabs>
          <w:tab w:leader="none" w:pos="3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RTX’s adjusted net income was $6,445 million, which was further adjusted for annual incentive purposes to $6,465 million to exclude certain restructuring, non-recurring and other significant, non-operational items, and acquisitions and divestitures (including acquisition accounting adjustments).</w:t>
      </w:r>
    </w:p>
    <w:p>
      <w:pPr>
        <w:spacing w:after="0" w:line="44" w:lineRule="exact"/>
        <w:rPr>
          <w:rFonts w:ascii="Arial" w:cs="Arial" w:eastAsia="Arial" w:hAnsi="Arial"/>
          <w:sz w:val="12"/>
          <w:szCs w:val="12"/>
          <w:color w:val="auto"/>
        </w:rPr>
      </w:pPr>
    </w:p>
    <w:p>
      <w:pPr>
        <w:ind w:left="320" w:right="320" w:hanging="313"/>
        <w:spacing w:after="0" w:line="252" w:lineRule="auto"/>
        <w:tabs>
          <w:tab w:leader="none" w:pos="320" w:val="left"/>
        </w:tabs>
        <w:numPr>
          <w:ilvl w:val="0"/>
          <w:numId w:val="148"/>
        </w:numPr>
        <w:rPr>
          <w:rFonts w:ascii="Arial" w:cs="Arial" w:eastAsia="Arial" w:hAnsi="Arial"/>
          <w:sz w:val="12"/>
          <w:szCs w:val="12"/>
          <w:color w:val="auto"/>
        </w:rPr>
      </w:pPr>
      <w:r>
        <w:rPr>
          <w:rFonts w:ascii="Arial" w:cs="Arial" w:eastAsia="Arial" w:hAnsi="Arial"/>
          <w:sz w:val="12"/>
          <w:szCs w:val="12"/>
          <w:color w:val="auto"/>
        </w:rPr>
        <w:t>RTX’s FCF of $5,008 million was adjusted to $5,105 million for annual incentive purposes to exclude restructuring costs, the impact of acquisitions and divestitures, and non-recurring and other significant, non-operational items.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The below chart provides additional details on the 2021 business unit financial goals, results and financial performance factors: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3740" w:type="dxa"/>
            <w:vAlign w:val="bottom"/>
          </w:tcPr>
          <w:p>
            <w:pPr>
              <w:spacing w:after="0"/>
              <w:rPr>
                <w:sz w:val="24"/>
                <w:szCs w:val="24"/>
                <w:color w:val="auto"/>
              </w:rPr>
            </w:pPr>
          </w:p>
        </w:tc>
        <w:tc>
          <w:tcPr>
            <w:tcW w:w="7500" w:type="dxa"/>
            <w:vAlign w:val="bottom"/>
            <w:gridSpan w:val="2"/>
            <w:shd w:val="clear" w:color="auto" w:fill="ECEDEF"/>
          </w:tcPr>
          <w:p>
            <w:pPr>
              <w:ind w:left="2420"/>
              <w:spacing w:after="0"/>
              <w:rPr>
                <w:sz w:val="20"/>
                <w:szCs w:val="20"/>
                <w:color w:val="auto"/>
              </w:rPr>
            </w:pPr>
            <w:r>
              <w:rPr>
                <w:rFonts w:ascii="Arial" w:cs="Arial" w:eastAsia="Arial" w:hAnsi="Arial"/>
                <w:sz w:val="16"/>
                <w:szCs w:val="16"/>
                <w:b w:val="1"/>
                <w:bCs w:val="1"/>
                <w:color w:val="auto"/>
              </w:rPr>
              <w:t>Business Unit Goals and Results</w:t>
            </w:r>
            <w:r>
              <w:rPr>
                <w:rFonts w:ascii="Arial" w:cs="Arial" w:eastAsia="Arial" w:hAnsi="Arial"/>
                <w:sz w:val="26"/>
                <w:szCs w:val="26"/>
                <w:b w:val="1"/>
                <w:bCs w:val="1"/>
                <w:color w:val="auto"/>
                <w:vertAlign w:val="superscript"/>
              </w:rPr>
              <w:t>(1)</w:t>
            </w:r>
          </w:p>
        </w:tc>
      </w:tr>
      <w:tr>
        <w:trPr>
          <w:trHeight w:val="275"/>
        </w:trPr>
        <w:tc>
          <w:tcPr>
            <w:tcW w:w="3740" w:type="dxa"/>
            <w:vAlign w:val="bottom"/>
            <w:tcBorders>
              <w:bottom w:val="single" w:sz="8" w:color="CE0F2D"/>
            </w:tcBorders>
          </w:tcPr>
          <w:p>
            <w:pPr>
              <w:spacing w:after="0"/>
              <w:rPr>
                <w:sz w:val="23"/>
                <w:szCs w:val="23"/>
                <w:color w:val="auto"/>
              </w:rPr>
            </w:pPr>
          </w:p>
        </w:tc>
        <w:tc>
          <w:tcPr>
            <w:tcW w:w="3600" w:type="dxa"/>
            <w:vAlign w:val="bottom"/>
            <w:tcBorders>
              <w:bottom w:val="single" w:sz="8" w:color="CE0F2D"/>
            </w:tcBorders>
          </w:tcPr>
          <w:p>
            <w:pPr>
              <w:ind w:left="1000"/>
              <w:spacing w:after="0"/>
              <w:rPr>
                <w:sz w:val="20"/>
                <w:szCs w:val="20"/>
                <w:color w:val="auto"/>
              </w:rPr>
            </w:pPr>
            <w:r>
              <w:rPr>
                <w:rFonts w:ascii="Arial" w:cs="Arial" w:eastAsia="Arial" w:hAnsi="Arial"/>
                <w:sz w:val="16"/>
                <w:szCs w:val="16"/>
                <w:color w:val="auto"/>
              </w:rPr>
              <w:t>Business Unit Earnings</w:t>
            </w:r>
          </w:p>
        </w:tc>
        <w:tc>
          <w:tcPr>
            <w:tcW w:w="3900" w:type="dxa"/>
            <w:vAlign w:val="bottom"/>
            <w:tcBorders>
              <w:bottom w:val="single" w:sz="8" w:color="CE0F2D"/>
            </w:tcBorders>
          </w:tcPr>
          <w:p>
            <w:pPr>
              <w:ind w:left="1360"/>
              <w:spacing w:after="0"/>
              <w:rPr>
                <w:sz w:val="20"/>
                <w:szCs w:val="20"/>
                <w:color w:val="auto"/>
              </w:rPr>
            </w:pPr>
            <w:r>
              <w:rPr>
                <w:rFonts w:ascii="Arial" w:cs="Arial" w:eastAsia="Arial" w:hAnsi="Arial"/>
                <w:sz w:val="16"/>
                <w:szCs w:val="16"/>
                <w:color w:val="auto"/>
              </w:rPr>
              <w:t>Business Unit FCF</w:t>
            </w:r>
          </w:p>
        </w:tc>
      </w:tr>
      <w:tr>
        <w:trPr>
          <w:trHeight w:val="155"/>
        </w:trPr>
        <w:tc>
          <w:tcPr>
            <w:tcW w:w="3740" w:type="dxa"/>
            <w:vAlign w:val="bottom"/>
          </w:tcPr>
          <w:p>
            <w:pPr>
              <w:spacing w:after="0"/>
              <w:rPr>
                <w:sz w:val="20"/>
                <w:szCs w:val="20"/>
                <w:color w:val="auto"/>
              </w:rPr>
            </w:pPr>
            <w:r>
              <w:rPr>
                <w:rFonts w:ascii="Arial" w:cs="Arial" w:eastAsia="Arial" w:hAnsi="Arial"/>
                <w:sz w:val="12"/>
                <w:szCs w:val="12"/>
                <w:color w:val="CE0F2D"/>
              </w:rPr>
              <w:t>What financial goals were set for annual incentive purposes for</w:t>
            </w:r>
          </w:p>
        </w:tc>
        <w:tc>
          <w:tcPr>
            <w:tcW w:w="3600" w:type="dxa"/>
            <w:vAlign w:val="bottom"/>
          </w:tcPr>
          <w:p>
            <w:pPr>
              <w:spacing w:after="0"/>
              <w:rPr>
                <w:sz w:val="20"/>
                <w:szCs w:val="20"/>
                <w:color w:val="auto"/>
              </w:rPr>
            </w:pPr>
            <w:r>
              <w:rPr>
                <w:rFonts w:ascii="Arial" w:cs="Arial" w:eastAsia="Arial" w:hAnsi="Arial"/>
                <w:sz w:val="12"/>
                <w:szCs w:val="12"/>
                <w:color w:val="auto"/>
              </w:rPr>
              <w:t>Adjusted operating income goals ranged from $475 million to</w:t>
            </w:r>
          </w:p>
        </w:tc>
        <w:tc>
          <w:tcPr>
            <w:tcW w:w="3900" w:type="dxa"/>
            <w:vAlign w:val="bottom"/>
          </w:tcPr>
          <w:p>
            <w:pPr>
              <w:ind w:left="240"/>
              <w:spacing w:after="0"/>
              <w:rPr>
                <w:sz w:val="20"/>
                <w:szCs w:val="20"/>
                <w:color w:val="auto"/>
              </w:rPr>
            </w:pPr>
            <w:r>
              <w:rPr>
                <w:rFonts w:ascii="Arial" w:cs="Arial" w:eastAsia="Arial" w:hAnsi="Arial"/>
                <w:sz w:val="12"/>
                <w:szCs w:val="12"/>
                <w:color w:val="auto"/>
              </w:rPr>
              <w:t>FCF goals ranged from $450 million to $1,800 million for our</w:t>
            </w:r>
          </w:p>
        </w:tc>
      </w:tr>
      <w:tr>
        <w:trPr>
          <w:trHeight w:val="160"/>
        </w:trPr>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CE0F2D"/>
              </w:rPr>
              <w:t>2021?</w:t>
            </w:r>
          </w:p>
        </w:tc>
        <w:tc>
          <w:tcPr>
            <w:tcW w:w="3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$2,050 million for our business units.</w:t>
            </w:r>
          </w:p>
        </w:tc>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business units.</w:t>
            </w:r>
          </w:p>
        </w:tc>
      </w:tr>
      <w:tr>
        <w:trPr>
          <w:trHeight w:val="155"/>
        </w:trPr>
        <w:tc>
          <w:tcPr>
            <w:tcW w:w="3740" w:type="dxa"/>
            <w:vAlign w:val="bottom"/>
          </w:tcPr>
          <w:p>
            <w:pPr>
              <w:spacing w:after="0"/>
              <w:rPr>
                <w:sz w:val="20"/>
                <w:szCs w:val="20"/>
                <w:color w:val="auto"/>
              </w:rPr>
            </w:pPr>
            <w:r>
              <w:rPr>
                <w:rFonts w:ascii="Arial" w:cs="Arial" w:eastAsia="Arial" w:hAnsi="Arial"/>
                <w:sz w:val="12"/>
                <w:szCs w:val="12"/>
                <w:color w:val="CE0F2D"/>
              </w:rPr>
              <w:t>What financial results were used to determine financial</w:t>
            </w:r>
          </w:p>
        </w:tc>
        <w:tc>
          <w:tcPr>
            <w:tcW w:w="3600" w:type="dxa"/>
            <w:vAlign w:val="bottom"/>
          </w:tcPr>
          <w:p>
            <w:pPr>
              <w:spacing w:after="0"/>
              <w:rPr>
                <w:sz w:val="20"/>
                <w:szCs w:val="20"/>
                <w:color w:val="auto"/>
              </w:rPr>
            </w:pPr>
            <w:r>
              <w:rPr>
                <w:rFonts w:ascii="Arial" w:cs="Arial" w:eastAsia="Arial" w:hAnsi="Arial"/>
                <w:sz w:val="12"/>
                <w:szCs w:val="12"/>
                <w:color w:val="auto"/>
              </w:rPr>
              <w:t>Adjusted business unit operating income ranged from $487</w:t>
            </w:r>
          </w:p>
        </w:tc>
        <w:tc>
          <w:tcPr>
            <w:tcW w:w="3900" w:type="dxa"/>
            <w:vAlign w:val="bottom"/>
          </w:tcPr>
          <w:p>
            <w:pPr>
              <w:ind w:left="240"/>
              <w:spacing w:after="0"/>
              <w:rPr>
                <w:sz w:val="20"/>
                <w:szCs w:val="20"/>
                <w:color w:val="auto"/>
              </w:rPr>
            </w:pPr>
            <w:r>
              <w:rPr>
                <w:rFonts w:ascii="Arial" w:cs="Arial" w:eastAsia="Arial" w:hAnsi="Arial"/>
                <w:sz w:val="12"/>
                <w:szCs w:val="12"/>
                <w:color w:val="auto"/>
              </w:rPr>
              <w:t>FCF results used for annual incentive purposes for our business</w:t>
            </w:r>
          </w:p>
        </w:tc>
      </w:tr>
      <w:tr>
        <w:trPr>
          <w:trHeight w:val="160"/>
        </w:trPr>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CE0F2D"/>
              </w:rPr>
              <w:t>performance factors?</w:t>
            </w:r>
          </w:p>
        </w:tc>
        <w:tc>
          <w:tcPr>
            <w:tcW w:w="36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million to $2,004 million.</w:t>
            </w:r>
          </w:p>
        </w:tc>
        <w:tc>
          <w:tcPr>
            <w:tcW w:w="390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units ranged from $806 million to $1,658 million.</w:t>
            </w:r>
          </w:p>
        </w:tc>
      </w:tr>
      <w:tr>
        <w:trPr>
          <w:trHeight w:val="155"/>
        </w:trPr>
        <w:tc>
          <w:tcPr>
            <w:tcW w:w="3740" w:type="dxa"/>
            <w:vAlign w:val="bottom"/>
          </w:tcPr>
          <w:p>
            <w:pPr>
              <w:spacing w:after="0"/>
              <w:rPr>
                <w:sz w:val="20"/>
                <w:szCs w:val="20"/>
                <w:color w:val="auto"/>
              </w:rPr>
            </w:pPr>
            <w:r>
              <w:rPr>
                <w:rFonts w:ascii="Arial" w:cs="Arial" w:eastAsia="Arial" w:hAnsi="Arial"/>
                <w:sz w:val="12"/>
                <w:szCs w:val="12"/>
                <w:color w:val="CE0F2D"/>
              </w:rPr>
              <w:t>What were the resulting financial performance factors for each</w:t>
            </w:r>
          </w:p>
        </w:tc>
        <w:tc>
          <w:tcPr>
            <w:tcW w:w="3600" w:type="dxa"/>
            <w:vAlign w:val="bottom"/>
          </w:tcPr>
          <w:p>
            <w:pPr>
              <w:spacing w:after="0"/>
              <w:rPr>
                <w:sz w:val="20"/>
                <w:szCs w:val="20"/>
                <w:color w:val="auto"/>
              </w:rPr>
            </w:pPr>
            <w:r>
              <w:rPr>
                <w:rFonts w:ascii="Arial" w:cs="Arial" w:eastAsia="Arial" w:hAnsi="Arial"/>
                <w:sz w:val="12"/>
                <w:szCs w:val="12"/>
                <w:color w:val="auto"/>
              </w:rPr>
              <w:t>Ranged from 89% to 183% of target.</w:t>
            </w:r>
          </w:p>
        </w:tc>
        <w:tc>
          <w:tcPr>
            <w:tcW w:w="3900" w:type="dxa"/>
            <w:vAlign w:val="bottom"/>
          </w:tcPr>
          <w:p>
            <w:pPr>
              <w:ind w:left="240"/>
              <w:spacing w:after="0"/>
              <w:rPr>
                <w:sz w:val="20"/>
                <w:szCs w:val="20"/>
                <w:color w:val="auto"/>
              </w:rPr>
            </w:pPr>
            <w:r>
              <w:rPr>
                <w:rFonts w:ascii="Arial" w:cs="Arial" w:eastAsia="Arial" w:hAnsi="Arial"/>
                <w:sz w:val="12"/>
                <w:szCs w:val="12"/>
                <w:color w:val="auto"/>
              </w:rPr>
              <w:t>Ranged from 0% to 200% of target.</w:t>
            </w:r>
          </w:p>
        </w:tc>
      </w:tr>
      <w:tr>
        <w:trPr>
          <w:trHeight w:val="160"/>
        </w:trPr>
        <w:tc>
          <w:tcPr>
            <w:tcW w:w="3740" w:type="dxa"/>
            <w:vAlign w:val="bottom"/>
            <w:tcBorders>
              <w:bottom w:val="single" w:sz="8" w:color="auto"/>
            </w:tcBorders>
          </w:tcPr>
          <w:p>
            <w:pPr>
              <w:spacing w:after="0"/>
              <w:rPr>
                <w:sz w:val="20"/>
                <w:szCs w:val="20"/>
                <w:color w:val="auto"/>
              </w:rPr>
            </w:pPr>
            <w:r>
              <w:rPr>
                <w:rFonts w:ascii="Arial" w:cs="Arial" w:eastAsia="Arial" w:hAnsi="Arial"/>
                <w:sz w:val="12"/>
                <w:szCs w:val="12"/>
                <w:color w:val="CE0F2D"/>
              </w:rPr>
              <w:t>financial metric?</w:t>
            </w:r>
          </w:p>
        </w:tc>
        <w:tc>
          <w:tcPr>
            <w:tcW w:w="3600" w:type="dxa"/>
            <w:vAlign w:val="bottom"/>
            <w:tcBorders>
              <w:bottom w:val="single" w:sz="8" w:color="auto"/>
            </w:tcBorders>
          </w:tcPr>
          <w:p>
            <w:pPr>
              <w:spacing w:after="0"/>
              <w:rPr>
                <w:sz w:val="13"/>
                <w:szCs w:val="13"/>
                <w:color w:val="auto"/>
              </w:rPr>
            </w:pPr>
          </w:p>
        </w:tc>
        <w:tc>
          <w:tcPr>
            <w:tcW w:w="3900" w:type="dxa"/>
            <w:vAlign w:val="bottom"/>
            <w:tcBorders>
              <w:bottom w:val="single" w:sz="8" w:color="auto"/>
            </w:tcBorders>
          </w:tcPr>
          <w:p>
            <w:pPr>
              <w:spacing w:after="0"/>
              <w:rPr>
                <w:sz w:val="13"/>
                <w:szCs w:val="13"/>
                <w:color w:val="auto"/>
              </w:rPr>
            </w:pPr>
          </w:p>
        </w:tc>
      </w:tr>
      <w:tr>
        <w:trPr>
          <w:trHeight w:val="155"/>
        </w:trPr>
        <w:tc>
          <w:tcPr>
            <w:tcW w:w="3740" w:type="dxa"/>
            <w:vAlign w:val="bottom"/>
          </w:tcPr>
          <w:p>
            <w:pPr>
              <w:spacing w:after="0"/>
              <w:rPr>
                <w:sz w:val="20"/>
                <w:szCs w:val="20"/>
                <w:color w:val="auto"/>
              </w:rPr>
            </w:pPr>
            <w:r>
              <w:rPr>
                <w:rFonts w:ascii="Arial" w:cs="Arial" w:eastAsia="Arial" w:hAnsi="Arial"/>
                <w:sz w:val="12"/>
                <w:szCs w:val="12"/>
                <w:color w:val="CE0F2D"/>
              </w:rPr>
              <w:t>What were the final financial performance factors once applying</w:t>
            </w:r>
          </w:p>
        </w:tc>
        <w:tc>
          <w:tcPr>
            <w:tcW w:w="3600" w:type="dxa"/>
            <w:vAlign w:val="bottom"/>
          </w:tcPr>
          <w:p>
            <w:pPr>
              <w:spacing w:after="0"/>
              <w:rPr>
                <w:sz w:val="20"/>
                <w:szCs w:val="20"/>
                <w:color w:val="auto"/>
              </w:rPr>
            </w:pPr>
            <w:r>
              <w:rPr>
                <w:rFonts w:ascii="Arial" w:cs="Arial" w:eastAsia="Arial" w:hAnsi="Arial"/>
                <w:sz w:val="12"/>
                <w:szCs w:val="12"/>
                <w:color w:val="auto"/>
              </w:rPr>
              <w:t>Ranged from 145% to 192% of target.</w:t>
            </w:r>
          </w:p>
        </w:tc>
        <w:tc>
          <w:tcPr>
            <w:tcW w:w="3900" w:type="dxa"/>
            <w:vAlign w:val="bottom"/>
          </w:tcPr>
          <w:p>
            <w:pPr>
              <w:ind w:left="240"/>
              <w:spacing w:after="0"/>
              <w:rPr>
                <w:sz w:val="20"/>
                <w:szCs w:val="20"/>
                <w:color w:val="auto"/>
              </w:rPr>
            </w:pPr>
            <w:r>
              <w:rPr>
                <w:rFonts w:ascii="Arial" w:cs="Arial" w:eastAsia="Arial" w:hAnsi="Arial"/>
                <w:sz w:val="12"/>
                <w:szCs w:val="12"/>
                <w:color w:val="auto"/>
              </w:rPr>
              <w:t>Ranged from 69% to 169% of target.</w:t>
            </w:r>
          </w:p>
        </w:tc>
      </w:tr>
      <w:tr>
        <w:trPr>
          <w:trHeight w:val="173"/>
        </w:trPr>
        <w:tc>
          <w:tcPr>
            <w:tcW w:w="3740" w:type="dxa"/>
            <w:vAlign w:val="bottom"/>
            <w:tcBorders>
              <w:bottom w:val="single" w:sz="8" w:color="636466"/>
            </w:tcBorders>
          </w:tcPr>
          <w:p>
            <w:pPr>
              <w:spacing w:after="0"/>
              <w:rPr>
                <w:sz w:val="20"/>
                <w:szCs w:val="20"/>
                <w:color w:val="auto"/>
              </w:rPr>
            </w:pPr>
            <w:r>
              <w:rPr>
                <w:rFonts w:ascii="Arial" w:cs="Arial" w:eastAsia="Arial" w:hAnsi="Arial"/>
                <w:sz w:val="12"/>
                <w:szCs w:val="12"/>
                <w:color w:val="CE0F2D"/>
              </w:rPr>
              <w:t>the 50% weighting of the Company-wide factors?</w:t>
            </w:r>
          </w:p>
        </w:tc>
        <w:tc>
          <w:tcPr>
            <w:tcW w:w="3600" w:type="dxa"/>
            <w:vAlign w:val="bottom"/>
            <w:tcBorders>
              <w:bottom w:val="single" w:sz="8" w:color="636466"/>
            </w:tcBorders>
          </w:tcPr>
          <w:p>
            <w:pPr>
              <w:spacing w:after="0"/>
              <w:rPr>
                <w:sz w:val="15"/>
                <w:szCs w:val="15"/>
                <w:color w:val="auto"/>
              </w:rPr>
            </w:pPr>
          </w:p>
        </w:tc>
        <w:tc>
          <w:tcPr>
            <w:tcW w:w="3900" w:type="dxa"/>
            <w:vAlign w:val="bottom"/>
            <w:tcBorders>
              <w:bottom w:val="single" w:sz="8" w:color="636466"/>
            </w:tcBorders>
          </w:tcPr>
          <w:p>
            <w:pPr>
              <w:spacing w:after="0"/>
              <w:rPr>
                <w:sz w:val="15"/>
                <w:szCs w:val="15"/>
                <w:color w:val="auto"/>
              </w:rPr>
            </w:pPr>
          </w:p>
        </w:tc>
      </w:tr>
    </w:tbl>
    <w:p>
      <w:pPr>
        <w:spacing w:after="0" w:line="48" w:lineRule="exact"/>
        <w:rPr>
          <w:sz w:val="20"/>
          <w:szCs w:val="20"/>
          <w:color w:val="auto"/>
        </w:rPr>
      </w:pPr>
    </w:p>
    <w:p>
      <w:pPr>
        <w:ind w:left="320" w:hanging="313"/>
        <w:spacing w:after="0"/>
        <w:tabs>
          <w:tab w:leader="none" w:pos="320" w:val="left"/>
        </w:tabs>
        <w:numPr>
          <w:ilvl w:val="0"/>
          <w:numId w:val="149"/>
        </w:numPr>
        <w:rPr>
          <w:rFonts w:ascii="Arial" w:cs="Arial" w:eastAsia="Arial" w:hAnsi="Arial"/>
          <w:sz w:val="12"/>
          <w:szCs w:val="12"/>
          <w:color w:val="auto"/>
        </w:rPr>
      </w:pPr>
      <w:r>
        <w:rPr>
          <w:rFonts w:ascii="Arial" w:cs="Arial" w:eastAsia="Arial" w:hAnsi="Arial"/>
          <w:sz w:val="12"/>
          <w:szCs w:val="12"/>
          <w:color w:val="auto"/>
        </w:rPr>
        <w:t>See Appendix B on page 104 for details on how we calculate earnings and FCF for the purposes of determining business unit financial performance factors.</w:t>
      </w:r>
    </w:p>
    <w:p>
      <w:pPr>
        <w:spacing w:after="0" w:line="218" w:lineRule="exact"/>
        <w:rPr>
          <w:sz w:val="20"/>
          <w:szCs w:val="20"/>
          <w:color w:val="auto"/>
        </w:rPr>
      </w:pPr>
    </w:p>
    <w:p>
      <w:pPr>
        <w:ind w:left="360" w:hanging="353"/>
        <w:spacing w:after="0"/>
        <w:tabs>
          <w:tab w:leader="none" w:pos="360" w:val="left"/>
        </w:tabs>
        <w:numPr>
          <w:ilvl w:val="0"/>
          <w:numId w:val="15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15454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WE PERFORMED ON THE CORPORATE RESPONSIBILITY SCORECARD</w:t>
      </w:r>
    </w:p>
    <w:p>
      <w:pPr>
        <w:spacing w:after="0" w:line="215"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Throughout the course of the year, the Committee conducted a comprehensive analysis of the Company’s and each business unit’s efforts in driving progress on our CRS objectives. To help the Committee in its assessment, this analysis incorporated both quantitative and qualitative data, including diversity representation progress in 16 different categories, and measured progress toward the Company’s 5-year environmental and safety ambitions.</w:t>
      </w:r>
    </w:p>
    <w:p>
      <w:pPr>
        <w:sectPr>
          <w:pgSz w:w="11900" w:h="16838" w:orient="portrait"/>
          <w:cols w:equalWidth="0" w:num="1">
            <w:col w:w="11240"/>
          </w:cols>
          <w:pgMar w:left="320" w:top="118" w:right="339" w:bottom="1440" w:gutter="0" w:footer="0" w:header="0"/>
        </w:sectPr>
      </w:pPr>
    </w:p>
    <w:p>
      <w:pPr>
        <w:spacing w:after="0" w:line="30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Following the end of the performance year, the Committee reviewed the final CRS analysis, and based on its assessment of progress made during the year, assigned a performance factor for the People &amp; Culture and Sustainability &amp; Safety scorecard categories for the Corporation as shown to the right:</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61676D"/>
              </w:rPr>
              <w:t>CRS Performance</w:t>
            </w:r>
          </w:p>
        </w:tc>
      </w:tr>
      <w:tr>
        <w:trPr>
          <w:trHeight w:val="203"/>
        </w:trPr>
        <w:tc>
          <w:tcPr>
            <w:tcW w:w="2560" w:type="dxa"/>
            <w:vAlign w:val="bottom"/>
            <w:tcBorders>
              <w:bottom w:val="single" w:sz="8" w:color="CE0F2D"/>
            </w:tcBorders>
          </w:tcPr>
          <w:p>
            <w:pPr>
              <w:spacing w:after="0"/>
              <w:rPr>
                <w:sz w:val="20"/>
                <w:szCs w:val="20"/>
                <w:color w:val="auto"/>
              </w:rPr>
            </w:pPr>
            <w:r>
              <w:rPr>
                <w:rFonts w:ascii="Arial" w:cs="Arial" w:eastAsia="Arial" w:hAnsi="Arial"/>
                <w:sz w:val="14"/>
                <w:szCs w:val="14"/>
                <w:color w:val="61676D"/>
              </w:rPr>
              <w:t>CRS Category</w:t>
            </w:r>
          </w:p>
        </w:tc>
        <w:tc>
          <w:tcPr>
            <w:tcW w:w="1540" w:type="dxa"/>
            <w:vAlign w:val="bottom"/>
            <w:tcBorders>
              <w:bottom w:val="single" w:sz="8" w:color="CE0F2D"/>
            </w:tcBorders>
          </w:tcPr>
          <w:p>
            <w:pPr>
              <w:jc w:val="right"/>
              <w:ind w:right="63"/>
              <w:spacing w:after="0"/>
              <w:rPr>
                <w:sz w:val="20"/>
                <w:szCs w:val="20"/>
                <w:color w:val="auto"/>
              </w:rPr>
            </w:pPr>
            <w:r>
              <w:rPr>
                <w:rFonts w:ascii="Arial" w:cs="Arial" w:eastAsia="Arial" w:hAnsi="Arial"/>
                <w:sz w:val="14"/>
                <w:szCs w:val="14"/>
                <w:color w:val="61676D"/>
              </w:rPr>
              <w:t>Weight</w:t>
            </w:r>
          </w:p>
        </w:tc>
        <w:tc>
          <w:tcPr>
            <w:tcW w:w="130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Factors</w:t>
            </w:r>
          </w:p>
        </w:tc>
      </w:tr>
      <w:tr>
        <w:trPr>
          <w:trHeight w:val="288"/>
        </w:trPr>
        <w:tc>
          <w:tcPr>
            <w:tcW w:w="2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People &amp; Culture</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10%</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301"/>
        </w:trPr>
        <w:tc>
          <w:tcPr>
            <w:tcW w:w="2560" w:type="dxa"/>
            <w:vAlign w:val="bottom"/>
            <w:tcBorders>
              <w:bottom w:val="single" w:sz="8" w:color="636466"/>
            </w:tcBorders>
          </w:tcPr>
          <w:p>
            <w:pPr>
              <w:spacing w:after="0"/>
              <w:rPr>
                <w:sz w:val="20"/>
                <w:szCs w:val="20"/>
                <w:color w:val="auto"/>
              </w:rPr>
            </w:pPr>
            <w:r>
              <w:rPr>
                <w:rFonts w:ascii="Arial" w:cs="Arial" w:eastAsia="Arial" w:hAnsi="Arial"/>
                <w:sz w:val="16"/>
                <w:szCs w:val="16"/>
                <w:color w:val="auto"/>
              </w:rPr>
              <w:t>Sustainability &amp; Safety</w:t>
            </w:r>
          </w:p>
        </w:tc>
        <w:tc>
          <w:tcPr>
            <w:tcW w:w="1540" w:type="dxa"/>
            <w:vAlign w:val="bottom"/>
            <w:tcBorders>
              <w:bottom w:val="single" w:sz="8" w:color="636466"/>
            </w:tcBorders>
          </w:tcPr>
          <w:p>
            <w:pPr>
              <w:jc w:val="right"/>
              <w:ind w:right="63"/>
              <w:spacing w:after="0"/>
              <w:rPr>
                <w:sz w:val="20"/>
                <w:szCs w:val="20"/>
                <w:color w:val="auto"/>
              </w:rPr>
            </w:pPr>
            <w:r>
              <w:rPr>
                <w:rFonts w:ascii="Arial" w:cs="Arial" w:eastAsia="Arial" w:hAnsi="Arial"/>
                <w:sz w:val="16"/>
                <w:szCs w:val="16"/>
                <w:color w:val="auto"/>
              </w:rPr>
              <w:t>10%</w:t>
            </w:r>
          </w:p>
        </w:tc>
        <w:tc>
          <w:tcPr>
            <w:tcW w:w="1300" w:type="dxa"/>
            <w:vAlign w:val="bottom"/>
            <w:tcBorders>
              <w:bottom w:val="single" w:sz="8" w:color="636466"/>
            </w:tcBorders>
          </w:tcPr>
          <w:p>
            <w:pPr>
              <w:jc w:val="right"/>
              <w:spacing w:after="0"/>
              <w:rPr>
                <w:sz w:val="20"/>
                <w:szCs w:val="20"/>
                <w:color w:val="auto"/>
              </w:rPr>
            </w:pPr>
            <w:r>
              <w:rPr>
                <w:rFonts w:ascii="Arial" w:cs="Arial" w:eastAsia="Arial" w:hAnsi="Arial"/>
                <w:sz w:val="16"/>
                <w:szCs w:val="16"/>
                <w:color w:val="auto"/>
              </w:rPr>
              <w:t>110%</w:t>
            </w:r>
          </w:p>
        </w:tc>
      </w:tr>
    </w:tbl>
    <w:p>
      <w:pPr>
        <w:spacing w:after="0" w:line="264" w:lineRule="exact"/>
        <w:rPr>
          <w:sz w:val="20"/>
          <w:szCs w:val="20"/>
          <w:color w:val="auto"/>
        </w:rPr>
      </w:pPr>
    </w:p>
    <w:p>
      <w:pPr>
        <w:sectPr>
          <w:pgSz w:w="11900" w:h="16838" w:orient="portrait"/>
          <w:cols w:equalWidth="0" w:num="2">
            <w:col w:w="5260" w:space="580"/>
            <w:col w:w="5400"/>
          </w:cols>
          <w:pgMar w:left="320" w:top="118" w:right="339" w:bottom="1440" w:gutter="0" w:footer="0" w:header="0"/>
          <w:type w:val="continuous"/>
        </w:sectPr>
      </w:pPr>
    </w:p>
    <w:p>
      <w:pPr>
        <w:spacing w:after="0" w:line="112"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Committee also approved CRS performance factors for each of the business units that ranged from 100% to 110% for the People &amp; Culture category and 105% and 115% for the Sustainability &amp; Safety category. With the Company-wide CRS performance factors weighted at 50%, the CRS performance factors for our business units ranged from 100% to 105% for People &amp; Culture and from 108% to 113% for Sustainability &amp; Safety.</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PERFORMANCE AFFECTED PAYOUTS</w:t>
      </w:r>
    </w:p>
    <w:p>
      <w:pPr>
        <w:spacing w:after="0" w:line="215"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Below are the weighted results for Corporate executives when combining both the financial performance factors and the CRS performance factors, as well as the overall RTX performance factor approved by the Committee.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740" w:type="dxa"/>
            <w:vAlign w:val="bottom"/>
          </w:tcPr>
          <w:p>
            <w:pPr>
              <w:jc w:val="right"/>
              <w:ind w:right="62"/>
              <w:spacing w:after="0"/>
              <w:rPr>
                <w:sz w:val="20"/>
                <w:szCs w:val="20"/>
                <w:color w:val="auto"/>
              </w:rPr>
            </w:pPr>
            <w:r>
              <w:rPr>
                <w:rFonts w:ascii="Arial" w:cs="Arial" w:eastAsia="Arial" w:hAnsi="Arial"/>
                <w:sz w:val="14"/>
                <w:szCs w:val="14"/>
                <w:color w:val="61676D"/>
              </w:rPr>
              <w:t>Unweighted</w:t>
            </w:r>
          </w:p>
        </w:tc>
        <w:tc>
          <w:tcPr>
            <w:tcW w:w="1400" w:type="dxa"/>
            <w:vAlign w:val="bottom"/>
          </w:tcPr>
          <w:p>
            <w:pPr>
              <w:jc w:val="right"/>
              <w:spacing w:after="0"/>
              <w:rPr>
                <w:sz w:val="20"/>
                <w:szCs w:val="20"/>
                <w:color w:val="auto"/>
              </w:rPr>
            </w:pPr>
            <w:r>
              <w:rPr>
                <w:rFonts w:ascii="Arial" w:cs="Arial" w:eastAsia="Arial" w:hAnsi="Arial"/>
                <w:sz w:val="14"/>
                <w:szCs w:val="14"/>
                <w:color w:val="61676D"/>
              </w:rPr>
              <w:t>Weighted</w:t>
            </w:r>
          </w:p>
        </w:tc>
      </w:tr>
      <w:tr>
        <w:trPr>
          <w:trHeight w:val="203"/>
        </w:trPr>
        <w:tc>
          <w:tcPr>
            <w:tcW w:w="4060" w:type="dxa"/>
            <w:vAlign w:val="bottom"/>
            <w:tcBorders>
              <w:bottom w:val="single" w:sz="8" w:color="CE0F2D"/>
            </w:tcBorders>
          </w:tcPr>
          <w:p>
            <w:pPr>
              <w:spacing w:after="0"/>
              <w:rPr>
                <w:sz w:val="20"/>
                <w:szCs w:val="20"/>
                <w:color w:val="auto"/>
              </w:rPr>
            </w:pPr>
            <w:r>
              <w:rPr>
                <w:rFonts w:ascii="Arial" w:cs="Arial" w:eastAsia="Arial" w:hAnsi="Arial"/>
                <w:sz w:val="14"/>
                <w:szCs w:val="14"/>
                <w:color w:val="61676D"/>
              </w:rPr>
              <w:t>RTX Metrics</w:t>
            </w:r>
          </w:p>
        </w:tc>
        <w:tc>
          <w:tcPr>
            <w:tcW w:w="3040" w:type="dxa"/>
            <w:vAlign w:val="bottom"/>
            <w:tcBorders>
              <w:bottom w:val="single" w:sz="8" w:color="CE0F2D"/>
            </w:tcBorders>
          </w:tcPr>
          <w:p>
            <w:pPr>
              <w:jc w:val="right"/>
              <w:ind w:right="61"/>
              <w:spacing w:after="0"/>
              <w:rPr>
                <w:sz w:val="20"/>
                <w:szCs w:val="20"/>
                <w:color w:val="auto"/>
              </w:rPr>
            </w:pPr>
            <w:r>
              <w:rPr>
                <w:rFonts w:ascii="Arial" w:cs="Arial" w:eastAsia="Arial" w:hAnsi="Arial"/>
                <w:sz w:val="14"/>
                <w:szCs w:val="14"/>
                <w:color w:val="61676D"/>
              </w:rPr>
              <w:t>Weight</w:t>
            </w:r>
          </w:p>
        </w:tc>
        <w:tc>
          <w:tcPr>
            <w:tcW w:w="2740" w:type="dxa"/>
            <w:vAlign w:val="bottom"/>
            <w:tcBorders>
              <w:bottom w:val="single" w:sz="8" w:color="CE0F2D"/>
            </w:tcBorders>
          </w:tcPr>
          <w:p>
            <w:pPr>
              <w:jc w:val="right"/>
              <w:ind w:right="62"/>
              <w:spacing w:after="0"/>
              <w:rPr>
                <w:sz w:val="20"/>
                <w:szCs w:val="20"/>
                <w:color w:val="auto"/>
              </w:rPr>
            </w:pPr>
            <w:r>
              <w:rPr>
                <w:rFonts w:ascii="Arial" w:cs="Arial" w:eastAsia="Arial" w:hAnsi="Arial"/>
                <w:sz w:val="14"/>
                <w:szCs w:val="14"/>
                <w:color w:val="61676D"/>
              </w:rPr>
              <w:t>Performance Factor</w:t>
            </w:r>
          </w:p>
        </w:tc>
        <w:tc>
          <w:tcPr>
            <w:tcW w:w="1400" w:type="dxa"/>
            <w:vAlign w:val="bottom"/>
            <w:tcBorders>
              <w:bottom w:val="single" w:sz="8" w:color="CE0F2D"/>
            </w:tcBorders>
          </w:tcPr>
          <w:p>
            <w:pPr>
              <w:jc w:val="right"/>
              <w:spacing w:after="0"/>
              <w:rPr>
                <w:sz w:val="20"/>
                <w:szCs w:val="20"/>
                <w:color w:val="auto"/>
              </w:rPr>
            </w:pPr>
            <w:r>
              <w:rPr>
                <w:rFonts w:ascii="Arial" w:cs="Arial" w:eastAsia="Arial" w:hAnsi="Arial"/>
                <w:sz w:val="14"/>
                <w:szCs w:val="14"/>
                <w:color w:val="61676D"/>
              </w:rPr>
              <w:t>Performance Factor</w:t>
            </w:r>
          </w:p>
        </w:tc>
      </w:tr>
      <w:tr>
        <w:trPr>
          <w:trHeight w:val="288"/>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Earnings (net income)</w:t>
            </w:r>
          </w:p>
        </w:tc>
        <w:tc>
          <w:tcPr>
            <w:tcW w:w="3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w:t>
            </w:r>
          </w:p>
        </w:tc>
        <w:tc>
          <w:tcPr>
            <w:tcW w:w="2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200%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r>
      <w:tr>
        <w:trPr>
          <w:trHeight w:val="288"/>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Free Cash Flow</w:t>
            </w:r>
          </w:p>
        </w:tc>
        <w:tc>
          <w:tcPr>
            <w:tcW w:w="3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40%</w:t>
            </w:r>
          </w:p>
        </w:tc>
        <w:tc>
          <w:tcPr>
            <w:tcW w:w="2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138%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88"/>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People &amp; Culture</w:t>
            </w:r>
          </w:p>
        </w:tc>
        <w:tc>
          <w:tcPr>
            <w:tcW w:w="3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w:t>
            </w:r>
          </w:p>
        </w:tc>
        <w:tc>
          <w:tcPr>
            <w:tcW w:w="2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100%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88"/>
        </w:trPr>
        <w:tc>
          <w:tcPr>
            <w:tcW w:w="40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Sustainability &amp; Safety</w:t>
            </w:r>
          </w:p>
        </w:tc>
        <w:tc>
          <w:tcPr>
            <w:tcW w:w="30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10%</w:t>
            </w:r>
          </w:p>
        </w:tc>
        <w:tc>
          <w:tcPr>
            <w:tcW w:w="274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110%</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301"/>
        </w:trPr>
        <w:tc>
          <w:tcPr>
            <w:tcW w:w="4060" w:type="dxa"/>
            <w:vAlign w:val="bottom"/>
            <w:tcBorders>
              <w:bottom w:val="single" w:sz="8" w:color="636466"/>
            </w:tcBorders>
            <w:shd w:val="clear" w:color="auto" w:fill="ECEDEF"/>
          </w:tcPr>
          <w:p>
            <w:pPr>
              <w:spacing w:after="0"/>
              <w:rPr>
                <w:sz w:val="24"/>
                <w:szCs w:val="24"/>
                <w:color w:val="auto"/>
              </w:rPr>
            </w:pPr>
          </w:p>
        </w:tc>
        <w:tc>
          <w:tcPr>
            <w:tcW w:w="3040" w:type="dxa"/>
            <w:vAlign w:val="bottom"/>
            <w:tcBorders>
              <w:bottom w:val="single" w:sz="8" w:color="636466"/>
            </w:tcBorders>
            <w:shd w:val="clear" w:color="auto" w:fill="ECEDEF"/>
          </w:tcPr>
          <w:p>
            <w:pPr>
              <w:spacing w:after="0"/>
              <w:rPr>
                <w:sz w:val="24"/>
                <w:szCs w:val="24"/>
                <w:color w:val="auto"/>
              </w:rPr>
            </w:pPr>
          </w:p>
        </w:tc>
        <w:tc>
          <w:tcPr>
            <w:tcW w:w="2740" w:type="dxa"/>
            <w:vAlign w:val="bottom"/>
            <w:tcBorders>
              <w:bottom w:val="single" w:sz="8" w:color="636466"/>
            </w:tcBorders>
            <w:shd w:val="clear" w:color="auto" w:fill="ECEDEF"/>
          </w:tcPr>
          <w:p>
            <w:pPr>
              <w:jc w:val="right"/>
              <w:ind w:right="62"/>
              <w:spacing w:after="0"/>
              <w:rPr>
                <w:sz w:val="20"/>
                <w:szCs w:val="20"/>
                <w:color w:val="auto"/>
              </w:rPr>
            </w:pPr>
            <w:r>
              <w:rPr>
                <w:rFonts w:ascii="Arial" w:cs="Arial" w:eastAsia="Arial" w:hAnsi="Arial"/>
                <w:sz w:val="16"/>
                <w:szCs w:val="16"/>
                <w:b w:val="1"/>
                <w:bCs w:val="1"/>
                <w:color w:val="auto"/>
              </w:rPr>
              <w:t>Overall RTX Performance Factor</w:t>
            </w:r>
          </w:p>
        </w:tc>
        <w:tc>
          <w:tcPr>
            <w:tcW w:w="14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6"/>
                <w:szCs w:val="16"/>
                <w:b w:val="1"/>
                <w:bCs w:val="1"/>
                <w:color w:val="auto"/>
              </w:rPr>
              <w:t>156%</w:t>
            </w:r>
          </w:p>
        </w:tc>
      </w:tr>
    </w:tbl>
    <w:p>
      <w:pPr>
        <w:spacing w:after="0" w:line="16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Weighted performance factors for our business units ranged from 106% to 158% of target. The Committee did not apply any discretionary adjustments to the 2021 performance factors for RTX or our business units.</w:t>
      </w:r>
    </w:p>
    <w:p>
      <w:pPr>
        <w:spacing w:after="0" w:line="11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Long-Term Incentive (“LTI”) Awards</w:t>
      </w:r>
    </w:p>
    <w:p>
      <w:pPr>
        <w:spacing w:after="0" w:line="21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annually reviews the design of our LTI awards to ensure consistency with our program’s fundamental objective of aligning the interests of executives and shareowners, while attracting and retaining talented senior leaders. Our annual LTI awards are subject to three-year, service-based (and in the case of PSUs, performance-based) vesting requirements, with exceptions for death, disability, retirement, change-in-control and certain qualifying involuntary 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5704840" cy="158115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704840" cy="1581150"/>
                    </a:xfrm>
                    <a:prstGeom prst="rect">
                      <a:avLst/>
                    </a:prstGeom>
                    <a:noFill/>
                  </pic:spPr>
                </pic:pic>
              </a:graphicData>
            </a:graphic>
          </wp:anchor>
        </w:drawing>
      </w:r>
    </w:p>
    <w:p>
      <w:pPr>
        <w:spacing w:after="0" w:line="18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CE0F2D"/>
        </w:rPr>
        <w:t>COMPOSITION OF 2021 AWARDS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CE0F2D"/>
        </w:rPr>
        <w:t>LTI Awards granted in</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CE0F2D"/>
        </w:rPr>
        <w:t>early 2022 comprised</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CE0F2D"/>
        </w:rPr>
        <w:t>only of PSUs and SARs.</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CE0F2D"/>
        </w:rPr>
        <w:t>See page 53 for additional</w:t>
      </w:r>
    </w:p>
    <w:p>
      <w:pPr>
        <w:spacing w:after="0" w:line="3" w:lineRule="exact"/>
        <w:rPr>
          <w:sz w:val="20"/>
          <w:szCs w:val="20"/>
          <w:color w:val="auto"/>
        </w:rPr>
      </w:pPr>
    </w:p>
    <w:p>
      <w:pPr>
        <w:ind w:left="5280"/>
        <w:spacing w:after="0"/>
        <w:rPr>
          <w:sz w:val="20"/>
          <w:szCs w:val="20"/>
          <w:color w:val="auto"/>
        </w:rPr>
      </w:pPr>
      <w:r>
        <w:rPr>
          <w:rFonts w:ascii="Arial" w:cs="Arial" w:eastAsia="Arial" w:hAnsi="Arial"/>
          <w:sz w:val="16"/>
          <w:szCs w:val="16"/>
          <w:b w:val="1"/>
          <w:bCs w:val="1"/>
          <w:color w:val="CE0F2D"/>
        </w:rPr>
        <w:t>details on this change.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SHARE UNITS (60% OF 2021 LTI MIX)</w:t>
      </w:r>
    </w:p>
    <w:p>
      <w:pPr>
        <w:spacing w:after="0" w:line="21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PSUs vest following the end of the performance period, subject to Company performance relative to four pre-established goals, and if the recipient is still employed by the Company at that time. PSUs are designed to deliver market median compensation at target levels of performance. Below- or above-target performance levels will result in variations from market median payouts. Payouts range from 0%, if all metrics fall below threshold-level performance, to 200% of target, if all metrics meet or exceed the maximum-level performance. Each PSU converts into one share of RTX Common Stock upon vest. Unvested PSUs do not earn dividend equivalents.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CE0F2D"/>
        </w:rPr>
        <w:t xml:space="preserve">Performance Metrics and Goals for the 2021–2023 PSUs. </w:t>
      </w:r>
      <w:r>
        <w:rPr>
          <w:rFonts w:ascii="Arial" w:cs="Arial" w:eastAsia="Arial" w:hAnsi="Arial"/>
          <w:sz w:val="16"/>
          <w:szCs w:val="16"/>
          <w:color w:val="000000"/>
        </w:rPr>
        <w:t>The economic environment caused by the COVID-19 pandemic made setting long-term financial</w:t>
      </w:r>
      <w:r>
        <w:rPr>
          <w:rFonts w:ascii="Arial" w:cs="Arial" w:eastAsia="Arial" w:hAnsi="Arial"/>
          <w:sz w:val="16"/>
          <w:szCs w:val="16"/>
          <w:b w:val="1"/>
          <w:bCs w:val="1"/>
          <w:color w:val="CE0F2D"/>
        </w:rPr>
        <w:t xml:space="preserve"> </w:t>
      </w:r>
      <w:r>
        <w:rPr>
          <w:rFonts w:ascii="Arial" w:cs="Arial" w:eastAsia="Arial" w:hAnsi="Arial"/>
          <w:sz w:val="16"/>
          <w:szCs w:val="16"/>
          <w:color w:val="000000"/>
        </w:rPr>
        <w:t>performance goals in early 2021 challenging, especially given its impact on the aerospace industry and the uncertainty around the timing of the expected recovery of commercial aviation. As a result, for our PSUs granted on February 8, 2021, the Committee set one-year Earnings Per Share (“EPS”) and Return on Invested Capital (“ROIC”) goals, followed by a two-year, time-based vesting period. For relative Total Shareowner Return (“TSR”) performance vs. our Core A&amp;D Peers and the companies within the S&amp;P 500 Index, we maintained a three-year performance period. To balance the change to our EPS and ROIC goals, the Committee increased the total portion of our PSUs vesting subject to three-year TSR performance from 30% to 50%.</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The Committee believes this change was appropriate to avoid potential compensation windfalls or deficits attributable to the uncertain operating environment.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As described on page 53, for 2022, the Committee reverted back to three-year EPS and ROIC performance goals, and to our historical metric weightings.</w:t>
      </w:r>
    </w:p>
    <w:p>
      <w:pPr>
        <w:spacing w:after="0" w:line="136"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PERFORMANCE GOALS AND WEIGHTINGS FOR 2021–2023 PSUs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900" w:type="dxa"/>
            <w:vAlign w:val="bottom"/>
            <w:vMerge w:val="restart"/>
          </w:tcPr>
          <w:p>
            <w:pPr>
              <w:spacing w:after="0"/>
              <w:rPr>
                <w:sz w:val="20"/>
                <w:szCs w:val="20"/>
                <w:color w:val="auto"/>
              </w:rPr>
            </w:pPr>
            <w:r>
              <w:rPr>
                <w:rFonts w:ascii="Arial" w:cs="Arial" w:eastAsia="Arial" w:hAnsi="Arial"/>
                <w:sz w:val="16"/>
                <w:szCs w:val="16"/>
                <w:b w:val="1"/>
                <w:bCs w:val="1"/>
                <w:color w:val="CE0F2D"/>
              </w:rPr>
              <w:t>Metric</w:t>
            </w:r>
            <w:r>
              <w:rPr>
                <w:rFonts w:ascii="Arial" w:cs="Arial" w:eastAsia="Arial" w:hAnsi="Arial"/>
                <w:sz w:val="26"/>
                <w:szCs w:val="26"/>
                <w:b w:val="1"/>
                <w:bCs w:val="1"/>
                <w:color w:val="CE0F2D"/>
                <w:vertAlign w:val="superscript"/>
              </w:rPr>
              <w:t>(1)</w:t>
            </w:r>
          </w:p>
        </w:tc>
        <w:tc>
          <w:tcPr>
            <w:tcW w:w="2740" w:type="dxa"/>
            <w:vAlign w:val="bottom"/>
          </w:tcPr>
          <w:p>
            <w:pPr>
              <w:ind w:left="1720"/>
              <w:spacing w:after="0"/>
              <w:rPr>
                <w:sz w:val="20"/>
                <w:szCs w:val="20"/>
                <w:color w:val="auto"/>
              </w:rPr>
            </w:pPr>
            <w:r>
              <w:rPr>
                <w:rFonts w:ascii="Arial" w:cs="Arial" w:eastAsia="Arial" w:hAnsi="Arial"/>
                <w:sz w:val="16"/>
                <w:szCs w:val="16"/>
                <w:b w:val="1"/>
                <w:bCs w:val="1"/>
                <w:color w:val="CE0F2D"/>
              </w:rPr>
              <w:t>Threshold</w:t>
            </w:r>
          </w:p>
        </w:tc>
        <w:tc>
          <w:tcPr>
            <w:tcW w:w="1340" w:type="dxa"/>
            <w:vAlign w:val="bottom"/>
          </w:tcPr>
          <w:p>
            <w:pPr>
              <w:jc w:val="center"/>
              <w:spacing w:after="0"/>
              <w:rPr>
                <w:sz w:val="20"/>
                <w:szCs w:val="20"/>
                <w:color w:val="auto"/>
              </w:rPr>
            </w:pPr>
            <w:r>
              <w:rPr>
                <w:rFonts w:ascii="Arial" w:cs="Arial" w:eastAsia="Arial" w:hAnsi="Arial"/>
                <w:sz w:val="16"/>
                <w:szCs w:val="16"/>
                <w:b w:val="1"/>
                <w:bCs w:val="1"/>
                <w:color w:val="CE0F2D"/>
                <w:w w:val="98"/>
              </w:rPr>
              <w:t>Target</w:t>
            </w:r>
          </w:p>
        </w:tc>
        <w:tc>
          <w:tcPr>
            <w:tcW w:w="1260" w:type="dxa"/>
            <w:vAlign w:val="bottom"/>
          </w:tcPr>
          <w:p>
            <w:pPr>
              <w:jc w:val="center"/>
              <w:spacing w:after="0"/>
              <w:rPr>
                <w:sz w:val="20"/>
                <w:szCs w:val="20"/>
                <w:color w:val="auto"/>
              </w:rPr>
            </w:pPr>
            <w:r>
              <w:rPr>
                <w:rFonts w:ascii="Arial" w:cs="Arial" w:eastAsia="Arial" w:hAnsi="Arial"/>
                <w:sz w:val="16"/>
                <w:szCs w:val="16"/>
                <w:b w:val="1"/>
                <w:bCs w:val="1"/>
                <w:color w:val="CE0F2D"/>
              </w:rPr>
              <w:t>Maximum</w:t>
            </w:r>
          </w:p>
        </w:tc>
        <w:tc>
          <w:tcPr>
            <w:tcW w:w="0" w:type="dxa"/>
            <w:vAlign w:val="bottom"/>
          </w:tcPr>
          <w:p>
            <w:pPr>
              <w:spacing w:after="0"/>
              <w:rPr>
                <w:sz w:val="1"/>
                <w:szCs w:val="1"/>
                <w:color w:val="auto"/>
              </w:rPr>
            </w:pPr>
          </w:p>
        </w:tc>
      </w:tr>
      <w:tr>
        <w:trPr>
          <w:trHeight w:val="253"/>
        </w:trPr>
        <w:tc>
          <w:tcPr>
            <w:tcW w:w="5900" w:type="dxa"/>
            <w:vAlign w:val="bottom"/>
            <w:tcBorders>
              <w:bottom w:val="single" w:sz="8" w:color="CE0F2D"/>
            </w:tcBorders>
            <w:vMerge w:val="continue"/>
          </w:tcPr>
          <w:p>
            <w:pPr>
              <w:spacing w:after="0"/>
              <w:rPr>
                <w:sz w:val="21"/>
                <w:szCs w:val="21"/>
                <w:color w:val="auto"/>
              </w:rPr>
            </w:pPr>
          </w:p>
        </w:tc>
        <w:tc>
          <w:tcPr>
            <w:tcW w:w="2740" w:type="dxa"/>
            <w:vAlign w:val="bottom"/>
            <w:tcBorders>
              <w:bottom w:val="single" w:sz="8" w:color="CE0F2D"/>
            </w:tcBorders>
          </w:tcPr>
          <w:p>
            <w:pPr>
              <w:ind w:left="560"/>
              <w:spacing w:after="0"/>
              <w:rPr>
                <w:sz w:val="20"/>
                <w:szCs w:val="20"/>
                <w:color w:val="auto"/>
              </w:rPr>
            </w:pPr>
            <w:r>
              <w:rPr>
                <w:rFonts w:ascii="Arial" w:cs="Arial" w:eastAsia="Arial" w:hAnsi="Arial"/>
                <w:sz w:val="16"/>
                <w:szCs w:val="16"/>
                <w:b w:val="1"/>
                <w:bCs w:val="1"/>
                <w:color w:val="CE0F2D"/>
              </w:rPr>
              <w:t>Weighting   (25% payout)</w:t>
            </w:r>
          </w:p>
        </w:tc>
        <w:tc>
          <w:tcPr>
            <w:tcW w:w="1340" w:type="dxa"/>
            <w:vAlign w:val="bottom"/>
            <w:tcBorders>
              <w:bottom w:val="single" w:sz="8" w:color="CE0F2D"/>
            </w:tcBorders>
          </w:tcPr>
          <w:p>
            <w:pPr>
              <w:jc w:val="center"/>
              <w:spacing w:after="0"/>
              <w:rPr>
                <w:sz w:val="20"/>
                <w:szCs w:val="20"/>
                <w:color w:val="auto"/>
              </w:rPr>
            </w:pPr>
            <w:r>
              <w:rPr>
                <w:rFonts w:ascii="Arial" w:cs="Arial" w:eastAsia="Arial" w:hAnsi="Arial"/>
                <w:sz w:val="16"/>
                <w:szCs w:val="16"/>
                <w:b w:val="1"/>
                <w:bCs w:val="1"/>
                <w:color w:val="CE0F2D"/>
              </w:rPr>
              <w:t>(100% payout)</w:t>
            </w:r>
          </w:p>
        </w:tc>
        <w:tc>
          <w:tcPr>
            <w:tcW w:w="1260" w:type="dxa"/>
            <w:vAlign w:val="bottom"/>
            <w:tcBorders>
              <w:bottom w:val="single" w:sz="8" w:color="CE0F2D"/>
            </w:tcBorders>
          </w:tcPr>
          <w:p>
            <w:pPr>
              <w:jc w:val="center"/>
              <w:spacing w:after="0"/>
              <w:rPr>
                <w:sz w:val="20"/>
                <w:szCs w:val="20"/>
                <w:color w:val="auto"/>
              </w:rPr>
            </w:pPr>
            <w:r>
              <w:rPr>
                <w:rFonts w:ascii="Arial" w:cs="Arial" w:eastAsia="Arial" w:hAnsi="Arial"/>
                <w:sz w:val="16"/>
                <w:szCs w:val="16"/>
                <w:b w:val="1"/>
                <w:bCs w:val="1"/>
                <w:color w:val="CE0F2D"/>
                <w:w w:val="99"/>
              </w:rPr>
              <w:t>(200% payout)</w:t>
            </w:r>
          </w:p>
        </w:tc>
        <w:tc>
          <w:tcPr>
            <w:tcW w:w="0" w:type="dxa"/>
            <w:vAlign w:val="bottom"/>
          </w:tcPr>
          <w:p>
            <w:pPr>
              <w:spacing w:after="0"/>
              <w:rPr>
                <w:sz w:val="1"/>
                <w:szCs w:val="1"/>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6"/>
                <w:szCs w:val="16"/>
                <w:b w:val="1"/>
                <w:bCs w:val="1"/>
                <w:color w:val="auto"/>
              </w:rPr>
              <w:t>EPS</w:t>
            </w: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00" w:type="dxa"/>
            <w:vAlign w:val="bottom"/>
            <w:vMerge w:val="restart"/>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Goal set to align with the expectations we communicated to our investors</w:t>
            </w:r>
          </w:p>
        </w:tc>
        <w:tc>
          <w:tcPr>
            <w:tcW w:w="2740" w:type="dxa"/>
            <w:vAlign w:val="bottom"/>
          </w:tcPr>
          <w:p>
            <w:pPr>
              <w:jc w:val="right"/>
              <w:ind w:right="360"/>
              <w:spacing w:after="0"/>
              <w:rPr>
                <w:sz w:val="20"/>
                <w:szCs w:val="20"/>
                <w:color w:val="auto"/>
              </w:rPr>
            </w:pPr>
            <w:r>
              <w:rPr>
                <w:rFonts w:ascii="Arial" w:cs="Arial" w:eastAsia="Arial" w:hAnsi="Arial"/>
                <w:sz w:val="16"/>
                <w:szCs w:val="16"/>
                <w:color w:val="auto"/>
              </w:rPr>
              <w:t>$3.00</w:t>
            </w:r>
          </w:p>
        </w:tc>
        <w:tc>
          <w:tcPr>
            <w:tcW w:w="1340" w:type="dxa"/>
            <w:vAlign w:val="bottom"/>
          </w:tcPr>
          <w:p>
            <w:pPr>
              <w:jc w:val="right"/>
              <w:ind w:right="380"/>
              <w:spacing w:after="0"/>
              <w:rPr>
                <w:sz w:val="20"/>
                <w:szCs w:val="20"/>
                <w:color w:val="auto"/>
              </w:rPr>
            </w:pPr>
            <w:r>
              <w:rPr>
                <w:rFonts w:ascii="Arial" w:cs="Arial" w:eastAsia="Arial" w:hAnsi="Arial"/>
                <w:sz w:val="16"/>
                <w:szCs w:val="16"/>
                <w:color w:val="auto"/>
              </w:rPr>
              <w:t>$3.55</w:t>
            </w:r>
          </w:p>
        </w:tc>
        <w:tc>
          <w:tcPr>
            <w:tcW w:w="1260" w:type="dxa"/>
            <w:vAlign w:val="bottom"/>
          </w:tcPr>
          <w:p>
            <w:pPr>
              <w:jc w:val="right"/>
              <w:ind w:right="320"/>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07"/>
        </w:trPr>
        <w:tc>
          <w:tcPr>
            <w:tcW w:w="590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9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6"/>
                <w:szCs w:val="16"/>
                <w:b w:val="1"/>
                <w:bCs w:val="1"/>
                <w:color w:val="auto"/>
              </w:rPr>
              <w:t>ROIC</w:t>
            </w:r>
          </w:p>
        </w:tc>
        <w:tc>
          <w:tcPr>
            <w:tcW w:w="2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900" w:type="dxa"/>
            <w:vAlign w:val="bottom"/>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Calculated using a quarterly average over the performance period</w:t>
            </w:r>
          </w:p>
        </w:tc>
        <w:tc>
          <w:tcPr>
            <w:tcW w:w="2740" w:type="dxa"/>
            <w:vAlign w:val="bottom"/>
            <w:vMerge w:val="restart"/>
          </w:tcPr>
          <w:p>
            <w:pPr>
              <w:jc w:val="right"/>
              <w:ind w:right="320"/>
              <w:spacing w:after="0"/>
              <w:rPr>
                <w:sz w:val="20"/>
                <w:szCs w:val="20"/>
                <w:color w:val="auto"/>
              </w:rPr>
            </w:pPr>
            <w:r>
              <w:rPr>
                <w:rFonts w:ascii="Arial" w:cs="Arial" w:eastAsia="Arial" w:hAnsi="Arial"/>
                <w:sz w:val="16"/>
                <w:szCs w:val="16"/>
                <w:color w:val="auto"/>
              </w:rPr>
              <w:t>3.20%</w:t>
            </w:r>
          </w:p>
        </w:tc>
        <w:tc>
          <w:tcPr>
            <w:tcW w:w="1340" w:type="dxa"/>
            <w:vAlign w:val="bottom"/>
            <w:vMerge w:val="restart"/>
          </w:tcPr>
          <w:p>
            <w:pPr>
              <w:jc w:val="right"/>
              <w:ind w:right="360"/>
              <w:spacing w:after="0"/>
              <w:rPr>
                <w:sz w:val="20"/>
                <w:szCs w:val="20"/>
                <w:color w:val="auto"/>
              </w:rPr>
            </w:pPr>
            <w:r>
              <w:rPr>
                <w:rFonts w:ascii="Arial" w:cs="Arial" w:eastAsia="Arial" w:hAnsi="Arial"/>
                <w:sz w:val="16"/>
                <w:szCs w:val="16"/>
                <w:color w:val="auto"/>
              </w:rPr>
              <w:t>3.70%</w:t>
            </w:r>
          </w:p>
        </w:tc>
        <w:tc>
          <w:tcPr>
            <w:tcW w:w="1260" w:type="dxa"/>
            <w:vAlign w:val="bottom"/>
            <w:vMerge w:val="restart"/>
          </w:tcPr>
          <w:p>
            <w:pPr>
              <w:jc w:val="right"/>
              <w:ind w:right="300"/>
              <w:spacing w:after="0"/>
              <w:rPr>
                <w:sz w:val="20"/>
                <w:szCs w:val="20"/>
                <w:color w:val="auto"/>
              </w:rPr>
            </w:pPr>
            <w:r>
              <w:rPr>
                <w:rFonts w:ascii="Arial" w:cs="Arial" w:eastAsia="Arial" w:hAnsi="Arial"/>
                <w:sz w:val="16"/>
                <w:szCs w:val="16"/>
                <w:color w:val="auto"/>
              </w:rPr>
              <w:t>4.05%</w:t>
            </w:r>
          </w:p>
        </w:tc>
        <w:tc>
          <w:tcPr>
            <w:tcW w:w="0" w:type="dxa"/>
            <w:vAlign w:val="bottom"/>
          </w:tcPr>
          <w:p>
            <w:pPr>
              <w:spacing w:after="0"/>
              <w:rPr>
                <w:sz w:val="1"/>
                <w:szCs w:val="1"/>
                <w:color w:val="auto"/>
              </w:rPr>
            </w:pPr>
          </w:p>
        </w:tc>
      </w:tr>
      <w:tr>
        <w:trPr>
          <w:trHeight w:val="80"/>
        </w:trPr>
        <w:tc>
          <w:tcPr>
            <w:tcW w:w="5900" w:type="dxa"/>
            <w:vAlign w:val="bottom"/>
          </w:tcPr>
          <w:p>
            <w:pPr>
              <w:spacing w:after="0"/>
              <w:rPr>
                <w:sz w:val="6"/>
                <w:szCs w:val="6"/>
                <w:color w:val="auto"/>
              </w:rPr>
            </w:pPr>
          </w:p>
        </w:tc>
        <w:tc>
          <w:tcPr>
            <w:tcW w:w="274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2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-786765</wp:posOffset>
            </wp:positionV>
            <wp:extent cx="7133590" cy="10115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3590" cy="101155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TSR vs. Core A&amp;D Peers</w:t>
      </w:r>
      <w:r>
        <w:rPr>
          <w:rFonts w:ascii="Arial" w:cs="Arial" w:eastAsia="Arial" w:hAnsi="Arial"/>
          <w:sz w:val="26"/>
          <w:szCs w:val="26"/>
          <w:b w:val="1"/>
          <w:bCs w:val="1"/>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-17780</wp:posOffset>
            </wp:positionV>
            <wp:extent cx="509905" cy="5187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09905" cy="518795"/>
                    </a:xfrm>
                    <a:prstGeom prst="rect">
                      <a:avLst/>
                    </a:prstGeom>
                    <a:noFill/>
                  </pic:spPr>
                </pic:pic>
              </a:graphicData>
            </a:graphic>
          </wp:anchor>
        </w:drawing>
      </w:r>
    </w:p>
    <w:p>
      <w:pPr>
        <w:ind w:left="140" w:hanging="133"/>
        <w:spacing w:after="0"/>
        <w:tabs>
          <w:tab w:leader="none" w:pos="140" w:val="left"/>
        </w:tabs>
        <w:numPr>
          <w:ilvl w:val="0"/>
          <w:numId w:val="151"/>
        </w:numPr>
        <w:rPr>
          <w:rFonts w:ascii="Arial" w:cs="Arial" w:eastAsia="Arial" w:hAnsi="Arial"/>
          <w:sz w:val="16"/>
          <w:szCs w:val="16"/>
          <w:color w:val="CE0F2D"/>
        </w:rPr>
      </w:pPr>
      <w:r>
        <w:rPr>
          <w:rFonts w:ascii="Arial" w:cs="Arial" w:eastAsia="Arial" w:hAnsi="Arial"/>
          <w:sz w:val="16"/>
          <w:szCs w:val="16"/>
          <w:color w:val="auto"/>
        </w:rPr>
        <w:t>RTX’s cumulative three-year TSR percentile rank relative to our nine Core A&amp;D Peers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780" w:type="dxa"/>
            <w:vAlign w:val="bottom"/>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Beginning and ending periods are measured using the November/December trailing</w:t>
            </w:r>
          </w:p>
        </w:tc>
        <w:tc>
          <w:tcPr>
            <w:tcW w:w="3200" w:type="dxa"/>
            <w:vAlign w:val="bottom"/>
            <w:vMerge w:val="restart"/>
          </w:tcPr>
          <w:p>
            <w:pPr>
              <w:ind w:left="700"/>
              <w:spacing w:after="0"/>
              <w:rPr>
                <w:sz w:val="20"/>
                <w:szCs w:val="20"/>
                <w:color w:val="auto"/>
              </w:rPr>
            </w:pPr>
            <w:r>
              <w:rPr>
                <w:rFonts w:ascii="Arial" w:cs="Arial" w:eastAsia="Arial" w:hAnsi="Arial"/>
                <w:sz w:val="16"/>
                <w:szCs w:val="16"/>
                <w:color w:val="auto"/>
              </w:rPr>
              <w:t>25th percentile   50th percentile</w:t>
            </w:r>
          </w:p>
        </w:tc>
        <w:tc>
          <w:tcPr>
            <w:tcW w:w="1180" w:type="dxa"/>
            <w:vAlign w:val="bottom"/>
            <w:vMerge w:val="restart"/>
          </w:tcPr>
          <w:p>
            <w:pPr>
              <w:ind w:left="140"/>
              <w:spacing w:after="0"/>
              <w:rPr>
                <w:sz w:val="20"/>
                <w:szCs w:val="20"/>
                <w:color w:val="auto"/>
              </w:rPr>
            </w:pPr>
            <w:r>
              <w:rPr>
                <w:rFonts w:ascii="Arial" w:cs="Arial" w:eastAsia="Arial" w:hAnsi="Arial"/>
                <w:sz w:val="16"/>
                <w:szCs w:val="16"/>
                <w:color w:val="auto"/>
                <w:w w:val="97"/>
              </w:rPr>
              <w:t>75th percentile</w:t>
            </w:r>
          </w:p>
        </w:tc>
        <w:tc>
          <w:tcPr>
            <w:tcW w:w="0" w:type="dxa"/>
            <w:vAlign w:val="bottom"/>
          </w:tcPr>
          <w:p>
            <w:pPr>
              <w:spacing w:after="0"/>
              <w:rPr>
                <w:sz w:val="1"/>
                <w:szCs w:val="1"/>
                <w:color w:val="auto"/>
              </w:rPr>
            </w:pPr>
          </w:p>
        </w:tc>
      </w:tr>
      <w:tr>
        <w:trPr>
          <w:trHeight w:val="60"/>
        </w:trPr>
        <w:tc>
          <w:tcPr>
            <w:tcW w:w="6780" w:type="dxa"/>
            <w:vAlign w:val="bottom"/>
            <w:vMerge w:val="restart"/>
          </w:tcPr>
          <w:p>
            <w:pPr>
              <w:ind w:left="140"/>
              <w:spacing w:after="0"/>
              <w:rPr>
                <w:sz w:val="20"/>
                <w:szCs w:val="20"/>
                <w:color w:val="auto"/>
              </w:rPr>
            </w:pPr>
            <w:r>
              <w:rPr>
                <w:rFonts w:ascii="Arial" w:cs="Arial" w:eastAsia="Arial" w:hAnsi="Arial"/>
                <w:sz w:val="16"/>
                <w:szCs w:val="16"/>
                <w:color w:val="auto"/>
              </w:rPr>
              <w:t>average</w:t>
            </w:r>
          </w:p>
        </w:tc>
        <w:tc>
          <w:tcPr>
            <w:tcW w:w="32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6780" w:type="dxa"/>
            <w:vAlign w:val="bottom"/>
            <w:vMerge w:val="continue"/>
          </w:tcPr>
          <w:p>
            <w:pPr>
              <w:spacing w:after="0"/>
              <w:rPr>
                <w:sz w:val="11"/>
                <w:szCs w:val="11"/>
                <w:color w:val="auto"/>
              </w:rPr>
            </w:pPr>
          </w:p>
        </w:tc>
        <w:tc>
          <w:tcPr>
            <w:tcW w:w="3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Payout for this portion of the award is capped at 100% of target if RTX’s TSR is</w:t>
            </w:r>
          </w:p>
        </w:tc>
        <w:tc>
          <w:tcPr>
            <w:tcW w:w="3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6780" w:type="dxa"/>
            <w:vAlign w:val="bottom"/>
          </w:tcPr>
          <w:p>
            <w:pPr>
              <w:ind w:left="140"/>
              <w:spacing w:after="0"/>
              <w:rPr>
                <w:sz w:val="20"/>
                <w:szCs w:val="20"/>
                <w:color w:val="auto"/>
              </w:rPr>
            </w:pPr>
            <w:r>
              <w:rPr>
                <w:rFonts w:ascii="Arial" w:cs="Arial" w:eastAsia="Arial" w:hAnsi="Arial"/>
                <w:sz w:val="16"/>
                <w:szCs w:val="16"/>
                <w:color w:val="auto"/>
              </w:rPr>
              <w:t>negative</w:t>
            </w:r>
          </w:p>
        </w:tc>
        <w:tc>
          <w:tcPr>
            <w:tcW w:w="3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wp:posOffset>
            </wp:positionV>
            <wp:extent cx="71335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TSR vs. S&amp;P 500 Index Companies</w:t>
      </w:r>
    </w:p>
    <w:p>
      <w:pPr>
        <w:spacing w:after="0" w:line="64" w:lineRule="exact"/>
        <w:rPr>
          <w:sz w:val="20"/>
          <w:szCs w:val="20"/>
          <w:color w:val="auto"/>
        </w:rPr>
      </w:pPr>
    </w:p>
    <w:p>
      <w:pPr>
        <w:ind w:left="140" w:right="5060" w:hanging="133"/>
        <w:spacing w:after="0" w:line="256" w:lineRule="auto"/>
        <w:tabs>
          <w:tab w:leader="none" w:pos="139" w:val="left"/>
        </w:tabs>
        <w:numPr>
          <w:ilvl w:val="0"/>
          <w:numId w:val="152"/>
        </w:numPr>
        <w:rPr>
          <w:rFonts w:ascii="Arial" w:cs="Arial" w:eastAsia="Arial" w:hAnsi="Arial"/>
          <w:sz w:val="16"/>
          <w:szCs w:val="16"/>
          <w:color w:val="CE0F2D"/>
        </w:rPr>
      </w:pPr>
      <w:r>
        <w:rPr>
          <w:rFonts w:ascii="Arial" w:cs="Arial" w:eastAsia="Arial" w:hAnsi="Arial"/>
          <w:sz w:val="16"/>
          <w:szCs w:val="16"/>
          <w:color w:val="auto"/>
        </w:rPr>
        <w:t>RTX’s cumulative three-year TSR percentile rank relative to the companies within the S&amp;P 500 Index at the beginning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-207010</wp:posOffset>
            </wp:positionV>
            <wp:extent cx="509905" cy="544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09905" cy="5441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4"/>
        </w:trPr>
        <w:tc>
          <w:tcPr>
            <w:tcW w:w="6780" w:type="dxa"/>
            <w:vAlign w:val="bottom"/>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Beginning and ending periods are measured using the November/December trailing</w:t>
            </w:r>
          </w:p>
        </w:tc>
        <w:tc>
          <w:tcPr>
            <w:tcW w:w="3200" w:type="dxa"/>
            <w:vAlign w:val="bottom"/>
          </w:tcPr>
          <w:p>
            <w:pPr>
              <w:ind w:left="700"/>
              <w:spacing w:after="0"/>
              <w:rPr>
                <w:sz w:val="20"/>
                <w:szCs w:val="20"/>
                <w:color w:val="auto"/>
              </w:rPr>
            </w:pPr>
            <w:r>
              <w:rPr>
                <w:rFonts w:ascii="Arial" w:cs="Arial" w:eastAsia="Arial" w:hAnsi="Arial"/>
                <w:sz w:val="16"/>
                <w:szCs w:val="16"/>
                <w:color w:val="auto"/>
              </w:rPr>
              <w:t>25th percentile   50th percentile</w:t>
            </w:r>
          </w:p>
        </w:tc>
        <w:tc>
          <w:tcPr>
            <w:tcW w:w="1260" w:type="dxa"/>
            <w:vAlign w:val="bottom"/>
          </w:tcPr>
          <w:p>
            <w:pPr>
              <w:ind w:left="140"/>
              <w:spacing w:after="0"/>
              <w:rPr>
                <w:sz w:val="20"/>
                <w:szCs w:val="20"/>
                <w:color w:val="auto"/>
              </w:rPr>
            </w:pPr>
            <w:r>
              <w:rPr>
                <w:rFonts w:ascii="Arial" w:cs="Arial" w:eastAsia="Arial" w:hAnsi="Arial"/>
                <w:sz w:val="16"/>
                <w:szCs w:val="16"/>
                <w:color w:val="auto"/>
              </w:rPr>
              <w:t>75th percentile</w:t>
            </w:r>
          </w:p>
        </w:tc>
      </w:tr>
      <w:tr>
        <w:trPr>
          <w:trHeight w:val="193"/>
        </w:trPr>
        <w:tc>
          <w:tcPr>
            <w:tcW w:w="6780" w:type="dxa"/>
            <w:vAlign w:val="bottom"/>
          </w:tcPr>
          <w:p>
            <w:pPr>
              <w:ind w:left="140"/>
              <w:spacing w:after="0"/>
              <w:rPr>
                <w:sz w:val="20"/>
                <w:szCs w:val="20"/>
                <w:color w:val="auto"/>
              </w:rPr>
            </w:pPr>
            <w:r>
              <w:rPr>
                <w:rFonts w:ascii="Arial" w:cs="Arial" w:eastAsia="Arial" w:hAnsi="Arial"/>
                <w:sz w:val="16"/>
                <w:szCs w:val="16"/>
                <w:color w:val="auto"/>
              </w:rPr>
              <w:t>average</w:t>
            </w:r>
          </w:p>
        </w:tc>
        <w:tc>
          <w:tcPr>
            <w:tcW w:w="320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35"/>
        </w:trPr>
        <w:tc>
          <w:tcPr>
            <w:tcW w:w="6780" w:type="dxa"/>
            <w:vAlign w:val="bottom"/>
          </w:tcPr>
          <w:p>
            <w:pPr>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Payout for this portion of the award is capped at 100% of target if RTX’s TSR is</w:t>
            </w:r>
          </w:p>
        </w:tc>
        <w:tc>
          <w:tcPr>
            <w:tcW w:w="3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9"/>
        </w:trPr>
        <w:tc>
          <w:tcPr>
            <w:tcW w:w="6780" w:type="dxa"/>
            <w:vAlign w:val="bottom"/>
            <w:tcBorders>
              <w:bottom w:val="single" w:sz="8" w:color="636466"/>
            </w:tcBorders>
          </w:tcPr>
          <w:p>
            <w:pPr>
              <w:ind w:left="140"/>
              <w:spacing w:after="0"/>
              <w:rPr>
                <w:sz w:val="20"/>
                <w:szCs w:val="20"/>
                <w:color w:val="auto"/>
              </w:rPr>
            </w:pPr>
            <w:r>
              <w:rPr>
                <w:rFonts w:ascii="Arial" w:cs="Arial" w:eastAsia="Arial" w:hAnsi="Arial"/>
                <w:sz w:val="16"/>
                <w:szCs w:val="16"/>
                <w:color w:val="auto"/>
              </w:rPr>
              <w:t>negative</w:t>
            </w:r>
          </w:p>
        </w:tc>
        <w:tc>
          <w:tcPr>
            <w:tcW w:w="3200" w:type="dxa"/>
            <w:vAlign w:val="bottom"/>
            <w:tcBorders>
              <w:bottom w:val="single" w:sz="8" w:color="636466"/>
            </w:tcBorders>
          </w:tcPr>
          <w:p>
            <w:pPr>
              <w:spacing w:after="0"/>
              <w:rPr>
                <w:sz w:val="19"/>
                <w:szCs w:val="19"/>
                <w:color w:val="auto"/>
              </w:rPr>
            </w:pPr>
          </w:p>
        </w:tc>
        <w:tc>
          <w:tcPr>
            <w:tcW w:w="1260" w:type="dxa"/>
            <w:vAlign w:val="bottom"/>
            <w:tcBorders>
              <w:bottom w:val="single" w:sz="8" w:color="636466"/>
            </w:tcBorders>
          </w:tcPr>
          <w:p>
            <w:pPr>
              <w:spacing w:after="0"/>
              <w:rPr>
                <w:sz w:val="19"/>
                <w:szCs w:val="19"/>
                <w:color w:val="auto"/>
              </w:rPr>
            </w:pPr>
          </w:p>
        </w:tc>
      </w:tr>
    </w:tbl>
    <w:p>
      <w:pPr>
        <w:spacing w:after="0" w:line="182" w:lineRule="exact"/>
        <w:rPr>
          <w:sz w:val="20"/>
          <w:szCs w:val="20"/>
          <w:color w:val="auto"/>
        </w:rPr>
      </w:pPr>
    </w:p>
    <w:p>
      <w:pPr>
        <w:ind w:left="360" w:hanging="353"/>
        <w:spacing w:after="0"/>
        <w:tabs>
          <w:tab w:leader="none" w:pos="3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Performance goals are based on non-GAAP financial measures. See Appendix B on page 104 for a definition of how these measures are calculated for PSU purposes.</w:t>
      </w:r>
    </w:p>
    <w:p>
      <w:pPr>
        <w:spacing w:after="0" w:line="49" w:lineRule="exact"/>
        <w:rPr>
          <w:rFonts w:ascii="Arial" w:cs="Arial" w:eastAsia="Arial" w:hAnsi="Arial"/>
          <w:sz w:val="12"/>
          <w:szCs w:val="12"/>
          <w:color w:val="auto"/>
        </w:rPr>
      </w:pPr>
    </w:p>
    <w:p>
      <w:pPr>
        <w:ind w:left="360" w:hanging="353"/>
        <w:spacing w:after="0"/>
        <w:tabs>
          <w:tab w:leader="none" w:pos="360" w:val="left"/>
        </w:tabs>
        <w:numPr>
          <w:ilvl w:val="0"/>
          <w:numId w:val="153"/>
        </w:numPr>
        <w:rPr>
          <w:rFonts w:ascii="Arial" w:cs="Arial" w:eastAsia="Arial" w:hAnsi="Arial"/>
          <w:sz w:val="12"/>
          <w:szCs w:val="12"/>
          <w:color w:val="auto"/>
        </w:rPr>
      </w:pPr>
      <w:r>
        <w:rPr>
          <w:rFonts w:ascii="Arial" w:cs="Arial" w:eastAsia="Arial" w:hAnsi="Arial"/>
          <w:sz w:val="12"/>
          <w:szCs w:val="12"/>
          <w:color w:val="auto"/>
        </w:rPr>
        <w:t>Core A&amp;D Peers include: Airbus, Boeing, General Electric, General Dynamics, Honeywell, L3Harris, Lockheed Martin, Northrop Grumman and Safran.</w:t>
      </w:r>
    </w:p>
    <w:p>
      <w:pPr>
        <w:spacing w:after="0" w:line="125" w:lineRule="exact"/>
        <w:rPr>
          <w:sz w:val="20"/>
          <w:szCs w:val="20"/>
          <w:color w:val="auto"/>
        </w:rPr>
      </w:pPr>
    </w:p>
    <w:p>
      <w:pPr>
        <w:ind w:left="260" w:hanging="253"/>
        <w:spacing w:after="0"/>
        <w:tabs>
          <w:tab w:leader="none" w:pos="260" w:val="left"/>
        </w:tabs>
        <w:numPr>
          <w:ilvl w:val="0"/>
          <w:numId w:val="154"/>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5440"/>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PRINCIPAL ELEMENTS OF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Limit on Maximum Vesting Value. </w:t>
      </w:r>
      <w:r>
        <w:rPr>
          <w:rFonts w:ascii="Arial" w:cs="Arial" w:eastAsia="Arial" w:hAnsi="Arial"/>
          <w:sz w:val="16"/>
          <w:szCs w:val="16"/>
          <w:color w:val="000000"/>
        </w:rPr>
        <w:t>If the value of PSUs at vesting (valued by multiplying the number of PSUs vesting by the closing RTX stock price on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vest date) is greater than 400% of the value of the PSUs at grant (valued by multiplying the number of PSUs at target-level performance by the closing RTX</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stock price on the grant date), the vesting factor will be reduced so that the value delivered to our executives will be no greater than 400% of the grant value.</w:t>
      </w:r>
    </w:p>
    <w:p>
      <w:pPr>
        <w:spacing w:after="0" w:line="144"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b w:val="1"/>
          <w:bCs w:val="1"/>
          <w:color w:val="CE0F2D"/>
        </w:rPr>
        <w:t xml:space="preserve">What the Committee Considers when Setting Performance Goals. </w:t>
      </w:r>
      <w:r>
        <w:rPr>
          <w:rFonts w:ascii="Arial" w:cs="Arial" w:eastAsia="Arial" w:hAnsi="Arial"/>
          <w:sz w:val="16"/>
          <w:szCs w:val="16"/>
          <w:color w:val="000000"/>
        </w:rPr>
        <w:t>When setting financial performance goals for our PSU awards, the Committee</w:t>
      </w:r>
      <w:r>
        <w:rPr>
          <w:rFonts w:ascii="Arial" w:cs="Arial" w:eastAsia="Arial" w:hAnsi="Arial"/>
          <w:sz w:val="16"/>
          <w:szCs w:val="16"/>
          <w:b w:val="1"/>
          <w:bCs w:val="1"/>
          <w:color w:val="CE0F2D"/>
        </w:rPr>
        <w:t xml:space="preserve"> </w:t>
      </w:r>
      <w:r>
        <w:rPr>
          <w:rFonts w:ascii="Arial" w:cs="Arial" w:eastAsia="Arial" w:hAnsi="Arial"/>
          <w:sz w:val="16"/>
          <w:szCs w:val="16"/>
          <w:color w:val="000000"/>
        </w:rPr>
        <w:t>considers various long-term business factors, including, but not limited to, planned share buybacks, macroeconomic market trends, pension headwinds/tailwinds and cost reduction plans. Certain items such as unplanned share buybacks, restructuring charges, and non-recurring and non-operational items may be excluded from performance results, as appropriate, to maintain the validity of the targets as originally formulated. See Appendix B on page 104 for a definition of how we calculate these metrics.</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color w:val="CE0F2D"/>
        </w:rPr>
        <w:t xml:space="preserve">No PSU Vesting in 2021. </w:t>
      </w:r>
      <w:r>
        <w:rPr>
          <w:rFonts w:ascii="Arial" w:cs="Arial" w:eastAsia="Arial" w:hAnsi="Arial"/>
          <w:sz w:val="16"/>
          <w:szCs w:val="16"/>
          <w:color w:val="000000"/>
        </w:rPr>
        <w:t>We had no PSUs eligible to vest during 2021. Company-wide performance goals for PSUs granted by our legacy companies prior</w:t>
      </w:r>
      <w:r>
        <w:rPr>
          <w:rFonts w:ascii="Arial" w:cs="Arial" w:eastAsia="Arial" w:hAnsi="Arial"/>
          <w:sz w:val="16"/>
          <w:szCs w:val="16"/>
          <w:b w:val="1"/>
          <w:bCs w:val="1"/>
          <w:color w:val="CE0F2D"/>
        </w:rPr>
        <w:t xml:space="preserve"> </w:t>
      </w:r>
      <w:r>
        <w:rPr>
          <w:rFonts w:ascii="Arial" w:cs="Arial" w:eastAsia="Arial" w:hAnsi="Arial"/>
          <w:sz w:val="16"/>
          <w:szCs w:val="16"/>
          <w:color w:val="000000"/>
        </w:rPr>
        <w:t>to the Merger were no longer measurable following the Merger. As a result, at the time of the Merger, all outstanding PSUs had performance measured as of the date of the Merger and were then converted into RSUs that remain eligible to vest on the original vest date. We will not have a PSU vesting until early 2024 when our 2021 PSUs become eligible to vest subject to performance through 2023.</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 APPRECIATION RIGHTS (20% OF 2021 LTI MIX)</w:t>
      </w:r>
    </w:p>
    <w:p>
      <w:pPr>
        <w:spacing w:after="0" w:line="21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SARs entitle the award recipient to receive, upon exercise, shares of RTX Common Stock with a market value equal to the difference between the market price of RTX Common Stock on the date the SARs are exercised and the exercise price that was set at the grant date (i.e., the closing price of RTX Common Stock on the date of grant). SARs vest and become exercisable three years from the grant date if the recipient is still employed by the Company at that time and expire 10 years from the grant date.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UNITS (20% OF 2021 LTI MIX)</w:t>
      </w:r>
    </w:p>
    <w:p>
      <w:pPr>
        <w:spacing w:after="0" w:line="215" w:lineRule="exact"/>
        <w:rPr>
          <w:sz w:val="20"/>
          <w:szCs w:val="20"/>
          <w:color w:val="auto"/>
        </w:rPr>
      </w:pPr>
    </w:p>
    <w:p>
      <w:pPr>
        <w:ind w:right="440"/>
        <w:spacing w:after="0" w:line="250" w:lineRule="auto"/>
        <w:rPr>
          <w:sz w:val="20"/>
          <w:szCs w:val="20"/>
          <w:color w:val="auto"/>
        </w:rPr>
      </w:pPr>
      <w:r>
        <w:rPr>
          <w:rFonts w:ascii="Arial" w:cs="Arial" w:eastAsia="Arial" w:hAnsi="Arial"/>
          <w:sz w:val="16"/>
          <w:szCs w:val="16"/>
          <w:color w:val="auto"/>
        </w:rPr>
        <w:t>RSUs entitle the award recipient to receive shares of RTX Common Stock upon vest. RSUs vest three years from the grant date if the recipient is still employed by the Company at that time. During the vesting period, RSUs earn dividend equivalents that are reinvested as additional RSUs each time the Company pays a dividend to shareowners. These additional RSUs vest on the same date as the underlying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133590" cy="29927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3590" cy="29927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19" w:lineRule="exact"/>
        <w:rPr>
          <w:sz w:val="20"/>
          <w:szCs w:val="20"/>
          <w:color w:val="auto"/>
        </w:rPr>
      </w:pPr>
    </w:p>
    <w:p>
      <w:pPr>
        <w:ind w:left="140" w:right="220"/>
        <w:spacing w:after="0" w:line="244" w:lineRule="auto"/>
        <w:rPr>
          <w:sz w:val="20"/>
          <w:szCs w:val="20"/>
          <w:color w:val="auto"/>
        </w:rPr>
      </w:pPr>
      <w:r>
        <w:rPr>
          <w:rFonts w:ascii="Arial" w:cs="Arial" w:eastAsia="Arial" w:hAnsi="Arial"/>
          <w:sz w:val="19"/>
          <w:szCs w:val="19"/>
          <w:b w:val="1"/>
          <w:bCs w:val="1"/>
          <w:color w:val="CE0F2D"/>
        </w:rPr>
        <w:t>HOW DID OUR LONG-</w:t>
      </w:r>
    </w:p>
    <w:p>
      <w:pPr>
        <w:ind w:left="140"/>
        <w:spacing w:after="0"/>
        <w:rPr>
          <w:sz w:val="20"/>
          <w:szCs w:val="20"/>
          <w:color w:val="auto"/>
        </w:rPr>
      </w:pPr>
      <w:r>
        <w:rPr>
          <w:rFonts w:ascii="Arial" w:cs="Arial" w:eastAsia="Arial" w:hAnsi="Arial"/>
          <w:sz w:val="19"/>
          <w:szCs w:val="19"/>
          <w:b w:val="1"/>
          <w:bCs w:val="1"/>
          <w:color w:val="CE0F2D"/>
        </w:rPr>
        <w:t>TERM INCENTIVE AWARDS CHANGE FOR 2022?</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Beginning with the 2022 LTI awards, NEOs received LTI awards as a mix of PSUs and SARs, weighted at 60% and 40%, respectively. The 2022 mix increases the total portion of LTI delivered in SARs from 20% to 40% and eliminates the use of RSUs for our most senior leaders.</w:t>
      </w:r>
    </w:p>
    <w:p>
      <w:pPr>
        <w:spacing w:after="0" w:line="1354" w:lineRule="exact"/>
        <w:rPr>
          <w:sz w:val="20"/>
          <w:szCs w:val="20"/>
          <w:color w:val="auto"/>
        </w:rPr>
      </w:pPr>
    </w:p>
    <w:p>
      <w:pPr>
        <w:sectPr>
          <w:pgSz w:w="11900" w:h="16838" w:orient="portrait"/>
          <w:cols w:equalWidth="0" w:num="2">
            <w:col w:w="1200" w:space="280"/>
            <w:col w:w="9760"/>
          </w:cols>
          <w:pgMar w:left="320" w:top="118" w:right="339" w:bottom="1440" w:gutter="0" w:footer="0" w:header="0"/>
          <w:type w:val="continuous"/>
        </w:sectPr>
      </w:pPr>
    </w:p>
    <w:p>
      <w:pPr>
        <w:spacing w:after="0" w:line="200" w:lineRule="exact"/>
        <w:rPr>
          <w:sz w:val="20"/>
          <w:szCs w:val="20"/>
          <w:color w:val="auto"/>
        </w:rPr>
      </w:pPr>
    </w:p>
    <w:p>
      <w:pPr>
        <w:spacing w:after="0" w:line="388" w:lineRule="exact"/>
        <w:rPr>
          <w:sz w:val="20"/>
          <w:szCs w:val="20"/>
          <w:color w:val="auto"/>
        </w:rPr>
      </w:pPr>
    </w:p>
    <w:p>
      <w:pPr>
        <w:ind w:left="1480" w:right="240"/>
        <w:spacing w:after="0" w:line="256" w:lineRule="auto"/>
        <w:rPr>
          <w:sz w:val="20"/>
          <w:szCs w:val="20"/>
          <w:color w:val="auto"/>
        </w:rPr>
      </w:pPr>
      <w:r>
        <w:rPr>
          <w:rFonts w:ascii="Arial" w:cs="Arial" w:eastAsia="Arial" w:hAnsi="Arial"/>
          <w:sz w:val="16"/>
          <w:szCs w:val="16"/>
          <w:color w:val="auto"/>
        </w:rPr>
        <w:t>The Committee believed RSUs were appropriate to support senior executive retention during the years up to and following the Merger, and in light of the uncertainty surrounding the COVID-19 pandemic and its impact on our business and industry.</w:t>
      </w:r>
    </w:p>
    <w:p>
      <w:pPr>
        <w:spacing w:after="0" w:line="143" w:lineRule="exact"/>
        <w:rPr>
          <w:sz w:val="20"/>
          <w:szCs w:val="20"/>
          <w:color w:val="auto"/>
        </w:rPr>
      </w:pPr>
    </w:p>
    <w:p>
      <w:pPr>
        <w:ind w:left="1480" w:right="320"/>
        <w:spacing w:after="0" w:line="248" w:lineRule="auto"/>
        <w:rPr>
          <w:sz w:val="20"/>
          <w:szCs w:val="20"/>
          <w:color w:val="auto"/>
        </w:rPr>
      </w:pPr>
      <w:r>
        <w:rPr>
          <w:rFonts w:ascii="Arial" w:cs="Arial" w:eastAsia="Arial" w:hAnsi="Arial"/>
          <w:sz w:val="16"/>
          <w:szCs w:val="16"/>
          <w:color w:val="auto"/>
        </w:rPr>
        <w:t>However, as the uncertainty of COVID-19 begins to subside and the Merger integration matures, the Committee believes that for our most senior executives, SARs better support our pay-for-performance philosophy compared to RSUs because SARs have no value if our stock price does not increase above the price on the grant date. The Committee also believes that the 10-year term of SARs motivates prudent long-term decision-making that drives sustainable value creation for shareowners.</w:t>
      </w:r>
    </w:p>
    <w:p>
      <w:pPr>
        <w:spacing w:after="0" w:line="150" w:lineRule="exact"/>
        <w:rPr>
          <w:sz w:val="20"/>
          <w:szCs w:val="20"/>
          <w:color w:val="auto"/>
        </w:rPr>
      </w:pPr>
    </w:p>
    <w:p>
      <w:pPr>
        <w:ind w:left="1480" w:right="460"/>
        <w:spacing w:after="0" w:line="256" w:lineRule="auto"/>
        <w:rPr>
          <w:sz w:val="20"/>
          <w:szCs w:val="20"/>
          <w:color w:val="auto"/>
        </w:rPr>
      </w:pPr>
      <w:r>
        <w:rPr>
          <w:rFonts w:ascii="Arial" w:cs="Arial" w:eastAsia="Arial" w:hAnsi="Arial"/>
          <w:sz w:val="16"/>
          <w:szCs w:val="16"/>
          <w:color w:val="auto"/>
        </w:rPr>
        <w:t>For the 2022 PSUs, the Committee also reverted to the historic three-year financial performance goals for all metrics, and EPS and ROIC will each be weighted at 35%, with relative TSR weighted at 30% (15% for each peer comparator group).</w:t>
      </w:r>
    </w:p>
    <w:p>
      <w:pPr>
        <w:spacing w:after="0" w:line="26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CEO PAY DECISIONS</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2021 CEO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7133590" cy="12071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3590" cy="1207135"/>
                    </a:xfrm>
                    <a:prstGeom prst="rect">
                      <a:avLst/>
                    </a:prstGeom>
                    <a:noFill/>
                  </pic:spPr>
                </pic:pic>
              </a:graphicData>
            </a:graphic>
          </wp:anchor>
        </w:drawing>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E0F2D"/>
        </w:rPr>
        <w:t>Gregory J. Hayes</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Chairman &amp; Chief Executive Officer</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AGE 61</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RTX EXPERIENCE 32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543560</wp:posOffset>
            </wp:positionV>
            <wp:extent cx="3018155" cy="18027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018155" cy="180276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The Committee assessed Mr. Hayes’ 2021 performance favorably. Under his leadership, the Company made substantial progress in the Merger integration efforts, and has continued to navigate the unprecedented industry and business challenges of the COVID-19 pandemic, all while achieving strong financial performance for the year and positioning the Company for future long-term sustainable growth.</w:t>
      </w:r>
    </w:p>
    <w:p>
      <w:pPr>
        <w:spacing w:after="0" w:line="154"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The Committee’s compensation decisions discussed below, reflect this favorable assessment.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95"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b w:val="1"/>
          <w:bCs w:val="1"/>
          <w:color w:val="CE0F2D"/>
        </w:rPr>
        <w:t xml:space="preserve">Base Salary. </w:t>
      </w:r>
      <w:r>
        <w:rPr>
          <w:rFonts w:ascii="Arial" w:cs="Arial" w:eastAsia="Arial" w:hAnsi="Arial"/>
          <w:sz w:val="16"/>
          <w:szCs w:val="16"/>
          <w:color w:val="000000"/>
        </w:rPr>
        <w:t>During the Committee’s annual compensation review in</w:t>
      </w:r>
      <w:r>
        <w:rPr>
          <w:rFonts w:ascii="Arial" w:cs="Arial" w:eastAsia="Arial" w:hAnsi="Arial"/>
          <w:sz w:val="16"/>
          <w:szCs w:val="16"/>
          <w:b w:val="1"/>
          <w:bCs w:val="1"/>
          <w:color w:val="CE0F2D"/>
        </w:rPr>
        <w:t xml:space="preserve"> </w:t>
      </w:r>
      <w:r>
        <w:rPr>
          <w:rFonts w:ascii="Arial" w:cs="Arial" w:eastAsia="Arial" w:hAnsi="Arial"/>
          <w:sz w:val="16"/>
          <w:szCs w:val="16"/>
          <w:color w:val="000000"/>
        </w:rPr>
        <w:t>February 2021, it determined Mr. Hayes’ $1.6 million base salary to approximate the peer group market median and as a result did not make any adjustments.</w:t>
      </w:r>
    </w:p>
    <w:p>
      <w:pPr>
        <w:spacing w:after="0" w:line="12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b w:val="1"/>
          <w:bCs w:val="1"/>
          <w:color w:val="CE0F2D"/>
        </w:rPr>
        <w:t xml:space="preserve">Annual Incentive Award. </w:t>
      </w:r>
      <w:r>
        <w:rPr>
          <w:rFonts w:ascii="Arial" w:cs="Arial" w:eastAsia="Arial" w:hAnsi="Arial"/>
          <w:sz w:val="16"/>
          <w:szCs w:val="16"/>
          <w:color w:val="000000"/>
        </w:rPr>
        <w:t>The Committee approved a Corporate</w:t>
      </w:r>
      <w:r>
        <w:rPr>
          <w:rFonts w:ascii="Arial" w:cs="Arial" w:eastAsia="Arial" w:hAnsi="Arial"/>
          <w:sz w:val="16"/>
          <w:szCs w:val="16"/>
          <w:b w:val="1"/>
          <w:bCs w:val="1"/>
          <w:color w:val="CE0F2D"/>
        </w:rPr>
        <w:t xml:space="preserve"> </w:t>
      </w:r>
      <w:r>
        <w:rPr>
          <w:rFonts w:ascii="Arial" w:cs="Arial" w:eastAsia="Arial" w:hAnsi="Arial"/>
          <w:sz w:val="16"/>
          <w:szCs w:val="16"/>
          <w:color w:val="000000"/>
        </w:rPr>
        <w:t>performance factor of 156% of target. This factor was a result of RTX’s performance relative to the pre-established financial goals and the Committee’s assessment of the Company’s overall performance relative to the Corporate Responsibility Scorecard.</w:t>
      </w:r>
    </w:p>
    <w:p>
      <w:pPr>
        <w:spacing w:after="0" w:line="144"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Committee considered this factor, Mr. Hayes’ effective leadership of the Company, and the individual performance considerations noted here, and approved a $4.992 million award. This amount aligns with the Corporate performance factor.</w:t>
      </w:r>
    </w:p>
    <w:p>
      <w:pPr>
        <w:spacing w:after="0" w:line="130"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b w:val="1"/>
          <w:bCs w:val="1"/>
          <w:color w:val="CE0F2D"/>
        </w:rPr>
        <w:t xml:space="preserve">LTI. </w:t>
      </w:r>
      <w:r>
        <w:rPr>
          <w:rFonts w:ascii="Arial" w:cs="Arial" w:eastAsia="Arial" w:hAnsi="Arial"/>
          <w:sz w:val="16"/>
          <w:szCs w:val="16"/>
          <w:color w:val="000000"/>
        </w:rPr>
        <w:t>In consideration for Mr. Hayes’ strong performance, the Committee</w:t>
      </w:r>
      <w:r>
        <w:rPr>
          <w:rFonts w:ascii="Arial" w:cs="Arial" w:eastAsia="Arial" w:hAnsi="Arial"/>
          <w:sz w:val="16"/>
          <w:szCs w:val="16"/>
          <w:b w:val="1"/>
          <w:bCs w:val="1"/>
          <w:color w:val="CE0F2D"/>
        </w:rPr>
        <w:t xml:space="preserve"> </w:t>
      </w:r>
      <w:r>
        <w:rPr>
          <w:rFonts w:ascii="Arial" w:cs="Arial" w:eastAsia="Arial" w:hAnsi="Arial"/>
          <w:sz w:val="16"/>
          <w:szCs w:val="16"/>
          <w:color w:val="000000"/>
        </w:rPr>
        <w:t>approved a 2022 long-term incentive award of $15.25 million, an amount which is above the CPG median for his role.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Mr. Hayes exhibited strong leadership in:</w:t>
      </w:r>
    </w:p>
    <w:p>
      <w:pPr>
        <w:spacing w:after="0" w:line="184" w:lineRule="exact"/>
        <w:rPr>
          <w:sz w:val="20"/>
          <w:szCs w:val="20"/>
          <w:color w:val="auto"/>
        </w:rPr>
      </w:pPr>
    </w:p>
    <w:p>
      <w:pPr>
        <w:jc w:val="both"/>
        <w:ind w:left="140" w:right="40" w:hanging="133"/>
        <w:spacing w:after="0" w:line="248" w:lineRule="auto"/>
        <w:tabs>
          <w:tab w:leader="none" w:pos="140" w:val="left"/>
        </w:tabs>
        <w:numPr>
          <w:ilvl w:val="0"/>
          <w:numId w:val="155"/>
        </w:numPr>
        <w:rPr>
          <w:rFonts w:ascii="Arial" w:cs="Arial" w:eastAsia="Arial" w:hAnsi="Arial"/>
          <w:sz w:val="16"/>
          <w:szCs w:val="16"/>
          <w:color w:val="CE0F2D"/>
        </w:rPr>
      </w:pPr>
      <w:r>
        <w:rPr>
          <w:rFonts w:ascii="Arial" w:cs="Arial" w:eastAsia="Arial" w:hAnsi="Arial"/>
          <w:sz w:val="16"/>
          <w:szCs w:val="16"/>
          <w:color w:val="auto"/>
        </w:rPr>
        <w:t>Making strategic investments in technology and innovation, including our announced partnership with IBM and our investment of nearly $9.4 billion in capital expenditures and company- and customer-funded research and development during the year.</w:t>
      </w:r>
    </w:p>
    <w:p>
      <w:pPr>
        <w:spacing w:after="0" w:line="176" w:lineRule="exact"/>
        <w:rPr>
          <w:rFonts w:ascii="Arial" w:cs="Arial" w:eastAsia="Arial" w:hAnsi="Arial"/>
          <w:sz w:val="16"/>
          <w:szCs w:val="16"/>
          <w:color w:val="CE0F2D"/>
        </w:rPr>
      </w:pPr>
    </w:p>
    <w:p>
      <w:pPr>
        <w:ind w:left="140" w:right="20" w:hanging="133"/>
        <w:spacing w:after="0" w:line="248" w:lineRule="auto"/>
        <w:tabs>
          <w:tab w:leader="none" w:pos="140" w:val="left"/>
        </w:tabs>
        <w:numPr>
          <w:ilvl w:val="0"/>
          <w:numId w:val="155"/>
        </w:numPr>
        <w:rPr>
          <w:rFonts w:ascii="Arial" w:cs="Arial" w:eastAsia="Arial" w:hAnsi="Arial"/>
          <w:sz w:val="16"/>
          <w:szCs w:val="16"/>
          <w:color w:val="CE0F2D"/>
        </w:rPr>
      </w:pPr>
      <w:r>
        <w:rPr>
          <w:rFonts w:ascii="Arial" w:cs="Arial" w:eastAsia="Arial" w:hAnsi="Arial"/>
          <w:sz w:val="16"/>
          <w:szCs w:val="16"/>
          <w:color w:val="auto"/>
        </w:rPr>
        <w:t>Driving operational excellence and continuous improvement through the implementation of our CORE operating system and significant investment in digital technologies, resulting in increased efficiencies across our businesses.</w:t>
      </w:r>
    </w:p>
    <w:p>
      <w:pPr>
        <w:spacing w:after="0" w:line="110" w:lineRule="exact"/>
        <w:rPr>
          <w:sz w:val="20"/>
          <w:szCs w:val="20"/>
          <w:color w:val="auto"/>
        </w:rPr>
      </w:pPr>
    </w:p>
    <w:p>
      <w:pPr>
        <w:ind w:left="260" w:hanging="253"/>
        <w:spacing w:after="0"/>
        <w:tabs>
          <w:tab w:leader="none" w:pos="260" w:val="left"/>
        </w:tabs>
        <w:numPr>
          <w:ilvl w:val="0"/>
          <w:numId w:val="15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1" w:right="140" w:hanging="131"/>
        <w:spacing w:after="0" w:line="250" w:lineRule="auto"/>
        <w:tabs>
          <w:tab w:leader="none" w:pos="131" w:val="left"/>
        </w:tabs>
        <w:numPr>
          <w:ilvl w:val="0"/>
          <w:numId w:val="157"/>
        </w:numPr>
        <w:rPr>
          <w:rFonts w:ascii="Arial" w:cs="Arial" w:eastAsia="Arial" w:hAnsi="Arial"/>
          <w:sz w:val="16"/>
          <w:szCs w:val="16"/>
          <w:color w:val="CE0F2D"/>
        </w:rPr>
      </w:pPr>
      <w:r>
        <w:rPr>
          <w:rFonts w:ascii="Arial" w:cs="Arial" w:eastAsia="Arial" w:hAnsi="Arial"/>
          <w:sz w:val="16"/>
          <w:szCs w:val="16"/>
          <w:color w:val="auto"/>
        </w:rPr>
        <w:t>Managing our business portfolio by adding strategic capabilities through the acquisition of FlightAware and SEAKR Engineering; and divesting non-core businesses like RI&amp;S’ Global Training &amp; Services business.</w:t>
      </w:r>
    </w:p>
    <w:p>
      <w:pPr>
        <w:spacing w:after="0" w:line="174" w:lineRule="exact"/>
        <w:rPr>
          <w:rFonts w:ascii="Arial" w:cs="Arial" w:eastAsia="Arial" w:hAnsi="Arial"/>
          <w:sz w:val="16"/>
          <w:szCs w:val="16"/>
          <w:color w:val="CE0F2D"/>
        </w:rPr>
      </w:pPr>
    </w:p>
    <w:p>
      <w:pPr>
        <w:ind w:left="131" w:hanging="131"/>
        <w:spacing w:after="0"/>
        <w:tabs>
          <w:tab w:leader="none" w:pos="131" w:val="left"/>
        </w:tabs>
        <w:numPr>
          <w:ilvl w:val="0"/>
          <w:numId w:val="157"/>
        </w:numPr>
        <w:rPr>
          <w:rFonts w:ascii="Arial" w:cs="Arial" w:eastAsia="Arial" w:hAnsi="Arial"/>
          <w:sz w:val="16"/>
          <w:szCs w:val="16"/>
          <w:color w:val="CE0F2D"/>
        </w:rPr>
      </w:pPr>
      <w:r>
        <w:rPr>
          <w:rFonts w:ascii="Arial" w:cs="Arial" w:eastAsia="Arial" w:hAnsi="Arial"/>
          <w:sz w:val="16"/>
          <w:szCs w:val="16"/>
          <w:color w:val="auto"/>
        </w:rPr>
        <w:t>Leading our efforts to enhance our ESG strategy, including:</w:t>
      </w:r>
    </w:p>
    <w:p>
      <w:pPr>
        <w:spacing w:after="0" w:line="190" w:lineRule="exact"/>
        <w:rPr>
          <w:rFonts w:ascii="Arial" w:cs="Arial" w:eastAsia="Arial" w:hAnsi="Arial"/>
          <w:sz w:val="16"/>
          <w:szCs w:val="16"/>
          <w:color w:val="CE0F2D"/>
        </w:rPr>
      </w:pPr>
    </w:p>
    <w:p>
      <w:pPr>
        <w:ind w:left="271" w:right="400" w:hanging="134"/>
        <w:spacing w:after="0" w:line="250" w:lineRule="auto"/>
        <w:rPr>
          <w:rFonts w:ascii="Arial" w:cs="Arial" w:eastAsia="Arial" w:hAnsi="Arial"/>
          <w:sz w:val="16"/>
          <w:szCs w:val="16"/>
          <w:color w:val="CE0F2D"/>
        </w:rPr>
      </w:pPr>
      <w:r>
        <w:rPr>
          <w:rFonts w:ascii="Arial" w:cs="Arial" w:eastAsia="Arial" w:hAnsi="Arial"/>
          <w:sz w:val="16"/>
          <w:szCs w:val="16"/>
          <w:color w:val="auto"/>
        </w:rPr>
        <w:t>– Greater transparency, as demonstrated by the release of our 2021 DE&amp;I Report and our participation in the CDP’s voluntary global greenhouse gas disclosure.</w:t>
      </w:r>
    </w:p>
    <w:p>
      <w:pPr>
        <w:spacing w:after="0" w:line="174" w:lineRule="exact"/>
        <w:rPr>
          <w:rFonts w:ascii="Arial" w:cs="Arial" w:eastAsia="Arial" w:hAnsi="Arial"/>
          <w:sz w:val="16"/>
          <w:szCs w:val="16"/>
          <w:color w:val="CE0F2D"/>
        </w:rPr>
      </w:pPr>
    </w:p>
    <w:p>
      <w:pPr>
        <w:ind w:left="271" w:hanging="134"/>
        <w:spacing w:after="0" w:line="250" w:lineRule="auto"/>
        <w:rPr>
          <w:rFonts w:ascii="Arial" w:cs="Arial" w:eastAsia="Arial" w:hAnsi="Arial"/>
          <w:sz w:val="16"/>
          <w:szCs w:val="16"/>
          <w:color w:val="CE0F2D"/>
        </w:rPr>
      </w:pPr>
      <w:r>
        <w:rPr>
          <w:rFonts w:ascii="Arial" w:cs="Arial" w:eastAsia="Arial" w:hAnsi="Arial"/>
          <w:sz w:val="16"/>
          <w:szCs w:val="16"/>
          <w:color w:val="auto"/>
        </w:rPr>
        <w:t>– Launching ConnectUp, our new social responsibility initiative, where we will invest $500 million over 10 years to advance equitable opportunities in STEM education, career development and community well-being.</w:t>
      </w:r>
    </w:p>
    <w:p>
      <w:pPr>
        <w:spacing w:after="0" w:line="174" w:lineRule="exact"/>
        <w:rPr>
          <w:rFonts w:ascii="Arial" w:cs="Arial" w:eastAsia="Arial" w:hAnsi="Arial"/>
          <w:sz w:val="16"/>
          <w:szCs w:val="16"/>
          <w:color w:val="CE0F2D"/>
        </w:rPr>
      </w:pPr>
    </w:p>
    <w:p>
      <w:pPr>
        <w:ind w:left="271" w:right="100" w:hanging="134"/>
        <w:spacing w:after="0" w:line="250" w:lineRule="auto"/>
        <w:rPr>
          <w:rFonts w:ascii="Arial" w:cs="Arial" w:eastAsia="Arial" w:hAnsi="Arial"/>
          <w:sz w:val="16"/>
          <w:szCs w:val="16"/>
          <w:color w:val="CE0F2D"/>
        </w:rPr>
      </w:pPr>
      <w:r>
        <w:rPr>
          <w:rFonts w:ascii="Arial" w:cs="Arial" w:eastAsia="Arial" w:hAnsi="Arial"/>
          <w:sz w:val="16"/>
          <w:szCs w:val="16"/>
          <w:color w:val="auto"/>
        </w:rPr>
        <w:t>– Forming our Global Diversity Equity &amp; Inclusion Advisory Board, whereby leaders across RTX will come together to support equality of opportunity, inspire action and drive accountability for our DE&amp;I efforts.</w:t>
      </w:r>
    </w:p>
    <w:p>
      <w:pPr>
        <w:spacing w:after="0" w:line="174" w:lineRule="exact"/>
        <w:rPr>
          <w:rFonts w:ascii="Arial" w:cs="Arial" w:eastAsia="Arial" w:hAnsi="Arial"/>
          <w:sz w:val="16"/>
          <w:szCs w:val="16"/>
          <w:color w:val="CE0F2D"/>
        </w:rPr>
      </w:pPr>
    </w:p>
    <w:p>
      <w:pPr>
        <w:ind w:left="131" w:hanging="131"/>
        <w:spacing w:after="0" w:line="248" w:lineRule="auto"/>
        <w:tabs>
          <w:tab w:leader="none" w:pos="131" w:val="left"/>
        </w:tabs>
        <w:numPr>
          <w:ilvl w:val="0"/>
          <w:numId w:val="157"/>
        </w:numPr>
        <w:rPr>
          <w:rFonts w:ascii="Arial" w:cs="Arial" w:eastAsia="Arial" w:hAnsi="Arial"/>
          <w:sz w:val="16"/>
          <w:szCs w:val="16"/>
          <w:color w:val="CE0F2D"/>
        </w:rPr>
      </w:pPr>
      <w:r>
        <w:rPr>
          <w:rFonts w:ascii="Arial" w:cs="Arial" w:eastAsia="Arial" w:hAnsi="Arial"/>
          <w:sz w:val="16"/>
          <w:szCs w:val="16"/>
          <w:color w:val="auto"/>
        </w:rPr>
        <w:t>Ensuring the safety of our workforce while avoiding significant operational disruptions due to the COVID-19 pandemic, including facilitating vaccination clinics in which more than 28,000 of RTX employees received COVID-19 vaccinations.</w:t>
      </w:r>
    </w:p>
    <w:p>
      <w:pPr>
        <w:spacing w:after="0" w:line="176" w:lineRule="exact"/>
        <w:rPr>
          <w:rFonts w:ascii="Arial" w:cs="Arial" w:eastAsia="Arial" w:hAnsi="Arial"/>
          <w:sz w:val="16"/>
          <w:szCs w:val="16"/>
          <w:color w:val="CE0F2D"/>
        </w:rPr>
      </w:pPr>
    </w:p>
    <w:p>
      <w:pPr>
        <w:ind w:left="131" w:hanging="131"/>
        <w:spacing w:after="0" w:line="250" w:lineRule="auto"/>
        <w:tabs>
          <w:tab w:leader="none" w:pos="131" w:val="left"/>
        </w:tabs>
        <w:numPr>
          <w:ilvl w:val="0"/>
          <w:numId w:val="157"/>
        </w:numPr>
        <w:rPr>
          <w:rFonts w:ascii="Arial" w:cs="Arial" w:eastAsia="Arial" w:hAnsi="Arial"/>
          <w:sz w:val="16"/>
          <w:szCs w:val="16"/>
          <w:color w:val="CE0F2D"/>
        </w:rPr>
      </w:pPr>
      <w:r>
        <w:rPr>
          <w:rFonts w:ascii="Arial" w:cs="Arial" w:eastAsia="Arial" w:hAnsi="Arial"/>
          <w:sz w:val="16"/>
          <w:szCs w:val="16"/>
          <w:color w:val="auto"/>
        </w:rPr>
        <w:t>Delivering on the promise of the Merger, by continued development of our product synergy pipeline and execution of several synergy opportunities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524510</wp:posOffset>
            </wp:positionV>
            <wp:extent cx="715454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80" w:space="469"/>
            <w:col w:w="5371"/>
          </w:cols>
          <w:pgMar w:left="320" w:top="118" w:right="35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CEO PAY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23552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3590" cy="2355215"/>
                    </a:xfrm>
                    <a:prstGeom prst="rect">
                      <a:avLst/>
                    </a:prstGeom>
                    <a:noFill/>
                  </pic:spPr>
                </pic:pic>
              </a:graphicData>
            </a:graphic>
          </wp:anchor>
        </w:drawing>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20"/>
          <w:szCs w:val="20"/>
          <w:b w:val="1"/>
          <w:bCs w:val="1"/>
          <w:color w:val="auto"/>
        </w:rPr>
        <w:t>What is “total direct compensation?”</w:t>
      </w:r>
    </w:p>
    <w:p>
      <w:pPr>
        <w:spacing w:after="0" w:line="161" w:lineRule="exact"/>
        <w:rPr>
          <w:sz w:val="20"/>
          <w:szCs w:val="20"/>
          <w:color w:val="auto"/>
        </w:rPr>
      </w:pPr>
    </w:p>
    <w:p>
      <w:pPr>
        <w:ind w:left="320" w:right="640"/>
        <w:spacing w:after="0" w:line="250" w:lineRule="auto"/>
        <w:rPr>
          <w:sz w:val="20"/>
          <w:szCs w:val="20"/>
          <w:color w:val="auto"/>
        </w:rPr>
      </w:pPr>
      <w:r>
        <w:rPr>
          <w:rFonts w:ascii="Arial" w:cs="Arial" w:eastAsia="Arial" w:hAnsi="Arial"/>
          <w:sz w:val="16"/>
          <w:szCs w:val="16"/>
          <w:color w:val="auto"/>
        </w:rPr>
        <w:t>In contrast to the Summary Compensation Table (on page 66), our discussion of CEO and NEO pay decisions in this proxy (pages 54-59) uses a measure called “total direct compensation.” The Committee believes this measure provides a more accurate picture of its annual pay decisions, reflecting its most recent assessment of Company/business unit and individual performance.</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6"/>
          <w:szCs w:val="16"/>
          <w:b w:val="1"/>
          <w:bCs w:val="1"/>
          <w:color w:val="auto"/>
        </w:rPr>
        <w:t>How the Committee Views LTI Award Values</w:t>
      </w:r>
    </w:p>
    <w:p>
      <w:pPr>
        <w:spacing w:after="0" w:line="122" w:lineRule="exact"/>
        <w:rPr>
          <w:sz w:val="20"/>
          <w:szCs w:val="20"/>
          <w:color w:val="auto"/>
        </w:rPr>
      </w:pPr>
    </w:p>
    <w:tbl>
      <w:tblPr>
        <w:tblLayout w:type="fixed"/>
        <w:tblInd w:w="320" w:type="dxa"/>
        <w:tblCellMar>
          <w:top w:w="0" w:type="dxa"/>
          <w:left w:w="0" w:type="dxa"/>
          <w:bottom w:w="0" w:type="dxa"/>
          <w:right w:w="0" w:type="dxa"/>
        </w:tblCellMar>
      </w:tblPr>
      <w:tr>
        <w:trPr>
          <w:trHeight w:val="229"/>
        </w:trPr>
        <w:tc>
          <w:tcPr>
            <w:tcW w:w="2220" w:type="dxa"/>
            <w:vAlign w:val="bottom"/>
            <w:tcBorders>
              <w:top w:val="single" w:sz="8" w:color="auto"/>
            </w:tcBorders>
            <w:shd w:val="clear" w:color="auto" w:fill="ECEDEF"/>
          </w:tcPr>
          <w:p>
            <w:pPr>
              <w:spacing w:after="0"/>
              <w:rPr>
                <w:sz w:val="20"/>
                <w:szCs w:val="20"/>
                <w:color w:val="auto"/>
              </w:rPr>
            </w:pPr>
            <w:r>
              <w:rPr>
                <w:rFonts w:ascii="Arial" w:cs="Arial" w:eastAsia="Arial" w:hAnsi="Arial"/>
                <w:sz w:val="16"/>
                <w:szCs w:val="16"/>
                <w:b w:val="1"/>
                <w:bCs w:val="1"/>
                <w:color w:val="auto"/>
              </w:rPr>
              <w:t>Total Direct Compensation</w:t>
            </w:r>
          </w:p>
        </w:tc>
        <w:tc>
          <w:tcPr>
            <w:tcW w:w="4280" w:type="dxa"/>
            <w:vAlign w:val="bottom"/>
            <w:tcBorders>
              <w:top w:val="single" w:sz="8" w:color="auto"/>
            </w:tcBorders>
          </w:tcPr>
          <w:p>
            <w:pPr>
              <w:ind w:left="220"/>
              <w:spacing w:after="0"/>
              <w:rPr>
                <w:sz w:val="20"/>
                <w:szCs w:val="20"/>
                <w:color w:val="auto"/>
              </w:rPr>
            </w:pPr>
            <w:r>
              <w:rPr>
                <w:rFonts w:ascii="Arial" w:cs="Arial" w:eastAsia="Arial" w:hAnsi="Arial"/>
                <w:sz w:val="16"/>
                <w:szCs w:val="16"/>
                <w:color w:val="auto"/>
              </w:rPr>
              <w:t>Includes the value of LTI awards approved by the</w:t>
            </w:r>
          </w:p>
        </w:tc>
        <w:tc>
          <w:tcPr>
            <w:tcW w:w="4080" w:type="dxa"/>
            <w:vAlign w:val="bottom"/>
            <w:tcBorders>
              <w:top w:val="single" w:sz="8" w:color="auto"/>
            </w:tcBorders>
          </w:tcPr>
          <w:p>
            <w:pPr>
              <w:ind w:left="120"/>
              <w:spacing w:after="0"/>
              <w:rPr>
                <w:sz w:val="20"/>
                <w:szCs w:val="20"/>
                <w:color w:val="auto"/>
              </w:rPr>
            </w:pPr>
            <w:r>
              <w:rPr>
                <w:rFonts w:ascii="Arial" w:cs="Arial" w:eastAsia="Arial" w:hAnsi="Arial"/>
                <w:sz w:val="16"/>
                <w:szCs w:val="16"/>
                <w:color w:val="auto"/>
              </w:rPr>
              <w:t>Award values correctly relate to the Committee’s</w:t>
            </w:r>
          </w:p>
        </w:tc>
        <w:tc>
          <w:tcPr>
            <w:tcW w:w="340" w:type="dxa"/>
            <w:vAlign w:val="bottom"/>
          </w:tcPr>
          <w:p>
            <w:pPr>
              <w:spacing w:after="0"/>
              <w:rPr>
                <w:sz w:val="19"/>
                <w:szCs w:val="19"/>
                <w:color w:val="auto"/>
              </w:rPr>
            </w:pPr>
          </w:p>
        </w:tc>
      </w:tr>
      <w:tr>
        <w:trPr>
          <w:trHeight w:val="206"/>
        </w:trPr>
        <w:tc>
          <w:tcPr>
            <w:tcW w:w="2220" w:type="dxa"/>
            <w:vAlign w:val="bottom"/>
            <w:tcBorders>
              <w:bottom w:val="single" w:sz="8" w:color="auto"/>
            </w:tcBorders>
            <w:shd w:val="clear" w:color="auto" w:fill="ECEDEF"/>
          </w:tcPr>
          <w:p>
            <w:pPr>
              <w:spacing w:after="0"/>
              <w:rPr>
                <w:sz w:val="17"/>
                <w:szCs w:val="17"/>
                <w:color w:val="auto"/>
              </w:rPr>
            </w:pPr>
          </w:p>
        </w:tc>
        <w:tc>
          <w:tcPr>
            <w:tcW w:w="42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Committee and granted in February 2022.</w:t>
            </w:r>
          </w:p>
        </w:tc>
        <w:tc>
          <w:tcPr>
            <w:tcW w:w="40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assessment of 2021 performance.</w:t>
            </w:r>
          </w:p>
        </w:tc>
        <w:tc>
          <w:tcPr>
            <w:tcW w:w="340" w:type="dxa"/>
            <w:vAlign w:val="bottom"/>
            <w:tcBorders>
              <w:bottom w:val="single" w:sz="8" w:color="ECEDEF"/>
            </w:tcBorders>
          </w:tcPr>
          <w:p>
            <w:pPr>
              <w:spacing w:after="0"/>
              <w:rPr>
                <w:sz w:val="17"/>
                <w:szCs w:val="17"/>
                <w:color w:val="auto"/>
              </w:rPr>
            </w:pPr>
          </w:p>
        </w:tc>
      </w:tr>
      <w:tr>
        <w:trPr>
          <w:trHeight w:val="196"/>
        </w:trPr>
        <w:tc>
          <w:tcPr>
            <w:tcW w:w="2220" w:type="dxa"/>
            <w:vAlign w:val="bottom"/>
            <w:shd w:val="clear" w:color="auto" w:fill="ECEDEF"/>
          </w:tcPr>
          <w:p>
            <w:pPr>
              <w:spacing w:after="0"/>
              <w:rPr>
                <w:sz w:val="20"/>
                <w:szCs w:val="20"/>
                <w:color w:val="auto"/>
              </w:rPr>
            </w:pPr>
            <w:r>
              <w:rPr>
                <w:rFonts w:ascii="Arial" w:cs="Arial" w:eastAsia="Arial" w:hAnsi="Arial"/>
                <w:sz w:val="16"/>
                <w:szCs w:val="16"/>
                <w:b w:val="1"/>
                <w:bCs w:val="1"/>
                <w:color w:val="auto"/>
              </w:rPr>
              <w:t>Summary Compensation</w:t>
            </w:r>
          </w:p>
        </w:tc>
        <w:tc>
          <w:tcPr>
            <w:tcW w:w="4280" w:type="dxa"/>
            <w:vAlign w:val="bottom"/>
            <w:shd w:val="clear" w:color="auto" w:fill="ECEDEF"/>
          </w:tcPr>
          <w:p>
            <w:pPr>
              <w:ind w:left="220"/>
              <w:spacing w:after="0"/>
              <w:rPr>
                <w:sz w:val="20"/>
                <w:szCs w:val="20"/>
                <w:color w:val="auto"/>
              </w:rPr>
            </w:pPr>
            <w:r>
              <w:rPr>
                <w:rFonts w:ascii="Arial" w:cs="Arial" w:eastAsia="Arial" w:hAnsi="Arial"/>
                <w:sz w:val="16"/>
                <w:szCs w:val="16"/>
                <w:color w:val="auto"/>
              </w:rPr>
              <w:t>Includes the grant date fair value of LTI awards granted</w:t>
            </w:r>
          </w:p>
        </w:tc>
        <w:tc>
          <w:tcPr>
            <w:tcW w:w="4420" w:type="dxa"/>
            <w:vAlign w:val="bottom"/>
            <w:gridSpan w:val="2"/>
            <w:shd w:val="clear" w:color="auto" w:fill="ECEDEF"/>
          </w:tcPr>
          <w:p>
            <w:pPr>
              <w:ind w:left="120"/>
              <w:spacing w:after="0"/>
              <w:rPr>
                <w:sz w:val="20"/>
                <w:szCs w:val="20"/>
                <w:color w:val="auto"/>
              </w:rPr>
            </w:pPr>
            <w:r>
              <w:rPr>
                <w:rFonts w:ascii="Arial" w:cs="Arial" w:eastAsia="Arial" w:hAnsi="Arial"/>
                <w:sz w:val="16"/>
                <w:szCs w:val="16"/>
                <w:color w:val="auto"/>
              </w:rPr>
              <w:t>Award values relate back to the Committee’s</w:t>
            </w:r>
          </w:p>
        </w:tc>
      </w:tr>
      <w:tr>
        <w:trPr>
          <w:trHeight w:val="226"/>
        </w:trPr>
        <w:tc>
          <w:tcPr>
            <w:tcW w:w="2220" w:type="dxa"/>
            <w:vAlign w:val="bottom"/>
            <w:tcBorders>
              <w:bottom w:val="single" w:sz="8" w:color="auto"/>
            </w:tcBorders>
            <w:shd w:val="clear" w:color="auto" w:fill="ECEDEF"/>
          </w:tcPr>
          <w:p>
            <w:pPr>
              <w:spacing w:after="0"/>
              <w:rPr>
                <w:sz w:val="20"/>
                <w:szCs w:val="20"/>
                <w:color w:val="auto"/>
              </w:rPr>
            </w:pPr>
            <w:r>
              <w:rPr>
                <w:rFonts w:ascii="Arial" w:cs="Arial" w:eastAsia="Arial" w:hAnsi="Arial"/>
                <w:sz w:val="16"/>
                <w:szCs w:val="16"/>
                <w:b w:val="1"/>
                <w:bCs w:val="1"/>
                <w:color w:val="auto"/>
              </w:rPr>
              <w:t>Table</w:t>
            </w:r>
          </w:p>
        </w:tc>
        <w:tc>
          <w:tcPr>
            <w:tcW w:w="4280" w:type="dxa"/>
            <w:vAlign w:val="bottom"/>
            <w:tcBorders>
              <w:bottom w:val="single" w:sz="8" w:color="auto"/>
            </w:tcBorders>
            <w:shd w:val="clear" w:color="auto" w:fill="ECEDEF"/>
          </w:tcPr>
          <w:p>
            <w:pPr>
              <w:ind w:left="220"/>
              <w:spacing w:after="0"/>
              <w:rPr>
                <w:sz w:val="20"/>
                <w:szCs w:val="20"/>
                <w:color w:val="auto"/>
              </w:rPr>
            </w:pPr>
            <w:r>
              <w:rPr>
                <w:rFonts w:ascii="Arial" w:cs="Arial" w:eastAsia="Arial" w:hAnsi="Arial"/>
                <w:sz w:val="16"/>
                <w:szCs w:val="16"/>
                <w:color w:val="auto"/>
              </w:rPr>
              <w:t>in February 2021.</w:t>
            </w:r>
          </w:p>
        </w:tc>
        <w:tc>
          <w:tcPr>
            <w:tcW w:w="4080" w:type="dxa"/>
            <w:vAlign w:val="bottom"/>
            <w:tcBorders>
              <w:bottom w:val="single" w:sz="8" w:color="auto"/>
            </w:tcBorders>
            <w:shd w:val="clear" w:color="auto" w:fill="ECEDEF"/>
          </w:tcPr>
          <w:p>
            <w:pPr>
              <w:ind w:left="120"/>
              <w:spacing w:after="0"/>
              <w:rPr>
                <w:sz w:val="20"/>
                <w:szCs w:val="20"/>
                <w:color w:val="auto"/>
              </w:rPr>
            </w:pPr>
            <w:r>
              <w:rPr>
                <w:rFonts w:ascii="Arial" w:cs="Arial" w:eastAsia="Arial" w:hAnsi="Arial"/>
                <w:sz w:val="16"/>
                <w:szCs w:val="16"/>
                <w:color w:val="auto"/>
              </w:rPr>
              <w:t>assessment of 2020 performance.</w:t>
            </w:r>
          </w:p>
        </w:tc>
        <w:tc>
          <w:tcPr>
            <w:tcW w:w="340" w:type="dxa"/>
            <w:vAlign w:val="bottom"/>
            <w:shd w:val="clear" w:color="auto" w:fill="ECEDEF"/>
          </w:tcPr>
          <w:p>
            <w:pPr>
              <w:spacing w:after="0"/>
              <w:rPr>
                <w:sz w:val="19"/>
                <w:szCs w:val="19"/>
                <w:color w:val="auto"/>
              </w:rPr>
            </w:pPr>
          </w:p>
        </w:tc>
      </w:tr>
    </w:tbl>
    <w:p>
      <w:pPr>
        <w:spacing w:after="0" w:line="163" w:lineRule="exact"/>
        <w:rPr>
          <w:sz w:val="20"/>
          <w:szCs w:val="20"/>
          <w:color w:val="auto"/>
        </w:rPr>
      </w:pPr>
    </w:p>
    <w:p>
      <w:pPr>
        <w:ind w:left="320" w:right="380"/>
        <w:spacing w:after="0" w:line="247" w:lineRule="auto"/>
        <w:rPr>
          <w:sz w:val="20"/>
          <w:szCs w:val="20"/>
          <w:color w:val="auto"/>
        </w:rPr>
      </w:pPr>
      <w:r>
        <w:rPr>
          <w:rFonts w:ascii="Arial" w:cs="Arial" w:eastAsia="Arial" w:hAnsi="Arial"/>
          <w:sz w:val="16"/>
          <w:szCs w:val="16"/>
          <w:color w:val="auto"/>
        </w:rPr>
        <w:t>The SEC rules require the LTI awards granted in February 2022 to be reported in the Summary Compensation Table in our 2023 proxy statement, with a different valuation methodology than we use for total direct compensation. In addition, the compensation values reported in the Summary Compensation Table also include certain elements (e.g., changes in pension values, which are impacted by assumptions like interest rates, and other formulaic compensation components) that we exclude from total direct compensation because they are not tied to performance and fall outside the scope of the Committee’s annual pay decisions.</w:t>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CEO TOTAL DIRECT COMPENSATION: THREE-YEAR COMPARISON</w:t>
      </w:r>
    </w:p>
    <w:p>
      <w:pPr>
        <w:spacing w:after="0" w:line="181" w:lineRule="exact"/>
        <w:rPr>
          <w:sz w:val="20"/>
          <w:szCs w:val="20"/>
          <w:color w:val="auto"/>
        </w:rPr>
      </w:pPr>
    </w:p>
    <w:p>
      <w:pPr>
        <w:ind w:right="740"/>
        <w:spacing w:after="0" w:line="250" w:lineRule="auto"/>
        <w:rPr>
          <w:sz w:val="20"/>
          <w:szCs w:val="20"/>
          <w:color w:val="auto"/>
        </w:rPr>
      </w:pPr>
      <w:r>
        <w:rPr>
          <w:rFonts w:ascii="Arial" w:cs="Arial" w:eastAsia="Arial" w:hAnsi="Arial"/>
          <w:sz w:val="16"/>
          <w:szCs w:val="16"/>
          <w:color w:val="auto"/>
        </w:rPr>
        <w:t>As shown in the chart below, and as discussed in our Guiding Principles on page 43, the Committee believes that a substantial portion of total direct compensation should be variable, contingent and directly linked to Company and individual performance. In 2021, 93% of Mr. Hayes’ total direct compensation was “at-risk”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6376670" cy="1547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376670" cy="1547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60" w:hanging="353"/>
        <w:spacing w:after="0"/>
        <w:tabs>
          <w:tab w:leader="none" w:pos="36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Does not reflect the 20% base salary reduction associated with the COVID-19 pandemic for the period between June and December of 2020.</w:t>
      </w:r>
    </w:p>
    <w:p>
      <w:pPr>
        <w:spacing w:after="0" w:line="129" w:lineRule="exact"/>
        <w:rPr>
          <w:rFonts w:ascii="Arial" w:cs="Arial" w:eastAsia="Arial" w:hAnsi="Arial"/>
          <w:sz w:val="12"/>
          <w:szCs w:val="12"/>
          <w:color w:val="auto"/>
        </w:rPr>
      </w:pPr>
    </w:p>
    <w:p>
      <w:pPr>
        <w:ind w:left="360" w:right="120" w:hanging="353"/>
        <w:spacing w:after="0" w:line="252" w:lineRule="auto"/>
        <w:tabs>
          <w:tab w:leader="none" w:pos="36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Reflects annual LTI award values approved by the Committee. These values differ from the values reported in the Summary Compensation Table (on page 66), which are calculated in accordance with FASB ASC Topic 718.</w:t>
      </w:r>
    </w:p>
    <w:p>
      <w:pPr>
        <w:spacing w:after="0" w:line="9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PAY DECISIONS FOR OTHER NEOS</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2021 Pay Decisions for Other NEOs</w:t>
      </w:r>
    </w:p>
    <w:p>
      <w:pPr>
        <w:spacing w:after="0" w:line="206"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Committee makes annual compensation decisions for our NEOs based on their individual performance and the overall performance of the Company (and the NEO’s business unit/function, where applicable). In the following pages, we describe the components of total direct compensation for each NEO for 2021, noting aspects of their individual performance that contributed to the Committee’s pay decisions (see page 55 for an explanation of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133590" cy="12922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3590" cy="1292225"/>
                    </a:xfrm>
                    <a:prstGeom prst="rect">
                      <a:avLst/>
                    </a:prstGeom>
                    <a:noFill/>
                  </pic:spPr>
                </pic:pic>
              </a:graphicData>
            </a:graphic>
          </wp:anchor>
        </w:drawing>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E0F2D"/>
        </w:rPr>
        <w:t>Neil G. Mitchill, Jr.</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Executive Vice President &amp;</w:t>
      </w:r>
    </w:p>
    <w:p>
      <w:pPr>
        <w:ind w:left="100"/>
        <w:spacing w:after="0"/>
        <w:rPr>
          <w:sz w:val="20"/>
          <w:szCs w:val="20"/>
          <w:color w:val="auto"/>
        </w:rPr>
      </w:pPr>
      <w:r>
        <w:rPr>
          <w:rFonts w:ascii="Arial" w:cs="Arial" w:eastAsia="Arial" w:hAnsi="Arial"/>
          <w:sz w:val="20"/>
          <w:szCs w:val="20"/>
          <w:color w:val="auto"/>
        </w:rPr>
        <w:t>Chief Financial Officer</w:t>
      </w:r>
    </w:p>
    <w:p>
      <w:pPr>
        <w:spacing w:after="0" w:line="42"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AGE 46</w:t>
      </w:r>
    </w:p>
    <w:p>
      <w:pPr>
        <w:spacing w:after="0" w:line="80"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RTX EXPERIENCE 7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492760</wp:posOffset>
            </wp:positionV>
            <wp:extent cx="3018155" cy="19386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018155" cy="19386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During 2021, Mr. Mitchill served as Corporate Vice President, Financial Planning &amp; Analysis and Investor Relations until April 7, 2021, when he was appointed to the role of Executive Vice President &amp; Chief Financial Officer.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95"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b w:val="1"/>
          <w:bCs w:val="1"/>
          <w:color w:val="CE0F2D"/>
        </w:rPr>
        <w:t xml:space="preserve">Base Salary. </w:t>
      </w:r>
      <w:r>
        <w:rPr>
          <w:rFonts w:ascii="Arial" w:cs="Arial" w:eastAsia="Arial" w:hAnsi="Arial"/>
          <w:sz w:val="16"/>
          <w:szCs w:val="16"/>
          <w:color w:val="000000"/>
        </w:rPr>
        <w:t>Mr. Mitchill received an annual merit increase to his base</w:t>
      </w:r>
      <w:r>
        <w:rPr>
          <w:rFonts w:ascii="Arial" w:cs="Arial" w:eastAsia="Arial" w:hAnsi="Arial"/>
          <w:sz w:val="16"/>
          <w:szCs w:val="16"/>
          <w:b w:val="1"/>
          <w:bCs w:val="1"/>
          <w:color w:val="CE0F2D"/>
        </w:rPr>
        <w:t xml:space="preserve"> </w:t>
      </w:r>
      <w:r>
        <w:rPr>
          <w:rFonts w:ascii="Arial" w:cs="Arial" w:eastAsia="Arial" w:hAnsi="Arial"/>
          <w:sz w:val="16"/>
          <w:szCs w:val="16"/>
          <w:color w:val="000000"/>
        </w:rPr>
        <w:t>salary from $650,000 to $675,000. Then, upon his appointment to the role of Chief Financial Officer, the Committee further increased his salary to $800,000 to more closely align his base salary with the CPG market median for this role. Following the increase, Mr. Mitchill’s base salary remains below the CPG median for his new role.</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6"/>
          <w:szCs w:val="16"/>
          <w:b w:val="1"/>
          <w:bCs w:val="1"/>
          <w:color w:val="CE0F2D"/>
        </w:rPr>
        <w:t xml:space="preserve">Annual Incentive Award. </w:t>
      </w:r>
      <w:r>
        <w:rPr>
          <w:rFonts w:ascii="Arial" w:cs="Arial" w:eastAsia="Arial" w:hAnsi="Arial"/>
          <w:sz w:val="16"/>
          <w:szCs w:val="16"/>
          <w:color w:val="000000"/>
        </w:rPr>
        <w:t>Also, in connection with his appointment to Chief</w:t>
      </w:r>
      <w:r>
        <w:rPr>
          <w:rFonts w:ascii="Arial" w:cs="Arial" w:eastAsia="Arial" w:hAnsi="Arial"/>
          <w:sz w:val="16"/>
          <w:szCs w:val="16"/>
          <w:b w:val="1"/>
          <w:bCs w:val="1"/>
          <w:color w:val="CE0F2D"/>
        </w:rPr>
        <w:t xml:space="preserve"> </w:t>
      </w:r>
      <w:r>
        <w:rPr>
          <w:rFonts w:ascii="Arial" w:cs="Arial" w:eastAsia="Arial" w:hAnsi="Arial"/>
          <w:sz w:val="16"/>
          <w:szCs w:val="16"/>
          <w:color w:val="000000"/>
        </w:rPr>
        <w:t>Financial Officer, the Committee increased Mr. Mitchill’s annual incentive target from 70% to 110% of base salary to better align his target with the CPG median for his role.</w:t>
      </w:r>
    </w:p>
    <w:p>
      <w:pPr>
        <w:spacing w:after="0" w:line="142"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Committee approved a Corporate performance factor of 156% (as discussed on page 51). In determining Mr. Mitchill’s 2021 annual incentive award, the Committee considered this factor, Mr. Mitchill’s effective leadership of RTX’s Finance function and the individual performance considerations noted here, and awarded him a $1.2 million annual incentive award for 2021. This amount aligns with the Corporate performance factor.</w:t>
      </w:r>
    </w:p>
    <w:p>
      <w:pPr>
        <w:spacing w:after="0" w:line="134" w:lineRule="exact"/>
        <w:rPr>
          <w:sz w:val="20"/>
          <w:szCs w:val="20"/>
          <w:color w:val="auto"/>
        </w:rPr>
      </w:pPr>
    </w:p>
    <w:p>
      <w:pPr>
        <w:ind w:right="420"/>
        <w:spacing w:after="0" w:line="263" w:lineRule="auto"/>
        <w:rPr>
          <w:sz w:val="20"/>
          <w:szCs w:val="20"/>
          <w:color w:val="auto"/>
        </w:rPr>
      </w:pPr>
      <w:r>
        <w:rPr>
          <w:rFonts w:ascii="Arial" w:cs="Arial" w:eastAsia="Arial" w:hAnsi="Arial"/>
          <w:sz w:val="16"/>
          <w:szCs w:val="16"/>
          <w:b w:val="1"/>
          <w:bCs w:val="1"/>
          <w:color w:val="CE0F2D"/>
        </w:rPr>
        <w:t xml:space="preserve">LTI. </w:t>
      </w:r>
      <w:r>
        <w:rPr>
          <w:rFonts w:ascii="Arial" w:cs="Arial" w:eastAsia="Arial" w:hAnsi="Arial"/>
          <w:sz w:val="16"/>
          <w:szCs w:val="16"/>
          <w:color w:val="000000"/>
        </w:rPr>
        <w:t>In consideration of Mr. Mitchill’s strong 2021 performance, the</w:t>
      </w:r>
      <w:r>
        <w:rPr>
          <w:rFonts w:ascii="Arial" w:cs="Arial" w:eastAsia="Arial" w:hAnsi="Arial"/>
          <w:sz w:val="16"/>
          <w:szCs w:val="16"/>
          <w:b w:val="1"/>
          <w:bCs w:val="1"/>
          <w:color w:val="CE0F2D"/>
        </w:rPr>
        <w:t xml:space="preserve"> </w:t>
      </w:r>
      <w:r>
        <w:rPr>
          <w:rFonts w:ascii="Arial" w:cs="Arial" w:eastAsia="Arial" w:hAnsi="Arial"/>
          <w:sz w:val="16"/>
          <w:szCs w:val="16"/>
          <w:color w:val="000000"/>
        </w:rPr>
        <w:t>Committee approved a $4 million 2022 LTI award, an amount which is below the CPG median for his new role.</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15" w:lineRule="exact"/>
        <w:rPr>
          <w:sz w:val="20"/>
          <w:szCs w:val="20"/>
          <w:color w:val="auto"/>
        </w:rPr>
      </w:pPr>
    </w:p>
    <w:p>
      <w:pPr>
        <w:ind w:left="140" w:hanging="133"/>
        <w:spacing w:after="0" w:line="256" w:lineRule="auto"/>
        <w:tabs>
          <w:tab w:leader="none" w:pos="140" w:val="left"/>
        </w:tabs>
        <w:numPr>
          <w:ilvl w:val="0"/>
          <w:numId w:val="159"/>
        </w:numPr>
        <w:rPr>
          <w:rFonts w:ascii="Arial" w:cs="Arial" w:eastAsia="Arial" w:hAnsi="Arial"/>
          <w:sz w:val="16"/>
          <w:szCs w:val="16"/>
          <w:color w:val="CE0F2D"/>
        </w:rPr>
      </w:pPr>
      <w:r>
        <w:rPr>
          <w:rFonts w:ascii="Arial" w:cs="Arial" w:eastAsia="Arial" w:hAnsi="Arial"/>
          <w:sz w:val="16"/>
          <w:szCs w:val="16"/>
          <w:color w:val="auto"/>
        </w:rPr>
        <w:t>Oversaw the Company’s finances, leading to RTX exceeding both earnings and free cash flow goals communicated to investors for the year.</w:t>
      </w:r>
    </w:p>
    <w:p>
      <w:pPr>
        <w:spacing w:after="0" w:line="169" w:lineRule="exact"/>
        <w:rPr>
          <w:rFonts w:ascii="Arial" w:cs="Arial" w:eastAsia="Arial" w:hAnsi="Arial"/>
          <w:sz w:val="16"/>
          <w:szCs w:val="16"/>
          <w:color w:val="CE0F2D"/>
        </w:rPr>
      </w:pPr>
    </w:p>
    <w:p>
      <w:pPr>
        <w:jc w:val="both"/>
        <w:ind w:left="140" w:right="220" w:hanging="133"/>
        <w:spacing w:after="0" w:line="250" w:lineRule="auto"/>
        <w:tabs>
          <w:tab w:leader="none" w:pos="140" w:val="left"/>
        </w:tabs>
        <w:numPr>
          <w:ilvl w:val="0"/>
          <w:numId w:val="159"/>
        </w:numPr>
        <w:rPr>
          <w:rFonts w:ascii="Arial" w:cs="Arial" w:eastAsia="Arial" w:hAnsi="Arial"/>
          <w:sz w:val="16"/>
          <w:szCs w:val="16"/>
          <w:color w:val="CE0F2D"/>
        </w:rPr>
      </w:pPr>
      <w:r>
        <w:rPr>
          <w:rFonts w:ascii="Arial" w:cs="Arial" w:eastAsia="Arial" w:hAnsi="Arial"/>
          <w:sz w:val="16"/>
          <w:szCs w:val="16"/>
          <w:color w:val="auto"/>
        </w:rPr>
        <w:t>Played a key role in executing our financing strategies, which included refinancing $2.2 billion of debt at historically low rates and issuing $2.1 billion of bonds to fund a tender offer for high coupon debt.</w:t>
      </w:r>
    </w:p>
    <w:p>
      <w:pPr>
        <w:spacing w:after="0" w:line="108" w:lineRule="exact"/>
        <w:rPr>
          <w:sz w:val="20"/>
          <w:szCs w:val="20"/>
          <w:color w:val="auto"/>
        </w:rPr>
      </w:pPr>
    </w:p>
    <w:p>
      <w:pPr>
        <w:ind w:left="260" w:hanging="253"/>
        <w:spacing w:after="0"/>
        <w:tabs>
          <w:tab w:leader="none" w:pos="260" w:val="left"/>
        </w:tabs>
        <w:numPr>
          <w:ilvl w:val="0"/>
          <w:numId w:val="16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31" w:hanging="131"/>
        <w:spacing w:after="0" w:line="248" w:lineRule="auto"/>
        <w:tabs>
          <w:tab w:leader="none" w:pos="131" w:val="left"/>
        </w:tabs>
        <w:numPr>
          <w:ilvl w:val="0"/>
          <w:numId w:val="161"/>
        </w:numPr>
        <w:rPr>
          <w:rFonts w:ascii="Arial" w:cs="Arial" w:eastAsia="Arial" w:hAnsi="Arial"/>
          <w:sz w:val="16"/>
          <w:szCs w:val="16"/>
          <w:color w:val="CE0F2D"/>
        </w:rPr>
      </w:pPr>
      <w:r>
        <w:rPr>
          <w:rFonts w:ascii="Arial" w:cs="Arial" w:eastAsia="Arial" w:hAnsi="Arial"/>
          <w:sz w:val="16"/>
          <w:szCs w:val="16"/>
          <w:color w:val="auto"/>
        </w:rPr>
        <w:t>Led RTX’s disciplined capital allocation strategy, which included investing $7.2 billion in Company-and customer-funded research and development, returning to our shareowners over $5.3 billion in share repurchases and dividends, and increasing our dividend per share by 7.4%.*</w:t>
      </w:r>
    </w:p>
    <w:p>
      <w:pPr>
        <w:spacing w:after="0" w:line="176" w:lineRule="exact"/>
        <w:rPr>
          <w:rFonts w:ascii="Arial" w:cs="Arial" w:eastAsia="Arial" w:hAnsi="Arial"/>
          <w:sz w:val="16"/>
          <w:szCs w:val="16"/>
          <w:color w:val="CE0F2D"/>
        </w:rPr>
      </w:pPr>
    </w:p>
    <w:p>
      <w:pPr>
        <w:ind w:left="131" w:right="240" w:hanging="131"/>
        <w:spacing w:after="0" w:line="244" w:lineRule="auto"/>
        <w:tabs>
          <w:tab w:leader="none" w:pos="131" w:val="left"/>
        </w:tabs>
        <w:numPr>
          <w:ilvl w:val="0"/>
          <w:numId w:val="161"/>
        </w:numPr>
        <w:rPr>
          <w:rFonts w:ascii="Arial" w:cs="Arial" w:eastAsia="Arial" w:hAnsi="Arial"/>
          <w:sz w:val="16"/>
          <w:szCs w:val="16"/>
          <w:color w:val="CE0F2D"/>
        </w:rPr>
      </w:pPr>
      <w:r>
        <w:rPr>
          <w:rFonts w:ascii="Arial" w:cs="Arial" w:eastAsia="Arial" w:hAnsi="Arial"/>
          <w:sz w:val="16"/>
          <w:szCs w:val="16"/>
          <w:color w:val="auto"/>
        </w:rPr>
        <w:t>Exceeded the 2021 cost synergy target and achieved $760 million in gross synergies for the year, while increasing our total gross synergies goal expected within four years of the Merger from $1 billion to</w:t>
      </w:r>
    </w:p>
    <w:p>
      <w:pPr>
        <w:spacing w:after="0" w:line="1" w:lineRule="exact"/>
        <w:rPr>
          <w:rFonts w:ascii="Arial" w:cs="Arial" w:eastAsia="Arial" w:hAnsi="Arial"/>
          <w:sz w:val="16"/>
          <w:szCs w:val="16"/>
          <w:color w:val="CE0F2D"/>
        </w:rPr>
      </w:pPr>
    </w:p>
    <w:p>
      <w:pPr>
        <w:ind w:left="131"/>
        <w:spacing w:after="0"/>
        <w:rPr>
          <w:rFonts w:ascii="Arial" w:cs="Arial" w:eastAsia="Arial" w:hAnsi="Arial"/>
          <w:sz w:val="16"/>
          <w:szCs w:val="16"/>
          <w:color w:val="CE0F2D"/>
        </w:rPr>
      </w:pPr>
      <w:r>
        <w:rPr>
          <w:rFonts w:ascii="Arial" w:cs="Arial" w:eastAsia="Arial" w:hAnsi="Arial"/>
          <w:sz w:val="16"/>
          <w:szCs w:val="16"/>
          <w:color w:val="auto"/>
        </w:rPr>
        <w:t>$1.5 billion.</w:t>
      </w:r>
    </w:p>
    <w:p>
      <w:pPr>
        <w:spacing w:after="0" w:line="190" w:lineRule="exact"/>
        <w:rPr>
          <w:rFonts w:ascii="Arial" w:cs="Arial" w:eastAsia="Arial" w:hAnsi="Arial"/>
          <w:sz w:val="16"/>
          <w:szCs w:val="16"/>
          <w:color w:val="CE0F2D"/>
        </w:rPr>
      </w:pPr>
    </w:p>
    <w:p>
      <w:pPr>
        <w:ind w:left="131" w:right="240" w:hanging="131"/>
        <w:spacing w:after="0" w:line="250" w:lineRule="auto"/>
        <w:tabs>
          <w:tab w:leader="none" w:pos="131" w:val="left"/>
        </w:tabs>
        <w:numPr>
          <w:ilvl w:val="0"/>
          <w:numId w:val="161"/>
        </w:numPr>
        <w:rPr>
          <w:rFonts w:ascii="Arial" w:cs="Arial" w:eastAsia="Arial" w:hAnsi="Arial"/>
          <w:sz w:val="16"/>
          <w:szCs w:val="16"/>
          <w:color w:val="CE0F2D"/>
        </w:rPr>
      </w:pPr>
      <w:r>
        <w:rPr>
          <w:rFonts w:ascii="Arial" w:cs="Arial" w:eastAsia="Arial" w:hAnsi="Arial"/>
          <w:sz w:val="16"/>
          <w:szCs w:val="16"/>
          <w:color w:val="auto"/>
        </w:rPr>
        <w:t>Enhanced our shareowner outreach efforts by leading our first RTX Investor Day, hosting two major conferences and meeting with most of our top 25 investors during the year.</w:t>
      </w:r>
    </w:p>
    <w:p>
      <w:pPr>
        <w:spacing w:after="0" w:line="174" w:lineRule="exact"/>
        <w:rPr>
          <w:rFonts w:ascii="Arial" w:cs="Arial" w:eastAsia="Arial" w:hAnsi="Arial"/>
          <w:sz w:val="16"/>
          <w:szCs w:val="16"/>
          <w:color w:val="CE0F2D"/>
        </w:rPr>
      </w:pPr>
    </w:p>
    <w:p>
      <w:pPr>
        <w:ind w:left="131" w:hanging="131"/>
        <w:spacing w:after="0"/>
        <w:tabs>
          <w:tab w:leader="none" w:pos="131" w:val="left"/>
        </w:tabs>
        <w:numPr>
          <w:ilvl w:val="0"/>
          <w:numId w:val="161"/>
        </w:numPr>
        <w:rPr>
          <w:rFonts w:ascii="Arial" w:cs="Arial" w:eastAsia="Arial" w:hAnsi="Arial"/>
          <w:sz w:val="16"/>
          <w:szCs w:val="16"/>
          <w:color w:val="CE0F2D"/>
        </w:rPr>
      </w:pPr>
      <w:r>
        <w:rPr>
          <w:rFonts w:ascii="Arial" w:cs="Arial" w:eastAsia="Arial" w:hAnsi="Arial"/>
          <w:sz w:val="16"/>
          <w:szCs w:val="16"/>
          <w:color w:val="auto"/>
        </w:rPr>
        <w:t>Maintained strong internal controls over financial reporting.</w:t>
      </w:r>
    </w:p>
    <w:p>
      <w:pPr>
        <w:spacing w:after="0" w:line="183" w:lineRule="exact"/>
        <w:rPr>
          <w:sz w:val="20"/>
          <w:szCs w:val="20"/>
          <w:color w:val="auto"/>
        </w:rPr>
      </w:pPr>
    </w:p>
    <w:p>
      <w:pPr>
        <w:ind w:left="171" w:right="120" w:hanging="171"/>
        <w:spacing w:after="0" w:line="252" w:lineRule="auto"/>
        <w:tabs>
          <w:tab w:leader="none" w:pos="171" w:val="left"/>
        </w:tabs>
        <w:numPr>
          <w:ilvl w:val="0"/>
          <w:numId w:val="162"/>
        </w:numPr>
        <w:rPr>
          <w:rFonts w:ascii="Arial" w:cs="Arial" w:eastAsia="Arial" w:hAnsi="Arial"/>
          <w:sz w:val="12"/>
          <w:szCs w:val="12"/>
          <w:color w:val="auto"/>
        </w:rPr>
      </w:pPr>
      <w:r>
        <w:rPr>
          <w:rFonts w:ascii="Arial" w:cs="Arial" w:eastAsia="Arial" w:hAnsi="Arial"/>
          <w:sz w:val="12"/>
          <w:szCs w:val="12"/>
          <w:color w:val="auto"/>
        </w:rPr>
        <w:t>In the second quarter of 2021, we increased our quarterly dividend from $0.475 per share to $0.51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514985</wp:posOffset>
            </wp:positionV>
            <wp:extent cx="715454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80" w:space="469"/>
            <w:col w:w="5371"/>
          </w:cols>
          <w:pgMar w:left="320" w:top="118" w:right="35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3601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3590" cy="1360170"/>
                    </a:xfrm>
                    <a:prstGeom prst="rect">
                      <a:avLst/>
                    </a:prstGeom>
                    <a:noFill/>
                  </pic:spPr>
                </pic:pic>
              </a:graphicData>
            </a:graphic>
          </wp:anchor>
        </w:drawing>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E0F2D"/>
        </w:rPr>
        <w:t>Michael R. Dumais</w:t>
      </w:r>
    </w:p>
    <w:p>
      <w:pPr>
        <w:spacing w:after="0" w:line="147" w:lineRule="exact"/>
        <w:rPr>
          <w:sz w:val="20"/>
          <w:szCs w:val="20"/>
          <w:color w:val="auto"/>
        </w:rPr>
      </w:pPr>
    </w:p>
    <w:p>
      <w:pPr>
        <w:ind w:left="100"/>
        <w:spacing w:after="0"/>
        <w:rPr>
          <w:sz w:val="20"/>
          <w:szCs w:val="20"/>
          <w:color w:val="auto"/>
        </w:rPr>
      </w:pPr>
      <w:r>
        <w:rPr>
          <w:rFonts w:ascii="Arial" w:cs="Arial" w:eastAsia="Arial" w:hAnsi="Arial"/>
          <w:sz w:val="20"/>
          <w:szCs w:val="20"/>
          <w:color w:val="auto"/>
        </w:rPr>
        <w:t>Executive Vice President,</w:t>
      </w:r>
    </w:p>
    <w:p>
      <w:pPr>
        <w:ind w:left="100"/>
        <w:spacing w:after="0"/>
        <w:rPr>
          <w:sz w:val="20"/>
          <w:szCs w:val="20"/>
          <w:color w:val="auto"/>
        </w:rPr>
      </w:pPr>
      <w:r>
        <w:rPr>
          <w:rFonts w:ascii="Arial" w:cs="Arial" w:eastAsia="Arial" w:hAnsi="Arial"/>
          <w:sz w:val="20"/>
          <w:szCs w:val="20"/>
          <w:color w:val="auto"/>
        </w:rPr>
        <w:t>Chief Transformation Officer</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AGE 55</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RTX EXPERIENCE 23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569595</wp:posOffset>
            </wp:positionV>
            <wp:extent cx="3018155" cy="187071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018155" cy="18707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Mr. Dumais served as Executive Vice President, Corporate Strategy &amp; Development until January 11, 2021, when he was appointed to the role of Executive Vice President, Chief Transformation Officer.</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6"/>
          <w:szCs w:val="16"/>
          <w:b w:val="1"/>
          <w:bCs w:val="1"/>
          <w:color w:val="CE0F2D"/>
        </w:rPr>
        <w:t xml:space="preserve">Base Salary. </w:t>
      </w:r>
      <w:r>
        <w:rPr>
          <w:rFonts w:ascii="Arial" w:cs="Arial" w:eastAsia="Arial" w:hAnsi="Arial"/>
          <w:sz w:val="16"/>
          <w:szCs w:val="16"/>
          <w:color w:val="000000"/>
        </w:rPr>
        <w:t>Mr. Dumais received a merit increase to his base salary from</w:t>
      </w:r>
      <w:r>
        <w:rPr>
          <w:rFonts w:ascii="Arial" w:cs="Arial" w:eastAsia="Arial" w:hAnsi="Arial"/>
          <w:sz w:val="16"/>
          <w:szCs w:val="16"/>
          <w:b w:val="1"/>
          <w:bCs w:val="1"/>
          <w:color w:val="CE0F2D"/>
        </w:rPr>
        <w:t xml:space="preserve"> </w:t>
      </w:r>
      <w:r>
        <w:rPr>
          <w:rFonts w:ascii="Arial" w:cs="Arial" w:eastAsia="Arial" w:hAnsi="Arial"/>
          <w:sz w:val="16"/>
          <w:szCs w:val="16"/>
          <w:color w:val="000000"/>
        </w:rPr>
        <w:t>$850,000 to $880,000 during 2021. This increase reflected the Committee’s favorable assessment of his performance, as well as efforts to keep his base salary aligned with the CPG market median for his role. Following the increase, Mr. Dumais was slightly above the market median for his role.</w:t>
      </w:r>
    </w:p>
    <w:p>
      <w:pPr>
        <w:spacing w:after="0" w:line="124"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b w:val="1"/>
          <w:bCs w:val="1"/>
          <w:color w:val="CE0F2D"/>
        </w:rPr>
        <w:t xml:space="preserve">Annual Incentive Award. </w:t>
      </w:r>
      <w:r>
        <w:rPr>
          <w:rFonts w:ascii="Arial" w:cs="Arial" w:eastAsia="Arial" w:hAnsi="Arial"/>
          <w:sz w:val="16"/>
          <w:szCs w:val="16"/>
          <w:color w:val="000000"/>
        </w:rPr>
        <w:t>The Committee approved a Corporate</w:t>
      </w:r>
      <w:r>
        <w:rPr>
          <w:rFonts w:ascii="Arial" w:cs="Arial" w:eastAsia="Arial" w:hAnsi="Arial"/>
          <w:sz w:val="16"/>
          <w:szCs w:val="16"/>
          <w:b w:val="1"/>
          <w:bCs w:val="1"/>
          <w:color w:val="CE0F2D"/>
        </w:rPr>
        <w:t xml:space="preserve"> </w:t>
      </w:r>
      <w:r>
        <w:rPr>
          <w:rFonts w:ascii="Arial" w:cs="Arial" w:eastAsia="Arial" w:hAnsi="Arial"/>
          <w:sz w:val="16"/>
          <w:szCs w:val="16"/>
          <w:color w:val="000000"/>
        </w:rPr>
        <w:t>performance factor of 156% of target. The Committee considered this factor, Mr. Dumais’ effective leadership, and the individual performance considerations noted here, and awarded him a $1.2 million award for 2021, an amount which aligns with Corporate performance factor.</w:t>
      </w:r>
    </w:p>
    <w:p>
      <w:pPr>
        <w:spacing w:after="0" w:line="124"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b w:val="1"/>
          <w:bCs w:val="1"/>
          <w:color w:val="CE0F2D"/>
        </w:rPr>
        <w:t xml:space="preserve">LTI. </w:t>
      </w:r>
      <w:r>
        <w:rPr>
          <w:rFonts w:ascii="Arial" w:cs="Arial" w:eastAsia="Arial" w:hAnsi="Arial"/>
          <w:sz w:val="16"/>
          <w:szCs w:val="16"/>
          <w:color w:val="000000"/>
        </w:rPr>
        <w:t>Mr. Dumais did not receive a LTI award in 2022 since he is expected to</w:t>
      </w:r>
      <w:r>
        <w:rPr>
          <w:rFonts w:ascii="Arial" w:cs="Arial" w:eastAsia="Arial" w:hAnsi="Arial"/>
          <w:sz w:val="16"/>
          <w:szCs w:val="16"/>
          <w:b w:val="1"/>
          <w:bCs w:val="1"/>
          <w:color w:val="CE0F2D"/>
        </w:rPr>
        <w:t xml:space="preserve"> </w:t>
      </w:r>
      <w:r>
        <w:rPr>
          <w:rFonts w:ascii="Arial" w:cs="Arial" w:eastAsia="Arial" w:hAnsi="Arial"/>
          <w:sz w:val="16"/>
          <w:szCs w:val="16"/>
          <w:color w:val="000000"/>
        </w:rPr>
        <w:t>transition into a consulting role later in the year.</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1" w:lineRule="exact"/>
        <w:rPr>
          <w:sz w:val="20"/>
          <w:szCs w:val="20"/>
          <w:color w:val="auto"/>
        </w:rPr>
      </w:pPr>
    </w:p>
    <w:p>
      <w:pPr>
        <w:ind w:left="140" w:right="60" w:hanging="133"/>
        <w:spacing w:after="0" w:line="256" w:lineRule="auto"/>
        <w:tabs>
          <w:tab w:leader="none" w:pos="140" w:val="left"/>
        </w:tabs>
        <w:numPr>
          <w:ilvl w:val="0"/>
          <w:numId w:val="163"/>
        </w:numPr>
        <w:rPr>
          <w:rFonts w:ascii="Arial" w:cs="Arial" w:eastAsia="Arial" w:hAnsi="Arial"/>
          <w:sz w:val="16"/>
          <w:szCs w:val="16"/>
          <w:color w:val="CE0F2D"/>
        </w:rPr>
      </w:pPr>
      <w:r>
        <w:rPr>
          <w:rFonts w:ascii="Arial" w:cs="Arial" w:eastAsia="Arial" w:hAnsi="Arial"/>
          <w:sz w:val="16"/>
          <w:szCs w:val="16"/>
          <w:color w:val="auto"/>
        </w:rPr>
        <w:t>Actively managed our business portfolio, with a focus on adding strategic capabilities and divesting of non-core businesses, including:</w:t>
      </w:r>
    </w:p>
    <w:p>
      <w:pPr>
        <w:spacing w:after="0" w:line="169" w:lineRule="exact"/>
        <w:rPr>
          <w:rFonts w:ascii="Arial" w:cs="Arial" w:eastAsia="Arial" w:hAnsi="Arial"/>
          <w:sz w:val="16"/>
          <w:szCs w:val="16"/>
          <w:color w:val="CE0F2D"/>
        </w:rPr>
      </w:pPr>
    </w:p>
    <w:p>
      <w:pPr>
        <w:ind w:left="280" w:right="120" w:hanging="134"/>
        <w:spacing w:after="0" w:line="250" w:lineRule="auto"/>
        <w:rPr>
          <w:rFonts w:ascii="Arial" w:cs="Arial" w:eastAsia="Arial" w:hAnsi="Arial"/>
          <w:sz w:val="16"/>
          <w:szCs w:val="16"/>
          <w:color w:val="CE0F2D"/>
        </w:rPr>
      </w:pPr>
      <w:r>
        <w:rPr>
          <w:rFonts w:ascii="Arial" w:cs="Arial" w:eastAsia="Arial" w:hAnsi="Arial"/>
          <w:sz w:val="16"/>
          <w:szCs w:val="16"/>
          <w:color w:val="auto"/>
        </w:rPr>
        <w:t>– Acquisition of FlightAware, which will accelerate Collins Aerospace’s Connected Ecosystem strategy to transform the aftermarket with more connected, data-driven solutions</w:t>
      </w:r>
    </w:p>
    <w:p>
      <w:pPr>
        <w:spacing w:after="0" w:line="174" w:lineRule="exact"/>
        <w:rPr>
          <w:rFonts w:ascii="Arial" w:cs="Arial" w:eastAsia="Arial" w:hAnsi="Arial"/>
          <w:sz w:val="16"/>
          <w:szCs w:val="16"/>
          <w:color w:val="CE0F2D"/>
        </w:rPr>
      </w:pPr>
    </w:p>
    <w:p>
      <w:pPr>
        <w:ind w:left="280" w:right="260" w:hanging="134"/>
        <w:spacing w:after="0" w:line="256" w:lineRule="auto"/>
        <w:rPr>
          <w:rFonts w:ascii="Arial" w:cs="Arial" w:eastAsia="Arial" w:hAnsi="Arial"/>
          <w:sz w:val="16"/>
          <w:szCs w:val="16"/>
          <w:color w:val="CE0F2D"/>
        </w:rPr>
      </w:pPr>
      <w:r>
        <w:rPr>
          <w:rFonts w:ascii="Arial" w:cs="Arial" w:eastAsia="Arial" w:hAnsi="Arial"/>
          <w:sz w:val="16"/>
          <w:szCs w:val="16"/>
          <w:color w:val="auto"/>
        </w:rPr>
        <w:t>– Acquisition of SEAKR Engineering to strengthen RI&amp;S’ space-based capabilities and offerings</w:t>
      </w:r>
    </w:p>
    <w:p>
      <w:pPr>
        <w:spacing w:after="0" w:line="169" w:lineRule="exact"/>
        <w:rPr>
          <w:rFonts w:ascii="Arial" w:cs="Arial" w:eastAsia="Arial" w:hAnsi="Arial"/>
          <w:sz w:val="16"/>
          <w:szCs w:val="16"/>
          <w:color w:val="CE0F2D"/>
        </w:rPr>
      </w:pPr>
    </w:p>
    <w:p>
      <w:pPr>
        <w:ind w:left="140"/>
        <w:spacing w:after="0"/>
        <w:rPr>
          <w:rFonts w:ascii="Arial" w:cs="Arial" w:eastAsia="Arial" w:hAnsi="Arial"/>
          <w:sz w:val="16"/>
          <w:szCs w:val="16"/>
          <w:color w:val="CE0F2D"/>
        </w:rPr>
      </w:pPr>
      <w:r>
        <w:rPr>
          <w:rFonts w:ascii="Arial" w:cs="Arial" w:eastAsia="Arial" w:hAnsi="Arial"/>
          <w:sz w:val="16"/>
          <w:szCs w:val="16"/>
          <w:color w:val="auto"/>
        </w:rPr>
        <w:t>– Divestiture of the RI&amp;S Global Training &amp; Services business</w:t>
      </w:r>
    </w:p>
    <w:p>
      <w:pPr>
        <w:spacing w:after="0" w:line="190" w:lineRule="exact"/>
        <w:rPr>
          <w:rFonts w:ascii="Arial" w:cs="Arial" w:eastAsia="Arial" w:hAnsi="Arial"/>
          <w:sz w:val="16"/>
          <w:szCs w:val="16"/>
          <w:color w:val="CE0F2D"/>
        </w:rPr>
      </w:pPr>
    </w:p>
    <w:p>
      <w:pPr>
        <w:ind w:left="280" w:right="340" w:hanging="134"/>
        <w:spacing w:after="0" w:line="250" w:lineRule="auto"/>
        <w:rPr>
          <w:rFonts w:ascii="Arial" w:cs="Arial" w:eastAsia="Arial" w:hAnsi="Arial"/>
          <w:sz w:val="16"/>
          <w:szCs w:val="16"/>
          <w:color w:val="CE0F2D"/>
        </w:rPr>
      </w:pPr>
      <w:r>
        <w:rPr>
          <w:rFonts w:ascii="Arial" w:cs="Arial" w:eastAsia="Arial" w:hAnsi="Arial"/>
          <w:sz w:val="16"/>
          <w:szCs w:val="16"/>
          <w:color w:val="auto"/>
        </w:rPr>
        <w:t>– Acquisition of Dutch Thermoplastic Components, which will enable Collins Aerospace to manufacture lower cost and lighter aerospace composite parts</w:t>
      </w:r>
    </w:p>
    <w:p>
      <w:pPr>
        <w:spacing w:after="0" w:line="174" w:lineRule="exact"/>
        <w:rPr>
          <w:rFonts w:ascii="Arial" w:cs="Arial" w:eastAsia="Arial" w:hAnsi="Arial"/>
          <w:sz w:val="16"/>
          <w:szCs w:val="16"/>
          <w:color w:val="CE0F2D"/>
        </w:rPr>
      </w:pPr>
    </w:p>
    <w:p>
      <w:pPr>
        <w:ind w:left="140"/>
        <w:spacing w:after="0"/>
        <w:rPr>
          <w:rFonts w:ascii="Arial" w:cs="Arial" w:eastAsia="Arial" w:hAnsi="Arial"/>
          <w:sz w:val="16"/>
          <w:szCs w:val="16"/>
          <w:color w:val="CE0F2D"/>
        </w:rPr>
      </w:pPr>
      <w:r>
        <w:rPr>
          <w:rFonts w:ascii="Arial" w:cs="Arial" w:eastAsia="Arial" w:hAnsi="Arial"/>
          <w:sz w:val="16"/>
          <w:szCs w:val="16"/>
          <w:color w:val="auto"/>
        </w:rPr>
        <w:t>– Divestiture of Collins Aerospace’s Delavan Industrial Nozzles business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71" w:right="180" w:hanging="171"/>
        <w:spacing w:after="0" w:line="250" w:lineRule="auto"/>
        <w:tabs>
          <w:tab w:leader="none" w:pos="171" w:val="left"/>
        </w:tabs>
        <w:numPr>
          <w:ilvl w:val="0"/>
          <w:numId w:val="164"/>
        </w:numPr>
        <w:rPr>
          <w:rFonts w:ascii="Arial" w:cs="Arial" w:eastAsia="Arial" w:hAnsi="Arial"/>
          <w:sz w:val="16"/>
          <w:szCs w:val="16"/>
          <w:color w:val="CE0F2D"/>
        </w:rPr>
      </w:pPr>
      <w:r>
        <w:rPr>
          <w:rFonts w:ascii="Arial" w:cs="Arial" w:eastAsia="Arial" w:hAnsi="Arial"/>
          <w:sz w:val="16"/>
          <w:szCs w:val="16"/>
          <w:color w:val="auto"/>
        </w:rPr>
        <w:t>Led the Company’s Merger cost synergies efforts, which resulted in a total of $760 million in gross Merger cost synergies during the year and $1 billion since completing the Merger.</w:t>
      </w:r>
    </w:p>
    <w:p>
      <w:pPr>
        <w:spacing w:after="0" w:line="188" w:lineRule="exact"/>
        <w:rPr>
          <w:rFonts w:ascii="Arial" w:cs="Arial" w:eastAsia="Arial" w:hAnsi="Arial"/>
          <w:sz w:val="16"/>
          <w:szCs w:val="16"/>
          <w:color w:val="CE0F2D"/>
        </w:rPr>
      </w:pPr>
    </w:p>
    <w:p>
      <w:pPr>
        <w:ind w:left="171" w:right="80" w:hanging="171"/>
        <w:spacing w:after="0" w:line="256" w:lineRule="auto"/>
        <w:tabs>
          <w:tab w:leader="none" w:pos="171" w:val="left"/>
        </w:tabs>
        <w:numPr>
          <w:ilvl w:val="0"/>
          <w:numId w:val="164"/>
        </w:numPr>
        <w:rPr>
          <w:rFonts w:ascii="Arial" w:cs="Arial" w:eastAsia="Arial" w:hAnsi="Arial"/>
          <w:sz w:val="16"/>
          <w:szCs w:val="16"/>
          <w:color w:val="CE0F2D"/>
        </w:rPr>
      </w:pPr>
      <w:r>
        <w:rPr>
          <w:rFonts w:ascii="Arial" w:cs="Arial" w:eastAsia="Arial" w:hAnsi="Arial"/>
          <w:sz w:val="16"/>
          <w:szCs w:val="16"/>
          <w:color w:val="auto"/>
        </w:rPr>
        <w:t>Oversaw the ongoing Merger integration efforts, including harmonization of Company policies, processes, and systems.</w:t>
      </w:r>
    </w:p>
    <w:p>
      <w:pPr>
        <w:spacing w:after="0" w:line="183" w:lineRule="exact"/>
        <w:rPr>
          <w:rFonts w:ascii="Arial" w:cs="Arial" w:eastAsia="Arial" w:hAnsi="Arial"/>
          <w:sz w:val="16"/>
          <w:szCs w:val="16"/>
          <w:color w:val="CE0F2D"/>
        </w:rPr>
      </w:pPr>
    </w:p>
    <w:p>
      <w:pPr>
        <w:ind w:left="171" w:right="220" w:hanging="171"/>
        <w:spacing w:after="0" w:line="250" w:lineRule="auto"/>
        <w:tabs>
          <w:tab w:leader="none" w:pos="171" w:val="left"/>
        </w:tabs>
        <w:numPr>
          <w:ilvl w:val="0"/>
          <w:numId w:val="164"/>
        </w:numPr>
        <w:rPr>
          <w:rFonts w:ascii="Arial" w:cs="Arial" w:eastAsia="Arial" w:hAnsi="Arial"/>
          <w:sz w:val="16"/>
          <w:szCs w:val="16"/>
          <w:color w:val="CE0F2D"/>
        </w:rPr>
      </w:pPr>
      <w:r>
        <w:rPr>
          <w:rFonts w:ascii="Arial" w:cs="Arial" w:eastAsia="Arial" w:hAnsi="Arial"/>
          <w:sz w:val="16"/>
          <w:szCs w:val="16"/>
          <w:color w:val="auto"/>
        </w:rPr>
        <w:t>Chaired the cross-business unit Revenue Synergy Council that has developed and matured a pipeline of over $10 billion in potential future award opportunities.</w:t>
      </w:r>
    </w:p>
    <w:p>
      <w:pPr>
        <w:spacing w:after="0" w:line="188" w:lineRule="exact"/>
        <w:rPr>
          <w:rFonts w:ascii="Arial" w:cs="Arial" w:eastAsia="Arial" w:hAnsi="Arial"/>
          <w:sz w:val="16"/>
          <w:szCs w:val="16"/>
          <w:color w:val="CE0F2D"/>
        </w:rPr>
      </w:pPr>
    </w:p>
    <w:p>
      <w:pPr>
        <w:ind w:left="171" w:right="100" w:hanging="171"/>
        <w:spacing w:after="0" w:line="250" w:lineRule="auto"/>
        <w:tabs>
          <w:tab w:leader="none" w:pos="171" w:val="left"/>
        </w:tabs>
        <w:numPr>
          <w:ilvl w:val="0"/>
          <w:numId w:val="164"/>
        </w:numPr>
        <w:rPr>
          <w:rFonts w:ascii="Arial" w:cs="Arial" w:eastAsia="Arial" w:hAnsi="Arial"/>
          <w:sz w:val="16"/>
          <w:szCs w:val="16"/>
          <w:color w:val="CE0F2D"/>
        </w:rPr>
      </w:pPr>
      <w:r>
        <w:rPr>
          <w:rFonts w:ascii="Arial" w:cs="Arial" w:eastAsia="Arial" w:hAnsi="Arial"/>
          <w:sz w:val="16"/>
          <w:szCs w:val="16"/>
          <w:color w:val="auto"/>
        </w:rPr>
        <w:t>Led the development of RTX Ventures, which was officially launched in February 2022, to pursue ownership stakes and licensing arrangements with emerging high technology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71120</wp:posOffset>
            </wp:positionV>
            <wp:extent cx="715454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380" w:space="469"/>
            <w:col w:w="5391"/>
          </w:cols>
          <w:pgMar w:left="320" w:top="118" w:right="33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17348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3590" cy="1173480"/>
                    </a:xfrm>
                    <a:prstGeom prst="rect">
                      <a:avLst/>
                    </a:prstGeom>
                    <a:noFill/>
                  </pic:spPr>
                </pic:pic>
              </a:graphicData>
            </a:graphic>
          </wp:anchor>
        </w:drawing>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E0F2D"/>
        </w:rPr>
        <w:t>Christopher T. Calio</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Chief Operating Officer</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AGE 48</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RTX EXPERIENCE 16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3711575</wp:posOffset>
            </wp:positionH>
            <wp:positionV relativeFrom="paragraph">
              <wp:posOffset>518160</wp:posOffset>
            </wp:positionV>
            <wp:extent cx="3418205" cy="1913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18205" cy="1913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Mr. Calio served in the role of President, Pratt &amp; Whitney until March 1, 2022, when he was appointed to the role of Chief Operating Officer.</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Base Salary. </w:t>
      </w:r>
      <w:r>
        <w:rPr>
          <w:rFonts w:ascii="Arial" w:cs="Arial" w:eastAsia="Arial" w:hAnsi="Arial"/>
          <w:sz w:val="16"/>
          <w:szCs w:val="16"/>
          <w:color w:val="000000"/>
        </w:rPr>
        <w:t>Mr. Calio received a merit increase to his base salary from</w:t>
      </w:r>
    </w:p>
    <w:p>
      <w:pPr>
        <w:spacing w:after="0" w:line="23"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$700,000 to $750,000 during 2021. This increase reflected the Committee’s favorable assessment of his performance, as well as efforts to more closely align his base salary with the CPG market median for his role. Following the increase, Mr. Calio’s base salary remained below the CPG median for the role of President, Pratt &amp; Whitney.</w:t>
      </w:r>
    </w:p>
    <w:p>
      <w:pPr>
        <w:spacing w:after="0" w:line="131"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color w:val="CE0F2D"/>
        </w:rPr>
        <w:t xml:space="preserve">Annual Incentive Award. </w:t>
      </w:r>
      <w:r>
        <w:rPr>
          <w:rFonts w:ascii="Arial" w:cs="Arial" w:eastAsia="Arial" w:hAnsi="Arial"/>
          <w:sz w:val="16"/>
          <w:szCs w:val="16"/>
          <w:color w:val="000000"/>
        </w:rPr>
        <w:t>The Committee approved a performance factor</w:t>
      </w:r>
      <w:r>
        <w:rPr>
          <w:rFonts w:ascii="Arial" w:cs="Arial" w:eastAsia="Arial" w:hAnsi="Arial"/>
          <w:sz w:val="16"/>
          <w:szCs w:val="16"/>
          <w:b w:val="1"/>
          <w:bCs w:val="1"/>
          <w:color w:val="CE0F2D"/>
        </w:rPr>
        <w:t xml:space="preserve"> </w:t>
      </w:r>
      <w:r>
        <w:rPr>
          <w:rFonts w:ascii="Arial" w:cs="Arial" w:eastAsia="Arial" w:hAnsi="Arial"/>
          <w:sz w:val="16"/>
          <w:szCs w:val="16"/>
          <w:color w:val="000000"/>
        </w:rPr>
        <w:t>of 150% of target for Pratt &amp; Whitney. The Committee considered this factor, Mr. Calio’s effective leadership of Pratt &amp; Whitney, and the individual performance considerations noted here, and awarded him a $1.2 million award for 2021. This amount is slightly above the Pratt &amp; Whitney performance factor.</w:t>
      </w:r>
    </w:p>
    <w:p>
      <w:pPr>
        <w:spacing w:after="0" w:line="126" w:lineRule="exact"/>
        <w:rPr>
          <w:sz w:val="20"/>
          <w:szCs w:val="20"/>
          <w:color w:val="auto"/>
        </w:rPr>
      </w:pPr>
    </w:p>
    <w:p>
      <w:pPr>
        <w:ind w:right="320"/>
        <w:spacing w:after="0" w:line="257" w:lineRule="auto"/>
        <w:rPr>
          <w:sz w:val="20"/>
          <w:szCs w:val="20"/>
          <w:color w:val="auto"/>
        </w:rPr>
      </w:pPr>
      <w:r>
        <w:rPr>
          <w:rFonts w:ascii="Arial" w:cs="Arial" w:eastAsia="Arial" w:hAnsi="Arial"/>
          <w:sz w:val="16"/>
          <w:szCs w:val="16"/>
          <w:b w:val="1"/>
          <w:bCs w:val="1"/>
          <w:color w:val="CE0F2D"/>
        </w:rPr>
        <w:t xml:space="preserve">LTI. </w:t>
      </w:r>
      <w:r>
        <w:rPr>
          <w:rFonts w:ascii="Arial" w:cs="Arial" w:eastAsia="Arial" w:hAnsi="Arial"/>
          <w:sz w:val="16"/>
          <w:szCs w:val="16"/>
          <w:color w:val="000000"/>
        </w:rPr>
        <w:t>In consideration for Mr. Calio’s strong performance and his</w:t>
      </w:r>
      <w:r>
        <w:rPr>
          <w:rFonts w:ascii="Arial" w:cs="Arial" w:eastAsia="Arial" w:hAnsi="Arial"/>
          <w:sz w:val="16"/>
          <w:szCs w:val="16"/>
          <w:b w:val="1"/>
          <w:bCs w:val="1"/>
          <w:color w:val="CE0F2D"/>
        </w:rPr>
        <w:t xml:space="preserve"> </w:t>
      </w:r>
      <w:r>
        <w:rPr>
          <w:rFonts w:ascii="Arial" w:cs="Arial" w:eastAsia="Arial" w:hAnsi="Arial"/>
          <w:sz w:val="16"/>
          <w:szCs w:val="16"/>
          <w:color w:val="000000"/>
        </w:rPr>
        <w:t>appointment to the role of Chief Operating Officer of the Company, the Committee approved a 2022 long-term incentive award of $7 million, an amount which is moderately above the market median for his new role.</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01" w:lineRule="exact"/>
        <w:rPr>
          <w:sz w:val="20"/>
          <w:szCs w:val="20"/>
          <w:color w:val="auto"/>
        </w:rPr>
      </w:pPr>
    </w:p>
    <w:p>
      <w:pPr>
        <w:ind w:left="240" w:right="80" w:hanging="233"/>
        <w:spacing w:after="0" w:line="256" w:lineRule="auto"/>
        <w:tabs>
          <w:tab w:leader="none" w:pos="240" w:val="left"/>
        </w:tabs>
        <w:numPr>
          <w:ilvl w:val="0"/>
          <w:numId w:val="165"/>
        </w:numPr>
        <w:rPr>
          <w:rFonts w:ascii="Arial" w:cs="Arial" w:eastAsia="Arial" w:hAnsi="Arial"/>
          <w:sz w:val="16"/>
          <w:szCs w:val="16"/>
          <w:color w:val="CE0F2D"/>
        </w:rPr>
      </w:pPr>
      <w:r>
        <w:rPr>
          <w:rFonts w:ascii="Arial" w:cs="Arial" w:eastAsia="Arial" w:hAnsi="Arial"/>
          <w:sz w:val="16"/>
          <w:szCs w:val="16"/>
          <w:color w:val="auto"/>
        </w:rPr>
        <w:t>Achieved the successful first flight of Dassault’s Falcon 6X business jet, powered by two cutting-edge PW812D engines.</w:t>
      </w:r>
    </w:p>
    <w:p>
      <w:pPr>
        <w:spacing w:after="0" w:line="169" w:lineRule="exact"/>
        <w:rPr>
          <w:rFonts w:ascii="Arial" w:cs="Arial" w:eastAsia="Arial" w:hAnsi="Arial"/>
          <w:sz w:val="16"/>
          <w:szCs w:val="16"/>
          <w:color w:val="CE0F2D"/>
        </w:rPr>
      </w:pPr>
    </w:p>
    <w:p>
      <w:pPr>
        <w:ind w:left="240" w:hanging="233"/>
        <w:spacing w:after="0"/>
        <w:tabs>
          <w:tab w:leader="none" w:pos="240" w:val="left"/>
        </w:tabs>
        <w:numPr>
          <w:ilvl w:val="0"/>
          <w:numId w:val="165"/>
        </w:numPr>
        <w:rPr>
          <w:rFonts w:ascii="Arial" w:cs="Arial" w:eastAsia="Arial" w:hAnsi="Arial"/>
          <w:sz w:val="16"/>
          <w:szCs w:val="16"/>
          <w:color w:val="CE0F2D"/>
        </w:rPr>
      </w:pPr>
      <w:r>
        <w:rPr>
          <w:rFonts w:ascii="Arial" w:cs="Arial" w:eastAsia="Arial" w:hAnsi="Arial"/>
          <w:sz w:val="16"/>
          <w:szCs w:val="16"/>
          <w:color w:val="auto"/>
        </w:rPr>
        <w:t>Achieved several substantial customer wins during the year, including:</w:t>
      </w:r>
    </w:p>
    <w:p>
      <w:pPr>
        <w:spacing w:after="0" w:line="190" w:lineRule="exact"/>
        <w:rPr>
          <w:rFonts w:ascii="Arial" w:cs="Arial" w:eastAsia="Arial" w:hAnsi="Arial"/>
          <w:sz w:val="16"/>
          <w:szCs w:val="16"/>
          <w:color w:val="CE0F2D"/>
        </w:rPr>
      </w:pPr>
    </w:p>
    <w:p>
      <w:pPr>
        <w:ind w:left="480" w:right="180" w:hanging="241"/>
        <w:spacing w:after="0" w:line="248" w:lineRule="auto"/>
        <w:rPr>
          <w:rFonts w:ascii="Arial" w:cs="Arial" w:eastAsia="Arial" w:hAnsi="Arial"/>
          <w:sz w:val="16"/>
          <w:szCs w:val="16"/>
          <w:color w:val="CE0F2D"/>
        </w:rPr>
      </w:pPr>
      <w:r>
        <w:rPr>
          <w:rFonts w:ascii="Arial" w:cs="Arial" w:eastAsia="Arial" w:hAnsi="Arial"/>
          <w:sz w:val="16"/>
          <w:szCs w:val="16"/>
          <w:color w:val="auto"/>
        </w:rPr>
        <w:t>– Announced orders of over 1,200 GTF engines during 2021, which included selection by Spirit Airlines to power its latest order of 100 firm and 50 option Airbus A320neo aircraft and by Volaris to power an additional 80 A320neo aircraft.</w:t>
      </w:r>
    </w:p>
    <w:p>
      <w:pPr>
        <w:spacing w:after="0" w:line="176" w:lineRule="exact"/>
        <w:rPr>
          <w:rFonts w:ascii="Arial" w:cs="Arial" w:eastAsia="Arial" w:hAnsi="Arial"/>
          <w:sz w:val="16"/>
          <w:szCs w:val="16"/>
          <w:color w:val="CE0F2D"/>
        </w:rPr>
      </w:pPr>
    </w:p>
    <w:p>
      <w:pPr>
        <w:ind w:left="480" w:right="320" w:hanging="241"/>
        <w:spacing w:after="0" w:line="250" w:lineRule="auto"/>
        <w:rPr>
          <w:rFonts w:ascii="Arial" w:cs="Arial" w:eastAsia="Arial" w:hAnsi="Arial"/>
          <w:sz w:val="16"/>
          <w:szCs w:val="16"/>
          <w:color w:val="CE0F2D"/>
        </w:rPr>
      </w:pPr>
      <w:r>
        <w:rPr>
          <w:rFonts w:ascii="Arial" w:cs="Arial" w:eastAsia="Arial" w:hAnsi="Arial"/>
          <w:sz w:val="16"/>
          <w:szCs w:val="16"/>
          <w:color w:val="auto"/>
        </w:rPr>
        <w:t>– Selection by NASA to develop advanced high pressure turbine technologies that will reduce fuel consumption and emissions for next generation single-aisle aircraft.</w:t>
      </w:r>
    </w:p>
    <w:p>
      <w:pPr>
        <w:spacing w:after="0" w:line="174" w:lineRule="exact"/>
        <w:rPr>
          <w:rFonts w:ascii="Arial" w:cs="Arial" w:eastAsia="Arial" w:hAnsi="Arial"/>
          <w:sz w:val="16"/>
          <w:szCs w:val="16"/>
          <w:color w:val="CE0F2D"/>
        </w:rPr>
      </w:pPr>
    </w:p>
    <w:p>
      <w:pPr>
        <w:ind w:left="480" w:right="400" w:hanging="241"/>
        <w:spacing w:after="0" w:line="250" w:lineRule="auto"/>
        <w:rPr>
          <w:rFonts w:ascii="Arial" w:cs="Arial" w:eastAsia="Arial" w:hAnsi="Arial"/>
          <w:sz w:val="16"/>
          <w:szCs w:val="16"/>
          <w:color w:val="CE0F2D"/>
        </w:rPr>
      </w:pPr>
      <w:r>
        <w:rPr>
          <w:rFonts w:ascii="Arial" w:cs="Arial" w:eastAsia="Arial" w:hAnsi="Arial"/>
          <w:sz w:val="16"/>
          <w:szCs w:val="16"/>
          <w:color w:val="auto"/>
        </w:rPr>
        <w:t>– Secured Federal Aviation Administration and Transport Canada acceptance of Pratt &amp; Whitney’s established safety management systems.</w:t>
      </w:r>
    </w:p>
    <w:p>
      <w:pPr>
        <w:spacing w:after="0" w:line="108" w:lineRule="exact"/>
        <w:rPr>
          <w:sz w:val="20"/>
          <w:szCs w:val="20"/>
          <w:color w:val="auto"/>
        </w:rPr>
      </w:pPr>
    </w:p>
    <w:p>
      <w:pPr>
        <w:ind w:left="260" w:hanging="253"/>
        <w:spacing w:after="0"/>
        <w:tabs>
          <w:tab w:leader="none" w:pos="260" w:val="left"/>
        </w:tabs>
        <w:numPr>
          <w:ilvl w:val="0"/>
          <w:numId w:val="16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71" w:right="700" w:hanging="70"/>
        <w:spacing w:after="0" w:line="252" w:lineRule="auto"/>
        <w:rPr>
          <w:sz w:val="20"/>
          <w:szCs w:val="20"/>
          <w:color w:val="auto"/>
        </w:rPr>
      </w:pPr>
      <w:r>
        <w:rPr>
          <w:rFonts w:ascii="Arial" w:cs="Arial" w:eastAsia="Arial" w:hAnsi="Arial"/>
          <w:sz w:val="12"/>
          <w:szCs w:val="12"/>
          <w:color w:val="auto"/>
        </w:rPr>
        <w:t>*Excludes the impact of salary reduction from the Pratt &amp; Whitney furloughs during the year.</w:t>
      </w:r>
    </w:p>
    <w:p>
      <w:pPr>
        <w:spacing w:after="0" w:line="307" w:lineRule="exact"/>
        <w:rPr>
          <w:sz w:val="20"/>
          <w:szCs w:val="20"/>
          <w:color w:val="auto"/>
        </w:rPr>
      </w:pPr>
    </w:p>
    <w:p>
      <w:pPr>
        <w:ind w:left="231" w:right="120" w:hanging="231"/>
        <w:spacing w:after="0" w:line="244" w:lineRule="auto"/>
        <w:tabs>
          <w:tab w:leader="none" w:pos="231" w:val="left"/>
        </w:tabs>
        <w:numPr>
          <w:ilvl w:val="0"/>
          <w:numId w:val="167"/>
        </w:numPr>
        <w:rPr>
          <w:rFonts w:ascii="Arial" w:cs="Arial" w:eastAsia="Arial" w:hAnsi="Arial"/>
          <w:sz w:val="16"/>
          <w:szCs w:val="16"/>
          <w:color w:val="CE0F2D"/>
        </w:rPr>
      </w:pPr>
      <w:r>
        <w:rPr>
          <w:rFonts w:ascii="Arial" w:cs="Arial" w:eastAsia="Arial" w:hAnsi="Arial"/>
          <w:sz w:val="16"/>
          <w:szCs w:val="16"/>
          <w:color w:val="auto"/>
        </w:rPr>
        <w:t>Announced plans to advance Pratt &amp; Whitney Canada’s hybrid-electric propulsion technology and flight demonstrator program as part of an investment that is supported by the governments of Canada</w:t>
      </w:r>
    </w:p>
    <w:p>
      <w:pPr>
        <w:spacing w:after="0" w:line="1" w:lineRule="exact"/>
        <w:rPr>
          <w:rFonts w:ascii="Arial" w:cs="Arial" w:eastAsia="Arial" w:hAnsi="Arial"/>
          <w:sz w:val="16"/>
          <w:szCs w:val="16"/>
          <w:color w:val="CE0F2D"/>
        </w:rPr>
      </w:pPr>
    </w:p>
    <w:p>
      <w:pPr>
        <w:ind w:left="231"/>
        <w:spacing w:after="0"/>
        <w:rPr>
          <w:rFonts w:ascii="Arial" w:cs="Arial" w:eastAsia="Arial" w:hAnsi="Arial"/>
          <w:sz w:val="16"/>
          <w:szCs w:val="16"/>
          <w:color w:val="CE0F2D"/>
        </w:rPr>
      </w:pPr>
      <w:r>
        <w:rPr>
          <w:rFonts w:ascii="Arial" w:cs="Arial" w:eastAsia="Arial" w:hAnsi="Arial"/>
          <w:sz w:val="16"/>
          <w:szCs w:val="16"/>
          <w:color w:val="auto"/>
        </w:rPr>
        <w:t>and Quebec.</w:t>
      </w:r>
    </w:p>
    <w:p>
      <w:pPr>
        <w:spacing w:after="0" w:line="190" w:lineRule="exact"/>
        <w:rPr>
          <w:rFonts w:ascii="Arial" w:cs="Arial" w:eastAsia="Arial" w:hAnsi="Arial"/>
          <w:sz w:val="16"/>
          <w:szCs w:val="16"/>
          <w:color w:val="CE0F2D"/>
        </w:rPr>
      </w:pPr>
    </w:p>
    <w:p>
      <w:pPr>
        <w:ind w:left="231" w:hanging="231"/>
        <w:spacing w:after="0" w:line="224" w:lineRule="auto"/>
        <w:tabs>
          <w:tab w:leader="none" w:pos="231" w:val="left"/>
        </w:tabs>
        <w:numPr>
          <w:ilvl w:val="0"/>
          <w:numId w:val="167"/>
        </w:numPr>
        <w:rPr>
          <w:rFonts w:ascii="Arial" w:cs="Arial" w:eastAsia="Arial" w:hAnsi="Arial"/>
          <w:sz w:val="16"/>
          <w:szCs w:val="16"/>
          <w:color w:val="CE0F2D"/>
        </w:rPr>
      </w:pPr>
      <w:r>
        <w:rPr>
          <w:rFonts w:ascii="Arial" w:cs="Arial" w:eastAsia="Arial" w:hAnsi="Arial"/>
          <w:sz w:val="16"/>
          <w:szCs w:val="16"/>
          <w:color w:val="auto"/>
        </w:rPr>
        <w:t>Introduced the GTF Advantage for Airbus A320neo aircraft family, which decreases fuel consumption and CO</w:t>
      </w:r>
      <w:r>
        <w:rPr>
          <w:rFonts w:ascii="Arial" w:cs="Arial" w:eastAsia="Arial" w:hAnsi="Arial"/>
          <w:sz w:val="26"/>
          <w:szCs w:val="26"/>
          <w:color w:val="auto"/>
          <w:vertAlign w:val="subscript"/>
        </w:rPr>
        <w:t>2</w:t>
      </w:r>
      <w:r>
        <w:rPr>
          <w:rFonts w:ascii="Arial" w:cs="Arial" w:eastAsia="Arial" w:hAnsi="Arial"/>
          <w:sz w:val="16"/>
          <w:szCs w:val="16"/>
          <w:color w:val="auto"/>
        </w:rPr>
        <w:t xml:space="preserve"> emissions by 17% compared to prior-generation engines like the V2500 and will be compatible with 100% sustainable aviation fuel (SAF) at entry into service, which is expected in 2024.</w:t>
      </w:r>
    </w:p>
    <w:p>
      <w:pPr>
        <w:spacing w:after="0" w:line="185" w:lineRule="exact"/>
        <w:rPr>
          <w:rFonts w:ascii="Arial" w:cs="Arial" w:eastAsia="Arial" w:hAnsi="Arial"/>
          <w:sz w:val="16"/>
          <w:szCs w:val="16"/>
          <w:color w:val="CE0F2D"/>
        </w:rPr>
      </w:pPr>
    </w:p>
    <w:p>
      <w:pPr>
        <w:ind w:left="231" w:right="40" w:hanging="231"/>
        <w:spacing w:after="0" w:line="250" w:lineRule="auto"/>
        <w:tabs>
          <w:tab w:leader="none" w:pos="231" w:val="left"/>
        </w:tabs>
        <w:numPr>
          <w:ilvl w:val="0"/>
          <w:numId w:val="167"/>
        </w:numPr>
        <w:rPr>
          <w:rFonts w:ascii="Arial" w:cs="Arial" w:eastAsia="Arial" w:hAnsi="Arial"/>
          <w:sz w:val="16"/>
          <w:szCs w:val="16"/>
          <w:color w:val="CE0F2D"/>
        </w:rPr>
      </w:pPr>
      <w:r>
        <w:rPr>
          <w:rFonts w:ascii="Arial" w:cs="Arial" w:eastAsia="Arial" w:hAnsi="Arial"/>
          <w:sz w:val="16"/>
          <w:szCs w:val="16"/>
          <w:color w:val="auto"/>
        </w:rPr>
        <w:t>Entry into service of the Airbus A220, powered by Pratt &amp; Whitney’s GTF engines, for various airlines, including JetBlue Airways, Air France and Air Austral.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1646555</wp:posOffset>
            </wp:positionV>
            <wp:extent cx="715454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400" w:space="449"/>
            <w:col w:w="5351"/>
          </w:cols>
          <w:pgMar w:left="320" w:top="118" w:right="379" w:bottom="1440" w:gutter="0" w:footer="0" w:header="0"/>
          <w:type w:val="continuous"/>
        </w:sectPr>
      </w:pPr>
    </w:p>
    <w:bookmarkStart w:id="63" w:name="page64"/>
    <w:bookmarkEnd w:id="6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2021 PAY DECISIONS FOR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95250</wp:posOffset>
            </wp:positionV>
            <wp:extent cx="7133590" cy="136017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3590" cy="1360170"/>
                    </a:xfrm>
                    <a:prstGeom prst="rect">
                      <a:avLst/>
                    </a:prstGeom>
                    <a:noFill/>
                  </pic:spPr>
                </pic:pic>
              </a:graphicData>
            </a:graphic>
          </wp:anchor>
        </w:drawing>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27"/>
          <w:szCs w:val="27"/>
          <w:b w:val="1"/>
          <w:bCs w:val="1"/>
          <w:color w:val="CE0F2D"/>
        </w:rPr>
        <w:t>Stephen J. Timm</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President, Collins Aerospace</w:t>
      </w:r>
    </w:p>
    <w:p>
      <w:pPr>
        <w:spacing w:after="0" w:line="55"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AGE 53</w:t>
      </w:r>
    </w:p>
    <w:p>
      <w:pPr>
        <w:spacing w:after="0" w:line="67"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RTX EXPERIENCE 25 YEARS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OVERVIEW</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6"/>
          <w:szCs w:val="16"/>
          <w:b w:val="1"/>
          <w:bCs w:val="1"/>
          <w:color w:val="CE0F2D"/>
        </w:rPr>
        <w:t xml:space="preserve">Base Salary. </w:t>
      </w:r>
      <w:r>
        <w:rPr>
          <w:rFonts w:ascii="Arial" w:cs="Arial" w:eastAsia="Arial" w:hAnsi="Arial"/>
          <w:sz w:val="16"/>
          <w:szCs w:val="16"/>
          <w:color w:val="000000"/>
        </w:rPr>
        <w:t>Mr. Timm’s received a merit increase to his base salary from</w:t>
      </w:r>
      <w:r>
        <w:rPr>
          <w:rFonts w:ascii="Arial" w:cs="Arial" w:eastAsia="Arial" w:hAnsi="Arial"/>
          <w:sz w:val="16"/>
          <w:szCs w:val="16"/>
          <w:b w:val="1"/>
          <w:bCs w:val="1"/>
          <w:color w:val="CE0F2D"/>
        </w:rPr>
        <w:t xml:space="preserve"> </w:t>
      </w:r>
      <w:r>
        <w:rPr>
          <w:rFonts w:ascii="Arial" w:cs="Arial" w:eastAsia="Arial" w:hAnsi="Arial"/>
          <w:sz w:val="16"/>
          <w:szCs w:val="16"/>
          <w:color w:val="000000"/>
        </w:rPr>
        <w:t>$675,000 to $750,000 during 2021. This increase reflected the Committee’s favorable assessment of his performance, as well as its efforts to more closely align his base salary with the CPG median for his role. Following the adjustment, Mr. Timm’s base salary remains below the CPG market median.</w:t>
      </w:r>
    </w:p>
    <w:p>
      <w:pPr>
        <w:spacing w:after="0" w:line="12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b w:val="1"/>
          <w:bCs w:val="1"/>
          <w:color w:val="CE0F2D"/>
        </w:rPr>
        <w:t xml:space="preserve">Annual Incentive Award. </w:t>
      </w:r>
      <w:r>
        <w:rPr>
          <w:rFonts w:ascii="Arial" w:cs="Arial" w:eastAsia="Arial" w:hAnsi="Arial"/>
          <w:sz w:val="16"/>
          <w:szCs w:val="16"/>
          <w:color w:val="000000"/>
        </w:rPr>
        <w:t>The Committee approved a performance factor</w:t>
      </w:r>
      <w:r>
        <w:rPr>
          <w:rFonts w:ascii="Arial" w:cs="Arial" w:eastAsia="Arial" w:hAnsi="Arial"/>
          <w:sz w:val="16"/>
          <w:szCs w:val="16"/>
          <w:b w:val="1"/>
          <w:bCs w:val="1"/>
          <w:color w:val="CE0F2D"/>
        </w:rPr>
        <w:t xml:space="preserve"> </w:t>
      </w:r>
      <w:r>
        <w:rPr>
          <w:rFonts w:ascii="Arial" w:cs="Arial" w:eastAsia="Arial" w:hAnsi="Arial"/>
          <w:sz w:val="16"/>
          <w:szCs w:val="16"/>
          <w:color w:val="000000"/>
        </w:rPr>
        <w:t>of 158% of target for Collins Aerospace. The Committee considered this factor, Mr. Timm’s effective leadership of Collins Aerospace, and the individual performance considerations noted here, and awarded him a $1.2 million award, an amount which aligns with the Collins Aerospace performance factor.</w:t>
      </w:r>
    </w:p>
    <w:p>
      <w:pPr>
        <w:spacing w:after="0" w:line="126"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b w:val="1"/>
          <w:bCs w:val="1"/>
          <w:color w:val="CE0F2D"/>
        </w:rPr>
        <w:t xml:space="preserve">LTI. </w:t>
      </w:r>
      <w:r>
        <w:rPr>
          <w:rFonts w:ascii="Arial" w:cs="Arial" w:eastAsia="Arial" w:hAnsi="Arial"/>
          <w:sz w:val="16"/>
          <w:szCs w:val="16"/>
          <w:color w:val="000000"/>
        </w:rPr>
        <w:t>In consideration of Mr. Timm’s strong 2021 performance, the</w:t>
      </w:r>
      <w:r>
        <w:rPr>
          <w:rFonts w:ascii="Arial" w:cs="Arial" w:eastAsia="Arial" w:hAnsi="Arial"/>
          <w:sz w:val="16"/>
          <w:szCs w:val="16"/>
          <w:b w:val="1"/>
          <w:bCs w:val="1"/>
          <w:color w:val="CE0F2D"/>
        </w:rPr>
        <w:t xml:space="preserve"> </w:t>
      </w:r>
      <w:r>
        <w:rPr>
          <w:rFonts w:ascii="Arial" w:cs="Arial" w:eastAsia="Arial" w:hAnsi="Arial"/>
          <w:sz w:val="16"/>
          <w:szCs w:val="16"/>
          <w:color w:val="000000"/>
        </w:rPr>
        <w:t>Committee approved a $5 million 2022 LTI award, an amount that is above the CPG median for his role.</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INDIVIDUAL PERFORMANCE HIGHLIGHTS</w:t>
      </w:r>
    </w:p>
    <w:p>
      <w:pPr>
        <w:spacing w:after="0" w:line="215" w:lineRule="exact"/>
        <w:rPr>
          <w:sz w:val="20"/>
          <w:szCs w:val="20"/>
          <w:color w:val="auto"/>
        </w:rPr>
      </w:pPr>
    </w:p>
    <w:p>
      <w:pPr>
        <w:ind w:left="240" w:right="80" w:hanging="233"/>
        <w:spacing w:after="0" w:line="248" w:lineRule="auto"/>
        <w:tabs>
          <w:tab w:leader="none" w:pos="240" w:val="left"/>
        </w:tabs>
        <w:numPr>
          <w:ilvl w:val="0"/>
          <w:numId w:val="168"/>
        </w:numPr>
        <w:rPr>
          <w:rFonts w:ascii="Arial" w:cs="Arial" w:eastAsia="Arial" w:hAnsi="Arial"/>
          <w:sz w:val="16"/>
          <w:szCs w:val="16"/>
          <w:color w:val="CE0F2D"/>
        </w:rPr>
      </w:pPr>
      <w:r>
        <w:rPr>
          <w:rFonts w:ascii="Arial" w:cs="Arial" w:eastAsia="Arial" w:hAnsi="Arial"/>
          <w:sz w:val="16"/>
          <w:szCs w:val="16"/>
          <w:color w:val="auto"/>
        </w:rPr>
        <w:t>Completed the acquisitions of FlightAware and Dutch Thermoplastic Components, enhancing Collins Aerospace’s ability to provide customers with more connected, data-driven solutions and lighter, cost-efficient, sustainable aircraft structures, respectively.</w:t>
      </w:r>
    </w:p>
    <w:p>
      <w:pPr>
        <w:spacing w:after="0" w:line="83" w:lineRule="exact"/>
        <w:rPr>
          <w:rFonts w:ascii="Arial" w:cs="Arial" w:eastAsia="Arial" w:hAnsi="Arial"/>
          <w:sz w:val="16"/>
          <w:szCs w:val="16"/>
          <w:color w:val="CE0F2D"/>
        </w:rPr>
      </w:pPr>
    </w:p>
    <w:p>
      <w:pPr>
        <w:ind w:left="240" w:hanging="233"/>
        <w:spacing w:after="0"/>
        <w:tabs>
          <w:tab w:leader="none" w:pos="240" w:val="left"/>
        </w:tabs>
        <w:numPr>
          <w:ilvl w:val="0"/>
          <w:numId w:val="168"/>
        </w:numPr>
        <w:rPr>
          <w:rFonts w:ascii="Arial" w:cs="Arial" w:eastAsia="Arial" w:hAnsi="Arial"/>
          <w:sz w:val="16"/>
          <w:szCs w:val="16"/>
          <w:color w:val="CE0F2D"/>
        </w:rPr>
      </w:pPr>
      <w:r>
        <w:rPr>
          <w:rFonts w:ascii="Arial" w:cs="Arial" w:eastAsia="Arial" w:hAnsi="Arial"/>
          <w:sz w:val="16"/>
          <w:szCs w:val="16"/>
          <w:color w:val="auto"/>
        </w:rPr>
        <w:t>Achieved several substantial customer wins during the year, including:</w:t>
      </w:r>
    </w:p>
    <w:p>
      <w:pPr>
        <w:spacing w:after="0" w:line="97" w:lineRule="exact"/>
        <w:rPr>
          <w:rFonts w:ascii="Arial" w:cs="Arial" w:eastAsia="Arial" w:hAnsi="Arial"/>
          <w:sz w:val="16"/>
          <w:szCs w:val="16"/>
          <w:color w:val="CE0F2D"/>
        </w:rPr>
      </w:pPr>
    </w:p>
    <w:p>
      <w:pPr>
        <w:ind w:left="480" w:right="320" w:hanging="241"/>
        <w:spacing w:after="0" w:line="250" w:lineRule="auto"/>
        <w:rPr>
          <w:rFonts w:ascii="Arial" w:cs="Arial" w:eastAsia="Arial" w:hAnsi="Arial"/>
          <w:sz w:val="16"/>
          <w:szCs w:val="16"/>
          <w:color w:val="CE0F2D"/>
        </w:rPr>
      </w:pPr>
      <w:r>
        <w:rPr>
          <w:rFonts w:ascii="Arial" w:cs="Arial" w:eastAsia="Arial" w:hAnsi="Arial"/>
          <w:sz w:val="16"/>
          <w:szCs w:val="16"/>
          <w:color w:val="auto"/>
        </w:rPr>
        <w:t>– Selection to provide new wheels and carbon brakes, and a new electric power generation system, for the U.S. Air Force’s fleet of Boeing B-52 long-range bombers.</w:t>
      </w:r>
    </w:p>
    <w:p>
      <w:pPr>
        <w:spacing w:after="0" w:line="81" w:lineRule="exact"/>
        <w:rPr>
          <w:rFonts w:ascii="Arial" w:cs="Arial" w:eastAsia="Arial" w:hAnsi="Arial"/>
          <w:sz w:val="16"/>
          <w:szCs w:val="16"/>
          <w:color w:val="CE0F2D"/>
        </w:rPr>
      </w:pPr>
    </w:p>
    <w:p>
      <w:pPr>
        <w:ind w:left="480" w:right="300" w:hanging="241"/>
        <w:spacing w:after="0" w:line="256" w:lineRule="auto"/>
        <w:rPr>
          <w:rFonts w:ascii="Arial" w:cs="Arial" w:eastAsia="Arial" w:hAnsi="Arial"/>
          <w:sz w:val="16"/>
          <w:szCs w:val="16"/>
          <w:color w:val="CE0F2D"/>
        </w:rPr>
      </w:pPr>
      <w:r>
        <w:rPr>
          <w:rFonts w:ascii="Arial" w:cs="Arial" w:eastAsia="Arial" w:hAnsi="Arial"/>
          <w:sz w:val="16"/>
          <w:szCs w:val="16"/>
          <w:color w:val="auto"/>
        </w:rPr>
        <w:t>– Selected by British Airways to upgrade its Boeing 777 fleet with enhanced Club World experience for business class passengers.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811" w:right="900" w:hanging="70"/>
        <w:spacing w:after="0" w:line="252" w:lineRule="auto"/>
        <w:rPr>
          <w:sz w:val="20"/>
          <w:szCs w:val="20"/>
          <w:color w:val="auto"/>
        </w:rPr>
      </w:pPr>
      <w:r>
        <w:rPr>
          <w:rFonts w:ascii="Arial" w:cs="Arial" w:eastAsia="Arial" w:hAnsi="Arial"/>
          <w:sz w:val="12"/>
          <w:szCs w:val="12"/>
          <w:color w:val="auto"/>
        </w:rPr>
        <w:t>*Excludes the impact of salary reduction from the Collins Aerospace furloughs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-1973580</wp:posOffset>
            </wp:positionV>
            <wp:extent cx="3418205" cy="2049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418205" cy="2049145"/>
                    </a:xfrm>
                    <a:prstGeom prst="rect">
                      <a:avLst/>
                    </a:prstGeom>
                    <a:noFill/>
                  </pic:spPr>
                </pic:pic>
              </a:graphicData>
            </a:graphic>
          </wp:anchor>
        </w:drawing>
      </w:r>
    </w:p>
    <w:p>
      <w:pPr>
        <w:spacing w:after="0" w:line="287" w:lineRule="exact"/>
        <w:rPr>
          <w:sz w:val="20"/>
          <w:szCs w:val="20"/>
          <w:color w:val="auto"/>
        </w:rPr>
      </w:pPr>
    </w:p>
    <w:p>
      <w:pPr>
        <w:ind w:left="491" w:right="40" w:hanging="241"/>
        <w:spacing w:after="0" w:line="248" w:lineRule="auto"/>
        <w:rPr>
          <w:sz w:val="20"/>
          <w:szCs w:val="20"/>
          <w:color w:val="auto"/>
        </w:rPr>
      </w:pPr>
      <w:r>
        <w:rPr>
          <w:rFonts w:ascii="Arial" w:cs="Arial" w:eastAsia="Arial" w:hAnsi="Arial"/>
          <w:sz w:val="16"/>
          <w:szCs w:val="16"/>
          <w:color w:val="auto"/>
        </w:rPr>
        <w:t>– Signed an agreement with Draken Europe that will introduce Collins Joint Secure Air combat training System (JSAS) for use with Draken’s Falcon 20 fleet to support operational readiness training for the United Kingdom’s Royal Air Force and Royal Navy.</w:t>
      </w:r>
    </w:p>
    <w:p>
      <w:pPr>
        <w:spacing w:after="0" w:line="83" w:lineRule="exact"/>
        <w:rPr>
          <w:sz w:val="20"/>
          <w:szCs w:val="20"/>
          <w:color w:val="auto"/>
        </w:rPr>
      </w:pPr>
    </w:p>
    <w:p>
      <w:pPr>
        <w:ind w:left="231" w:right="20" w:hanging="231"/>
        <w:spacing w:after="0" w:line="256" w:lineRule="auto"/>
        <w:tabs>
          <w:tab w:leader="none" w:pos="231" w:val="left"/>
        </w:tabs>
        <w:numPr>
          <w:ilvl w:val="0"/>
          <w:numId w:val="169"/>
        </w:numPr>
        <w:rPr>
          <w:rFonts w:ascii="Arial" w:cs="Arial" w:eastAsia="Arial" w:hAnsi="Arial"/>
          <w:sz w:val="16"/>
          <w:szCs w:val="16"/>
          <w:color w:val="CE0F2D"/>
        </w:rPr>
      </w:pPr>
      <w:r>
        <w:rPr>
          <w:rFonts w:ascii="Arial" w:cs="Arial" w:eastAsia="Arial" w:hAnsi="Arial"/>
          <w:sz w:val="16"/>
          <w:szCs w:val="16"/>
          <w:color w:val="auto"/>
        </w:rPr>
        <w:t>Exceeded the Rockwell Collins merger cost synergy goal of $600 million one year ahead of schedule.</w:t>
      </w:r>
    </w:p>
    <w:p>
      <w:pPr>
        <w:spacing w:after="0" w:line="76" w:lineRule="exact"/>
        <w:rPr>
          <w:rFonts w:ascii="Arial" w:cs="Arial" w:eastAsia="Arial" w:hAnsi="Arial"/>
          <w:sz w:val="16"/>
          <w:szCs w:val="16"/>
          <w:color w:val="CE0F2D"/>
        </w:rPr>
      </w:pPr>
    </w:p>
    <w:p>
      <w:pPr>
        <w:ind w:left="231" w:right="300" w:hanging="231"/>
        <w:spacing w:after="0" w:line="250" w:lineRule="auto"/>
        <w:tabs>
          <w:tab w:leader="none" w:pos="231" w:val="left"/>
        </w:tabs>
        <w:numPr>
          <w:ilvl w:val="0"/>
          <w:numId w:val="169"/>
        </w:numPr>
        <w:rPr>
          <w:rFonts w:ascii="Arial" w:cs="Arial" w:eastAsia="Arial" w:hAnsi="Arial"/>
          <w:sz w:val="16"/>
          <w:szCs w:val="16"/>
          <w:color w:val="CE0F2D"/>
        </w:rPr>
      </w:pPr>
      <w:r>
        <w:rPr>
          <w:rFonts w:ascii="Arial" w:cs="Arial" w:eastAsia="Arial" w:hAnsi="Arial"/>
          <w:sz w:val="16"/>
          <w:szCs w:val="16"/>
          <w:color w:val="auto"/>
        </w:rPr>
        <w:t>Completed the critical design review and began fabrication of a 500-kilowatt electric motor for Hybrid Air Vehicles’ Airlander 10 aircraft, designed to be the world’s first zero-emission aircraft.</w:t>
      </w:r>
    </w:p>
    <w:p>
      <w:pPr>
        <w:spacing w:after="0" w:line="1098" w:lineRule="exact"/>
        <w:rPr>
          <w:sz w:val="20"/>
          <w:szCs w:val="20"/>
          <w:color w:val="auto"/>
        </w:rPr>
      </w:pPr>
    </w:p>
    <w:p>
      <w:pPr>
        <w:sectPr>
          <w:pgSz w:w="11900" w:h="16838" w:orient="portrait"/>
          <w:cols w:equalWidth="0" w:num="2">
            <w:col w:w="5400" w:space="449"/>
            <w:col w:w="5391"/>
          </w:cols>
          <w:pgMar w:left="320" w:top="118" w:right="339" w:bottom="1440" w:gutter="0" w:footer="0" w:header="0"/>
          <w:type w:val="continuous"/>
        </w:sect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OTHER COMPENSATION ELEMENTS</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Other Compensation Elements</w:t>
      </w:r>
    </w:p>
    <w:p>
      <w:pPr>
        <w:spacing w:after="0" w:line="17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Retirement and Deferred Compensation Benefits</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Our retirement and deferred compensation plans play an important role within our overall executive compensation program by providing an element of financial security that helps RTX attract and retain talented executives. Over the years, these programs have been modified to maintain a competitive position within an evolving market.</w:t>
      </w:r>
    </w:p>
    <w:p>
      <w:pPr>
        <w:spacing w:after="0" w:line="148"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Currently, as a result of the Merger, our NEOs are eligible to participate in the plans of their legacy companies. Further, in some cases, our NEOs were previously employed by a company that was acquired by either legacy UTC or RTN, and may therefore retain balances and/or receive pension accruals under different formulas of these acquired companies’ plans.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PLANS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Both legacy companies had qualified and non-qualified defined benefit plans, as described below:</w:t>
      </w:r>
    </w:p>
    <w:p>
      <w:pPr>
        <w:spacing w:after="0" w:line="164" w:lineRule="exact"/>
        <w:rPr>
          <w:sz w:val="20"/>
          <w:szCs w:val="20"/>
          <w:color w:val="auto"/>
        </w:rPr>
      </w:pPr>
    </w:p>
    <w:p>
      <w:pPr>
        <w:ind w:left="240" w:right="120" w:hanging="233"/>
        <w:spacing w:after="0" w:line="250" w:lineRule="auto"/>
        <w:tabs>
          <w:tab w:leader="none" w:pos="240" w:val="left"/>
        </w:tabs>
        <w:numPr>
          <w:ilvl w:val="0"/>
          <w:numId w:val="170"/>
        </w:numPr>
        <w:rPr>
          <w:rFonts w:ascii="Arial" w:cs="Arial" w:eastAsia="Arial" w:hAnsi="Arial"/>
          <w:sz w:val="16"/>
          <w:szCs w:val="16"/>
          <w:color w:val="CE0F2D"/>
        </w:rPr>
      </w:pPr>
      <w:r>
        <w:rPr>
          <w:rFonts w:ascii="Arial" w:cs="Arial" w:eastAsia="Arial" w:hAnsi="Arial"/>
          <w:sz w:val="16"/>
          <w:szCs w:val="16"/>
          <w:color w:val="auto"/>
        </w:rPr>
        <w:t>The qualified UTC Pension Plan and the non-qualified UTC Pension Preservation Plan were closed to new participants hired prior to January 1, 2010 and were closed for pre-2010 hires on December 31, 2019. Legacy UTC employees no longer accrue pension benefits, other than with respect to interest credits on the cash balance formula of these plans.</w:t>
      </w:r>
    </w:p>
    <w:p>
      <w:pPr>
        <w:spacing w:after="0" w:line="67" w:lineRule="exact"/>
        <w:rPr>
          <w:rFonts w:ascii="Arial" w:cs="Arial" w:eastAsia="Arial" w:hAnsi="Arial"/>
          <w:sz w:val="16"/>
          <w:szCs w:val="16"/>
          <w:color w:val="CE0F2D"/>
        </w:rPr>
      </w:pPr>
    </w:p>
    <w:p>
      <w:pPr>
        <w:ind w:left="240" w:right="480" w:hanging="233"/>
        <w:spacing w:after="0" w:line="250" w:lineRule="auto"/>
        <w:tabs>
          <w:tab w:leader="none" w:pos="240" w:val="left"/>
        </w:tabs>
        <w:numPr>
          <w:ilvl w:val="0"/>
          <w:numId w:val="170"/>
        </w:numPr>
        <w:rPr>
          <w:rFonts w:ascii="Arial" w:cs="Arial" w:eastAsia="Arial" w:hAnsi="Arial"/>
          <w:sz w:val="16"/>
          <w:szCs w:val="16"/>
          <w:color w:val="CE0F2D"/>
        </w:rPr>
      </w:pPr>
      <w:r>
        <w:rPr>
          <w:rFonts w:ascii="Arial" w:cs="Arial" w:eastAsia="Arial" w:hAnsi="Arial"/>
          <w:sz w:val="16"/>
          <w:szCs w:val="16"/>
          <w:color w:val="auto"/>
        </w:rPr>
        <w:t>The qualified RTN Salaried Pension Plan, the qualified RTN Retirement Plan, and the non-qualified RTN Parity Pension Plan were closed to new participants hired on or after January 1, 2007. However, employees hired prior to January 1, 2007, still accrue pension benefits under these plans. In addition, pension benefits are also still accrued for participants of the RTN Supplemental Executive Retirement Plan.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each of these plans, refer to the Pension Benefits section on pages 72-75.</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CONTRIBUTION AND DEFERRED COMPENSATION PLANS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Both legacy companies also maintained the following qualified and non-qualified defined contribution and deferred compensation plans:</w:t>
      </w:r>
    </w:p>
    <w:p>
      <w:pPr>
        <w:spacing w:after="0" w:line="164" w:lineRule="exact"/>
        <w:rPr>
          <w:sz w:val="20"/>
          <w:szCs w:val="20"/>
          <w:color w:val="auto"/>
        </w:rPr>
      </w:pPr>
    </w:p>
    <w:p>
      <w:pPr>
        <w:ind w:left="240" w:right="300" w:hanging="233"/>
        <w:spacing w:after="0" w:line="256" w:lineRule="auto"/>
        <w:tabs>
          <w:tab w:leader="none" w:pos="240" w:val="left"/>
        </w:tabs>
        <w:numPr>
          <w:ilvl w:val="0"/>
          <w:numId w:val="171"/>
        </w:numPr>
        <w:rPr>
          <w:rFonts w:ascii="Arial" w:cs="Arial" w:eastAsia="Arial" w:hAnsi="Arial"/>
          <w:sz w:val="16"/>
          <w:szCs w:val="16"/>
          <w:color w:val="CE0F2D"/>
        </w:rPr>
      </w:pPr>
      <w:r>
        <w:rPr>
          <w:rFonts w:ascii="Arial" w:cs="Arial" w:eastAsia="Arial" w:hAnsi="Arial"/>
          <w:sz w:val="16"/>
          <w:szCs w:val="16"/>
          <w:color w:val="auto"/>
        </w:rPr>
        <w:t>The qualified UTC Employee Savings Plan, the non-qualified UTC Savings Restoration Plan, UTC Company Automatic Contribution Excess Plan, UTC Deferred Compensation Plan, and the UTC LTIP Performance Share Unit Deferral Plan remain open to legacy UTC employees.</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171"/>
        </w:numPr>
        <w:rPr>
          <w:rFonts w:ascii="Arial" w:cs="Arial" w:eastAsia="Arial" w:hAnsi="Arial"/>
          <w:sz w:val="16"/>
          <w:szCs w:val="16"/>
          <w:color w:val="CE0F2D"/>
        </w:rPr>
      </w:pPr>
      <w:r>
        <w:rPr>
          <w:rFonts w:ascii="Arial" w:cs="Arial" w:eastAsia="Arial" w:hAnsi="Arial"/>
          <w:sz w:val="16"/>
          <w:szCs w:val="16"/>
          <w:color w:val="auto"/>
        </w:rPr>
        <w:t>The qualified RTN Savings and Investment Plan and the non-qualified RTN Deferred Compensation Plan remain open to legacy RTN employees.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For additional details on each of these plans, refer to the Nonqualified Deferred Compensation section on pages 76-77.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96455" cy="15386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96455" cy="1538605"/>
                    </a:xfrm>
                    <a:prstGeom prst="rect">
                      <a:avLst/>
                    </a:prstGeom>
                    <a:noFill/>
                  </pic:spPr>
                </pic:pic>
              </a:graphicData>
            </a:graphic>
          </wp:anchor>
        </w:drawing>
      </w:r>
    </w:p>
    <w:p>
      <w:pPr>
        <w:spacing w:after="0" w:line="316"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INTEGRATING OUR LEGACY RETIREMENT PLANS</w:t>
      </w:r>
    </w:p>
    <w:p>
      <w:pPr>
        <w:spacing w:after="0" w:line="215" w:lineRule="exact"/>
        <w:rPr>
          <w:sz w:val="20"/>
          <w:szCs w:val="20"/>
          <w:color w:val="auto"/>
        </w:rPr>
      </w:pPr>
    </w:p>
    <w:p>
      <w:pPr>
        <w:jc w:val="both"/>
        <w:ind w:left="180" w:right="220"/>
        <w:spacing w:after="0" w:line="250" w:lineRule="auto"/>
        <w:rPr>
          <w:sz w:val="20"/>
          <w:szCs w:val="20"/>
          <w:color w:val="auto"/>
        </w:rPr>
      </w:pPr>
      <w:r>
        <w:rPr>
          <w:rFonts w:ascii="Arial" w:cs="Arial" w:eastAsia="Arial" w:hAnsi="Arial"/>
          <w:sz w:val="16"/>
          <w:szCs w:val="16"/>
          <w:color w:val="auto"/>
        </w:rPr>
        <w:t>As part of our ongoing integration efforts, we are assessing the competitiveness of our retirement and deferred compensation plans to ensure we provide employees with retirement benefits that continue to attract and retain the highest caliber of talent. We expect the integration of the legacy UTC and RTN retirement and deferred compensation plans to occur over the course of several years and in various phases.</w:t>
      </w:r>
    </w:p>
    <w:p>
      <w:pPr>
        <w:spacing w:after="0" w:line="148" w:lineRule="exact"/>
        <w:rPr>
          <w:sz w:val="20"/>
          <w:szCs w:val="20"/>
          <w:color w:val="auto"/>
        </w:rPr>
      </w:pPr>
    </w:p>
    <w:p>
      <w:pPr>
        <w:ind w:left="180" w:right="140"/>
        <w:spacing w:after="0" w:line="256" w:lineRule="auto"/>
        <w:rPr>
          <w:sz w:val="20"/>
          <w:szCs w:val="20"/>
          <w:color w:val="auto"/>
        </w:rPr>
      </w:pPr>
      <w:r>
        <w:rPr>
          <w:rFonts w:ascii="Arial" w:cs="Arial" w:eastAsia="Arial" w:hAnsi="Arial"/>
          <w:sz w:val="16"/>
          <w:szCs w:val="16"/>
          <w:color w:val="auto"/>
        </w:rPr>
        <w:t>As a first step in our integration journey, and to better align with market practice, we announced the sunset of the final average earnings (“FAE”) formula at the close of 2022, and the move to a Cash Balance formula starting January 1, 2023, for current participants in the legacy RTN pension plans.</w:t>
      </w:r>
    </w:p>
    <w:p>
      <w:pPr>
        <w:spacing w:after="0" w:line="143" w:lineRule="exact"/>
        <w:rPr>
          <w:sz w:val="20"/>
          <w:szCs w:val="20"/>
          <w:color w:val="auto"/>
        </w:rPr>
      </w:pPr>
    </w:p>
    <w:p>
      <w:pPr>
        <w:ind w:left="180"/>
        <w:spacing w:after="0" w:line="256" w:lineRule="auto"/>
        <w:rPr>
          <w:sz w:val="20"/>
          <w:szCs w:val="20"/>
          <w:color w:val="auto"/>
        </w:rPr>
      </w:pPr>
      <w:r>
        <w:rPr>
          <w:rFonts w:ascii="Arial" w:cs="Arial" w:eastAsia="Arial" w:hAnsi="Arial"/>
          <w:sz w:val="16"/>
          <w:szCs w:val="16"/>
          <w:color w:val="auto"/>
        </w:rPr>
        <w:t>Further, beginning in 2023, all RTX employees will be eligible to participate in the same defined contribution and deferred compensation plans, regardless of their legacy company.</w:t>
      </w:r>
    </w:p>
    <w:p>
      <w:pPr>
        <w:spacing w:after="0" w:line="277" w:lineRule="exact"/>
        <w:rPr>
          <w:sz w:val="20"/>
          <w:szCs w:val="20"/>
          <w:color w:val="auto"/>
        </w:rPr>
      </w:pPr>
    </w:p>
    <w:p>
      <w:pPr>
        <w:ind w:left="260" w:hanging="253"/>
        <w:spacing w:after="0"/>
        <w:tabs>
          <w:tab w:leader="none" w:pos="260" w:val="left"/>
        </w:tabs>
        <w:numPr>
          <w:ilvl w:val="0"/>
          <w:numId w:val="172"/>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OTHER COMPENSATION ELEMENTS</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Perquisites and Other Benefits</w:t>
      </w:r>
    </w:p>
    <w:p>
      <w:pPr>
        <w:spacing w:after="0" w:line="210"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provide our senior executives with certain perquisites and other benefits, which the Committee believes contribute to recruitment and retention and are consistent with market practice. During 2021, the perquisites and other benefits provided to each NEO are dependent on the NEO’s legacy company (UTC or RTN). However, we will integrate these benefits across RTX starting in 2022.</w:t>
      </w:r>
    </w:p>
    <w:p>
      <w:pPr>
        <w:spacing w:after="0" w:line="14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approach to executive perquisites is based on the Committee’s belief that the continued health and financial well-being of our senior leaders is of vital interest to the Company and our shareowners. Therefore, starting in 2022, perquisites and other benefits for our NEOs will generally consist of enhanced basic life and long-term disability insurance, an executive physical and a financial planning allowance. Other perquisites provided by our legacy companies will be phased out or in some cases grandfathered. As one of the leading defense contractors to the United States government, we will also continue to provide our CEO with certain additional benefits for his safety and security, including personal use of the Corporate aircraft, company-provided car and drivers (who are trained security personnel), as well as home security monitoring.</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CE0F2D"/>
        </w:rPr>
        <w:t>STATUS OF PERQUISITES AND BENEFITS*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7133590"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760" w:type="dxa"/>
            <w:vAlign w:val="bottom"/>
          </w:tcPr>
          <w:p>
            <w:pPr>
              <w:spacing w:after="0"/>
              <w:rPr>
                <w:sz w:val="20"/>
                <w:szCs w:val="20"/>
                <w:color w:val="auto"/>
              </w:rPr>
            </w:pPr>
            <w:r>
              <w:rPr>
                <w:rFonts w:ascii="Arial" w:cs="Arial" w:eastAsia="Arial" w:hAnsi="Arial"/>
                <w:sz w:val="14"/>
                <w:szCs w:val="14"/>
                <w:b w:val="1"/>
                <w:bCs w:val="1"/>
                <w:color w:val="auto"/>
              </w:rPr>
              <w:t>Financial Planning</w:t>
            </w:r>
          </w:p>
        </w:tc>
        <w:tc>
          <w:tcPr>
            <w:tcW w:w="9480" w:type="dxa"/>
            <w:vAlign w:val="bottom"/>
          </w:tcPr>
          <w:p>
            <w:pPr>
              <w:ind w:left="120"/>
              <w:spacing w:after="0"/>
              <w:rPr>
                <w:sz w:val="20"/>
                <w:szCs w:val="20"/>
                <w:color w:val="auto"/>
              </w:rPr>
            </w:pPr>
            <w:r>
              <w:rPr>
                <w:rFonts w:ascii="Arial" w:cs="Arial" w:eastAsia="Arial" w:hAnsi="Arial"/>
                <w:sz w:val="14"/>
                <w:szCs w:val="14"/>
                <w:color w:val="auto"/>
              </w:rPr>
              <w:t>All NEOs are eligible to receive an annual financial planning allowance. However, the level of their current benefit depends on their legacy</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company. Starting in 2022, this benefit is capped at an annual cost of $13,500.</w:t>
            </w:r>
          </w:p>
        </w:tc>
      </w:tr>
      <w:tr>
        <w:trPr>
          <w:trHeight w:val="173"/>
        </w:trPr>
        <w:tc>
          <w:tcPr>
            <w:tcW w:w="1760" w:type="dxa"/>
            <w:vAlign w:val="bottom"/>
          </w:tcPr>
          <w:p>
            <w:pPr>
              <w:spacing w:after="0"/>
              <w:rPr>
                <w:sz w:val="20"/>
                <w:szCs w:val="20"/>
                <w:color w:val="auto"/>
              </w:rPr>
            </w:pPr>
            <w:r>
              <w:rPr>
                <w:rFonts w:ascii="Arial" w:cs="Arial" w:eastAsia="Arial" w:hAnsi="Arial"/>
                <w:sz w:val="14"/>
                <w:szCs w:val="14"/>
                <w:b w:val="1"/>
                <w:bCs w:val="1"/>
                <w:color w:val="auto"/>
              </w:rPr>
              <w:t>Enhanced Basic Life</w:t>
            </w:r>
          </w:p>
        </w:tc>
        <w:tc>
          <w:tcPr>
            <w:tcW w:w="9480" w:type="dxa"/>
            <w:vAlign w:val="bottom"/>
          </w:tcPr>
          <w:p>
            <w:pPr>
              <w:ind w:left="120"/>
              <w:spacing w:after="0"/>
              <w:rPr>
                <w:sz w:val="20"/>
                <w:szCs w:val="20"/>
                <w:color w:val="auto"/>
              </w:rPr>
            </w:pPr>
            <w:r>
              <w:rPr>
                <w:rFonts w:ascii="Arial" w:cs="Arial" w:eastAsia="Arial" w:hAnsi="Arial"/>
                <w:sz w:val="14"/>
                <w:szCs w:val="14"/>
                <w:color w:val="auto"/>
              </w:rPr>
              <w:t>Effective January 2022, executives, who do not have a legacy RTN split dollar life insurance policy, will be covered by an enhanced basic life</w:t>
            </w:r>
          </w:p>
        </w:tc>
      </w:tr>
      <w:tr>
        <w:trPr>
          <w:trHeight w:val="195"/>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Insurance</w:t>
            </w: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insurance benefit of three times base salary.</w:t>
            </w:r>
          </w:p>
        </w:tc>
      </w:tr>
      <w:tr>
        <w:trPr>
          <w:trHeight w:val="191"/>
        </w:trPr>
        <w:tc>
          <w:tcPr>
            <w:tcW w:w="1760" w:type="dxa"/>
            <w:vAlign w:val="bottom"/>
          </w:tcPr>
          <w:p>
            <w:pPr>
              <w:spacing w:after="0"/>
              <w:rPr>
                <w:sz w:val="20"/>
                <w:szCs w:val="20"/>
                <w:color w:val="auto"/>
              </w:rPr>
            </w:pPr>
            <w:r>
              <w:rPr>
                <w:rFonts w:ascii="Arial" w:cs="Arial" w:eastAsia="Arial" w:hAnsi="Arial"/>
                <w:sz w:val="14"/>
                <w:szCs w:val="14"/>
                <w:b w:val="1"/>
                <w:bCs w:val="1"/>
                <w:color w:val="auto"/>
              </w:rPr>
              <w:t>Executive Physical</w:t>
            </w:r>
          </w:p>
        </w:tc>
        <w:tc>
          <w:tcPr>
            <w:tcW w:w="9480" w:type="dxa"/>
            <w:vAlign w:val="bottom"/>
          </w:tcPr>
          <w:p>
            <w:pPr>
              <w:ind w:left="120"/>
              <w:spacing w:after="0"/>
              <w:rPr>
                <w:sz w:val="20"/>
                <w:szCs w:val="20"/>
                <w:color w:val="auto"/>
              </w:rPr>
            </w:pPr>
            <w:r>
              <w:rPr>
                <w:rFonts w:ascii="Arial" w:cs="Arial" w:eastAsia="Arial" w:hAnsi="Arial"/>
                <w:sz w:val="14"/>
                <w:szCs w:val="14"/>
                <w:color w:val="auto"/>
              </w:rPr>
              <w:t>All NEOs are eligible to participate in the same healthcare benefits offered to other employees of their legacy company. However, they are also</w:t>
            </w:r>
          </w:p>
        </w:tc>
      </w:tr>
      <w:tr>
        <w:trPr>
          <w:trHeight w:val="161"/>
        </w:trPr>
        <w:tc>
          <w:tcPr>
            <w:tcW w:w="1760" w:type="dxa"/>
            <w:vAlign w:val="bottom"/>
          </w:tcPr>
          <w:p>
            <w:pPr>
              <w:spacing w:after="0"/>
              <w:rPr>
                <w:sz w:val="13"/>
                <w:szCs w:val="13"/>
                <w:color w:val="auto"/>
              </w:rPr>
            </w:pPr>
          </w:p>
        </w:tc>
        <w:tc>
          <w:tcPr>
            <w:tcW w:w="9480" w:type="dxa"/>
            <w:vAlign w:val="bottom"/>
          </w:tcPr>
          <w:p>
            <w:pPr>
              <w:ind w:left="120"/>
              <w:spacing w:after="0"/>
              <w:rPr>
                <w:sz w:val="20"/>
                <w:szCs w:val="20"/>
                <w:color w:val="auto"/>
              </w:rPr>
            </w:pPr>
            <w:r>
              <w:rPr>
                <w:rFonts w:ascii="Arial" w:cs="Arial" w:eastAsia="Arial" w:hAnsi="Arial"/>
                <w:sz w:val="14"/>
                <w:szCs w:val="14"/>
                <w:color w:val="auto"/>
              </w:rPr>
              <w:t>eligible for a comprehensive annual executive physical, with current benefit levels depending on their legacy company. Starting in 2022, this benefit</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is capped at an annual cost of $5,000.</w:t>
            </w:r>
          </w:p>
        </w:tc>
      </w:tr>
      <w:tr>
        <w:trPr>
          <w:trHeight w:val="173"/>
        </w:trPr>
        <w:tc>
          <w:tcPr>
            <w:tcW w:w="1760" w:type="dxa"/>
            <w:vAlign w:val="bottom"/>
          </w:tcPr>
          <w:p>
            <w:pPr>
              <w:spacing w:after="0"/>
              <w:rPr>
                <w:sz w:val="20"/>
                <w:szCs w:val="20"/>
                <w:color w:val="auto"/>
              </w:rPr>
            </w:pPr>
            <w:r>
              <w:rPr>
                <w:rFonts w:ascii="Arial" w:cs="Arial" w:eastAsia="Arial" w:hAnsi="Arial"/>
                <w:sz w:val="14"/>
                <w:szCs w:val="14"/>
                <w:b w:val="1"/>
                <w:bCs w:val="1"/>
                <w:color w:val="auto"/>
              </w:rPr>
              <w:t>ELG Long-Term</w:t>
            </w:r>
          </w:p>
        </w:tc>
        <w:tc>
          <w:tcPr>
            <w:tcW w:w="9480" w:type="dxa"/>
            <w:vAlign w:val="bottom"/>
          </w:tcPr>
          <w:p>
            <w:pPr>
              <w:ind w:left="120"/>
              <w:spacing w:after="0"/>
              <w:rPr>
                <w:sz w:val="20"/>
                <w:szCs w:val="20"/>
                <w:color w:val="auto"/>
              </w:rPr>
            </w:pPr>
            <w:r>
              <w:rPr>
                <w:rFonts w:ascii="Arial" w:cs="Arial" w:eastAsia="Arial" w:hAnsi="Arial"/>
                <w:sz w:val="14"/>
                <w:szCs w:val="14"/>
                <w:color w:val="auto"/>
              </w:rPr>
              <w:t>Legacy UTC NEOs are covered by the ELG long-term disability benefit, and beginning January 1, 2022, legacy RTN ELG members will also be</w:t>
            </w:r>
          </w:p>
        </w:tc>
      </w:tr>
      <w:tr>
        <w:trPr>
          <w:trHeight w:val="179"/>
        </w:trPr>
        <w:tc>
          <w:tcPr>
            <w:tcW w:w="1760" w:type="dxa"/>
            <w:vAlign w:val="bottom"/>
          </w:tcPr>
          <w:p>
            <w:pPr>
              <w:spacing w:after="0"/>
              <w:rPr>
                <w:sz w:val="20"/>
                <w:szCs w:val="20"/>
                <w:color w:val="auto"/>
              </w:rPr>
            </w:pPr>
            <w:r>
              <w:rPr>
                <w:rFonts w:ascii="Arial" w:cs="Arial" w:eastAsia="Arial" w:hAnsi="Arial"/>
                <w:sz w:val="14"/>
                <w:szCs w:val="14"/>
                <w:b w:val="1"/>
                <w:bCs w:val="1"/>
                <w:color w:val="auto"/>
              </w:rPr>
              <w:t>Disability Insurance</w:t>
            </w:r>
          </w:p>
        </w:tc>
        <w:tc>
          <w:tcPr>
            <w:tcW w:w="9480" w:type="dxa"/>
            <w:vAlign w:val="bottom"/>
          </w:tcPr>
          <w:p>
            <w:pPr>
              <w:ind w:left="120"/>
              <w:spacing w:after="0"/>
              <w:rPr>
                <w:sz w:val="20"/>
                <w:szCs w:val="20"/>
                <w:color w:val="auto"/>
              </w:rPr>
            </w:pPr>
            <w:r>
              <w:rPr>
                <w:rFonts w:ascii="Arial" w:cs="Arial" w:eastAsia="Arial" w:hAnsi="Arial"/>
                <w:sz w:val="14"/>
                <w:szCs w:val="14"/>
                <w:color w:val="auto"/>
              </w:rPr>
              <w:t>eligible for this benefit. This is an annual benefit paid only upon disability, equal to 80% of the sum of the executive’s base salary and target annual</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incentive award at the time of disability.</w:t>
            </w:r>
          </w:p>
        </w:tc>
      </w:tr>
      <w:tr>
        <w:trPr>
          <w:trHeight w:val="191"/>
        </w:trPr>
        <w:tc>
          <w:tcPr>
            <w:tcW w:w="1760" w:type="dxa"/>
            <w:vAlign w:val="bottom"/>
          </w:tcPr>
          <w:p>
            <w:pPr>
              <w:spacing w:after="0"/>
              <w:rPr>
                <w:sz w:val="20"/>
                <w:szCs w:val="20"/>
                <w:color w:val="auto"/>
              </w:rPr>
            </w:pPr>
            <w:r>
              <w:rPr>
                <w:rFonts w:ascii="Arial" w:cs="Arial" w:eastAsia="Arial" w:hAnsi="Arial"/>
                <w:sz w:val="14"/>
                <w:szCs w:val="14"/>
                <w:b w:val="1"/>
                <w:bCs w:val="1"/>
                <w:color w:val="auto"/>
              </w:rPr>
              <w:t>Personal Aircraft Usage</w:t>
            </w:r>
          </w:p>
        </w:tc>
        <w:tc>
          <w:tcPr>
            <w:tcW w:w="9480" w:type="dxa"/>
            <w:vAlign w:val="bottom"/>
          </w:tcPr>
          <w:p>
            <w:pPr>
              <w:ind w:left="120"/>
              <w:spacing w:after="0"/>
              <w:rPr>
                <w:sz w:val="20"/>
                <w:szCs w:val="20"/>
                <w:color w:val="auto"/>
              </w:rPr>
            </w:pPr>
            <w:r>
              <w:rPr>
                <w:rFonts w:ascii="Arial" w:cs="Arial" w:eastAsia="Arial" w:hAnsi="Arial"/>
                <w:sz w:val="14"/>
                <w:szCs w:val="14"/>
                <w:color w:val="auto"/>
              </w:rPr>
              <w:t>RTX’s policy allows our CEO (and Executive Chair, if applicable) to use the corporate aircraft for personal use, though special approval may be</w:t>
            </w:r>
          </w:p>
        </w:tc>
      </w:tr>
      <w:tr>
        <w:trPr>
          <w:trHeight w:val="161"/>
        </w:trPr>
        <w:tc>
          <w:tcPr>
            <w:tcW w:w="1760" w:type="dxa"/>
            <w:vAlign w:val="bottom"/>
          </w:tcPr>
          <w:p>
            <w:pPr>
              <w:spacing w:after="0"/>
              <w:rPr>
                <w:sz w:val="13"/>
                <w:szCs w:val="13"/>
                <w:color w:val="auto"/>
              </w:rPr>
            </w:pPr>
          </w:p>
        </w:tc>
        <w:tc>
          <w:tcPr>
            <w:tcW w:w="9480" w:type="dxa"/>
            <w:vAlign w:val="bottom"/>
          </w:tcPr>
          <w:p>
            <w:pPr>
              <w:ind w:left="120"/>
              <w:spacing w:after="0"/>
              <w:rPr>
                <w:sz w:val="20"/>
                <w:szCs w:val="20"/>
                <w:color w:val="auto"/>
              </w:rPr>
            </w:pPr>
            <w:r>
              <w:rPr>
                <w:rFonts w:ascii="Arial" w:cs="Arial" w:eastAsia="Arial" w:hAnsi="Arial"/>
                <w:sz w:val="14"/>
                <w:szCs w:val="14"/>
                <w:color w:val="auto"/>
              </w:rPr>
              <w:t>given to other executives in extraordinary circumstances. The Committee believes this is essential for our CEO’s security and personal safety, in</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addition to being a more efficient use of his time.</w:t>
            </w:r>
          </w:p>
        </w:tc>
      </w:tr>
      <w:tr>
        <w:trPr>
          <w:trHeight w:val="173"/>
        </w:trPr>
        <w:tc>
          <w:tcPr>
            <w:tcW w:w="1760" w:type="dxa"/>
            <w:vAlign w:val="bottom"/>
          </w:tcPr>
          <w:p>
            <w:pPr>
              <w:spacing w:after="0"/>
              <w:rPr>
                <w:sz w:val="20"/>
                <w:szCs w:val="20"/>
                <w:color w:val="auto"/>
              </w:rPr>
            </w:pPr>
            <w:r>
              <w:rPr>
                <w:rFonts w:ascii="Arial" w:cs="Arial" w:eastAsia="Arial" w:hAnsi="Arial"/>
                <w:sz w:val="14"/>
                <w:szCs w:val="14"/>
                <w:b w:val="1"/>
                <w:bCs w:val="1"/>
                <w:color w:val="auto"/>
              </w:rPr>
              <w:t>Company-Provided Car</w:t>
            </w:r>
          </w:p>
        </w:tc>
        <w:tc>
          <w:tcPr>
            <w:tcW w:w="9480" w:type="dxa"/>
            <w:vAlign w:val="bottom"/>
          </w:tcPr>
          <w:p>
            <w:pPr>
              <w:ind w:left="120"/>
              <w:spacing w:after="0"/>
              <w:rPr>
                <w:sz w:val="20"/>
                <w:szCs w:val="20"/>
                <w:color w:val="auto"/>
              </w:rPr>
            </w:pPr>
            <w:r>
              <w:rPr>
                <w:rFonts w:ascii="Arial" w:cs="Arial" w:eastAsia="Arial" w:hAnsi="Arial"/>
                <w:sz w:val="14"/>
                <w:szCs w:val="14"/>
                <w:color w:val="auto"/>
              </w:rPr>
              <w:t>For security reasons, our CEO (and Executive Chair, if applicable) has access to a company-provided car and drivers (who are trained security</w:t>
            </w:r>
          </w:p>
        </w:tc>
      </w:tr>
      <w:tr>
        <w:trPr>
          <w:trHeight w:val="179"/>
        </w:trPr>
        <w:tc>
          <w:tcPr>
            <w:tcW w:w="1760" w:type="dxa"/>
            <w:vAlign w:val="bottom"/>
          </w:tcPr>
          <w:p>
            <w:pPr>
              <w:spacing w:after="0"/>
              <w:rPr>
                <w:sz w:val="20"/>
                <w:szCs w:val="20"/>
                <w:color w:val="auto"/>
              </w:rPr>
            </w:pPr>
            <w:r>
              <w:rPr>
                <w:rFonts w:ascii="Arial" w:cs="Arial" w:eastAsia="Arial" w:hAnsi="Arial"/>
                <w:sz w:val="14"/>
                <w:szCs w:val="14"/>
                <w:b w:val="1"/>
                <w:bCs w:val="1"/>
                <w:color w:val="auto"/>
              </w:rPr>
              <w:t>and Driver</w:t>
            </w:r>
          </w:p>
        </w:tc>
        <w:tc>
          <w:tcPr>
            <w:tcW w:w="9480" w:type="dxa"/>
            <w:vAlign w:val="bottom"/>
          </w:tcPr>
          <w:p>
            <w:pPr>
              <w:ind w:left="120"/>
              <w:spacing w:after="0"/>
              <w:rPr>
                <w:sz w:val="20"/>
                <w:szCs w:val="20"/>
                <w:color w:val="auto"/>
              </w:rPr>
            </w:pPr>
            <w:r>
              <w:rPr>
                <w:rFonts w:ascii="Arial" w:cs="Arial" w:eastAsia="Arial" w:hAnsi="Arial"/>
                <w:sz w:val="14"/>
                <w:szCs w:val="14"/>
                <w:color w:val="auto"/>
              </w:rPr>
              <w:t>personnel) when needed. This is primarily used for business purposes, but also may be used, in limited circumstances, in situations that may have</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 personal element.</w:t>
            </w:r>
          </w:p>
        </w:tc>
      </w:tr>
      <w:tr>
        <w:trPr>
          <w:trHeight w:val="220"/>
        </w:trPr>
        <w:tc>
          <w:tcPr>
            <w:tcW w:w="176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Security Monitoring</w:t>
            </w:r>
          </w:p>
        </w:tc>
        <w:tc>
          <w:tcPr>
            <w:tcW w:w="9480" w:type="dxa"/>
            <w:vAlign w:val="bottom"/>
            <w:tcBorders>
              <w:bottom w:val="single" w:sz="8" w:color="636466"/>
            </w:tcBorders>
          </w:tcPr>
          <w:p>
            <w:pPr>
              <w:ind w:left="120"/>
              <w:spacing w:after="0"/>
              <w:rPr>
                <w:sz w:val="20"/>
                <w:szCs w:val="20"/>
                <w:color w:val="auto"/>
              </w:rPr>
            </w:pPr>
            <w:r>
              <w:rPr>
                <w:rFonts w:ascii="Arial" w:cs="Arial" w:eastAsia="Arial" w:hAnsi="Arial"/>
                <w:sz w:val="14"/>
                <w:szCs w:val="14"/>
                <w:color w:val="auto"/>
              </w:rPr>
              <w:t>The Company covers the cost of security system monitoring at the personal residence of our CEO (and Executive Chair, if applicable).</w:t>
            </w:r>
          </w:p>
        </w:tc>
      </w:tr>
      <w:tr>
        <w:trPr>
          <w:trHeight w:val="234"/>
        </w:trPr>
        <w:tc>
          <w:tcPr>
            <w:tcW w:w="1760" w:type="dxa"/>
            <w:vAlign w:val="bottom"/>
            <w:tcBorders>
              <w:bottom w:val="single" w:sz="8" w:color="CE0F2D"/>
            </w:tcBorders>
          </w:tcPr>
          <w:p>
            <w:pPr>
              <w:spacing w:after="0"/>
              <w:rPr>
                <w:sz w:val="20"/>
                <w:szCs w:val="20"/>
                <w:color w:val="auto"/>
              </w:rPr>
            </w:pPr>
            <w:r>
              <w:rPr>
                <w:rFonts w:ascii="Arial" w:cs="Arial" w:eastAsia="Arial" w:hAnsi="Arial"/>
                <w:sz w:val="14"/>
                <w:szCs w:val="14"/>
                <w:b w:val="1"/>
                <w:bCs w:val="1"/>
                <w:color w:val="CE0F2D"/>
              </w:rPr>
              <w:t>Phasing Out</w:t>
            </w:r>
          </w:p>
        </w:tc>
        <w:tc>
          <w:tcPr>
            <w:tcW w:w="9480" w:type="dxa"/>
            <w:vAlign w:val="bottom"/>
            <w:tcBorders>
              <w:bottom w:val="single" w:sz="8" w:color="CE0F2D"/>
            </w:tcBorders>
          </w:tcPr>
          <w:p>
            <w:pPr>
              <w:spacing w:after="0"/>
              <w:rPr>
                <w:sz w:val="20"/>
                <w:szCs w:val="20"/>
                <w:color w:val="auto"/>
              </w:rPr>
            </w:pPr>
          </w:p>
        </w:tc>
      </w:tr>
      <w:tr>
        <w:trPr>
          <w:trHeight w:val="192"/>
        </w:trPr>
        <w:tc>
          <w:tcPr>
            <w:tcW w:w="1760" w:type="dxa"/>
            <w:vAlign w:val="bottom"/>
          </w:tcPr>
          <w:p>
            <w:pPr>
              <w:spacing w:after="0"/>
              <w:rPr>
                <w:sz w:val="20"/>
                <w:szCs w:val="20"/>
                <w:color w:val="auto"/>
              </w:rPr>
            </w:pPr>
            <w:r>
              <w:rPr>
                <w:rFonts w:ascii="Arial" w:cs="Arial" w:eastAsia="Arial" w:hAnsi="Arial"/>
                <w:sz w:val="14"/>
                <w:szCs w:val="14"/>
                <w:b w:val="1"/>
                <w:bCs w:val="1"/>
                <w:color w:val="auto"/>
              </w:rPr>
              <w:t>Company Car</w:t>
            </w:r>
          </w:p>
        </w:tc>
        <w:tc>
          <w:tcPr>
            <w:tcW w:w="9480" w:type="dxa"/>
            <w:vAlign w:val="bottom"/>
          </w:tcPr>
          <w:p>
            <w:pPr>
              <w:ind w:left="120"/>
              <w:spacing w:after="0"/>
              <w:rPr>
                <w:sz w:val="20"/>
                <w:szCs w:val="20"/>
                <w:color w:val="auto"/>
              </w:rPr>
            </w:pPr>
            <w:r>
              <w:rPr>
                <w:rFonts w:ascii="Arial" w:cs="Arial" w:eastAsia="Arial" w:hAnsi="Arial"/>
                <w:sz w:val="14"/>
                <w:szCs w:val="14"/>
                <w:color w:val="auto"/>
              </w:rPr>
              <w:t>Legacy UTC executives receive an annual allowance toward the cost of a leased vehicle and ancillary vehicle benefits. The value of the allowance</w:t>
            </w:r>
          </w:p>
        </w:tc>
      </w:tr>
      <w:tr>
        <w:trPr>
          <w:trHeight w:val="161"/>
        </w:trPr>
        <w:tc>
          <w:tcPr>
            <w:tcW w:w="1760" w:type="dxa"/>
            <w:vAlign w:val="bottom"/>
          </w:tcPr>
          <w:p>
            <w:pPr>
              <w:spacing w:after="0"/>
              <w:rPr>
                <w:sz w:val="13"/>
                <w:szCs w:val="13"/>
                <w:color w:val="auto"/>
              </w:rPr>
            </w:pPr>
          </w:p>
        </w:tc>
        <w:tc>
          <w:tcPr>
            <w:tcW w:w="9480" w:type="dxa"/>
            <w:vAlign w:val="bottom"/>
          </w:tcPr>
          <w:p>
            <w:pPr>
              <w:ind w:left="120"/>
              <w:spacing w:after="0"/>
              <w:rPr>
                <w:sz w:val="20"/>
                <w:szCs w:val="20"/>
                <w:color w:val="auto"/>
              </w:rPr>
            </w:pPr>
            <w:r>
              <w:rPr>
                <w:rFonts w:ascii="Arial" w:cs="Arial" w:eastAsia="Arial" w:hAnsi="Arial"/>
                <w:sz w:val="14"/>
                <w:szCs w:val="14"/>
                <w:color w:val="auto"/>
              </w:rPr>
              <w:t>varies by ELG appointment date. Lease payments above the annual allowance are paid directly by the executive. In 2021, we announced that the</w:t>
            </w:r>
          </w:p>
        </w:tc>
      </w:tr>
      <w:tr>
        <w:trPr>
          <w:trHeight w:val="161"/>
        </w:trPr>
        <w:tc>
          <w:tcPr>
            <w:tcW w:w="1760" w:type="dxa"/>
            <w:vAlign w:val="bottom"/>
          </w:tcPr>
          <w:p>
            <w:pPr>
              <w:spacing w:after="0"/>
              <w:rPr>
                <w:sz w:val="13"/>
                <w:szCs w:val="13"/>
                <w:color w:val="auto"/>
              </w:rPr>
            </w:pPr>
          </w:p>
        </w:tc>
        <w:tc>
          <w:tcPr>
            <w:tcW w:w="9480" w:type="dxa"/>
            <w:vAlign w:val="bottom"/>
          </w:tcPr>
          <w:p>
            <w:pPr>
              <w:ind w:left="120"/>
              <w:spacing w:after="0"/>
              <w:rPr>
                <w:sz w:val="20"/>
                <w:szCs w:val="20"/>
                <w:color w:val="auto"/>
              </w:rPr>
            </w:pPr>
            <w:r>
              <w:rPr>
                <w:rFonts w:ascii="Arial" w:cs="Arial" w:eastAsia="Arial" w:hAnsi="Arial"/>
                <w:sz w:val="14"/>
                <w:szCs w:val="14"/>
                <w:color w:val="auto"/>
              </w:rPr>
              <w:t>legacy UTC leased vehicle benefit would cease at the time the current individual leases expire. We expect this program to be closed in its entirety</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by mid-2023.</w:t>
            </w:r>
          </w:p>
        </w:tc>
      </w:tr>
      <w:tr>
        <w:trPr>
          <w:trHeight w:val="173"/>
        </w:trPr>
        <w:tc>
          <w:tcPr>
            <w:tcW w:w="1760" w:type="dxa"/>
            <w:vAlign w:val="bottom"/>
          </w:tcPr>
          <w:p>
            <w:pPr>
              <w:spacing w:after="0"/>
              <w:rPr>
                <w:sz w:val="20"/>
                <w:szCs w:val="20"/>
                <w:color w:val="auto"/>
              </w:rPr>
            </w:pPr>
            <w:r>
              <w:rPr>
                <w:rFonts w:ascii="Arial" w:cs="Arial" w:eastAsia="Arial" w:hAnsi="Arial"/>
                <w:sz w:val="14"/>
                <w:szCs w:val="14"/>
                <w:b w:val="1"/>
                <w:bCs w:val="1"/>
                <w:color w:val="auto"/>
              </w:rPr>
              <w:t>Split Dollar Life</w:t>
            </w:r>
          </w:p>
        </w:tc>
        <w:tc>
          <w:tcPr>
            <w:tcW w:w="9480" w:type="dxa"/>
            <w:vAlign w:val="bottom"/>
          </w:tcPr>
          <w:p>
            <w:pPr>
              <w:ind w:left="120"/>
              <w:spacing w:after="0"/>
              <w:rPr>
                <w:sz w:val="20"/>
                <w:szCs w:val="20"/>
                <w:color w:val="auto"/>
              </w:rPr>
            </w:pPr>
            <w:r>
              <w:rPr>
                <w:rFonts w:ascii="Arial" w:cs="Arial" w:eastAsia="Arial" w:hAnsi="Arial"/>
                <w:sz w:val="14"/>
                <w:szCs w:val="14"/>
                <w:color w:val="auto"/>
              </w:rPr>
              <w:t>Legacy RTN provided its senior executives with executive split dollar life insurance policies with benefits up to four times base salary (capped at $3</w:t>
            </w:r>
          </w:p>
        </w:tc>
      </w:tr>
      <w:tr>
        <w:trPr>
          <w:trHeight w:val="179"/>
        </w:trPr>
        <w:tc>
          <w:tcPr>
            <w:tcW w:w="1760" w:type="dxa"/>
            <w:vAlign w:val="bottom"/>
          </w:tcPr>
          <w:p>
            <w:pPr>
              <w:spacing w:after="0"/>
              <w:rPr>
                <w:sz w:val="20"/>
                <w:szCs w:val="20"/>
                <w:color w:val="auto"/>
              </w:rPr>
            </w:pPr>
            <w:r>
              <w:rPr>
                <w:rFonts w:ascii="Arial" w:cs="Arial" w:eastAsia="Arial" w:hAnsi="Arial"/>
                <w:sz w:val="14"/>
                <w:szCs w:val="14"/>
                <w:b w:val="1"/>
                <w:bCs w:val="1"/>
                <w:color w:val="auto"/>
              </w:rPr>
              <w:t>Insurance</w:t>
            </w:r>
          </w:p>
        </w:tc>
        <w:tc>
          <w:tcPr>
            <w:tcW w:w="9480" w:type="dxa"/>
            <w:vAlign w:val="bottom"/>
          </w:tcPr>
          <w:p>
            <w:pPr>
              <w:ind w:left="120"/>
              <w:spacing w:after="0"/>
              <w:rPr>
                <w:sz w:val="20"/>
                <w:szCs w:val="20"/>
                <w:color w:val="auto"/>
              </w:rPr>
            </w:pPr>
            <w:r>
              <w:rPr>
                <w:rFonts w:ascii="Arial" w:cs="Arial" w:eastAsia="Arial" w:hAnsi="Arial"/>
                <w:sz w:val="14"/>
                <w:szCs w:val="14"/>
                <w:color w:val="auto"/>
              </w:rPr>
              <w:t>million during employment). Following retirement, coverage reduces by 12.5% annually for five years and after five years, the benefit equals 100%</w:t>
            </w:r>
          </w:p>
        </w:tc>
      </w:tr>
      <w:tr>
        <w:trPr>
          <w:trHeight w:val="161"/>
        </w:trPr>
        <w:tc>
          <w:tcPr>
            <w:tcW w:w="1760" w:type="dxa"/>
            <w:vAlign w:val="bottom"/>
          </w:tcPr>
          <w:p>
            <w:pPr>
              <w:spacing w:after="0"/>
              <w:rPr>
                <w:sz w:val="13"/>
                <w:szCs w:val="13"/>
                <w:color w:val="auto"/>
              </w:rPr>
            </w:pPr>
          </w:p>
        </w:tc>
        <w:tc>
          <w:tcPr>
            <w:tcW w:w="9480" w:type="dxa"/>
            <w:vAlign w:val="bottom"/>
          </w:tcPr>
          <w:p>
            <w:pPr>
              <w:ind w:left="120"/>
              <w:spacing w:after="0"/>
              <w:rPr>
                <w:sz w:val="20"/>
                <w:szCs w:val="20"/>
                <w:color w:val="auto"/>
              </w:rPr>
            </w:pPr>
            <w:r>
              <w:rPr>
                <w:rFonts w:ascii="Arial" w:cs="Arial" w:eastAsia="Arial" w:hAnsi="Arial"/>
                <w:sz w:val="14"/>
                <w:szCs w:val="14"/>
                <w:color w:val="auto"/>
              </w:rPr>
              <w:t>of final base salary. The benefit will be grandfathered for legacy RTN senior executives with existing policies, but the Company has not entered into</w:t>
            </w:r>
          </w:p>
        </w:tc>
      </w:tr>
      <w:tr>
        <w:trPr>
          <w:trHeight w:val="177"/>
        </w:trPr>
        <w:tc>
          <w:tcPr>
            <w:tcW w:w="1760" w:type="dxa"/>
            <w:vAlign w:val="bottom"/>
            <w:tcBorders>
              <w:bottom w:val="single" w:sz="8" w:color="auto"/>
            </w:tcBorders>
          </w:tcPr>
          <w:p>
            <w:pPr>
              <w:spacing w:after="0"/>
              <w:rPr>
                <w:sz w:val="15"/>
                <w:szCs w:val="15"/>
                <w:color w:val="auto"/>
              </w:rPr>
            </w:pPr>
          </w:p>
        </w:tc>
        <w:tc>
          <w:tcPr>
            <w:tcW w:w="948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additional policies since the Merger and has eliminated this benefit prospectively for new senior leaders.</w:t>
            </w:r>
          </w:p>
        </w:tc>
      </w:tr>
      <w:tr>
        <w:trPr>
          <w:trHeight w:val="173"/>
        </w:trPr>
        <w:tc>
          <w:tcPr>
            <w:tcW w:w="1760" w:type="dxa"/>
            <w:vAlign w:val="bottom"/>
          </w:tcPr>
          <w:p>
            <w:pPr>
              <w:spacing w:after="0"/>
              <w:rPr>
                <w:sz w:val="20"/>
                <w:szCs w:val="20"/>
                <w:color w:val="auto"/>
              </w:rPr>
            </w:pPr>
            <w:r>
              <w:rPr>
                <w:rFonts w:ascii="Arial" w:cs="Arial" w:eastAsia="Arial" w:hAnsi="Arial"/>
                <w:sz w:val="14"/>
                <w:szCs w:val="14"/>
                <w:b w:val="1"/>
                <w:bCs w:val="1"/>
                <w:color w:val="auto"/>
              </w:rPr>
              <w:t>Excess Liability</w:t>
            </w:r>
          </w:p>
        </w:tc>
        <w:tc>
          <w:tcPr>
            <w:tcW w:w="9480" w:type="dxa"/>
            <w:vAlign w:val="bottom"/>
          </w:tcPr>
          <w:p>
            <w:pPr>
              <w:ind w:left="120"/>
              <w:spacing w:after="0"/>
              <w:rPr>
                <w:sz w:val="20"/>
                <w:szCs w:val="20"/>
                <w:color w:val="auto"/>
              </w:rPr>
            </w:pPr>
            <w:r>
              <w:rPr>
                <w:rFonts w:ascii="Arial" w:cs="Arial" w:eastAsia="Arial" w:hAnsi="Arial"/>
                <w:sz w:val="14"/>
                <w:szCs w:val="14"/>
                <w:color w:val="auto"/>
              </w:rPr>
              <w:t>Legacy RTN senior executives receive an excess liability insurance benefit for which premiums are paid by the Company. This insurance benefit</w:t>
            </w:r>
          </w:p>
        </w:tc>
      </w:tr>
      <w:tr>
        <w:trPr>
          <w:trHeight w:val="208"/>
        </w:trPr>
        <w:tc>
          <w:tcPr>
            <w:tcW w:w="1760" w:type="dxa"/>
            <w:vAlign w:val="bottom"/>
            <w:tcBorders>
              <w:bottom w:val="single" w:sz="8" w:color="636466"/>
            </w:tcBorders>
          </w:tcPr>
          <w:p>
            <w:pPr>
              <w:spacing w:after="0"/>
              <w:rPr>
                <w:sz w:val="20"/>
                <w:szCs w:val="20"/>
                <w:color w:val="auto"/>
              </w:rPr>
            </w:pPr>
            <w:r>
              <w:rPr>
                <w:rFonts w:ascii="Arial" w:cs="Arial" w:eastAsia="Arial" w:hAnsi="Arial"/>
                <w:sz w:val="14"/>
                <w:szCs w:val="14"/>
                <w:b w:val="1"/>
                <w:bCs w:val="1"/>
                <w:color w:val="auto"/>
              </w:rPr>
              <w:t>Insurance</w:t>
            </w:r>
          </w:p>
        </w:tc>
        <w:tc>
          <w:tcPr>
            <w:tcW w:w="9480" w:type="dxa"/>
            <w:vAlign w:val="bottom"/>
            <w:tcBorders>
              <w:bottom w:val="single" w:sz="8" w:color="636466"/>
            </w:tcBorders>
          </w:tcPr>
          <w:p>
            <w:pPr>
              <w:ind w:left="120"/>
              <w:spacing w:after="0"/>
              <w:rPr>
                <w:sz w:val="20"/>
                <w:szCs w:val="20"/>
                <w:color w:val="auto"/>
              </w:rPr>
            </w:pPr>
            <w:r>
              <w:rPr>
                <w:rFonts w:ascii="Arial" w:cs="Arial" w:eastAsia="Arial" w:hAnsi="Arial"/>
                <w:sz w:val="14"/>
                <w:szCs w:val="14"/>
                <w:color w:val="auto"/>
              </w:rPr>
              <w:t>will be fully eliminated by April 2022.</w:t>
            </w:r>
          </w:p>
        </w:tc>
      </w:tr>
    </w:tbl>
    <w:p>
      <w:pPr>
        <w:spacing w:after="0" w:line="48" w:lineRule="exact"/>
        <w:rPr>
          <w:sz w:val="20"/>
          <w:szCs w:val="20"/>
          <w:color w:val="auto"/>
        </w:rPr>
      </w:pPr>
    </w:p>
    <w:p>
      <w:pPr>
        <w:ind w:left="240" w:hanging="233"/>
        <w:spacing w:after="0"/>
        <w:tabs>
          <w:tab w:leader="none" w:pos="240" w:val="left"/>
        </w:tabs>
        <w:numPr>
          <w:ilvl w:val="0"/>
          <w:numId w:val="173"/>
        </w:numPr>
        <w:rPr>
          <w:rFonts w:ascii="Arial" w:cs="Arial" w:eastAsia="Arial" w:hAnsi="Arial"/>
          <w:sz w:val="12"/>
          <w:szCs w:val="12"/>
          <w:color w:val="auto"/>
        </w:rPr>
      </w:pPr>
      <w:r>
        <w:rPr>
          <w:rFonts w:ascii="Arial" w:cs="Arial" w:eastAsia="Arial" w:hAnsi="Arial"/>
          <w:sz w:val="12"/>
          <w:szCs w:val="12"/>
          <w:color w:val="auto"/>
        </w:rPr>
        <w:t>See footnote (6) of the Summary Compensation Table on page 67 for more details on these perquisites/benefits for 2021.</w:t>
      </w:r>
    </w:p>
    <w:p>
      <w:pPr>
        <w:spacing w:after="0" w:line="9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OTHER COMPENSATION ELEMENTS</w:t>
      </w:r>
    </w:p>
    <w:p>
      <w:pPr>
        <w:spacing w:after="0" w:line="2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Severance and Change-in-Control Arrangements</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MERGER-RELATED SEVERANCE BENEFITS</w:t>
      </w:r>
    </w:p>
    <w:p>
      <w:pPr>
        <w:spacing w:after="0" w:line="201" w:lineRule="exact"/>
        <w:rPr>
          <w:sz w:val="20"/>
          <w:szCs w:val="20"/>
          <w:color w:val="auto"/>
        </w:rPr>
      </w:pPr>
    </w:p>
    <w:p>
      <w:pPr>
        <w:ind w:right="360"/>
        <w:spacing w:after="0" w:line="248" w:lineRule="auto"/>
        <w:rPr>
          <w:sz w:val="20"/>
          <w:szCs w:val="20"/>
          <w:color w:val="auto"/>
        </w:rPr>
      </w:pPr>
      <w:r>
        <w:rPr>
          <w:rFonts w:ascii="Arial" w:cs="Arial" w:eastAsia="Arial" w:hAnsi="Arial"/>
          <w:sz w:val="16"/>
          <w:szCs w:val="16"/>
          <w:color w:val="auto"/>
        </w:rPr>
        <w:t>As a result of the Merger that closed on April 3, 2020, severance benefits provided to our legacy RTN NEOs (Messrs. Kennedy and O’Brien) and our Corporate legacy UTC NEOs (Messrs. Hayes, Dumais, and Mitchill) vary depending upon each NEO’s legacy company. These benefits expire within two years of the Merger, except that Mr. Hayes’ employment agreement expires on the three-year anniversary of the Merger. Details of each NEO’s individual severance and change-in-control arrangements as of year-end can be found on pages 78-84.</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LEADERSHIP GROUP PROGRAM</w:t>
      </w:r>
    </w:p>
    <w:p>
      <w:pPr>
        <w:spacing w:after="0" w:line="215"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While our NEOs, except Messrs. Calio and Timm, are currently covered by fixed-term, Merger-related severance benefits, the Committee has decided to maintain the legacy UTC Executive Leadership Group (“ELG”) program on a go-forward basis. As a result, following the Merger, several legacy RTN senior executives, except for Mr. Kennedy, were appointed to the ELG.</w:t>
      </w:r>
    </w:p>
    <w:p>
      <w:pPr>
        <w:spacing w:after="0" w:line="148"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The ELG program currently covers approximately 45 of the Company’s most senior leaders, as well as key executives who are potential successors to senior leadership roles. The program has been in place since 1989 but has been modified a number of times over the years to align with best practices and to serve the evolving needs of the Company.</w:t>
      </w:r>
    </w:p>
    <w:p>
      <w:pPr>
        <w:spacing w:after="0" w:line="148" w:lineRule="exact"/>
        <w:rPr>
          <w:sz w:val="20"/>
          <w:szCs w:val="20"/>
          <w:color w:val="auto"/>
        </w:rPr>
      </w:pPr>
    </w:p>
    <w:p>
      <w:pPr>
        <w:ind w:right="440"/>
        <w:spacing w:after="0" w:line="256" w:lineRule="auto"/>
        <w:rPr>
          <w:sz w:val="20"/>
          <w:szCs w:val="20"/>
          <w:color w:val="auto"/>
        </w:rPr>
      </w:pPr>
      <w:r>
        <w:rPr>
          <w:rFonts w:ascii="Arial" w:cs="Arial" w:eastAsia="Arial" w:hAnsi="Arial"/>
          <w:sz w:val="16"/>
          <w:szCs w:val="16"/>
          <w:color w:val="auto"/>
        </w:rPr>
        <w:t>The current program provides an RSU award, granted to executives upon their appointment to the ELG, that vests only if there is a qualifying separation (defined on page 63), and the executive enters into an agreement containing certain restrictive covenants (explained on page 63).</w:t>
      </w:r>
    </w:p>
    <w:p>
      <w:pPr>
        <w:spacing w:after="0" w:line="143" w:lineRule="exact"/>
        <w:rPr>
          <w:sz w:val="20"/>
          <w:szCs w:val="20"/>
          <w:color w:val="auto"/>
        </w:rPr>
      </w:pPr>
    </w:p>
    <w:p>
      <w:pPr>
        <w:ind w:right="660"/>
        <w:spacing w:after="0" w:line="256" w:lineRule="auto"/>
        <w:rPr>
          <w:sz w:val="20"/>
          <w:szCs w:val="20"/>
          <w:color w:val="auto"/>
        </w:rPr>
      </w:pPr>
      <w:r>
        <w:rPr>
          <w:rFonts w:ascii="Arial" w:cs="Arial" w:eastAsia="Arial" w:hAnsi="Arial"/>
          <w:sz w:val="16"/>
          <w:szCs w:val="16"/>
          <w:color w:val="auto"/>
        </w:rPr>
        <w:t>The RSU award acts as a cash severance replacement tool, which the Committee believes more closely aligns our executives with the interest of our shareowners than an outright cash severance payment.</w:t>
      </w:r>
    </w:p>
    <w:p>
      <w:pPr>
        <w:spacing w:after="0" w:line="14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The changes to the ELG separation benefit over the years have been applied prospectively due to existing contractual commitments. As a result, Messrs. Hayes and Dumais are grandfathered into earlier iterations of the program that included cash severance payments, as shown in the table below. However, Mr. Hayes is not eligible to receive the ELG cash severance during the three-year term of his post-Merger employment agreement (see pages 78-79) and Mr. Dumais is not eligible to receive the ELG cash severance during the two-year term of the UTC Merger Severance Plan for Corporate Office Executives and Other Key Employees (see pages 80-81), in which he is a participant. When these Merger-related severance arrangements expire, both Messrs. Hayes and Dumais will resume eligibility for ELG cash severance benefits.</w:t>
      </w:r>
    </w:p>
    <w:p>
      <w:pPr>
        <w:spacing w:after="0" w:line="154" w:lineRule="exact"/>
        <w:rPr>
          <w:sz w:val="20"/>
          <w:szCs w:val="20"/>
          <w:color w:val="auto"/>
        </w:rPr>
      </w:pPr>
    </w:p>
    <w:p>
      <w:pPr>
        <w:ind w:right="180"/>
        <w:spacing w:after="0" w:line="256" w:lineRule="auto"/>
        <w:rPr>
          <w:sz w:val="20"/>
          <w:szCs w:val="20"/>
          <w:color w:val="auto"/>
        </w:rPr>
      </w:pPr>
      <w:r>
        <w:rPr>
          <w:rFonts w:ascii="Arial" w:cs="Arial" w:eastAsia="Arial" w:hAnsi="Arial"/>
          <w:sz w:val="16"/>
          <w:szCs w:val="16"/>
          <w:color w:val="auto"/>
        </w:rPr>
        <w:t>Upon the Merger, Mr. O’Brien, was appointed to the ELG. However, he separated from the Company prior to becoming eligible for separation benefits under the ELG program, and therefore forfeited his ELG RSU award.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tcBorders>
              <w:bottom w:val="single" w:sz="8" w:color="CE0F2D"/>
            </w:tcBorders>
          </w:tcPr>
          <w:p>
            <w:pPr>
              <w:spacing w:after="0"/>
              <w:rPr>
                <w:sz w:val="14"/>
                <w:szCs w:val="14"/>
                <w:color w:val="auto"/>
              </w:rPr>
            </w:pPr>
          </w:p>
        </w:tc>
        <w:tc>
          <w:tcPr>
            <w:tcW w:w="7160" w:type="dxa"/>
            <w:vAlign w:val="bottom"/>
            <w:tcBorders>
              <w:bottom w:val="single" w:sz="8" w:color="CE0F2D"/>
            </w:tcBorders>
            <w:gridSpan w:val="2"/>
          </w:tcPr>
          <w:p>
            <w:pPr>
              <w:ind w:left="1180"/>
              <w:spacing w:after="0"/>
              <w:rPr>
                <w:sz w:val="20"/>
                <w:szCs w:val="20"/>
                <w:color w:val="auto"/>
              </w:rPr>
            </w:pPr>
            <w:r>
              <w:rPr>
                <w:rFonts w:ascii="Arial" w:cs="Arial" w:eastAsia="Arial" w:hAnsi="Arial"/>
                <w:sz w:val="14"/>
                <w:szCs w:val="14"/>
                <w:color w:val="61676D"/>
              </w:rPr>
              <w:t>Date of Executive’s Appointment to the ELG</w:t>
            </w:r>
          </w:p>
        </w:tc>
      </w:tr>
      <w:tr>
        <w:trPr>
          <w:trHeight w:val="172"/>
        </w:trPr>
        <w:tc>
          <w:tcPr>
            <w:tcW w:w="1760" w:type="dxa"/>
            <w:vAlign w:val="bottom"/>
          </w:tcPr>
          <w:p>
            <w:pPr>
              <w:spacing w:after="0"/>
              <w:rPr>
                <w:sz w:val="14"/>
                <w:szCs w:val="14"/>
                <w:color w:val="auto"/>
              </w:rPr>
            </w:pPr>
          </w:p>
        </w:tc>
        <w:tc>
          <w:tcPr>
            <w:tcW w:w="2320" w:type="dxa"/>
            <w:vAlign w:val="bottom"/>
            <w:gridSpan w:val="2"/>
          </w:tcPr>
          <w:p>
            <w:pPr>
              <w:ind w:left="300"/>
              <w:spacing w:after="0"/>
              <w:rPr>
                <w:sz w:val="20"/>
                <w:szCs w:val="20"/>
                <w:color w:val="auto"/>
              </w:rPr>
            </w:pPr>
            <w:r>
              <w:rPr>
                <w:rFonts w:ascii="Arial" w:cs="Arial" w:eastAsia="Arial" w:hAnsi="Arial"/>
                <w:sz w:val="14"/>
                <w:szCs w:val="14"/>
                <w:color w:val="61676D"/>
              </w:rPr>
              <w:t>Prior to</w:t>
            </w:r>
          </w:p>
        </w:tc>
        <w:tc>
          <w:tcPr>
            <w:tcW w:w="3740" w:type="dxa"/>
            <w:vAlign w:val="bottom"/>
          </w:tcPr>
          <w:p>
            <w:pPr>
              <w:ind w:left="380"/>
              <w:spacing w:after="0"/>
              <w:rPr>
                <w:sz w:val="20"/>
                <w:szCs w:val="20"/>
                <w:color w:val="auto"/>
              </w:rPr>
            </w:pPr>
            <w:r>
              <w:rPr>
                <w:rFonts w:ascii="Arial" w:cs="Arial" w:eastAsia="Arial" w:hAnsi="Arial"/>
                <w:sz w:val="14"/>
                <w:szCs w:val="14"/>
                <w:color w:val="61676D"/>
              </w:rPr>
              <w:t>Between January 2006</w:t>
            </w:r>
          </w:p>
        </w:tc>
        <w:tc>
          <w:tcPr>
            <w:tcW w:w="3420" w:type="dxa"/>
            <w:vAlign w:val="bottom"/>
          </w:tcPr>
          <w:p>
            <w:pPr>
              <w:ind w:left="120"/>
              <w:spacing w:after="0"/>
              <w:rPr>
                <w:sz w:val="20"/>
                <w:szCs w:val="20"/>
                <w:color w:val="auto"/>
              </w:rPr>
            </w:pPr>
            <w:r>
              <w:rPr>
                <w:rFonts w:ascii="Arial" w:cs="Arial" w:eastAsia="Arial" w:hAnsi="Arial"/>
                <w:sz w:val="14"/>
                <w:szCs w:val="14"/>
                <w:color w:val="61676D"/>
              </w:rPr>
              <w:t>After</w:t>
            </w:r>
          </w:p>
        </w:tc>
      </w:tr>
      <w:tr>
        <w:trPr>
          <w:trHeight w:val="190"/>
        </w:trPr>
        <w:tc>
          <w:tcPr>
            <w:tcW w:w="1760" w:type="dxa"/>
            <w:vAlign w:val="bottom"/>
            <w:tcBorders>
              <w:bottom w:val="single" w:sz="8" w:color="CE0F2D"/>
            </w:tcBorders>
          </w:tcPr>
          <w:p>
            <w:pPr>
              <w:spacing w:after="0"/>
              <w:rPr>
                <w:sz w:val="16"/>
                <w:szCs w:val="16"/>
                <w:color w:val="auto"/>
              </w:rPr>
            </w:pPr>
          </w:p>
        </w:tc>
        <w:tc>
          <w:tcPr>
            <w:tcW w:w="2320" w:type="dxa"/>
            <w:vAlign w:val="bottom"/>
            <w:tcBorders>
              <w:bottom w:val="single" w:sz="8" w:color="CE0F2D"/>
            </w:tcBorders>
            <w:gridSpan w:val="2"/>
          </w:tcPr>
          <w:p>
            <w:pPr>
              <w:ind w:left="300"/>
              <w:spacing w:after="0"/>
              <w:rPr>
                <w:sz w:val="20"/>
                <w:szCs w:val="20"/>
                <w:color w:val="auto"/>
              </w:rPr>
            </w:pPr>
            <w:r>
              <w:rPr>
                <w:rFonts w:ascii="Arial" w:cs="Arial" w:eastAsia="Arial" w:hAnsi="Arial"/>
                <w:sz w:val="14"/>
                <w:szCs w:val="14"/>
                <w:color w:val="61676D"/>
              </w:rPr>
              <w:t>January 2006</w:t>
            </w:r>
          </w:p>
        </w:tc>
        <w:tc>
          <w:tcPr>
            <w:tcW w:w="3740" w:type="dxa"/>
            <w:vAlign w:val="bottom"/>
            <w:tcBorders>
              <w:bottom w:val="single" w:sz="8" w:color="CE0F2D"/>
            </w:tcBorders>
          </w:tcPr>
          <w:p>
            <w:pPr>
              <w:ind w:left="380"/>
              <w:spacing w:after="0"/>
              <w:rPr>
                <w:sz w:val="20"/>
                <w:szCs w:val="20"/>
                <w:color w:val="auto"/>
              </w:rPr>
            </w:pPr>
            <w:r>
              <w:rPr>
                <w:rFonts w:ascii="Arial" w:cs="Arial" w:eastAsia="Arial" w:hAnsi="Arial"/>
                <w:sz w:val="14"/>
                <w:szCs w:val="14"/>
                <w:color w:val="61676D"/>
              </w:rPr>
              <w:t>and April 2013</w:t>
            </w:r>
          </w:p>
        </w:tc>
        <w:tc>
          <w:tcPr>
            <w:tcW w:w="3420" w:type="dxa"/>
            <w:vAlign w:val="bottom"/>
            <w:tcBorders>
              <w:bottom w:val="single" w:sz="8" w:color="CE0F2D"/>
            </w:tcBorders>
          </w:tcPr>
          <w:p>
            <w:pPr>
              <w:ind w:left="120"/>
              <w:spacing w:after="0"/>
              <w:rPr>
                <w:sz w:val="20"/>
                <w:szCs w:val="20"/>
                <w:color w:val="auto"/>
              </w:rPr>
            </w:pPr>
            <w:r>
              <w:rPr>
                <w:rFonts w:ascii="Arial" w:cs="Arial" w:eastAsia="Arial" w:hAnsi="Arial"/>
                <w:sz w:val="14"/>
                <w:szCs w:val="14"/>
                <w:color w:val="61676D"/>
              </w:rPr>
              <w:t>April 2013</w:t>
            </w:r>
          </w:p>
        </w:tc>
      </w:t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rPr>
              <w:t>ELG Cash Separation</w:t>
            </w:r>
          </w:p>
        </w:tc>
        <w:tc>
          <w:tcPr>
            <w:tcW w:w="2320" w:type="dxa"/>
            <w:vAlign w:val="bottom"/>
            <w:gridSpan w:val="2"/>
          </w:tcPr>
          <w:p>
            <w:pPr>
              <w:ind w:left="300"/>
              <w:spacing w:after="0"/>
              <w:rPr>
                <w:sz w:val="20"/>
                <w:szCs w:val="20"/>
                <w:color w:val="auto"/>
              </w:rPr>
            </w:pPr>
            <w:r>
              <w:rPr>
                <w:rFonts w:ascii="Arial" w:cs="Arial" w:eastAsia="Arial" w:hAnsi="Arial"/>
                <w:sz w:val="14"/>
                <w:szCs w:val="14"/>
                <w:color w:val="auto"/>
              </w:rPr>
              <w:t>2.5x base salary following</w:t>
            </w:r>
          </w:p>
        </w:tc>
        <w:tc>
          <w:tcPr>
            <w:tcW w:w="3740" w:type="dxa"/>
            <w:vAlign w:val="bottom"/>
          </w:tcPr>
          <w:p>
            <w:pPr>
              <w:ind w:left="380"/>
              <w:spacing w:after="0"/>
              <w:rPr>
                <w:sz w:val="20"/>
                <w:szCs w:val="20"/>
                <w:color w:val="auto"/>
              </w:rPr>
            </w:pPr>
            <w:r>
              <w:rPr>
                <w:rFonts w:ascii="Arial" w:cs="Arial" w:eastAsia="Arial" w:hAnsi="Arial"/>
                <w:sz w:val="14"/>
                <w:szCs w:val="14"/>
                <w:color w:val="auto"/>
              </w:rPr>
              <w:t>2.5x base salary if a qualifying separation occurs</w:t>
            </w:r>
          </w:p>
        </w:tc>
        <w:tc>
          <w:tcPr>
            <w:tcW w:w="3420" w:type="dxa"/>
            <w:vAlign w:val="bottom"/>
          </w:tcPr>
          <w:p>
            <w:pPr>
              <w:ind w:left="120"/>
              <w:spacing w:after="0"/>
              <w:rPr>
                <w:sz w:val="20"/>
                <w:szCs w:val="20"/>
                <w:color w:val="auto"/>
              </w:rPr>
            </w:pPr>
            <w:r>
              <w:rPr>
                <w:rFonts w:ascii="Arial" w:cs="Arial" w:eastAsia="Arial" w:hAnsi="Arial"/>
                <w:sz w:val="14"/>
                <w:szCs w:val="14"/>
                <w:color w:val="auto"/>
              </w:rPr>
              <w:t>No cash benefit</w:t>
            </w:r>
          </w:p>
        </w:tc>
      </w:tr>
      <w:tr>
        <w:trPr>
          <w:trHeight w:val="187"/>
        </w:trPr>
        <w:tc>
          <w:tcPr>
            <w:tcW w:w="1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Benefit</w:t>
            </w:r>
          </w:p>
        </w:tc>
        <w:tc>
          <w:tcPr>
            <w:tcW w:w="23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rPr>
              <w:t>qualifying separation</w:t>
            </w: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prior to age 62</w:t>
            </w:r>
          </w:p>
        </w:tc>
        <w:tc>
          <w:tcPr>
            <w:tcW w:w="3420" w:type="dxa"/>
            <w:vAlign w:val="bottom"/>
            <w:tcBorders>
              <w:bottom w:val="single" w:sz="8" w:color="auto"/>
            </w:tcBorders>
          </w:tcPr>
          <w:p>
            <w:pPr>
              <w:spacing w:after="0"/>
              <w:rPr>
                <w:sz w:val="16"/>
                <w:szCs w:val="16"/>
                <w:color w:val="auto"/>
              </w:rPr>
            </w:pPr>
          </w:p>
        </w:tc>
      </w:tr>
      <w:tr>
        <w:trPr>
          <w:trHeight w:val="172"/>
        </w:trPr>
        <w:tc>
          <w:tcPr>
            <w:tcW w:w="1760" w:type="dxa"/>
            <w:vAlign w:val="bottom"/>
          </w:tcPr>
          <w:p>
            <w:pPr>
              <w:spacing w:after="0"/>
              <w:rPr>
                <w:sz w:val="20"/>
                <w:szCs w:val="20"/>
                <w:color w:val="auto"/>
              </w:rPr>
            </w:pPr>
            <w:r>
              <w:rPr>
                <w:rFonts w:ascii="Arial" w:cs="Arial" w:eastAsia="Arial" w:hAnsi="Arial"/>
                <w:sz w:val="14"/>
                <w:szCs w:val="14"/>
                <w:b w:val="1"/>
                <w:bCs w:val="1"/>
                <w:color w:val="auto"/>
              </w:rPr>
              <w:t>ELG RSU Award*</w:t>
            </w:r>
          </w:p>
        </w:tc>
        <w:tc>
          <w:tcPr>
            <w:tcW w:w="2320" w:type="dxa"/>
            <w:vAlign w:val="bottom"/>
            <w:gridSpan w:val="2"/>
          </w:tcPr>
          <w:p>
            <w:pPr>
              <w:ind w:left="300"/>
              <w:spacing w:after="0"/>
              <w:rPr>
                <w:sz w:val="20"/>
                <w:szCs w:val="20"/>
                <w:color w:val="auto"/>
              </w:rPr>
            </w:pPr>
            <w:r>
              <w:rPr>
                <w:rFonts w:ascii="Arial" w:cs="Arial" w:eastAsia="Arial" w:hAnsi="Arial"/>
                <w:sz w:val="14"/>
                <w:szCs w:val="14"/>
                <w:color w:val="auto"/>
              </w:rPr>
              <w:t>No award granted</w:t>
            </w:r>
          </w:p>
        </w:tc>
        <w:tc>
          <w:tcPr>
            <w:tcW w:w="3740" w:type="dxa"/>
            <w:vAlign w:val="bottom"/>
          </w:tcPr>
          <w:p>
            <w:pPr>
              <w:ind w:left="380"/>
              <w:spacing w:after="0"/>
              <w:rPr>
                <w:sz w:val="20"/>
                <w:szCs w:val="20"/>
                <w:color w:val="auto"/>
              </w:rPr>
            </w:pPr>
            <w:r>
              <w:rPr>
                <w:rFonts w:ascii="Arial" w:cs="Arial" w:eastAsia="Arial" w:hAnsi="Arial"/>
                <w:sz w:val="14"/>
                <w:szCs w:val="14"/>
                <w:color w:val="auto"/>
              </w:rPr>
              <w:t>RSU award with a grant value equal to 2x base</w:t>
            </w:r>
          </w:p>
        </w:tc>
        <w:tc>
          <w:tcPr>
            <w:tcW w:w="3420" w:type="dxa"/>
            <w:vAlign w:val="bottom"/>
          </w:tcPr>
          <w:p>
            <w:pPr>
              <w:ind w:left="120"/>
              <w:spacing w:after="0"/>
              <w:rPr>
                <w:sz w:val="20"/>
                <w:szCs w:val="20"/>
                <w:color w:val="auto"/>
              </w:rPr>
            </w:pPr>
            <w:r>
              <w:rPr>
                <w:rFonts w:ascii="Arial" w:cs="Arial" w:eastAsia="Arial" w:hAnsi="Arial"/>
                <w:sz w:val="14"/>
                <w:szCs w:val="14"/>
                <w:color w:val="auto"/>
              </w:rPr>
              <w:t>RSU award with a grant value up to $2 million</w:t>
            </w:r>
          </w:p>
        </w:tc>
      </w:tr>
      <w:tr>
        <w:trPr>
          <w:trHeight w:val="161"/>
        </w:trPr>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740" w:type="dxa"/>
            <w:vAlign w:val="bottom"/>
          </w:tcPr>
          <w:p>
            <w:pPr>
              <w:ind w:left="380"/>
              <w:spacing w:after="0"/>
              <w:rPr>
                <w:sz w:val="20"/>
                <w:szCs w:val="20"/>
                <w:color w:val="auto"/>
              </w:rPr>
            </w:pPr>
            <w:r>
              <w:rPr>
                <w:rFonts w:ascii="Arial" w:cs="Arial" w:eastAsia="Arial" w:hAnsi="Arial"/>
                <w:sz w:val="14"/>
                <w:szCs w:val="14"/>
                <w:color w:val="auto"/>
              </w:rPr>
              <w:t>salary that vests if a qualifying separation occurs on</w:t>
            </w:r>
          </w:p>
        </w:tc>
        <w:tc>
          <w:tcPr>
            <w:tcW w:w="3420" w:type="dxa"/>
            <w:vAlign w:val="bottom"/>
          </w:tcPr>
          <w:p>
            <w:pPr>
              <w:ind w:left="120"/>
              <w:spacing w:after="0"/>
              <w:rPr>
                <w:sz w:val="20"/>
                <w:szCs w:val="20"/>
                <w:color w:val="auto"/>
              </w:rPr>
            </w:pPr>
            <w:r>
              <w:rPr>
                <w:rFonts w:ascii="Arial" w:cs="Arial" w:eastAsia="Arial" w:hAnsi="Arial"/>
                <w:sz w:val="14"/>
                <w:szCs w:val="14"/>
                <w:color w:val="auto"/>
              </w:rPr>
              <w:t>depending on role, that vests upon a qualifying</w:t>
            </w:r>
          </w:p>
        </w:tc>
      </w:tr>
      <w:tr>
        <w:trPr>
          <w:trHeight w:val="169"/>
        </w:trPr>
        <w:tc>
          <w:tcPr>
            <w:tcW w:w="1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or after age 62</w:t>
            </w:r>
          </w:p>
        </w:tc>
        <w:tc>
          <w:tcPr>
            <w:tcW w:w="342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separation</w:t>
            </w:r>
          </w:p>
        </w:tc>
      </w:tr>
      <w:tr>
        <w:trPr>
          <w:trHeight w:val="172"/>
        </w:trPr>
        <w:tc>
          <w:tcPr>
            <w:tcW w:w="1760" w:type="dxa"/>
            <w:vAlign w:val="bottom"/>
          </w:tcPr>
          <w:p>
            <w:pPr>
              <w:spacing w:after="0"/>
              <w:rPr>
                <w:sz w:val="20"/>
                <w:szCs w:val="20"/>
                <w:color w:val="auto"/>
              </w:rPr>
            </w:pPr>
            <w:r>
              <w:rPr>
                <w:rFonts w:ascii="Arial" w:cs="Arial" w:eastAsia="Arial" w:hAnsi="Arial"/>
                <w:sz w:val="14"/>
                <w:szCs w:val="14"/>
                <w:b w:val="1"/>
                <w:bCs w:val="1"/>
                <w:color w:val="auto"/>
              </w:rPr>
              <w:t>NEO Participation</w:t>
            </w:r>
          </w:p>
        </w:tc>
        <w:tc>
          <w:tcPr>
            <w:tcW w:w="2320" w:type="dxa"/>
            <w:vAlign w:val="bottom"/>
            <w:gridSpan w:val="2"/>
          </w:tcPr>
          <w:p>
            <w:pPr>
              <w:ind w:left="300"/>
              <w:spacing w:after="0"/>
              <w:rPr>
                <w:sz w:val="20"/>
                <w:szCs w:val="20"/>
                <w:color w:val="auto"/>
              </w:rPr>
            </w:pPr>
            <w:r>
              <w:rPr>
                <w:rFonts w:ascii="Arial" w:cs="Arial" w:eastAsia="Arial" w:hAnsi="Arial"/>
                <w:sz w:val="14"/>
                <w:szCs w:val="14"/>
                <w:color w:val="auto"/>
              </w:rPr>
              <w:t>Gregory J. Hayes</w:t>
            </w:r>
          </w:p>
        </w:tc>
        <w:tc>
          <w:tcPr>
            <w:tcW w:w="3740" w:type="dxa"/>
            <w:vAlign w:val="bottom"/>
          </w:tcPr>
          <w:p>
            <w:pPr>
              <w:ind w:left="380"/>
              <w:spacing w:after="0"/>
              <w:rPr>
                <w:sz w:val="20"/>
                <w:szCs w:val="20"/>
                <w:color w:val="auto"/>
              </w:rPr>
            </w:pPr>
            <w:r>
              <w:rPr>
                <w:rFonts w:ascii="Arial" w:cs="Arial" w:eastAsia="Arial" w:hAnsi="Arial"/>
                <w:sz w:val="14"/>
                <w:szCs w:val="14"/>
                <w:color w:val="auto"/>
              </w:rPr>
              <w:t>Michael R. Dumais</w:t>
            </w:r>
          </w:p>
        </w:tc>
        <w:tc>
          <w:tcPr>
            <w:tcW w:w="3420" w:type="dxa"/>
            <w:vAlign w:val="bottom"/>
          </w:tcPr>
          <w:p>
            <w:pPr>
              <w:ind w:left="120"/>
              <w:spacing w:after="0"/>
              <w:rPr>
                <w:sz w:val="20"/>
                <w:szCs w:val="20"/>
                <w:color w:val="auto"/>
              </w:rPr>
            </w:pPr>
            <w:r>
              <w:rPr>
                <w:rFonts w:ascii="Arial" w:cs="Arial" w:eastAsia="Arial" w:hAnsi="Arial"/>
                <w:sz w:val="14"/>
                <w:szCs w:val="14"/>
                <w:color w:val="auto"/>
              </w:rPr>
              <w:t>Neil G. Mitchill, Jr.</w:t>
            </w:r>
          </w:p>
        </w:tc>
      </w:tr>
      <w:tr>
        <w:trPr>
          <w:trHeight w:val="161"/>
        </w:trPr>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Christopher T. Calio</w:t>
            </w:r>
          </w:p>
        </w:tc>
      </w:tr>
      <w:tr>
        <w:trPr>
          <w:trHeight w:val="161"/>
        </w:trPr>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3420" w:type="dxa"/>
            <w:vAlign w:val="bottom"/>
          </w:tcPr>
          <w:p>
            <w:pPr>
              <w:ind w:left="120"/>
              <w:spacing w:after="0"/>
              <w:rPr>
                <w:sz w:val="20"/>
                <w:szCs w:val="20"/>
                <w:color w:val="auto"/>
              </w:rPr>
            </w:pPr>
            <w:r>
              <w:rPr>
                <w:rFonts w:ascii="Arial" w:cs="Arial" w:eastAsia="Arial" w:hAnsi="Arial"/>
                <w:sz w:val="14"/>
                <w:szCs w:val="14"/>
                <w:color w:val="auto"/>
              </w:rPr>
              <w:t>Stephen J. Timm</w:t>
            </w:r>
          </w:p>
        </w:tc>
      </w:tr>
      <w:tr>
        <w:trPr>
          <w:trHeight w:val="176"/>
        </w:trPr>
        <w:tc>
          <w:tcPr>
            <w:tcW w:w="1760" w:type="dxa"/>
            <w:vAlign w:val="bottom"/>
            <w:tcBorders>
              <w:bottom w:val="single" w:sz="8" w:color="636466"/>
            </w:tcBorders>
          </w:tcPr>
          <w:p>
            <w:pPr>
              <w:spacing w:after="0"/>
              <w:rPr>
                <w:sz w:val="15"/>
                <w:szCs w:val="15"/>
                <w:color w:val="auto"/>
              </w:rPr>
            </w:pPr>
          </w:p>
        </w:tc>
        <w:tc>
          <w:tcPr>
            <w:tcW w:w="300" w:type="dxa"/>
            <w:vAlign w:val="bottom"/>
            <w:tcBorders>
              <w:bottom w:val="single" w:sz="8" w:color="636466"/>
            </w:tcBorders>
          </w:tcPr>
          <w:p>
            <w:pPr>
              <w:spacing w:after="0"/>
              <w:rPr>
                <w:sz w:val="15"/>
                <w:szCs w:val="15"/>
                <w:color w:val="auto"/>
              </w:rPr>
            </w:pPr>
          </w:p>
        </w:tc>
        <w:tc>
          <w:tcPr>
            <w:tcW w:w="2020" w:type="dxa"/>
            <w:vAlign w:val="bottom"/>
            <w:tcBorders>
              <w:bottom w:val="single" w:sz="8" w:color="636466"/>
            </w:tcBorders>
          </w:tcPr>
          <w:p>
            <w:pPr>
              <w:spacing w:after="0"/>
              <w:rPr>
                <w:sz w:val="15"/>
                <w:szCs w:val="15"/>
                <w:color w:val="auto"/>
              </w:rPr>
            </w:pPr>
          </w:p>
        </w:tc>
        <w:tc>
          <w:tcPr>
            <w:tcW w:w="3740" w:type="dxa"/>
            <w:vAlign w:val="bottom"/>
            <w:tcBorders>
              <w:bottom w:val="single" w:sz="8" w:color="636466"/>
            </w:tcBorders>
          </w:tcPr>
          <w:p>
            <w:pPr>
              <w:spacing w:after="0"/>
              <w:rPr>
                <w:sz w:val="15"/>
                <w:szCs w:val="15"/>
                <w:color w:val="auto"/>
              </w:rPr>
            </w:pPr>
          </w:p>
        </w:tc>
        <w:tc>
          <w:tcPr>
            <w:tcW w:w="3420" w:type="dxa"/>
            <w:vAlign w:val="bottom"/>
            <w:tcBorders>
              <w:bottom w:val="single" w:sz="8" w:color="636466"/>
            </w:tcBorders>
          </w:tcPr>
          <w:p>
            <w:pPr>
              <w:ind w:left="120"/>
              <w:spacing w:after="0"/>
              <w:rPr>
                <w:sz w:val="20"/>
                <w:szCs w:val="20"/>
                <w:color w:val="auto"/>
              </w:rPr>
            </w:pPr>
            <w:r>
              <w:rPr>
                <w:rFonts w:ascii="Arial" w:cs="Arial" w:eastAsia="Arial" w:hAnsi="Arial"/>
                <w:sz w:val="14"/>
                <w:szCs w:val="14"/>
                <w:color w:val="auto"/>
              </w:rPr>
              <w:t>Anthony F. O’Brien III</w:t>
            </w:r>
          </w:p>
        </w:tc>
      </w:tr>
    </w:tbl>
    <w:p>
      <w:pPr>
        <w:spacing w:after="0" w:line="56" w:lineRule="exact"/>
        <w:rPr>
          <w:sz w:val="20"/>
          <w:szCs w:val="20"/>
          <w:color w:val="auto"/>
        </w:rPr>
      </w:pPr>
    </w:p>
    <w:p>
      <w:pPr>
        <w:ind w:left="240" w:right="500" w:hanging="233"/>
        <w:spacing w:after="0" w:line="237" w:lineRule="auto"/>
        <w:tabs>
          <w:tab w:leader="none" w:pos="240" w:val="left"/>
        </w:tabs>
        <w:numPr>
          <w:ilvl w:val="0"/>
          <w:numId w:val="174"/>
        </w:numPr>
        <w:rPr>
          <w:rFonts w:ascii="Arial" w:cs="Arial" w:eastAsia="Arial" w:hAnsi="Arial"/>
          <w:sz w:val="12"/>
          <w:szCs w:val="12"/>
          <w:color w:val="auto"/>
        </w:rPr>
      </w:pPr>
      <w:r>
        <w:rPr>
          <w:rFonts w:ascii="Arial" w:cs="Arial" w:eastAsia="Arial" w:hAnsi="Arial"/>
          <w:sz w:val="12"/>
          <w:szCs w:val="12"/>
          <w:color w:val="auto"/>
        </w:rPr>
        <w:t>ELG RSUs earn dividend equivalents during the vesting period that are reinvested as additional RSUs each time the Company pays a dividend to shareowners. These RSUs are subject to the same vesting conditions as the underlying award.</w:t>
      </w:r>
    </w:p>
    <w:p>
      <w:pPr>
        <w:spacing w:after="0" w:line="102" w:lineRule="exact"/>
        <w:rPr>
          <w:sz w:val="20"/>
          <w:szCs w:val="20"/>
          <w:color w:val="auto"/>
        </w:rPr>
      </w:pPr>
    </w:p>
    <w:p>
      <w:pPr>
        <w:ind w:left="260" w:hanging="253"/>
        <w:spacing w:after="0"/>
        <w:tabs>
          <w:tab w:leader="none" w:pos="260" w:val="left"/>
        </w:tabs>
        <w:numPr>
          <w:ilvl w:val="0"/>
          <w:numId w:val="175"/>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OTHER COMPENSATION ELEMENTS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Under the ELG program, a “qualifying separation” is defined as:</w:t>
      </w:r>
    </w:p>
    <w:p>
      <w:pPr>
        <w:spacing w:after="0" w:line="184" w:lineRule="exact"/>
        <w:rPr>
          <w:sz w:val="20"/>
          <w:szCs w:val="20"/>
          <w:color w:val="auto"/>
        </w:rPr>
      </w:pPr>
    </w:p>
    <w:p>
      <w:pPr>
        <w:ind w:left="240" w:right="20" w:hanging="233"/>
        <w:spacing w:after="0" w:line="256" w:lineRule="auto"/>
        <w:tabs>
          <w:tab w:leader="none" w:pos="240" w:val="left"/>
        </w:tabs>
        <w:numPr>
          <w:ilvl w:val="0"/>
          <w:numId w:val="176"/>
        </w:numPr>
        <w:rPr>
          <w:rFonts w:ascii="Arial" w:cs="Arial" w:eastAsia="Arial" w:hAnsi="Arial"/>
          <w:sz w:val="16"/>
          <w:szCs w:val="16"/>
          <w:color w:val="CE0F2D"/>
        </w:rPr>
      </w:pPr>
      <w:r>
        <w:rPr>
          <w:rFonts w:ascii="Arial" w:cs="Arial" w:eastAsia="Arial" w:hAnsi="Arial"/>
          <w:sz w:val="16"/>
          <w:szCs w:val="16"/>
          <w:color w:val="auto"/>
        </w:rPr>
        <w:t>A mutually agreeable separation from the Company due to an ELG member’s position being eliminated or diminished by a divestiture, restructuring, shift in priorities or similar event following three years of ELG membership;</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176"/>
        </w:numPr>
        <w:rPr>
          <w:rFonts w:ascii="Arial" w:cs="Arial" w:eastAsia="Arial" w:hAnsi="Arial"/>
          <w:sz w:val="16"/>
          <w:szCs w:val="16"/>
          <w:color w:val="CE0F2D"/>
        </w:rPr>
      </w:pPr>
      <w:r>
        <w:rPr>
          <w:rFonts w:ascii="Arial" w:cs="Arial" w:eastAsia="Arial" w:hAnsi="Arial"/>
          <w:sz w:val="16"/>
          <w:szCs w:val="16"/>
          <w:color w:val="auto"/>
        </w:rPr>
        <w:t>Retirement on or after age 62 following three years of ELG membership; or</w:t>
      </w:r>
    </w:p>
    <w:p>
      <w:pPr>
        <w:spacing w:after="0" w:line="83" w:lineRule="exact"/>
        <w:rPr>
          <w:rFonts w:ascii="Arial" w:cs="Arial" w:eastAsia="Arial" w:hAnsi="Arial"/>
          <w:sz w:val="16"/>
          <w:szCs w:val="16"/>
          <w:color w:val="CE0F2D"/>
        </w:rPr>
      </w:pPr>
    </w:p>
    <w:p>
      <w:pPr>
        <w:ind w:left="240" w:hanging="233"/>
        <w:spacing w:after="0"/>
        <w:tabs>
          <w:tab w:leader="none" w:pos="240" w:val="left"/>
        </w:tabs>
        <w:numPr>
          <w:ilvl w:val="0"/>
          <w:numId w:val="176"/>
        </w:numPr>
        <w:rPr>
          <w:rFonts w:ascii="Arial" w:cs="Arial" w:eastAsia="Arial" w:hAnsi="Arial"/>
          <w:sz w:val="16"/>
          <w:szCs w:val="16"/>
          <w:color w:val="CE0F2D"/>
        </w:rPr>
      </w:pPr>
      <w:r>
        <w:rPr>
          <w:rFonts w:ascii="Arial" w:cs="Arial" w:eastAsia="Arial" w:hAnsi="Arial"/>
          <w:sz w:val="16"/>
          <w:szCs w:val="16"/>
          <w:color w:val="auto"/>
        </w:rPr>
        <w:t>Involuntary (not for cause) or voluntary (for good reason) terminations within two years of a change-in-control event.</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Restrictive covenants that apply to ELG benefits:</w:t>
      </w:r>
    </w:p>
    <w:p>
      <w:pPr>
        <w:spacing w:after="0" w:line="184" w:lineRule="exact"/>
        <w:rPr>
          <w:sz w:val="20"/>
          <w:szCs w:val="20"/>
          <w:color w:val="auto"/>
        </w:rPr>
      </w:pPr>
    </w:p>
    <w:p>
      <w:pPr>
        <w:jc w:val="both"/>
        <w:ind w:left="240" w:right="40" w:hanging="233"/>
        <w:spacing w:after="0" w:line="250" w:lineRule="auto"/>
        <w:tabs>
          <w:tab w:leader="none" w:pos="240" w:val="left"/>
        </w:tabs>
        <w:numPr>
          <w:ilvl w:val="0"/>
          <w:numId w:val="177"/>
        </w:numPr>
        <w:rPr>
          <w:rFonts w:ascii="Arial" w:cs="Arial" w:eastAsia="Arial" w:hAnsi="Arial"/>
          <w:sz w:val="16"/>
          <w:szCs w:val="16"/>
          <w:color w:val="CE0F2D"/>
        </w:rPr>
      </w:pPr>
      <w:r>
        <w:rPr>
          <w:rFonts w:ascii="Arial" w:cs="Arial" w:eastAsia="Arial" w:hAnsi="Arial"/>
          <w:sz w:val="16"/>
          <w:szCs w:val="16"/>
          <w:color w:val="auto"/>
        </w:rPr>
        <w:t>For all ELG members—regardless of when the executive was appointed to the ELG, separation benefits are conditioned upon enhanced post-employment restrictive covenants designed to protect the Company’s interests, including: (i) non-competition; (ii) employee non-solicitation; (iii) non-disparagement; (iv) protection of confidential, sensitive and proprietary information; and (v) post-termination cooperation.</w:t>
      </w:r>
    </w:p>
    <w:p>
      <w:pPr>
        <w:spacing w:after="0" w:line="67" w:lineRule="exact"/>
        <w:rPr>
          <w:rFonts w:ascii="Arial" w:cs="Arial" w:eastAsia="Arial" w:hAnsi="Arial"/>
          <w:sz w:val="16"/>
          <w:szCs w:val="16"/>
          <w:color w:val="CE0F2D"/>
        </w:rPr>
      </w:pPr>
    </w:p>
    <w:p>
      <w:pPr>
        <w:ind w:left="240" w:right="600" w:hanging="233"/>
        <w:spacing w:after="0" w:line="256" w:lineRule="auto"/>
        <w:tabs>
          <w:tab w:leader="none" w:pos="240" w:val="left"/>
        </w:tabs>
        <w:numPr>
          <w:ilvl w:val="0"/>
          <w:numId w:val="177"/>
        </w:numPr>
        <w:rPr>
          <w:rFonts w:ascii="Arial" w:cs="Arial" w:eastAsia="Arial" w:hAnsi="Arial"/>
          <w:sz w:val="16"/>
          <w:szCs w:val="16"/>
          <w:color w:val="CE0F2D"/>
        </w:rPr>
      </w:pPr>
      <w:r>
        <w:rPr>
          <w:rFonts w:ascii="Arial" w:cs="Arial" w:eastAsia="Arial" w:hAnsi="Arial"/>
          <w:sz w:val="16"/>
          <w:szCs w:val="16"/>
          <w:color w:val="auto"/>
        </w:rPr>
        <w:t>For ELG members appointed on or after April 2013—in addition to the above, a post-employment, non-competition covenant applies, regardless of whether separation benefits are provided.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ELG separation benefit is not treated as compensation for purposes of determining benefits under the pension plans or any other benefit programs.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Distributions are subject to certain restrictions imposed by IRC Section 409A.</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RAYTHEON TECHNOLOGIES CORPORATION 2018 LONG-TERM INCENTIVE PLAN</w:t>
      </w:r>
    </w:p>
    <w:p>
      <w:pPr>
        <w:spacing w:after="0" w:line="21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the Raytheon Technologies Corporation 2018 Long-Term Incentive Plan, as amended and restated (“RTX LTIP”), should a future RTX change-in-control event occur, upon a participant’s qualifying termination within two years of a change-in-control event, the vesting of outstanding LTI awards granted under the RTX LTIP would accelerate. For performance awards, performance goals would be deemed achieved at the greater of actual or target performance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93980</wp:posOffset>
            </wp:positionV>
            <wp:extent cx="7196455" cy="1692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96455" cy="1692275"/>
                    </a:xfrm>
                    <a:prstGeom prst="rect">
                      <a:avLst/>
                    </a:prstGeom>
                    <a:noFill/>
                  </pic:spPr>
                </pic:pic>
              </a:graphicData>
            </a:graphic>
          </wp:anchor>
        </w:drawing>
      </w:r>
    </w:p>
    <w:p>
      <w:pPr>
        <w:spacing w:after="0" w:line="31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change-in-control is defined in the RTX LTIP to generally mean:</w:t>
      </w:r>
    </w:p>
    <w:p>
      <w:pPr>
        <w:spacing w:after="0" w:line="164" w:lineRule="exact"/>
        <w:rPr>
          <w:sz w:val="20"/>
          <w:szCs w:val="20"/>
          <w:color w:val="auto"/>
        </w:rPr>
      </w:pPr>
    </w:p>
    <w:p>
      <w:pPr>
        <w:ind w:left="420" w:hanging="234"/>
        <w:spacing w:after="0"/>
        <w:tabs>
          <w:tab w:leader="none" w:pos="420" w:val="left"/>
        </w:tabs>
        <w:numPr>
          <w:ilvl w:val="0"/>
          <w:numId w:val="178"/>
        </w:numPr>
        <w:rPr>
          <w:rFonts w:ascii="Arial" w:cs="Arial" w:eastAsia="Arial" w:hAnsi="Arial"/>
          <w:sz w:val="16"/>
          <w:szCs w:val="16"/>
          <w:color w:val="CE0F2D"/>
        </w:rPr>
      </w:pPr>
      <w:r>
        <w:rPr>
          <w:rFonts w:ascii="Arial" w:cs="Arial" w:eastAsia="Arial" w:hAnsi="Arial"/>
          <w:sz w:val="16"/>
          <w:szCs w:val="16"/>
          <w:color w:val="auto"/>
        </w:rPr>
        <w:t>The acquisition of 20% or more of RTX’s outstanding shares by a person or a group;</w:t>
      </w:r>
    </w:p>
    <w:p>
      <w:pPr>
        <w:spacing w:after="0" w:line="83" w:lineRule="exact"/>
        <w:rPr>
          <w:rFonts w:ascii="Arial" w:cs="Arial" w:eastAsia="Arial" w:hAnsi="Arial"/>
          <w:sz w:val="16"/>
          <w:szCs w:val="16"/>
          <w:color w:val="CE0F2D"/>
        </w:rPr>
      </w:pPr>
    </w:p>
    <w:p>
      <w:pPr>
        <w:ind w:left="420" w:hanging="234"/>
        <w:spacing w:after="0"/>
        <w:tabs>
          <w:tab w:leader="none" w:pos="420" w:val="left"/>
        </w:tabs>
        <w:numPr>
          <w:ilvl w:val="0"/>
          <w:numId w:val="178"/>
        </w:numPr>
        <w:rPr>
          <w:rFonts w:ascii="Arial" w:cs="Arial" w:eastAsia="Arial" w:hAnsi="Arial"/>
          <w:sz w:val="16"/>
          <w:szCs w:val="16"/>
          <w:color w:val="CE0F2D"/>
        </w:rPr>
      </w:pPr>
      <w:r>
        <w:rPr>
          <w:rFonts w:ascii="Arial" w:cs="Arial" w:eastAsia="Arial" w:hAnsi="Arial"/>
          <w:sz w:val="16"/>
          <w:szCs w:val="16"/>
          <w:color w:val="auto"/>
        </w:rPr>
        <w:t>Incumbent directors no longer constituting a majority of the Board;</w:t>
      </w:r>
    </w:p>
    <w:p>
      <w:pPr>
        <w:spacing w:after="0" w:line="83" w:lineRule="exact"/>
        <w:rPr>
          <w:rFonts w:ascii="Arial" w:cs="Arial" w:eastAsia="Arial" w:hAnsi="Arial"/>
          <w:sz w:val="16"/>
          <w:szCs w:val="16"/>
          <w:color w:val="CE0F2D"/>
        </w:rPr>
      </w:pPr>
    </w:p>
    <w:p>
      <w:pPr>
        <w:ind w:left="420" w:hanging="234"/>
        <w:spacing w:after="0"/>
        <w:tabs>
          <w:tab w:leader="none" w:pos="420" w:val="left"/>
        </w:tabs>
        <w:numPr>
          <w:ilvl w:val="0"/>
          <w:numId w:val="178"/>
        </w:numPr>
        <w:rPr>
          <w:rFonts w:ascii="Arial" w:cs="Arial" w:eastAsia="Arial" w:hAnsi="Arial"/>
          <w:sz w:val="16"/>
          <w:szCs w:val="16"/>
          <w:color w:val="CE0F2D"/>
        </w:rPr>
      </w:pPr>
      <w:r>
        <w:rPr>
          <w:rFonts w:ascii="Arial" w:cs="Arial" w:eastAsia="Arial" w:hAnsi="Arial"/>
          <w:sz w:val="16"/>
          <w:szCs w:val="16"/>
          <w:color w:val="auto"/>
        </w:rPr>
        <w:t>A merger or similar event where RTX shareowners own less than 50% of the voting shares of the new organization; or</w:t>
      </w:r>
    </w:p>
    <w:p>
      <w:pPr>
        <w:spacing w:after="0" w:line="83" w:lineRule="exact"/>
        <w:rPr>
          <w:rFonts w:ascii="Arial" w:cs="Arial" w:eastAsia="Arial" w:hAnsi="Arial"/>
          <w:sz w:val="16"/>
          <w:szCs w:val="16"/>
          <w:color w:val="CE0F2D"/>
        </w:rPr>
      </w:pPr>
    </w:p>
    <w:p>
      <w:pPr>
        <w:ind w:left="420" w:hanging="234"/>
        <w:spacing w:after="0"/>
        <w:tabs>
          <w:tab w:leader="none" w:pos="420" w:val="left"/>
        </w:tabs>
        <w:numPr>
          <w:ilvl w:val="0"/>
          <w:numId w:val="178"/>
        </w:numPr>
        <w:rPr>
          <w:rFonts w:ascii="Arial" w:cs="Arial" w:eastAsia="Arial" w:hAnsi="Arial"/>
          <w:sz w:val="16"/>
          <w:szCs w:val="16"/>
          <w:color w:val="CE0F2D"/>
        </w:rPr>
      </w:pPr>
      <w:r>
        <w:rPr>
          <w:rFonts w:ascii="Arial" w:cs="Arial" w:eastAsia="Arial" w:hAnsi="Arial"/>
          <w:sz w:val="16"/>
          <w:szCs w:val="16"/>
          <w:color w:val="auto"/>
        </w:rPr>
        <w:t>A complete liquidation or dissolution is approved by RTX’s shareowners.</w:t>
      </w:r>
    </w:p>
    <w:p>
      <w:pPr>
        <w:spacing w:after="0" w:line="16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A qualifying termination is defined in the RTX LTIP to mean:</w:t>
      </w:r>
    </w:p>
    <w:p>
      <w:pPr>
        <w:spacing w:after="0" w:line="164" w:lineRule="exact"/>
        <w:rPr>
          <w:sz w:val="20"/>
          <w:szCs w:val="20"/>
          <w:color w:val="auto"/>
        </w:rPr>
      </w:pPr>
    </w:p>
    <w:p>
      <w:pPr>
        <w:ind w:left="420" w:hanging="234"/>
        <w:spacing w:after="0"/>
        <w:tabs>
          <w:tab w:leader="none" w:pos="420" w:val="left"/>
        </w:tabs>
        <w:numPr>
          <w:ilvl w:val="0"/>
          <w:numId w:val="179"/>
        </w:numPr>
        <w:rPr>
          <w:rFonts w:ascii="Arial" w:cs="Arial" w:eastAsia="Arial" w:hAnsi="Arial"/>
          <w:sz w:val="16"/>
          <w:szCs w:val="16"/>
          <w:color w:val="CE0F2D"/>
        </w:rPr>
      </w:pPr>
      <w:r>
        <w:rPr>
          <w:rFonts w:ascii="Arial" w:cs="Arial" w:eastAsia="Arial" w:hAnsi="Arial"/>
          <w:sz w:val="16"/>
          <w:szCs w:val="16"/>
          <w:color w:val="auto"/>
        </w:rPr>
        <w:t>An involuntary (not for cause) termination; or</w:t>
      </w:r>
    </w:p>
    <w:p>
      <w:pPr>
        <w:spacing w:after="0" w:line="83" w:lineRule="exact"/>
        <w:rPr>
          <w:rFonts w:ascii="Arial" w:cs="Arial" w:eastAsia="Arial" w:hAnsi="Arial"/>
          <w:sz w:val="16"/>
          <w:szCs w:val="16"/>
          <w:color w:val="CE0F2D"/>
        </w:rPr>
      </w:pPr>
    </w:p>
    <w:p>
      <w:pPr>
        <w:ind w:left="420" w:hanging="234"/>
        <w:spacing w:after="0"/>
        <w:tabs>
          <w:tab w:leader="none" w:pos="420" w:val="left"/>
        </w:tabs>
        <w:numPr>
          <w:ilvl w:val="0"/>
          <w:numId w:val="179"/>
        </w:numPr>
        <w:rPr>
          <w:rFonts w:ascii="Arial" w:cs="Arial" w:eastAsia="Arial" w:hAnsi="Arial"/>
          <w:sz w:val="16"/>
          <w:szCs w:val="16"/>
          <w:color w:val="CE0F2D"/>
        </w:rPr>
      </w:pPr>
      <w:r>
        <w:rPr>
          <w:rFonts w:ascii="Arial" w:cs="Arial" w:eastAsia="Arial" w:hAnsi="Arial"/>
          <w:sz w:val="16"/>
          <w:szCs w:val="16"/>
          <w:color w:val="auto"/>
        </w:rPr>
        <w:t>A voluntary termination for “good reason” (as defined in the Plan).</w:t>
      </w:r>
    </w:p>
    <w:p>
      <w:pPr>
        <w:spacing w:after="0" w:line="3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 SENIOR EXECUTIVE SEVERANCE PLAN</w:t>
      </w:r>
    </w:p>
    <w:p>
      <w:pPr>
        <w:spacing w:after="0" w:line="201"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Change-in-control severance protection under our legacy UTC Senior Executive Severance Plan (“SESP”) was designed to ensure continuity of management in potential change-in-control situations. In response to changing market practices, legacy UTC closed this program to new participants effective June 2009.</w:t>
      </w:r>
    </w:p>
    <w:p>
      <w:pPr>
        <w:spacing w:after="0" w:line="143"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Accordingly, Mr. Hayes is the only executive who remains eligible for the SESP benefit. All other ELG members instead are covered by the ELG program in a change-in-control event.</w:t>
      </w:r>
    </w:p>
    <w:p>
      <w:pPr>
        <w:spacing w:after="0" w:line="14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While the Merger of UTC and RTN was executed as a “merger of equals,” as a legal matter, a change-in-control (as defined in the Plan) under the SESP was not triggered. However, should an RTX change-in-control event occur after the three-year term of Mr. Hayes’ employment agreement (as described in detail on pages 78-79), Mr. Hayes would then be eligible to receive a cash severance benefit under the SESP.</w:t>
      </w:r>
    </w:p>
    <w:p>
      <w:pPr>
        <w:spacing w:after="0" w:line="14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SESP cash severance is equal to 2.99x the sum of base salary and Mr. Hayes’ target annual incentive award for the year in which termination occurs, subject to various restrictive covenants. The SESP benefit would be reduced by 1/36th for each month that termination occurs after age 62 and, accordingly, is completely phased out at age 65. Benefits under the SESP are subject to a “double trigger” where benefits are provided only if a change-in-control is followed by an involuntary termination or termination by the executive for “good reason” within two years following a change-in-control. “Good Reason” generally includes material adverse changes in an executive’s compensation, responsibilities, authority, reporting relationship or work location.</w:t>
      </w:r>
    </w:p>
    <w:p>
      <w:pPr>
        <w:spacing w:after="0" w:line="13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DISCUSSION AND ANALYSIS </w:t>
      </w:r>
      <w:r>
        <w:rPr>
          <w:rFonts w:ascii="Arial" w:cs="Arial" w:eastAsia="Arial" w:hAnsi="Arial"/>
          <w:sz w:val="12"/>
          <w:szCs w:val="12"/>
          <w:color w:val="000000"/>
        </w:rPr>
        <w:t>| OTHER EXECUTIVE COMPENSATION POLICIES AND PRACTICES</w:t>
      </w:r>
    </w:p>
    <w:p>
      <w:pPr>
        <w:spacing w:after="0" w:line="140" w:lineRule="exact"/>
        <w:rPr>
          <w:sz w:val="20"/>
          <w:szCs w:val="20"/>
          <w:color w:val="auto"/>
        </w:rPr>
      </w:pPr>
    </w:p>
    <w:p>
      <w:pPr>
        <w:spacing w:after="0"/>
        <w:rPr>
          <w:sz w:val="20"/>
          <w:szCs w:val="20"/>
          <w:color w:val="auto"/>
        </w:rPr>
      </w:pPr>
      <w:r>
        <w:rPr>
          <w:rFonts w:ascii="Arial" w:cs="Arial" w:eastAsia="Arial" w:hAnsi="Arial"/>
          <w:sz w:val="32"/>
          <w:szCs w:val="32"/>
          <w:b w:val="1"/>
          <w:bCs w:val="1"/>
          <w:color w:val="CE0F2D"/>
        </w:rPr>
        <w:t>Other Executive Compensation Policies and Practices</w:t>
      </w:r>
    </w:p>
    <w:p>
      <w:pPr>
        <w:spacing w:after="0" w:line="20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Through RTX’s Enterprise Risk Management framework, the Committee identifies, monitors and mitigates compensation risk in a number of ways that are summarized on pages 29-30, with additional details provided below on our post-employment restrictive covenants, our Clawback Policy, and our prohibition on certain transactions involving RTX stock.</w:t>
      </w:r>
    </w:p>
    <w:p>
      <w:pPr>
        <w:spacing w:after="0" w:line="11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Post-Employment Restrictive Covenants</w:t>
      </w:r>
    </w:p>
    <w:p>
      <w:pPr>
        <w:spacing w:after="0" w:line="210"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ELG members may not engage in activities after termination or retirement that are detrimental to RTX, such as disclosing proprietary information, soliciting RTX employees or engaging in competitive activities. Violations can result in a clawback of annual and long-term incentive awards.</w:t>
      </w:r>
    </w:p>
    <w:p>
      <w:pPr>
        <w:spacing w:after="0" w:line="110"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Clawback Policy</w:t>
      </w:r>
    </w:p>
    <w:p>
      <w:pPr>
        <w:spacing w:after="0" w:line="210" w:lineRule="exact"/>
        <w:rPr>
          <w:sz w:val="20"/>
          <w:szCs w:val="20"/>
          <w:color w:val="auto"/>
        </w:rPr>
      </w:pPr>
    </w:p>
    <w:p>
      <w:pPr>
        <w:ind w:right="620"/>
        <w:spacing w:after="0" w:line="256" w:lineRule="auto"/>
        <w:rPr>
          <w:sz w:val="20"/>
          <w:szCs w:val="20"/>
          <w:color w:val="auto"/>
        </w:rPr>
      </w:pPr>
      <w:r>
        <w:rPr>
          <w:rFonts w:ascii="Arial" w:cs="Arial" w:eastAsia="Arial" w:hAnsi="Arial"/>
          <w:sz w:val="16"/>
          <w:szCs w:val="16"/>
          <w:color w:val="auto"/>
        </w:rPr>
        <w:t>RTX has a comprehensive policy on recoupment (“clawback”) of compensation, which we have enhanced several times over the years in response to shareowner feedback and to ensure that our policy continues to meet the evolving needs of the Company.</w:t>
      </w:r>
    </w:p>
    <w:p>
      <w:pPr>
        <w:spacing w:after="0" w:line="143"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the event of a financial restatement (whether or not this involves misconduct on the part of the employee) or a recalculation of a financial metric affecting an award, the Company has the right to recover from any employee (including our NEOs) annual incentive payments and gains realized from vested long-term incentive awards.</w:t>
      </w:r>
    </w:p>
    <w:p>
      <w:pPr>
        <w:spacing w:after="0" w:line="148"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 xml:space="preserve">Clawbacks of annual and long-term incentive awards and compensation realized from prior awards also may be triggered by violations of our Code of Conduct, failure to meet employee health and safety standards, violations of post-employment restrictive covenants or the exposure of RTX to excessive risk as determined under our Enterprise Risk Management program (for details on this program refer to pages 28-29). In addition, the Company has the right to recover compensation when an executive’s negligence (including negligent supervision of a subordinate) causes significant harm to RTX. If required or otherwise appropriate, the Company may publicly disclose the circumstances surrounding the Committee’s decision to seek recoupment. Our Clawback Policy can be found on the Corporate Governance page of our website at </w:t>
      </w:r>
      <w:r>
        <w:rPr>
          <w:rFonts w:ascii="Arial" w:cs="Arial" w:eastAsia="Arial" w:hAnsi="Arial"/>
          <w:sz w:val="16"/>
          <w:szCs w:val="16"/>
          <w:u w:val="single" w:color="auto"/>
          <w:color w:val="CE0F2D"/>
        </w:rPr>
        <w:t>www.rtx.com/our-company/corporate-governance#Governance-Documents-and-Policies</w:t>
      </w:r>
      <w:r>
        <w:rPr>
          <w:rFonts w:ascii="Arial" w:cs="Arial" w:eastAsia="Arial" w:hAnsi="Arial"/>
          <w:sz w:val="16"/>
          <w:szCs w:val="16"/>
          <w:color w:val="000000"/>
        </w:rPr>
        <w:t>.</w:t>
      </w:r>
    </w:p>
    <w:p>
      <w:pPr>
        <w:spacing w:after="0" w:line="119"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Prohibitions on Certain Transactions Involving RTX Stock</w:t>
      </w:r>
    </w:p>
    <w:p>
      <w:pPr>
        <w:spacing w:after="0" w:line="21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RTX does not allow its directors, officers or executives to enter into short sales of RTX Common Stock. Similarly, directors and executive officers may not pledge or assign an interest in RTX Common Stock or other equity interests as collateral for a loan. Transactions in put options, call options or other derivative securities that have the effect of hedging the value of RTX securities are also prohibited, whether or not those securities were granted to or held, directly or indirectly, by the director, officer or employee. Also, RTX’s LTIP generally prohibits buyouts/repricing of underwater stock options and stock appreciation rights without shareowner approval.</w:t>
      </w:r>
    </w:p>
    <w:p>
      <w:pPr>
        <w:spacing w:after="0" w:line="118"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Employment Agreements</w:t>
      </w:r>
    </w:p>
    <w:p>
      <w:pPr>
        <w:spacing w:after="0" w:line="210" w:lineRule="exact"/>
        <w:rPr>
          <w:sz w:val="20"/>
          <w:szCs w:val="20"/>
          <w:color w:val="auto"/>
        </w:rPr>
      </w:pPr>
    </w:p>
    <w:p>
      <w:pPr>
        <w:jc w:val="both"/>
        <w:ind w:right="300"/>
        <w:spacing w:after="0" w:line="250" w:lineRule="auto"/>
        <w:rPr>
          <w:sz w:val="20"/>
          <w:szCs w:val="20"/>
          <w:color w:val="auto"/>
        </w:rPr>
      </w:pPr>
      <w:r>
        <w:rPr>
          <w:rFonts w:ascii="Arial" w:cs="Arial" w:eastAsia="Arial" w:hAnsi="Arial"/>
          <w:sz w:val="16"/>
          <w:szCs w:val="16"/>
          <w:color w:val="auto"/>
        </w:rPr>
        <w:t>As a general matter, the Committee does not believe that fixed-term executive employment contracts guaranteeing minimum levels of compensation over multiple years enhance shareowner value. Accordingly, the vast majority of our U.S.-based executives do not have such contracts. However, in rare cases involving mergers and acquisitions, the Committee has found such contracts to be in the Company’s best interests.</w:t>
      </w:r>
    </w:p>
    <w:p>
      <w:pPr>
        <w:spacing w:after="0" w:line="148" w:lineRule="exact"/>
        <w:rPr>
          <w:sz w:val="20"/>
          <w:szCs w:val="20"/>
          <w:color w:val="auto"/>
        </w:rPr>
      </w:pPr>
    </w:p>
    <w:p>
      <w:pPr>
        <w:jc w:val="both"/>
        <w:ind w:right="260"/>
        <w:spacing w:after="0" w:line="248" w:lineRule="auto"/>
        <w:rPr>
          <w:sz w:val="20"/>
          <w:szCs w:val="20"/>
          <w:color w:val="auto"/>
        </w:rPr>
      </w:pPr>
      <w:r>
        <w:rPr>
          <w:rFonts w:ascii="Arial" w:cs="Arial" w:eastAsia="Arial" w:hAnsi="Arial"/>
          <w:sz w:val="16"/>
          <w:szCs w:val="16"/>
          <w:color w:val="auto"/>
        </w:rPr>
        <w:t>When the Merger agreement between UTC and RTN was signed in 2019, the Company executed limited-duration employment agreements with Messrs. Hayes and Kennedy that became effective upon the Merger in April 2020. These agreements outline the leadership succession plan for RTX following the Merger (as described on pages 78-79). Mr. Kennedy’s agreement terminated with his retirement in June 2021, and Mr. Hayes’ agreement will expire on the third anniversary of the Merger.</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We also enter into employment agreements with executives based outside the United States when local regulations and practices require such agreements.</w:t>
      </w:r>
    </w:p>
    <w:p>
      <w:pPr>
        <w:spacing w:after="0" w:line="13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Tax Deductibility of Incentive Compensation</w:t>
      </w:r>
    </w:p>
    <w:p>
      <w:pPr>
        <w:spacing w:after="0" w:line="21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a general matter, while the Committee considers corporate tax deductibility as one of several relevant factors in determining compensation, it retains the flexibility to design and maintain executive compensation arrangements that it believes will attract and retain executive talent, even if such compensation is not deductible by the Company for federal income tax purposes. For 2021, IRC Section 162(m) limited RTX’s deduction to $1 million for annual compensation paid to our NEOs, as defined in IRC Section 162(m).</w:t>
      </w:r>
    </w:p>
    <w:p>
      <w:pPr>
        <w:spacing w:after="0" w:line="150" w:lineRule="exact"/>
        <w:rPr>
          <w:sz w:val="20"/>
          <w:szCs w:val="20"/>
          <w:color w:val="auto"/>
        </w:rPr>
      </w:pPr>
    </w:p>
    <w:p>
      <w:pPr>
        <w:ind w:left="260" w:hanging="253"/>
        <w:spacing w:after="0"/>
        <w:tabs>
          <w:tab w:leader="none" w:pos="260" w:val="left"/>
        </w:tabs>
        <w:numPr>
          <w:ilvl w:val="0"/>
          <w:numId w:val="18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ind w:right="3980"/>
        <w:spacing w:after="0" w:line="277" w:lineRule="auto"/>
        <w:rPr>
          <w:sz w:val="20"/>
          <w:szCs w:val="20"/>
          <w:color w:val="auto"/>
        </w:rPr>
      </w:pPr>
      <w:r>
        <w:rPr>
          <w:rFonts w:ascii="Arial" w:cs="Arial" w:eastAsia="Arial" w:hAnsi="Arial"/>
          <w:sz w:val="50"/>
          <w:szCs w:val="50"/>
          <w:b w:val="1"/>
          <w:bCs w:val="1"/>
          <w:color w:val="auto"/>
        </w:rPr>
        <w:t>Report of the Human Capital &amp;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248920</wp:posOffset>
            </wp:positionV>
            <wp:extent cx="7196455" cy="5949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96455" cy="59499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-81915</wp:posOffset>
            </wp:positionV>
            <wp:extent cx="4548505" cy="508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548505" cy="5080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180" w:right="40"/>
        <w:spacing w:after="0" w:line="250" w:lineRule="auto"/>
        <w:rPr>
          <w:sz w:val="20"/>
          <w:szCs w:val="20"/>
          <w:color w:val="auto"/>
        </w:rPr>
      </w:pPr>
      <w:r>
        <w:rPr>
          <w:rFonts w:ascii="Arial" w:cs="Arial" w:eastAsia="Arial" w:hAnsi="Arial"/>
          <w:sz w:val="16"/>
          <w:szCs w:val="16"/>
          <w:color w:val="auto"/>
        </w:rPr>
        <w:t>The Human Capital &amp; Compensation Committee establishes and oversees the design and function of RTX’s executive compensation program. We have reviewed and discussed the foregoing Compensation Discussion and Analysis with the management of the Company and have recommended to the Board of Directors that the Compensation Discussion and Analysis be included in RTX’s Proxy Statement for the 2022 Annual Meeting.</w:t>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&amp; Compensation Committee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426"/>
        </w:trPr>
        <w:tc>
          <w:tcPr>
            <w:tcW w:w="1380" w:type="dxa"/>
            <w:vAlign w:val="bottom"/>
            <w:tcBorders>
              <w:top w:val="single" w:sz="8" w:color="CE0F2D"/>
              <w:right w:val="single" w:sz="8" w:color="CE0F2D"/>
            </w:tcBorders>
          </w:tcPr>
          <w:p>
            <w:pPr>
              <w:spacing w:after="0"/>
              <w:rPr>
                <w:sz w:val="24"/>
                <w:szCs w:val="24"/>
                <w:color w:val="auto"/>
              </w:rPr>
            </w:pPr>
          </w:p>
        </w:tc>
        <w:tc>
          <w:tcPr>
            <w:tcW w:w="3380" w:type="dxa"/>
            <w:vAlign w:val="bottom"/>
            <w:tcBorders>
              <w:top w:val="single" w:sz="8" w:color="CE0F2D"/>
              <w:right w:val="single" w:sz="8" w:color="CE0F2D"/>
            </w:tcBorders>
          </w:tcPr>
          <w:p>
            <w:pPr>
              <w:ind w:left="80"/>
              <w:spacing w:after="0"/>
              <w:rPr>
                <w:sz w:val="20"/>
                <w:szCs w:val="20"/>
                <w:color w:val="auto"/>
              </w:rPr>
            </w:pPr>
            <w:r>
              <w:rPr>
                <w:rFonts w:ascii="Arial" w:cs="Arial" w:eastAsia="Arial" w:hAnsi="Arial"/>
                <w:sz w:val="20"/>
                <w:szCs w:val="20"/>
                <w:b w:val="1"/>
                <w:bCs w:val="1"/>
                <w:color w:val="auto"/>
              </w:rPr>
              <w:t>Tracy A. Atkinson, Chair</w:t>
            </w:r>
          </w:p>
        </w:tc>
        <w:tc>
          <w:tcPr>
            <w:tcW w:w="3140" w:type="dxa"/>
            <w:vAlign w:val="bottom"/>
            <w:tcBorders>
              <w:top w:val="single" w:sz="8" w:color="CE0F2D"/>
              <w:right w:val="single" w:sz="8" w:color="CE0F2D"/>
            </w:tcBorders>
          </w:tcPr>
          <w:p>
            <w:pPr>
              <w:ind w:left="80"/>
              <w:spacing w:after="0"/>
              <w:rPr>
                <w:sz w:val="20"/>
                <w:szCs w:val="20"/>
                <w:color w:val="auto"/>
              </w:rPr>
            </w:pPr>
            <w:r>
              <w:rPr>
                <w:rFonts w:ascii="Arial" w:cs="Arial" w:eastAsia="Arial" w:hAnsi="Arial"/>
                <w:sz w:val="20"/>
                <w:szCs w:val="20"/>
                <w:b w:val="1"/>
                <w:bCs w:val="1"/>
                <w:color w:val="auto"/>
              </w:rPr>
              <w:t>Denise L. Ramos</w:t>
            </w:r>
          </w:p>
        </w:tc>
        <w:tc>
          <w:tcPr>
            <w:tcW w:w="3340" w:type="dxa"/>
            <w:vAlign w:val="bottom"/>
            <w:tcBorders>
              <w:top w:val="single" w:sz="8" w:color="CE0F2D"/>
            </w:tcBorders>
          </w:tcPr>
          <w:p>
            <w:pPr>
              <w:ind w:left="80"/>
              <w:spacing w:after="0"/>
              <w:rPr>
                <w:sz w:val="20"/>
                <w:szCs w:val="20"/>
                <w:color w:val="auto"/>
              </w:rPr>
            </w:pPr>
            <w:r>
              <w:rPr>
                <w:rFonts w:ascii="Arial" w:cs="Arial" w:eastAsia="Arial" w:hAnsi="Arial"/>
                <w:sz w:val="20"/>
                <w:szCs w:val="20"/>
                <w:b w:val="1"/>
                <w:bCs w:val="1"/>
                <w:color w:val="auto"/>
              </w:rPr>
              <w:t>Brian C. Rogers</w:t>
            </w:r>
          </w:p>
        </w:tc>
      </w:tr>
      <w:tr>
        <w:trPr>
          <w:trHeight w:val="428"/>
        </w:trPr>
        <w:tc>
          <w:tcPr>
            <w:tcW w:w="1380" w:type="dxa"/>
            <w:vAlign w:val="bottom"/>
            <w:tcBorders>
              <w:right w:val="single" w:sz="8" w:color="CE0F2D"/>
            </w:tcBorders>
          </w:tcPr>
          <w:p>
            <w:pPr>
              <w:spacing w:after="0"/>
              <w:rPr>
                <w:sz w:val="24"/>
                <w:szCs w:val="24"/>
                <w:color w:val="auto"/>
              </w:rPr>
            </w:pPr>
          </w:p>
        </w:tc>
        <w:tc>
          <w:tcPr>
            <w:tcW w:w="3380" w:type="dxa"/>
            <w:vAlign w:val="bottom"/>
            <w:tcBorders>
              <w:right w:val="single" w:sz="8" w:color="CE0F2D"/>
            </w:tcBorders>
          </w:tcPr>
          <w:p>
            <w:pPr>
              <w:ind w:left="80"/>
              <w:spacing w:after="0"/>
              <w:rPr>
                <w:sz w:val="20"/>
                <w:szCs w:val="20"/>
                <w:color w:val="auto"/>
              </w:rPr>
            </w:pPr>
            <w:r>
              <w:rPr>
                <w:rFonts w:ascii="Arial" w:cs="Arial" w:eastAsia="Arial" w:hAnsi="Arial"/>
                <w:sz w:val="20"/>
                <w:szCs w:val="20"/>
                <w:b w:val="1"/>
                <w:bCs w:val="1"/>
                <w:color w:val="auto"/>
              </w:rPr>
              <w:t>Dinesh C. Paliwal</w:t>
            </w:r>
          </w:p>
        </w:tc>
        <w:tc>
          <w:tcPr>
            <w:tcW w:w="3140" w:type="dxa"/>
            <w:vAlign w:val="bottom"/>
            <w:tcBorders>
              <w:right w:val="single" w:sz="8" w:color="CE0F2D"/>
            </w:tcBorders>
          </w:tcPr>
          <w:p>
            <w:pPr>
              <w:ind w:left="80"/>
              <w:spacing w:after="0"/>
              <w:rPr>
                <w:sz w:val="20"/>
                <w:szCs w:val="20"/>
                <w:color w:val="auto"/>
              </w:rPr>
            </w:pPr>
            <w:r>
              <w:rPr>
                <w:rFonts w:ascii="Arial" w:cs="Arial" w:eastAsia="Arial" w:hAnsi="Arial"/>
                <w:sz w:val="20"/>
                <w:szCs w:val="20"/>
                <w:b w:val="1"/>
                <w:bCs w:val="1"/>
                <w:color w:val="auto"/>
              </w:rPr>
              <w:t>Fredric G. Reynolds</w:t>
            </w:r>
          </w:p>
        </w:tc>
        <w:tc>
          <w:tcPr>
            <w:tcW w:w="3340" w:type="dxa"/>
            <w:vAlign w:val="bottom"/>
          </w:tcPr>
          <w:p>
            <w:pPr>
              <w:ind w:left="80"/>
              <w:spacing w:after="0"/>
              <w:rPr>
                <w:sz w:val="20"/>
                <w:szCs w:val="20"/>
                <w:color w:val="auto"/>
              </w:rPr>
            </w:pPr>
            <w:r>
              <w:rPr>
                <w:rFonts w:ascii="Arial" w:cs="Arial" w:eastAsia="Arial" w:hAnsi="Arial"/>
                <w:sz w:val="20"/>
                <w:szCs w:val="20"/>
                <w:b w:val="1"/>
                <w:bCs w:val="1"/>
                <w:color w:val="auto"/>
              </w:rPr>
              <w:t>James A. Winnefeld, Jr.</w:t>
            </w:r>
          </w:p>
        </w:tc>
      </w:tr>
      <w:tr>
        <w:trPr>
          <w:trHeight w:val="89"/>
        </w:trPr>
        <w:tc>
          <w:tcPr>
            <w:tcW w:w="1380" w:type="dxa"/>
            <w:vAlign w:val="bottom"/>
            <w:tcBorders>
              <w:right w:val="single" w:sz="8" w:color="CE0F2D"/>
            </w:tcBorders>
          </w:tcPr>
          <w:p>
            <w:pPr>
              <w:spacing w:after="0"/>
              <w:rPr>
                <w:sz w:val="7"/>
                <w:szCs w:val="7"/>
                <w:color w:val="auto"/>
              </w:rPr>
            </w:pPr>
          </w:p>
        </w:tc>
        <w:tc>
          <w:tcPr>
            <w:tcW w:w="3380" w:type="dxa"/>
            <w:vAlign w:val="bottom"/>
            <w:tcBorders>
              <w:right w:val="single" w:sz="8" w:color="CE0F2D"/>
            </w:tcBorders>
          </w:tcPr>
          <w:p>
            <w:pPr>
              <w:spacing w:after="0"/>
              <w:rPr>
                <w:sz w:val="7"/>
                <w:szCs w:val="7"/>
                <w:color w:val="auto"/>
              </w:rPr>
            </w:pPr>
          </w:p>
        </w:tc>
        <w:tc>
          <w:tcPr>
            <w:tcW w:w="3140" w:type="dxa"/>
            <w:vAlign w:val="bottom"/>
            <w:tcBorders>
              <w:right w:val="single" w:sz="8" w:color="CE0F2D"/>
            </w:tcBorders>
          </w:tcPr>
          <w:p>
            <w:pPr>
              <w:spacing w:after="0"/>
              <w:rPr>
                <w:sz w:val="7"/>
                <w:szCs w:val="7"/>
                <w:color w:val="auto"/>
              </w:rPr>
            </w:pPr>
          </w:p>
        </w:tc>
        <w:tc>
          <w:tcPr>
            <w:tcW w:w="3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-518160</wp:posOffset>
            </wp:positionV>
            <wp:extent cx="459105" cy="5187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59105" cy="518795"/>
                    </a:xfrm>
                    <a:prstGeom prst="rect">
                      <a:avLst/>
                    </a:prstGeom>
                    <a:noFill/>
                  </pic:spPr>
                </pic:pic>
              </a:graphicData>
            </a:graphic>
          </wp:anchor>
        </w:drawing>
      </w:r>
    </w:p>
    <w:p>
      <w:pPr>
        <w:spacing w:after="0" w:line="8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29845</wp:posOffset>
            </wp:positionV>
            <wp:extent cx="3273425" cy="596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273425" cy="59690"/>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Summary Compensation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jc w:val="right"/>
              <w:ind w:right="32"/>
              <w:spacing w:after="0"/>
              <w:rPr>
                <w:sz w:val="20"/>
                <w:szCs w:val="20"/>
                <w:color w:val="auto"/>
              </w:rPr>
            </w:pPr>
            <w:r>
              <w:rPr>
                <w:rFonts w:ascii="Arial" w:cs="Arial" w:eastAsia="Arial" w:hAnsi="Arial"/>
                <w:sz w:val="12"/>
                <w:szCs w:val="12"/>
                <w:b w:val="1"/>
                <w:bCs w:val="1"/>
                <w:color w:val="636466"/>
              </w:rPr>
              <w:t>Change</w:t>
            </w:r>
          </w:p>
        </w:tc>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34"/>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636466"/>
              </w:rPr>
              <w:t>in Pension</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34"/>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4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636466"/>
              </w:rPr>
              <w:t>Value and</w:t>
            </w:r>
          </w:p>
        </w:tc>
        <w:tc>
          <w:tcPr>
            <w:tcW w:w="1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67"/>
        </w:trPr>
        <w:tc>
          <w:tcPr>
            <w:tcW w:w="3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ind w:right="32"/>
              <w:spacing w:after="0"/>
              <w:rPr>
                <w:sz w:val="20"/>
                <w:szCs w:val="20"/>
                <w:color w:val="auto"/>
              </w:rPr>
            </w:pPr>
            <w:r>
              <w:rPr>
                <w:rFonts w:ascii="Arial" w:cs="Arial" w:eastAsia="Arial" w:hAnsi="Arial"/>
                <w:sz w:val="12"/>
                <w:szCs w:val="12"/>
                <w:b w:val="1"/>
                <w:bCs w:val="1"/>
                <w:color w:val="636466"/>
              </w:rPr>
              <w:t>Nonqualified</w:t>
            </w:r>
          </w:p>
        </w:tc>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636466"/>
              </w:rPr>
              <w:t>Total Without</w:t>
            </w:r>
          </w:p>
        </w:tc>
      </w:tr>
      <w:tr>
        <w:trPr>
          <w:trHeight w:val="134"/>
        </w:trPr>
        <w:tc>
          <w:tcPr>
            <w:tcW w:w="3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8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Stock</w:t>
            </w:r>
          </w:p>
        </w:tc>
        <w:tc>
          <w:tcPr>
            <w:tcW w:w="90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Option</w:t>
            </w:r>
          </w:p>
        </w:tc>
        <w:tc>
          <w:tcPr>
            <w:tcW w:w="104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636466"/>
              </w:rPr>
              <w:t>Deferred</w:t>
            </w:r>
          </w:p>
        </w:tc>
        <w:tc>
          <w:tcPr>
            <w:tcW w:w="1000" w:type="dxa"/>
            <w:vAlign w:val="bottom"/>
          </w:tcPr>
          <w:p>
            <w:pPr>
              <w:jc w:val="right"/>
              <w:spacing w:after="0" w:line="134" w:lineRule="exact"/>
              <w:rPr>
                <w:sz w:val="20"/>
                <w:szCs w:val="20"/>
                <w:color w:val="auto"/>
              </w:rPr>
            </w:pPr>
            <w:r>
              <w:rPr>
                <w:rFonts w:ascii="Arial" w:cs="Arial" w:eastAsia="Arial" w:hAnsi="Arial"/>
                <w:sz w:val="12"/>
                <w:szCs w:val="12"/>
                <w:b w:val="1"/>
                <w:bCs w:val="1"/>
                <w:color w:val="636466"/>
              </w:rPr>
              <w:t>All Other</w:t>
            </w:r>
          </w:p>
        </w:tc>
        <w:tc>
          <w:tcPr>
            <w:tcW w:w="1060" w:type="dxa"/>
            <w:vAlign w:val="bottom"/>
          </w:tcPr>
          <w:p>
            <w:pPr>
              <w:spacing w:after="0"/>
              <w:rPr>
                <w:sz w:val="11"/>
                <w:szCs w:val="11"/>
                <w:color w:val="auto"/>
              </w:rPr>
            </w:pPr>
          </w:p>
        </w:tc>
        <w:tc>
          <w:tcPr>
            <w:tcW w:w="1020" w:type="dxa"/>
            <w:vAlign w:val="bottom"/>
          </w:tcPr>
          <w:p>
            <w:pPr>
              <w:jc w:val="right"/>
              <w:spacing w:after="0" w:line="134" w:lineRule="exact"/>
              <w:rPr>
                <w:sz w:val="20"/>
                <w:szCs w:val="20"/>
                <w:color w:val="auto"/>
              </w:rPr>
            </w:pPr>
            <w:r>
              <w:rPr>
                <w:rFonts w:ascii="Arial" w:cs="Arial" w:eastAsia="Arial" w:hAnsi="Arial"/>
                <w:sz w:val="12"/>
                <w:szCs w:val="12"/>
                <w:b w:val="1"/>
                <w:bCs w:val="1"/>
                <w:color w:val="636466"/>
              </w:rPr>
              <w:t>Change in</w:t>
            </w:r>
          </w:p>
        </w:tc>
      </w:tr>
      <w:tr>
        <w:trPr>
          <w:trHeight w:val="134"/>
        </w:trPr>
        <w:tc>
          <w:tcPr>
            <w:tcW w:w="3360" w:type="dxa"/>
            <w:vAlign w:val="bottom"/>
          </w:tcPr>
          <w:p>
            <w:pPr>
              <w:spacing w:after="0"/>
              <w:rPr>
                <w:sz w:val="11"/>
                <w:szCs w:val="11"/>
                <w:color w:val="auto"/>
              </w:rPr>
            </w:pPr>
          </w:p>
        </w:tc>
        <w:tc>
          <w:tcPr>
            <w:tcW w:w="98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Salary</w:t>
            </w:r>
          </w:p>
        </w:tc>
        <w:tc>
          <w:tcPr>
            <w:tcW w:w="90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Bonus</w:t>
            </w:r>
          </w:p>
        </w:tc>
        <w:tc>
          <w:tcPr>
            <w:tcW w:w="98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Awards</w:t>
            </w:r>
          </w:p>
        </w:tc>
        <w:tc>
          <w:tcPr>
            <w:tcW w:w="90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Awards</w:t>
            </w:r>
          </w:p>
        </w:tc>
        <w:tc>
          <w:tcPr>
            <w:tcW w:w="1040" w:type="dxa"/>
            <w:vAlign w:val="bottom"/>
          </w:tcPr>
          <w:p>
            <w:pPr>
              <w:jc w:val="right"/>
              <w:ind w:right="32"/>
              <w:spacing w:after="0" w:line="134" w:lineRule="exact"/>
              <w:rPr>
                <w:sz w:val="20"/>
                <w:szCs w:val="20"/>
                <w:color w:val="auto"/>
              </w:rPr>
            </w:pPr>
            <w:r>
              <w:rPr>
                <w:rFonts w:ascii="Arial" w:cs="Arial" w:eastAsia="Arial" w:hAnsi="Arial"/>
                <w:sz w:val="12"/>
                <w:szCs w:val="12"/>
                <w:b w:val="1"/>
                <w:bCs w:val="1"/>
                <w:color w:val="636466"/>
              </w:rPr>
              <w:t>Compensation</w:t>
            </w:r>
          </w:p>
        </w:tc>
        <w:tc>
          <w:tcPr>
            <w:tcW w:w="1000" w:type="dxa"/>
            <w:vAlign w:val="bottom"/>
          </w:tcPr>
          <w:p>
            <w:pPr>
              <w:jc w:val="right"/>
              <w:spacing w:after="0" w:line="134" w:lineRule="exact"/>
              <w:rPr>
                <w:sz w:val="20"/>
                <w:szCs w:val="20"/>
                <w:color w:val="auto"/>
              </w:rPr>
            </w:pPr>
            <w:r>
              <w:rPr>
                <w:rFonts w:ascii="Arial" w:cs="Arial" w:eastAsia="Arial" w:hAnsi="Arial"/>
                <w:sz w:val="12"/>
                <w:szCs w:val="12"/>
                <w:b w:val="1"/>
                <w:bCs w:val="1"/>
                <w:color w:val="636466"/>
              </w:rPr>
              <w:t>Compensation</w:t>
            </w:r>
          </w:p>
        </w:tc>
        <w:tc>
          <w:tcPr>
            <w:tcW w:w="106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36466"/>
              </w:rPr>
              <w:t>Total</w:t>
            </w:r>
          </w:p>
        </w:tc>
        <w:tc>
          <w:tcPr>
            <w:tcW w:w="102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Pension Value</w:t>
            </w:r>
          </w:p>
        </w:tc>
      </w:tr>
      <w:tr>
        <w:trPr>
          <w:trHeight w:val="208"/>
        </w:trPr>
        <w:tc>
          <w:tcPr>
            <w:tcW w:w="3360" w:type="dxa"/>
            <w:vAlign w:val="bottom"/>
            <w:tcBorders>
              <w:bottom w:val="single" w:sz="8" w:color="CE0F2D"/>
            </w:tcBorders>
          </w:tcPr>
          <w:p>
            <w:pPr>
              <w:ind w:left="60"/>
              <w:spacing w:after="0"/>
              <w:rPr>
                <w:sz w:val="20"/>
                <w:szCs w:val="20"/>
                <w:color w:val="auto"/>
              </w:rPr>
            </w:pPr>
            <w:r>
              <w:rPr>
                <w:rFonts w:ascii="Arial" w:cs="Arial" w:eastAsia="Arial" w:hAnsi="Arial"/>
                <w:sz w:val="12"/>
                <w:szCs w:val="12"/>
                <w:b w:val="1"/>
                <w:bCs w:val="1"/>
                <w:color w:val="636466"/>
              </w:rPr>
              <w:t>Year</w:t>
            </w:r>
          </w:p>
        </w:tc>
        <w:tc>
          <w:tcPr>
            <w:tcW w:w="980" w:type="dxa"/>
            <w:vAlign w:val="bottom"/>
            <w:tcBorders>
              <w:bottom w:val="single" w:sz="8" w:color="CE0F2D"/>
            </w:tcBorders>
          </w:tcPr>
          <w:p>
            <w:pPr>
              <w:jc w:val="right"/>
              <w:ind w:right="11"/>
              <w:spacing w:after="0" w:line="188" w:lineRule="exact"/>
              <w:rPr>
                <w:sz w:val="20"/>
                <w:szCs w:val="20"/>
                <w:color w:val="auto"/>
              </w:rPr>
            </w:pPr>
            <w:r>
              <w:rPr>
                <w:rFonts w:ascii="Arial" w:cs="Arial" w:eastAsia="Arial" w:hAnsi="Arial"/>
                <w:sz w:val="21"/>
                <w:szCs w:val="21"/>
                <w:b w:val="1"/>
                <w:bCs w:val="1"/>
                <w:color w:val="636466"/>
                <w:vertAlign w:val="subscript"/>
              </w:rPr>
              <w:t>($)</w:t>
            </w:r>
            <w:r>
              <w:rPr>
                <w:rFonts w:ascii="Arial" w:cs="Arial" w:eastAsia="Arial" w:hAnsi="Arial"/>
                <w:sz w:val="10"/>
                <w:szCs w:val="10"/>
                <w:b w:val="1"/>
                <w:bCs w:val="1"/>
                <w:color w:val="636466"/>
              </w:rPr>
              <w:t>(1)</w:t>
            </w:r>
          </w:p>
        </w:tc>
        <w:tc>
          <w:tcPr>
            <w:tcW w:w="900" w:type="dxa"/>
            <w:vAlign w:val="bottom"/>
            <w:tcBorders>
              <w:bottom w:val="single" w:sz="8" w:color="CE0F2D"/>
            </w:tcBorders>
          </w:tcPr>
          <w:p>
            <w:pPr>
              <w:jc w:val="right"/>
              <w:ind w:right="31"/>
              <w:spacing w:after="0" w:line="188" w:lineRule="exact"/>
              <w:rPr>
                <w:sz w:val="20"/>
                <w:szCs w:val="20"/>
                <w:color w:val="auto"/>
              </w:rPr>
            </w:pPr>
            <w:r>
              <w:rPr>
                <w:rFonts w:ascii="Arial" w:cs="Arial" w:eastAsia="Arial" w:hAnsi="Arial"/>
                <w:sz w:val="21"/>
                <w:szCs w:val="21"/>
                <w:b w:val="1"/>
                <w:bCs w:val="1"/>
                <w:color w:val="636466"/>
                <w:vertAlign w:val="subscript"/>
              </w:rPr>
              <w:t>($)</w:t>
            </w:r>
            <w:r>
              <w:rPr>
                <w:rFonts w:ascii="Arial" w:cs="Arial" w:eastAsia="Arial" w:hAnsi="Arial"/>
                <w:sz w:val="10"/>
                <w:szCs w:val="10"/>
                <w:b w:val="1"/>
                <w:bCs w:val="1"/>
                <w:color w:val="636466"/>
              </w:rPr>
              <w:t>(2)</w:t>
            </w:r>
          </w:p>
        </w:tc>
        <w:tc>
          <w:tcPr>
            <w:tcW w:w="980" w:type="dxa"/>
            <w:vAlign w:val="bottom"/>
            <w:tcBorders>
              <w:bottom w:val="single" w:sz="8" w:color="CE0F2D"/>
            </w:tcBorders>
          </w:tcPr>
          <w:p>
            <w:pPr>
              <w:jc w:val="right"/>
              <w:ind w:right="31"/>
              <w:spacing w:after="0" w:line="188" w:lineRule="exact"/>
              <w:rPr>
                <w:sz w:val="20"/>
                <w:szCs w:val="20"/>
                <w:color w:val="auto"/>
              </w:rPr>
            </w:pPr>
            <w:r>
              <w:rPr>
                <w:rFonts w:ascii="Arial" w:cs="Arial" w:eastAsia="Arial" w:hAnsi="Arial"/>
                <w:sz w:val="21"/>
                <w:szCs w:val="21"/>
                <w:b w:val="1"/>
                <w:bCs w:val="1"/>
                <w:color w:val="636466"/>
                <w:vertAlign w:val="subscript"/>
              </w:rPr>
              <w:t>($)</w:t>
            </w:r>
            <w:r>
              <w:rPr>
                <w:rFonts w:ascii="Arial" w:cs="Arial" w:eastAsia="Arial" w:hAnsi="Arial"/>
                <w:sz w:val="10"/>
                <w:szCs w:val="10"/>
                <w:b w:val="1"/>
                <w:bCs w:val="1"/>
                <w:color w:val="636466"/>
              </w:rPr>
              <w:t>(3)</w:t>
            </w:r>
          </w:p>
        </w:tc>
        <w:tc>
          <w:tcPr>
            <w:tcW w:w="900" w:type="dxa"/>
            <w:vAlign w:val="bottom"/>
            <w:tcBorders>
              <w:bottom w:val="single" w:sz="8" w:color="CE0F2D"/>
            </w:tcBorders>
          </w:tcPr>
          <w:p>
            <w:pPr>
              <w:jc w:val="right"/>
              <w:ind w:right="31"/>
              <w:spacing w:after="0" w:line="188" w:lineRule="exact"/>
              <w:rPr>
                <w:sz w:val="20"/>
                <w:szCs w:val="20"/>
                <w:color w:val="auto"/>
              </w:rPr>
            </w:pPr>
            <w:r>
              <w:rPr>
                <w:rFonts w:ascii="Arial" w:cs="Arial" w:eastAsia="Arial" w:hAnsi="Arial"/>
                <w:sz w:val="21"/>
                <w:szCs w:val="21"/>
                <w:b w:val="1"/>
                <w:bCs w:val="1"/>
                <w:color w:val="636466"/>
                <w:vertAlign w:val="subscript"/>
              </w:rPr>
              <w:t>($)</w:t>
            </w:r>
            <w:r>
              <w:rPr>
                <w:rFonts w:ascii="Arial" w:cs="Arial" w:eastAsia="Arial" w:hAnsi="Arial"/>
                <w:sz w:val="10"/>
                <w:szCs w:val="10"/>
                <w:b w:val="1"/>
                <w:bCs w:val="1"/>
                <w:color w:val="636466"/>
              </w:rPr>
              <w:t>(4)</w:t>
            </w:r>
          </w:p>
        </w:tc>
        <w:tc>
          <w:tcPr>
            <w:tcW w:w="1040" w:type="dxa"/>
            <w:vAlign w:val="bottom"/>
            <w:tcBorders>
              <w:bottom w:val="single" w:sz="8" w:color="CE0F2D"/>
            </w:tcBorders>
          </w:tcPr>
          <w:p>
            <w:pPr>
              <w:jc w:val="right"/>
              <w:ind w:right="32"/>
              <w:spacing w:after="0" w:line="187" w:lineRule="exact"/>
              <w:rPr>
                <w:sz w:val="20"/>
                <w:szCs w:val="20"/>
                <w:color w:val="auto"/>
              </w:rPr>
            </w:pPr>
            <w:r>
              <w:rPr>
                <w:rFonts w:ascii="Arial" w:cs="Arial" w:eastAsia="Arial" w:hAnsi="Arial"/>
                <w:sz w:val="12"/>
                <w:szCs w:val="12"/>
                <w:b w:val="1"/>
                <w:bCs w:val="1"/>
                <w:color w:val="636466"/>
              </w:rPr>
              <w:t>Earnings ($)</w:t>
            </w:r>
            <w:r>
              <w:rPr>
                <w:rFonts w:ascii="Arial" w:cs="Arial" w:eastAsia="Arial" w:hAnsi="Arial"/>
                <w:sz w:val="20"/>
                <w:szCs w:val="20"/>
                <w:b w:val="1"/>
                <w:bCs w:val="1"/>
                <w:color w:val="636466"/>
                <w:vertAlign w:val="superscript"/>
              </w:rPr>
              <w:t>(5)</w:t>
            </w:r>
          </w:p>
        </w:tc>
        <w:tc>
          <w:tcPr>
            <w:tcW w:w="1000" w:type="dxa"/>
            <w:vAlign w:val="bottom"/>
            <w:tcBorders>
              <w:bottom w:val="single" w:sz="8" w:color="CE0F2D"/>
            </w:tcBorders>
          </w:tcPr>
          <w:p>
            <w:pPr>
              <w:jc w:val="right"/>
              <w:spacing w:after="0" w:line="188" w:lineRule="exact"/>
              <w:rPr>
                <w:sz w:val="20"/>
                <w:szCs w:val="20"/>
                <w:color w:val="auto"/>
              </w:rPr>
            </w:pPr>
            <w:r>
              <w:rPr>
                <w:rFonts w:ascii="Arial" w:cs="Arial" w:eastAsia="Arial" w:hAnsi="Arial"/>
                <w:sz w:val="21"/>
                <w:szCs w:val="21"/>
                <w:b w:val="1"/>
                <w:bCs w:val="1"/>
                <w:color w:val="636466"/>
                <w:vertAlign w:val="subscript"/>
              </w:rPr>
              <w:t>($)</w:t>
            </w:r>
            <w:r>
              <w:rPr>
                <w:rFonts w:ascii="Arial" w:cs="Arial" w:eastAsia="Arial" w:hAnsi="Arial"/>
                <w:sz w:val="10"/>
                <w:szCs w:val="10"/>
                <w:b w:val="1"/>
                <w:bCs w:val="1"/>
                <w:color w:val="636466"/>
              </w:rPr>
              <w:t>(6)</w:t>
            </w:r>
          </w:p>
        </w:tc>
        <w:tc>
          <w:tcPr>
            <w:tcW w:w="1060" w:type="dxa"/>
            <w:vAlign w:val="bottom"/>
            <w:tcBorders>
              <w:bottom w:val="single" w:sz="8" w:color="CE0F2D"/>
            </w:tcBorders>
          </w:tcPr>
          <w:p>
            <w:pPr>
              <w:jc w:val="right"/>
              <w:ind w:right="30"/>
              <w:spacing w:after="0"/>
              <w:rPr>
                <w:sz w:val="20"/>
                <w:szCs w:val="20"/>
                <w:color w:val="auto"/>
              </w:rPr>
            </w:pPr>
            <w:r>
              <w:rPr>
                <w:rFonts w:ascii="Arial" w:cs="Arial" w:eastAsia="Arial" w:hAnsi="Arial"/>
                <w:sz w:val="12"/>
                <w:szCs w:val="12"/>
                <w:b w:val="1"/>
                <w:bCs w:val="1"/>
                <w:color w:val="636466"/>
              </w:rPr>
              <w:t>($)</w:t>
            </w:r>
          </w:p>
        </w:tc>
        <w:tc>
          <w:tcPr>
            <w:tcW w:w="1020" w:type="dxa"/>
            <w:vAlign w:val="bottom"/>
            <w:tcBorders>
              <w:bottom w:val="single" w:sz="8" w:color="CE0F2D"/>
            </w:tcBorders>
          </w:tcPr>
          <w:p>
            <w:pPr>
              <w:jc w:val="right"/>
              <w:spacing w:after="0"/>
              <w:rPr>
                <w:sz w:val="20"/>
                <w:szCs w:val="20"/>
                <w:color w:val="auto"/>
              </w:rPr>
            </w:pPr>
            <w:r>
              <w:rPr>
                <w:rFonts w:ascii="Arial" w:cs="Arial" w:eastAsia="Arial" w:hAnsi="Arial"/>
                <w:sz w:val="12"/>
                <w:szCs w:val="12"/>
                <w:b w:val="1"/>
                <w:bCs w:val="1"/>
                <w:color w:val="636466"/>
              </w:rPr>
              <w:t>($)</w:t>
            </w:r>
          </w:p>
        </w:tc>
      </w:tr>
      <w:tr>
        <w:trPr>
          <w:trHeight w:val="221"/>
        </w:trPr>
        <w:tc>
          <w:tcPr>
            <w:tcW w:w="4340" w:type="dxa"/>
            <w:vAlign w:val="bottom"/>
            <w:tcBorders>
              <w:bottom w:val="single" w:sz="8" w:color="CE0F2D"/>
            </w:tcBorders>
            <w:gridSpan w:val="2"/>
          </w:tcPr>
          <w:p>
            <w:pPr>
              <w:ind w:left="60"/>
              <w:spacing w:after="0"/>
              <w:rPr>
                <w:sz w:val="20"/>
                <w:szCs w:val="20"/>
                <w:color w:val="auto"/>
              </w:rPr>
            </w:pPr>
            <w:r>
              <w:rPr>
                <w:rFonts w:ascii="Arial" w:cs="Arial" w:eastAsia="Arial" w:hAnsi="Arial"/>
                <w:sz w:val="14"/>
                <w:szCs w:val="14"/>
                <w:b w:val="1"/>
                <w:bCs w:val="1"/>
                <w:color w:val="CE0F2D"/>
              </w:rPr>
              <w:t xml:space="preserve">Gregory J. Hayes  </w:t>
            </w:r>
            <w:r>
              <w:rPr>
                <w:rFonts w:ascii="Arial" w:cs="Arial" w:eastAsia="Arial" w:hAnsi="Arial"/>
                <w:sz w:val="14"/>
                <w:szCs w:val="14"/>
                <w:color w:val="CE0F2D"/>
              </w:rPr>
              <w:t>Chairman &amp; Chief Executive Officer</w:t>
            </w:r>
          </w:p>
        </w:tc>
        <w:tc>
          <w:tcPr>
            <w:tcW w:w="900" w:type="dxa"/>
            <w:vAlign w:val="bottom"/>
            <w:tcBorders>
              <w:bottom w:val="single" w:sz="8" w:color="CE0F2D"/>
            </w:tcBorders>
          </w:tcPr>
          <w:p>
            <w:pPr>
              <w:spacing w:after="0"/>
              <w:rPr>
                <w:sz w:val="19"/>
                <w:szCs w:val="19"/>
                <w:color w:val="auto"/>
              </w:rPr>
            </w:pPr>
          </w:p>
        </w:tc>
        <w:tc>
          <w:tcPr>
            <w:tcW w:w="980" w:type="dxa"/>
            <w:vAlign w:val="bottom"/>
            <w:tcBorders>
              <w:bottom w:val="single" w:sz="8" w:color="CE0F2D"/>
            </w:tcBorders>
          </w:tcPr>
          <w:p>
            <w:pPr>
              <w:spacing w:after="0"/>
              <w:rPr>
                <w:sz w:val="19"/>
                <w:szCs w:val="19"/>
                <w:color w:val="auto"/>
              </w:rPr>
            </w:pPr>
          </w:p>
        </w:tc>
        <w:tc>
          <w:tcPr>
            <w:tcW w:w="900" w:type="dxa"/>
            <w:vAlign w:val="bottom"/>
            <w:tcBorders>
              <w:bottom w:val="single" w:sz="8" w:color="CE0F2D"/>
            </w:tcBorders>
          </w:tcPr>
          <w:p>
            <w:pPr>
              <w:spacing w:after="0"/>
              <w:rPr>
                <w:sz w:val="19"/>
                <w:szCs w:val="19"/>
                <w:color w:val="auto"/>
              </w:rPr>
            </w:pPr>
          </w:p>
        </w:tc>
        <w:tc>
          <w:tcPr>
            <w:tcW w:w="1040" w:type="dxa"/>
            <w:vAlign w:val="bottom"/>
            <w:tcBorders>
              <w:bottom w:val="single" w:sz="8" w:color="CE0F2D"/>
            </w:tcBorders>
          </w:tcPr>
          <w:p>
            <w:pPr>
              <w:spacing w:after="0"/>
              <w:rPr>
                <w:sz w:val="19"/>
                <w:szCs w:val="19"/>
                <w:color w:val="auto"/>
              </w:rPr>
            </w:pPr>
          </w:p>
        </w:tc>
        <w:tc>
          <w:tcPr>
            <w:tcW w:w="1000" w:type="dxa"/>
            <w:vAlign w:val="bottom"/>
            <w:tcBorders>
              <w:bottom w:val="single" w:sz="8" w:color="CE0F2D"/>
            </w:tcBorders>
          </w:tcPr>
          <w:p>
            <w:pPr>
              <w:spacing w:after="0"/>
              <w:rPr>
                <w:sz w:val="19"/>
                <w:szCs w:val="19"/>
                <w:color w:val="auto"/>
              </w:rPr>
            </w:pPr>
          </w:p>
        </w:tc>
        <w:tc>
          <w:tcPr>
            <w:tcW w:w="1060" w:type="dxa"/>
            <w:vAlign w:val="bottom"/>
            <w:tcBorders>
              <w:bottom w:val="single" w:sz="8" w:color="CE0F2D"/>
            </w:tcBorders>
          </w:tcPr>
          <w:p>
            <w:pPr>
              <w:spacing w:after="0"/>
              <w:rPr>
                <w:sz w:val="19"/>
                <w:szCs w:val="19"/>
                <w:color w:val="auto"/>
              </w:rPr>
            </w:pPr>
          </w:p>
        </w:tc>
        <w:tc>
          <w:tcPr>
            <w:tcW w:w="1020" w:type="dxa"/>
            <w:vAlign w:val="bottom"/>
            <w:tcBorders>
              <w:bottom w:val="single" w:sz="8" w:color="CE0F2D"/>
            </w:tcBorders>
          </w:tcPr>
          <w:p>
            <w:pPr>
              <w:spacing w:after="0"/>
              <w:rPr>
                <w:sz w:val="19"/>
                <w:szCs w:val="19"/>
                <w:color w:val="auto"/>
              </w:rPr>
            </w:pP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$1,600,000</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$4,992,000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$11,740,098</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$2,815,812</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$1,522,891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$645,262</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rPr>
              <w:t>$23,316,063</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$21,802,923</w:t>
            </w: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$1,413,333</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$2,500,000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$7,417,686</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$7,178,289</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$1,573,784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$887,798</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shd w:val="clear" w:color="auto" w:fill="ECEDEF"/>
              </w:rPr>
              <w:t>$20,970,890</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shd w:val="clear" w:color="auto" w:fill="ECEDEF"/>
              </w:rPr>
              <w:t>$19,407,572</w:t>
            </w:r>
          </w:p>
        </w:tc>
      </w:tr>
      <w:tr>
        <w:trPr>
          <w:trHeight w:val="220"/>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2019</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$1,600,000</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$4,200,000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$6,816,740</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$6,535,560</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$2,071,748</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$314,799</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$21,538,847</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$19,478,590</w:t>
            </w:r>
          </w:p>
        </w:tc>
      </w:tr>
      <w:tr>
        <w:trPr>
          <w:trHeight w:val="248"/>
        </w:trPr>
        <w:tc>
          <w:tcPr>
            <w:tcW w:w="5240" w:type="dxa"/>
            <w:vAlign w:val="bottom"/>
            <w:tcBorders>
              <w:bottom w:val="single" w:sz="8" w:color="CE0F2D"/>
            </w:tcBorders>
            <w:gridSpan w:val="3"/>
          </w:tcPr>
          <w:p>
            <w:pPr>
              <w:ind w:left="60"/>
              <w:spacing w:after="0" w:line="241" w:lineRule="exact"/>
              <w:rPr>
                <w:sz w:val="20"/>
                <w:szCs w:val="20"/>
                <w:color w:val="auto"/>
              </w:rPr>
            </w:pPr>
            <w:r>
              <w:rPr>
                <w:rFonts w:ascii="Arial" w:cs="Arial" w:eastAsia="Arial" w:hAnsi="Arial"/>
                <w:sz w:val="14"/>
                <w:szCs w:val="14"/>
                <w:b w:val="1"/>
                <w:bCs w:val="1"/>
                <w:color w:val="CE0F2D"/>
              </w:rPr>
              <w:t xml:space="preserve">Neil G. Mitchill, Jr.  </w:t>
            </w:r>
            <w:r>
              <w:rPr>
                <w:rFonts w:ascii="Arial" w:cs="Arial" w:eastAsia="Arial" w:hAnsi="Arial"/>
                <w:sz w:val="14"/>
                <w:szCs w:val="14"/>
                <w:color w:val="CE0F2D"/>
              </w:rPr>
              <w:t>Executive Vice President &amp; Chief Financial Officer</w:t>
            </w:r>
            <w:r>
              <w:rPr>
                <w:rFonts w:ascii="Arial" w:cs="Arial" w:eastAsia="Arial" w:hAnsi="Arial"/>
                <w:sz w:val="23"/>
                <w:szCs w:val="23"/>
                <w:color w:val="CE0F2D"/>
                <w:vertAlign w:val="superscript"/>
              </w:rPr>
              <w:t>(7)</w:t>
            </w:r>
          </w:p>
        </w:tc>
        <w:tc>
          <w:tcPr>
            <w:tcW w:w="980" w:type="dxa"/>
            <w:vAlign w:val="bottom"/>
            <w:tcBorders>
              <w:bottom w:val="single" w:sz="8" w:color="CE0F2D"/>
            </w:tcBorders>
          </w:tcPr>
          <w:p>
            <w:pPr>
              <w:spacing w:after="0"/>
              <w:rPr>
                <w:sz w:val="21"/>
                <w:szCs w:val="21"/>
                <w:color w:val="auto"/>
              </w:rPr>
            </w:pPr>
          </w:p>
        </w:tc>
        <w:tc>
          <w:tcPr>
            <w:tcW w:w="900" w:type="dxa"/>
            <w:vAlign w:val="bottom"/>
            <w:tcBorders>
              <w:bottom w:val="single" w:sz="8" w:color="CE0F2D"/>
            </w:tcBorders>
          </w:tcPr>
          <w:p>
            <w:pPr>
              <w:spacing w:after="0"/>
              <w:rPr>
                <w:sz w:val="21"/>
                <w:szCs w:val="21"/>
                <w:color w:val="auto"/>
              </w:rPr>
            </w:pPr>
          </w:p>
        </w:tc>
        <w:tc>
          <w:tcPr>
            <w:tcW w:w="1040" w:type="dxa"/>
            <w:vAlign w:val="bottom"/>
            <w:tcBorders>
              <w:bottom w:val="single" w:sz="8" w:color="CE0F2D"/>
            </w:tcBorders>
          </w:tcPr>
          <w:p>
            <w:pPr>
              <w:spacing w:after="0"/>
              <w:rPr>
                <w:sz w:val="21"/>
                <w:szCs w:val="21"/>
                <w:color w:val="auto"/>
              </w:rPr>
            </w:pPr>
          </w:p>
        </w:tc>
        <w:tc>
          <w:tcPr>
            <w:tcW w:w="1000" w:type="dxa"/>
            <w:vAlign w:val="bottom"/>
            <w:tcBorders>
              <w:bottom w:val="single" w:sz="8" w:color="CE0F2D"/>
            </w:tcBorders>
          </w:tcPr>
          <w:p>
            <w:pPr>
              <w:spacing w:after="0"/>
              <w:rPr>
                <w:sz w:val="21"/>
                <w:szCs w:val="21"/>
                <w:color w:val="auto"/>
              </w:rPr>
            </w:pPr>
          </w:p>
        </w:tc>
        <w:tc>
          <w:tcPr>
            <w:tcW w:w="1060" w:type="dxa"/>
            <w:vAlign w:val="bottom"/>
            <w:tcBorders>
              <w:bottom w:val="single" w:sz="8" w:color="CE0F2D"/>
            </w:tcBorders>
          </w:tcPr>
          <w:p>
            <w:pPr>
              <w:spacing w:after="0"/>
              <w:rPr>
                <w:sz w:val="21"/>
                <w:szCs w:val="21"/>
                <w:color w:val="auto"/>
              </w:rPr>
            </w:pPr>
          </w:p>
        </w:tc>
        <w:tc>
          <w:tcPr>
            <w:tcW w:w="1020" w:type="dxa"/>
            <w:vAlign w:val="bottom"/>
            <w:tcBorders>
              <w:bottom w:val="single" w:sz="8" w:color="CE0F2D"/>
            </w:tcBorders>
          </w:tcPr>
          <w:p>
            <w:pPr>
              <w:spacing w:after="0"/>
              <w:rPr>
                <w:sz w:val="21"/>
                <w:szCs w:val="21"/>
                <w:color w:val="auto"/>
              </w:rPr>
            </w:pP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$760,606</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$1,200,000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$2,424,908</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$584,773</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$165,108</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rPr>
              <w:t>$5,135,395</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$5,135,395</w:t>
            </w:r>
          </w:p>
        </w:tc>
      </w:tr>
      <w:tr>
        <w:trPr>
          <w:trHeight w:val="208"/>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$612,083</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$500,000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$886,283</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$841,522</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$159,526</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$2,999,414</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$2,999,414</w:t>
            </w:r>
          </w:p>
        </w:tc>
      </w:tr>
      <w:tr>
        <w:trPr>
          <w:trHeight w:val="220"/>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2019</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$591,667</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$700,000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$1,588,229</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$559,900</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$145,664</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$3,585,460</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$3,585,460</w:t>
            </w:r>
          </w:p>
        </w:tc>
      </w:tr>
      <w:tr>
        <w:trPr>
          <w:trHeight w:val="248"/>
        </w:trPr>
        <w:tc>
          <w:tcPr>
            <w:tcW w:w="5240" w:type="dxa"/>
            <w:vAlign w:val="bottom"/>
            <w:tcBorders>
              <w:bottom w:val="single" w:sz="8" w:color="CE0F2D"/>
            </w:tcBorders>
            <w:gridSpan w:val="3"/>
          </w:tcPr>
          <w:p>
            <w:pPr>
              <w:ind w:left="60"/>
              <w:spacing w:after="0" w:line="241" w:lineRule="exact"/>
              <w:rPr>
                <w:sz w:val="20"/>
                <w:szCs w:val="20"/>
                <w:color w:val="auto"/>
              </w:rPr>
            </w:pPr>
            <w:r>
              <w:rPr>
                <w:rFonts w:ascii="Arial" w:cs="Arial" w:eastAsia="Arial" w:hAnsi="Arial"/>
                <w:sz w:val="14"/>
                <w:szCs w:val="14"/>
                <w:b w:val="1"/>
                <w:bCs w:val="1"/>
                <w:color w:val="CE0F2D"/>
              </w:rPr>
              <w:t xml:space="preserve">Michael R. Dumais  </w:t>
            </w:r>
            <w:r>
              <w:rPr>
                <w:rFonts w:ascii="Arial" w:cs="Arial" w:eastAsia="Arial" w:hAnsi="Arial"/>
                <w:sz w:val="14"/>
                <w:szCs w:val="14"/>
                <w:color w:val="CE0F2D"/>
              </w:rPr>
              <w:t>Executive Vice President, Chief Transformation Officer</w:t>
            </w:r>
            <w:r>
              <w:rPr>
                <w:rFonts w:ascii="Arial" w:cs="Arial" w:eastAsia="Arial" w:hAnsi="Arial"/>
                <w:sz w:val="23"/>
                <w:szCs w:val="23"/>
                <w:color w:val="CE0F2D"/>
                <w:vertAlign w:val="superscript"/>
              </w:rPr>
              <w:t>(8)</w:t>
            </w:r>
          </w:p>
        </w:tc>
        <w:tc>
          <w:tcPr>
            <w:tcW w:w="980" w:type="dxa"/>
            <w:vAlign w:val="bottom"/>
            <w:tcBorders>
              <w:bottom w:val="single" w:sz="8" w:color="CE0F2D"/>
            </w:tcBorders>
          </w:tcPr>
          <w:p>
            <w:pPr>
              <w:spacing w:after="0"/>
              <w:rPr>
                <w:sz w:val="21"/>
                <w:szCs w:val="21"/>
                <w:color w:val="auto"/>
              </w:rPr>
            </w:pPr>
          </w:p>
        </w:tc>
        <w:tc>
          <w:tcPr>
            <w:tcW w:w="900" w:type="dxa"/>
            <w:vAlign w:val="bottom"/>
            <w:tcBorders>
              <w:bottom w:val="single" w:sz="8" w:color="CE0F2D"/>
            </w:tcBorders>
          </w:tcPr>
          <w:p>
            <w:pPr>
              <w:spacing w:after="0"/>
              <w:rPr>
                <w:sz w:val="21"/>
                <w:szCs w:val="21"/>
                <w:color w:val="auto"/>
              </w:rPr>
            </w:pPr>
          </w:p>
        </w:tc>
        <w:tc>
          <w:tcPr>
            <w:tcW w:w="1040" w:type="dxa"/>
            <w:vAlign w:val="bottom"/>
            <w:tcBorders>
              <w:bottom w:val="single" w:sz="8" w:color="CE0F2D"/>
            </w:tcBorders>
          </w:tcPr>
          <w:p>
            <w:pPr>
              <w:spacing w:after="0"/>
              <w:rPr>
                <w:sz w:val="21"/>
                <w:szCs w:val="21"/>
                <w:color w:val="auto"/>
              </w:rPr>
            </w:pPr>
          </w:p>
        </w:tc>
        <w:tc>
          <w:tcPr>
            <w:tcW w:w="1000" w:type="dxa"/>
            <w:vAlign w:val="bottom"/>
            <w:tcBorders>
              <w:bottom w:val="single" w:sz="8" w:color="CE0F2D"/>
            </w:tcBorders>
          </w:tcPr>
          <w:p>
            <w:pPr>
              <w:spacing w:after="0"/>
              <w:rPr>
                <w:sz w:val="21"/>
                <w:szCs w:val="21"/>
                <w:color w:val="auto"/>
              </w:rPr>
            </w:pPr>
          </w:p>
        </w:tc>
        <w:tc>
          <w:tcPr>
            <w:tcW w:w="1060" w:type="dxa"/>
            <w:vAlign w:val="bottom"/>
            <w:tcBorders>
              <w:bottom w:val="single" w:sz="8" w:color="CE0F2D"/>
            </w:tcBorders>
          </w:tcPr>
          <w:p>
            <w:pPr>
              <w:spacing w:after="0"/>
              <w:rPr>
                <w:sz w:val="21"/>
                <w:szCs w:val="21"/>
                <w:color w:val="auto"/>
              </w:rPr>
            </w:pPr>
          </w:p>
        </w:tc>
        <w:tc>
          <w:tcPr>
            <w:tcW w:w="1020" w:type="dxa"/>
            <w:vAlign w:val="bottom"/>
            <w:tcBorders>
              <w:bottom w:val="single" w:sz="8" w:color="CE0F2D"/>
            </w:tcBorders>
          </w:tcPr>
          <w:p>
            <w:pPr>
              <w:spacing w:after="0"/>
              <w:rPr>
                <w:sz w:val="21"/>
                <w:szCs w:val="21"/>
                <w:color w:val="auto"/>
              </w:rPr>
            </w:pP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$872,500</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$1,200,000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$2,833,966</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$679,572</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$478,062</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rPr>
              <w:t>$6,064,100</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$6,064,100</w:t>
            </w:r>
          </w:p>
        </w:tc>
      </w:tr>
      <w:tr>
        <w:trPr>
          <w:trHeight w:val="220"/>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$800,417</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$900,000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$1,723,436</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$1,663,314</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$524,320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$660,402</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$6,271,889</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$5,747,569</w:t>
            </w:r>
          </w:p>
        </w:tc>
      </w:tr>
      <w:tr>
        <w:trPr>
          <w:trHeight w:val="248"/>
        </w:trPr>
        <w:tc>
          <w:tcPr>
            <w:tcW w:w="3360" w:type="dxa"/>
            <w:vAlign w:val="bottom"/>
            <w:tcBorders>
              <w:bottom w:val="single" w:sz="8" w:color="CE0F2D"/>
            </w:tcBorders>
          </w:tcPr>
          <w:p>
            <w:pPr>
              <w:ind w:left="60"/>
              <w:spacing w:after="0" w:line="241" w:lineRule="exact"/>
              <w:rPr>
                <w:sz w:val="20"/>
                <w:szCs w:val="20"/>
                <w:color w:val="auto"/>
              </w:rPr>
            </w:pPr>
            <w:r>
              <w:rPr>
                <w:rFonts w:ascii="Arial" w:cs="Arial" w:eastAsia="Arial" w:hAnsi="Arial"/>
                <w:sz w:val="14"/>
                <w:szCs w:val="14"/>
                <w:b w:val="1"/>
                <w:bCs w:val="1"/>
                <w:color w:val="CE0F2D"/>
              </w:rPr>
              <w:t xml:space="preserve">Christopher T. Calio  </w:t>
            </w:r>
            <w:r>
              <w:rPr>
                <w:rFonts w:ascii="Arial" w:cs="Arial" w:eastAsia="Arial" w:hAnsi="Arial"/>
                <w:sz w:val="14"/>
                <w:szCs w:val="14"/>
                <w:color w:val="CE0F2D"/>
              </w:rPr>
              <w:t>Chief Operating Officer</w:t>
            </w:r>
            <w:r>
              <w:rPr>
                <w:rFonts w:ascii="Arial" w:cs="Arial" w:eastAsia="Arial" w:hAnsi="Arial"/>
                <w:sz w:val="23"/>
                <w:szCs w:val="23"/>
                <w:color w:val="CE0F2D"/>
                <w:vertAlign w:val="superscript"/>
              </w:rPr>
              <w:t>(9)</w:t>
            </w:r>
          </w:p>
        </w:tc>
        <w:tc>
          <w:tcPr>
            <w:tcW w:w="980" w:type="dxa"/>
            <w:vAlign w:val="bottom"/>
            <w:tcBorders>
              <w:bottom w:val="single" w:sz="8" w:color="CE0F2D"/>
            </w:tcBorders>
          </w:tcPr>
          <w:p>
            <w:pPr>
              <w:spacing w:after="0"/>
              <w:rPr>
                <w:sz w:val="21"/>
                <w:szCs w:val="21"/>
                <w:color w:val="auto"/>
              </w:rPr>
            </w:pPr>
          </w:p>
        </w:tc>
        <w:tc>
          <w:tcPr>
            <w:tcW w:w="900" w:type="dxa"/>
            <w:vAlign w:val="bottom"/>
            <w:tcBorders>
              <w:bottom w:val="single" w:sz="8" w:color="CE0F2D"/>
            </w:tcBorders>
          </w:tcPr>
          <w:p>
            <w:pPr>
              <w:spacing w:after="0"/>
              <w:rPr>
                <w:sz w:val="21"/>
                <w:szCs w:val="21"/>
                <w:color w:val="auto"/>
              </w:rPr>
            </w:pPr>
          </w:p>
        </w:tc>
        <w:tc>
          <w:tcPr>
            <w:tcW w:w="980" w:type="dxa"/>
            <w:vAlign w:val="bottom"/>
            <w:tcBorders>
              <w:bottom w:val="single" w:sz="8" w:color="CE0F2D"/>
            </w:tcBorders>
          </w:tcPr>
          <w:p>
            <w:pPr>
              <w:spacing w:after="0"/>
              <w:rPr>
                <w:sz w:val="21"/>
                <w:szCs w:val="21"/>
                <w:color w:val="auto"/>
              </w:rPr>
            </w:pPr>
          </w:p>
        </w:tc>
        <w:tc>
          <w:tcPr>
            <w:tcW w:w="900" w:type="dxa"/>
            <w:vAlign w:val="bottom"/>
            <w:tcBorders>
              <w:bottom w:val="single" w:sz="8" w:color="CE0F2D"/>
            </w:tcBorders>
          </w:tcPr>
          <w:p>
            <w:pPr>
              <w:spacing w:after="0"/>
              <w:rPr>
                <w:sz w:val="21"/>
                <w:szCs w:val="21"/>
                <w:color w:val="auto"/>
              </w:rPr>
            </w:pPr>
          </w:p>
        </w:tc>
        <w:tc>
          <w:tcPr>
            <w:tcW w:w="1040" w:type="dxa"/>
            <w:vAlign w:val="bottom"/>
            <w:tcBorders>
              <w:bottom w:val="single" w:sz="8" w:color="CE0F2D"/>
            </w:tcBorders>
          </w:tcPr>
          <w:p>
            <w:pPr>
              <w:spacing w:after="0"/>
              <w:rPr>
                <w:sz w:val="21"/>
                <w:szCs w:val="21"/>
                <w:color w:val="auto"/>
              </w:rPr>
            </w:pPr>
          </w:p>
        </w:tc>
        <w:tc>
          <w:tcPr>
            <w:tcW w:w="1000" w:type="dxa"/>
            <w:vAlign w:val="bottom"/>
            <w:tcBorders>
              <w:bottom w:val="single" w:sz="8" w:color="CE0F2D"/>
            </w:tcBorders>
          </w:tcPr>
          <w:p>
            <w:pPr>
              <w:spacing w:after="0"/>
              <w:rPr>
                <w:sz w:val="21"/>
                <w:szCs w:val="21"/>
                <w:color w:val="auto"/>
              </w:rPr>
            </w:pPr>
          </w:p>
        </w:tc>
        <w:tc>
          <w:tcPr>
            <w:tcW w:w="1060" w:type="dxa"/>
            <w:vAlign w:val="bottom"/>
            <w:tcBorders>
              <w:bottom w:val="single" w:sz="8" w:color="CE0F2D"/>
            </w:tcBorders>
          </w:tcPr>
          <w:p>
            <w:pPr>
              <w:spacing w:after="0"/>
              <w:rPr>
                <w:sz w:val="21"/>
                <w:szCs w:val="21"/>
                <w:color w:val="auto"/>
              </w:rPr>
            </w:pPr>
          </w:p>
        </w:tc>
        <w:tc>
          <w:tcPr>
            <w:tcW w:w="1020" w:type="dxa"/>
            <w:vAlign w:val="bottom"/>
            <w:tcBorders>
              <w:bottom w:val="single" w:sz="8" w:color="CE0F2D"/>
            </w:tcBorders>
          </w:tcPr>
          <w:p>
            <w:pPr>
              <w:spacing w:after="0"/>
              <w:rPr>
                <w:sz w:val="21"/>
                <w:szCs w:val="21"/>
                <w:color w:val="auto"/>
              </w:rPr>
            </w:pPr>
          </w:p>
        </w:tc>
      </w:tr>
      <w:tr>
        <w:trPr>
          <w:trHeight w:val="208"/>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$723,083</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$1,200,000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$2,833,966</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$679,572</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$209,797</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$5,646,418</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$5,646,418</w:t>
            </w:r>
          </w:p>
        </w:tc>
      </w:tr>
      <w:tr>
        <w:trPr>
          <w:trHeight w:val="220"/>
        </w:trPr>
        <w:tc>
          <w:tcPr>
            <w:tcW w:w="33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 xml:space="preserve">Stephen J. Timm  </w:t>
            </w:r>
            <w:r>
              <w:rPr>
                <w:rFonts w:ascii="Arial" w:cs="Arial" w:eastAsia="Arial" w:hAnsi="Arial"/>
                <w:sz w:val="14"/>
                <w:szCs w:val="14"/>
                <w:color w:val="CE0F2D"/>
              </w:rPr>
              <w:t>President, Collins Aerospace</w:t>
            </w:r>
          </w:p>
        </w:tc>
        <w:tc>
          <w:tcPr>
            <w:tcW w:w="980" w:type="dxa"/>
            <w:vAlign w:val="bottom"/>
            <w:tcBorders>
              <w:bottom w:val="single" w:sz="8" w:color="CE0F2D"/>
            </w:tcBorders>
          </w:tcPr>
          <w:p>
            <w:pPr>
              <w:spacing w:after="0"/>
              <w:rPr>
                <w:sz w:val="19"/>
                <w:szCs w:val="19"/>
                <w:color w:val="auto"/>
              </w:rPr>
            </w:pPr>
          </w:p>
        </w:tc>
        <w:tc>
          <w:tcPr>
            <w:tcW w:w="900" w:type="dxa"/>
            <w:vAlign w:val="bottom"/>
            <w:tcBorders>
              <w:bottom w:val="single" w:sz="8" w:color="CE0F2D"/>
            </w:tcBorders>
          </w:tcPr>
          <w:p>
            <w:pPr>
              <w:spacing w:after="0"/>
              <w:rPr>
                <w:sz w:val="19"/>
                <w:szCs w:val="19"/>
                <w:color w:val="auto"/>
              </w:rPr>
            </w:pPr>
          </w:p>
        </w:tc>
        <w:tc>
          <w:tcPr>
            <w:tcW w:w="980" w:type="dxa"/>
            <w:vAlign w:val="bottom"/>
            <w:tcBorders>
              <w:bottom w:val="single" w:sz="8" w:color="CE0F2D"/>
            </w:tcBorders>
          </w:tcPr>
          <w:p>
            <w:pPr>
              <w:spacing w:after="0"/>
              <w:rPr>
                <w:sz w:val="19"/>
                <w:szCs w:val="19"/>
                <w:color w:val="auto"/>
              </w:rPr>
            </w:pPr>
          </w:p>
        </w:tc>
        <w:tc>
          <w:tcPr>
            <w:tcW w:w="900" w:type="dxa"/>
            <w:vAlign w:val="bottom"/>
            <w:tcBorders>
              <w:bottom w:val="single" w:sz="8" w:color="CE0F2D"/>
            </w:tcBorders>
          </w:tcPr>
          <w:p>
            <w:pPr>
              <w:spacing w:after="0"/>
              <w:rPr>
                <w:sz w:val="19"/>
                <w:szCs w:val="19"/>
                <w:color w:val="auto"/>
              </w:rPr>
            </w:pPr>
          </w:p>
        </w:tc>
        <w:tc>
          <w:tcPr>
            <w:tcW w:w="1040" w:type="dxa"/>
            <w:vAlign w:val="bottom"/>
            <w:tcBorders>
              <w:bottom w:val="single" w:sz="8" w:color="CE0F2D"/>
            </w:tcBorders>
          </w:tcPr>
          <w:p>
            <w:pPr>
              <w:spacing w:after="0"/>
              <w:rPr>
                <w:sz w:val="19"/>
                <w:szCs w:val="19"/>
                <w:color w:val="auto"/>
              </w:rPr>
            </w:pPr>
          </w:p>
        </w:tc>
        <w:tc>
          <w:tcPr>
            <w:tcW w:w="1000" w:type="dxa"/>
            <w:vAlign w:val="bottom"/>
            <w:tcBorders>
              <w:bottom w:val="single" w:sz="8" w:color="CE0F2D"/>
            </w:tcBorders>
          </w:tcPr>
          <w:p>
            <w:pPr>
              <w:spacing w:after="0"/>
              <w:rPr>
                <w:sz w:val="19"/>
                <w:szCs w:val="19"/>
                <w:color w:val="auto"/>
              </w:rPr>
            </w:pPr>
          </w:p>
        </w:tc>
        <w:tc>
          <w:tcPr>
            <w:tcW w:w="1060" w:type="dxa"/>
            <w:vAlign w:val="bottom"/>
            <w:tcBorders>
              <w:bottom w:val="single" w:sz="8" w:color="CE0F2D"/>
            </w:tcBorders>
          </w:tcPr>
          <w:p>
            <w:pPr>
              <w:spacing w:after="0"/>
              <w:rPr>
                <w:sz w:val="19"/>
                <w:szCs w:val="19"/>
                <w:color w:val="auto"/>
              </w:rPr>
            </w:pPr>
          </w:p>
        </w:tc>
        <w:tc>
          <w:tcPr>
            <w:tcW w:w="1020" w:type="dxa"/>
            <w:vAlign w:val="bottom"/>
            <w:tcBorders>
              <w:bottom w:val="single" w:sz="8" w:color="CE0F2D"/>
            </w:tcBorders>
          </w:tcPr>
          <w:p>
            <w:pPr>
              <w:spacing w:after="0"/>
              <w:rPr>
                <w:sz w:val="19"/>
                <w:szCs w:val="19"/>
                <w:color w:val="auto"/>
              </w:rPr>
            </w:pP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$718,500</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$1,200,000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$2,833,966</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$679,572</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$176,193</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rPr>
              <w:t>$5,608,231</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$5,608,231</w:t>
            </w:r>
          </w:p>
        </w:tc>
      </w:tr>
      <w:tr>
        <w:trPr>
          <w:trHeight w:val="220"/>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$613,447</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$600,000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$2,358,302</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$1,282,991</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$55,427</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$435,300</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$5,345,467</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$5,290,040</w:t>
            </w:r>
          </w:p>
        </w:tc>
      </w:tr>
      <w:tr>
        <w:trPr>
          <w:trHeight w:val="248"/>
        </w:trPr>
        <w:tc>
          <w:tcPr>
            <w:tcW w:w="4340" w:type="dxa"/>
            <w:vAlign w:val="bottom"/>
            <w:tcBorders>
              <w:bottom w:val="single" w:sz="8" w:color="CE0F2D"/>
            </w:tcBorders>
            <w:gridSpan w:val="2"/>
          </w:tcPr>
          <w:p>
            <w:pPr>
              <w:ind w:left="60"/>
              <w:spacing w:after="0" w:line="241" w:lineRule="exact"/>
              <w:rPr>
                <w:sz w:val="20"/>
                <w:szCs w:val="20"/>
                <w:color w:val="auto"/>
              </w:rPr>
            </w:pPr>
            <w:r>
              <w:rPr>
                <w:rFonts w:ascii="Arial" w:cs="Arial" w:eastAsia="Arial" w:hAnsi="Arial"/>
                <w:sz w:val="14"/>
                <w:szCs w:val="14"/>
                <w:b w:val="1"/>
                <w:bCs w:val="1"/>
                <w:color w:val="CE0F2D"/>
              </w:rPr>
              <w:t xml:space="preserve">Thomas A. Kennedy  </w:t>
            </w:r>
            <w:r>
              <w:rPr>
                <w:rFonts w:ascii="Arial" w:cs="Arial" w:eastAsia="Arial" w:hAnsi="Arial"/>
                <w:sz w:val="14"/>
                <w:szCs w:val="14"/>
                <w:color w:val="CE0F2D"/>
              </w:rPr>
              <w:t>Former Executive Chairman</w:t>
            </w:r>
            <w:r>
              <w:rPr>
                <w:rFonts w:ascii="Arial" w:cs="Arial" w:eastAsia="Arial" w:hAnsi="Arial"/>
                <w:sz w:val="23"/>
                <w:szCs w:val="23"/>
                <w:color w:val="CE0F2D"/>
                <w:vertAlign w:val="superscript"/>
              </w:rPr>
              <w:t>(10)</w:t>
            </w:r>
          </w:p>
        </w:tc>
        <w:tc>
          <w:tcPr>
            <w:tcW w:w="900" w:type="dxa"/>
            <w:vAlign w:val="bottom"/>
            <w:tcBorders>
              <w:bottom w:val="single" w:sz="8" w:color="CE0F2D"/>
            </w:tcBorders>
          </w:tcPr>
          <w:p>
            <w:pPr>
              <w:spacing w:after="0"/>
              <w:rPr>
                <w:sz w:val="21"/>
                <w:szCs w:val="21"/>
                <w:color w:val="auto"/>
              </w:rPr>
            </w:pPr>
          </w:p>
        </w:tc>
        <w:tc>
          <w:tcPr>
            <w:tcW w:w="980" w:type="dxa"/>
            <w:vAlign w:val="bottom"/>
            <w:tcBorders>
              <w:bottom w:val="single" w:sz="8" w:color="CE0F2D"/>
            </w:tcBorders>
          </w:tcPr>
          <w:p>
            <w:pPr>
              <w:spacing w:after="0"/>
              <w:rPr>
                <w:sz w:val="21"/>
                <w:szCs w:val="21"/>
                <w:color w:val="auto"/>
              </w:rPr>
            </w:pPr>
          </w:p>
        </w:tc>
        <w:tc>
          <w:tcPr>
            <w:tcW w:w="900" w:type="dxa"/>
            <w:vAlign w:val="bottom"/>
            <w:tcBorders>
              <w:bottom w:val="single" w:sz="8" w:color="CE0F2D"/>
            </w:tcBorders>
          </w:tcPr>
          <w:p>
            <w:pPr>
              <w:spacing w:after="0"/>
              <w:rPr>
                <w:sz w:val="21"/>
                <w:szCs w:val="21"/>
                <w:color w:val="auto"/>
              </w:rPr>
            </w:pPr>
          </w:p>
        </w:tc>
        <w:tc>
          <w:tcPr>
            <w:tcW w:w="1040" w:type="dxa"/>
            <w:vAlign w:val="bottom"/>
            <w:tcBorders>
              <w:bottom w:val="single" w:sz="8" w:color="CE0F2D"/>
            </w:tcBorders>
          </w:tcPr>
          <w:p>
            <w:pPr>
              <w:spacing w:after="0"/>
              <w:rPr>
                <w:sz w:val="21"/>
                <w:szCs w:val="21"/>
                <w:color w:val="auto"/>
              </w:rPr>
            </w:pPr>
          </w:p>
        </w:tc>
        <w:tc>
          <w:tcPr>
            <w:tcW w:w="1000" w:type="dxa"/>
            <w:vAlign w:val="bottom"/>
            <w:tcBorders>
              <w:bottom w:val="single" w:sz="8" w:color="CE0F2D"/>
            </w:tcBorders>
          </w:tcPr>
          <w:p>
            <w:pPr>
              <w:spacing w:after="0"/>
              <w:rPr>
                <w:sz w:val="21"/>
                <w:szCs w:val="21"/>
                <w:color w:val="auto"/>
              </w:rPr>
            </w:pPr>
          </w:p>
        </w:tc>
        <w:tc>
          <w:tcPr>
            <w:tcW w:w="1060" w:type="dxa"/>
            <w:vAlign w:val="bottom"/>
            <w:tcBorders>
              <w:bottom w:val="single" w:sz="8" w:color="CE0F2D"/>
            </w:tcBorders>
          </w:tcPr>
          <w:p>
            <w:pPr>
              <w:spacing w:after="0"/>
              <w:rPr>
                <w:sz w:val="21"/>
                <w:szCs w:val="21"/>
                <w:color w:val="auto"/>
              </w:rPr>
            </w:pPr>
          </w:p>
        </w:tc>
        <w:tc>
          <w:tcPr>
            <w:tcW w:w="1020" w:type="dxa"/>
            <w:vAlign w:val="bottom"/>
            <w:tcBorders>
              <w:bottom w:val="single" w:sz="8" w:color="CE0F2D"/>
            </w:tcBorders>
          </w:tcPr>
          <w:p>
            <w:pPr>
              <w:spacing w:after="0"/>
              <w:rPr>
                <w:sz w:val="21"/>
                <w:szCs w:val="21"/>
                <w:color w:val="auto"/>
              </w:rPr>
            </w:pPr>
          </w:p>
        </w:tc>
      </w:tr>
      <w:tr>
        <w:trPr>
          <w:trHeight w:val="221"/>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$663,757</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$1,283,350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$12,171,526</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$3,161,246</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$6,754,258</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$489,615</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$24,523,752</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$17,769,494</w:t>
            </w:r>
          </w:p>
        </w:tc>
      </w:tr>
      <w:tr>
        <w:trPr>
          <w:trHeight w:val="248"/>
        </w:trPr>
        <w:tc>
          <w:tcPr>
            <w:tcW w:w="6220" w:type="dxa"/>
            <w:vAlign w:val="bottom"/>
            <w:tcBorders>
              <w:bottom w:val="single" w:sz="8" w:color="CE0F2D"/>
            </w:tcBorders>
            <w:gridSpan w:val="4"/>
          </w:tcPr>
          <w:p>
            <w:pPr>
              <w:ind w:left="60"/>
              <w:spacing w:after="0" w:line="241" w:lineRule="exact"/>
              <w:rPr>
                <w:sz w:val="20"/>
                <w:szCs w:val="20"/>
                <w:color w:val="auto"/>
              </w:rPr>
            </w:pPr>
            <w:r>
              <w:rPr>
                <w:rFonts w:ascii="Arial" w:cs="Arial" w:eastAsia="Arial" w:hAnsi="Arial"/>
                <w:sz w:val="14"/>
                <w:szCs w:val="14"/>
                <w:b w:val="1"/>
                <w:bCs w:val="1"/>
                <w:color w:val="CE0F2D"/>
              </w:rPr>
              <w:t xml:space="preserve">Anthony F. O’Brien III  </w:t>
            </w:r>
            <w:r>
              <w:rPr>
                <w:rFonts w:ascii="Arial" w:cs="Arial" w:eastAsia="Arial" w:hAnsi="Arial"/>
                <w:sz w:val="14"/>
                <w:szCs w:val="14"/>
                <w:color w:val="CE0F2D"/>
              </w:rPr>
              <w:t>Former Executive Vice President &amp; Chief Financial Officer</w:t>
            </w:r>
            <w:r>
              <w:rPr>
                <w:rFonts w:ascii="Arial" w:cs="Arial" w:eastAsia="Arial" w:hAnsi="Arial"/>
                <w:sz w:val="23"/>
                <w:szCs w:val="23"/>
                <w:color w:val="CE0F2D"/>
                <w:vertAlign w:val="superscript"/>
              </w:rPr>
              <w:t>(11)</w:t>
            </w:r>
          </w:p>
        </w:tc>
        <w:tc>
          <w:tcPr>
            <w:tcW w:w="900" w:type="dxa"/>
            <w:vAlign w:val="bottom"/>
            <w:tcBorders>
              <w:bottom w:val="single" w:sz="8" w:color="CE0F2D"/>
            </w:tcBorders>
          </w:tcPr>
          <w:p>
            <w:pPr>
              <w:spacing w:after="0"/>
              <w:rPr>
                <w:sz w:val="21"/>
                <w:szCs w:val="21"/>
                <w:color w:val="auto"/>
              </w:rPr>
            </w:pPr>
          </w:p>
        </w:tc>
        <w:tc>
          <w:tcPr>
            <w:tcW w:w="1040" w:type="dxa"/>
            <w:vAlign w:val="bottom"/>
            <w:tcBorders>
              <w:bottom w:val="single" w:sz="8" w:color="CE0F2D"/>
            </w:tcBorders>
          </w:tcPr>
          <w:p>
            <w:pPr>
              <w:spacing w:after="0"/>
              <w:rPr>
                <w:sz w:val="21"/>
                <w:szCs w:val="21"/>
                <w:color w:val="auto"/>
              </w:rPr>
            </w:pPr>
          </w:p>
        </w:tc>
        <w:tc>
          <w:tcPr>
            <w:tcW w:w="1000" w:type="dxa"/>
            <w:vAlign w:val="bottom"/>
            <w:tcBorders>
              <w:bottom w:val="single" w:sz="8" w:color="CE0F2D"/>
            </w:tcBorders>
          </w:tcPr>
          <w:p>
            <w:pPr>
              <w:spacing w:after="0"/>
              <w:rPr>
                <w:sz w:val="21"/>
                <w:szCs w:val="21"/>
                <w:color w:val="auto"/>
              </w:rPr>
            </w:pPr>
          </w:p>
        </w:tc>
        <w:tc>
          <w:tcPr>
            <w:tcW w:w="1060" w:type="dxa"/>
            <w:vAlign w:val="bottom"/>
            <w:tcBorders>
              <w:bottom w:val="single" w:sz="8" w:color="CE0F2D"/>
            </w:tcBorders>
          </w:tcPr>
          <w:p>
            <w:pPr>
              <w:spacing w:after="0"/>
              <w:rPr>
                <w:sz w:val="21"/>
                <w:szCs w:val="21"/>
                <w:color w:val="auto"/>
              </w:rPr>
            </w:pPr>
          </w:p>
        </w:tc>
        <w:tc>
          <w:tcPr>
            <w:tcW w:w="1020" w:type="dxa"/>
            <w:vAlign w:val="bottom"/>
            <w:tcBorders>
              <w:bottom w:val="single" w:sz="8" w:color="CE0F2D"/>
            </w:tcBorders>
          </w:tcPr>
          <w:p>
            <w:pPr>
              <w:spacing w:after="0"/>
              <w:rPr>
                <w:sz w:val="21"/>
                <w:szCs w:val="21"/>
                <w:color w:val="auto"/>
              </w:rPr>
            </w:pPr>
          </w:p>
        </w:tc>
      </w:tr>
      <w:tr>
        <w:trPr>
          <w:trHeight w:val="208"/>
        </w:trPr>
        <w:tc>
          <w:tcPr>
            <w:tcW w:w="33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2021</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$254,449</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$3,238,924</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$777,096</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$2,014,431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$4,733,283</w:t>
            </w:r>
          </w:p>
        </w:tc>
        <w:tc>
          <w:tcPr>
            <w:tcW w:w="1060" w:type="dxa"/>
            <w:vAlign w:val="bottom"/>
            <w:tcBorders>
              <w:bottom w:val="single" w:sz="8" w:color="auto"/>
            </w:tcBorders>
            <w:shd w:val="clear" w:color="auto" w:fill="ECEDEF"/>
          </w:tcPr>
          <w:p>
            <w:pPr>
              <w:jc w:val="right"/>
              <w:ind w:right="30"/>
              <w:spacing w:after="0"/>
              <w:rPr>
                <w:sz w:val="20"/>
                <w:szCs w:val="20"/>
                <w:color w:val="auto"/>
              </w:rPr>
            </w:pPr>
            <w:r>
              <w:rPr>
                <w:rFonts w:ascii="Arial" w:cs="Arial" w:eastAsia="Arial" w:hAnsi="Arial"/>
                <w:sz w:val="14"/>
                <w:szCs w:val="14"/>
                <w:color w:val="auto"/>
              </w:rPr>
              <w:t>$11,018,183</w:t>
            </w:r>
          </w:p>
        </w:tc>
        <w:tc>
          <w:tcPr>
            <w:tcW w:w="102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$9,003,752</w:t>
            </w:r>
          </w:p>
        </w:tc>
      </w:tr>
      <w:tr>
        <w:trPr>
          <w:trHeight w:val="220"/>
        </w:trPr>
        <w:tc>
          <w:tcPr>
            <w:tcW w:w="33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2020</w:t>
            </w:r>
          </w:p>
        </w:tc>
        <w:tc>
          <w:tcPr>
            <w:tcW w:w="98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$609,139</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$1,000,000</w:t>
            </w:r>
          </w:p>
        </w:tc>
        <w:tc>
          <w:tcPr>
            <w:tcW w:w="9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$2,049,975</w:t>
            </w:r>
          </w:p>
        </w:tc>
        <w:tc>
          <w:tcPr>
            <w:tcW w:w="9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104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$2,418,992</w:t>
            </w:r>
          </w:p>
        </w:tc>
        <w:tc>
          <w:tcPr>
            <w:tcW w:w="10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$73,380</w:t>
            </w:r>
          </w:p>
        </w:tc>
        <w:tc>
          <w:tcPr>
            <w:tcW w:w="106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color w:val="auto"/>
              </w:rPr>
              <w:t>$6,151,486</w:t>
            </w:r>
          </w:p>
        </w:tc>
        <w:tc>
          <w:tcPr>
            <w:tcW w:w="102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$3,732,494</w:t>
            </w:r>
          </w:p>
        </w:tc>
      </w:tr>
    </w:tbl>
    <w:p>
      <w:pPr>
        <w:spacing w:after="0" w:line="101" w:lineRule="exact"/>
        <w:rPr>
          <w:sz w:val="20"/>
          <w:szCs w:val="20"/>
          <w:color w:val="auto"/>
        </w:rPr>
      </w:pPr>
    </w:p>
    <w:p>
      <w:pPr>
        <w:ind w:left="320" w:hanging="313"/>
        <w:spacing w:after="0"/>
        <w:tabs>
          <w:tab w:leader="none" w:pos="320" w:val="left"/>
        </w:tabs>
        <w:numPr>
          <w:ilvl w:val="0"/>
          <w:numId w:val="181"/>
        </w:numPr>
        <w:rPr>
          <w:rFonts w:ascii="Arial" w:cs="Arial" w:eastAsia="Arial" w:hAnsi="Arial"/>
          <w:sz w:val="12"/>
          <w:szCs w:val="12"/>
          <w:color w:val="auto"/>
        </w:rPr>
      </w:pPr>
      <w:r>
        <w:rPr>
          <w:rFonts w:ascii="Arial" w:cs="Arial" w:eastAsia="Arial" w:hAnsi="Arial"/>
          <w:sz w:val="12"/>
          <w:szCs w:val="12"/>
          <w:b w:val="1"/>
          <w:bCs w:val="1"/>
          <w:color w:val="auto"/>
        </w:rPr>
        <w:t xml:space="preserve">Salary. </w:t>
      </w:r>
      <w:r>
        <w:rPr>
          <w:rFonts w:ascii="Arial" w:cs="Arial" w:eastAsia="Arial" w:hAnsi="Arial"/>
          <w:sz w:val="12"/>
          <w:szCs w:val="12"/>
          <w:color w:val="auto"/>
        </w:rPr>
        <w:t>Includes reduction in base salary for Messrs. Calio and Timm associated with Pratt &amp; Whitney and Collins Aerospace furlough days during 2021.</w:t>
      </w:r>
    </w:p>
    <w:p>
      <w:pPr>
        <w:spacing w:after="0" w:line="49" w:lineRule="exact"/>
        <w:rPr>
          <w:rFonts w:ascii="Arial" w:cs="Arial" w:eastAsia="Arial" w:hAnsi="Arial"/>
          <w:sz w:val="12"/>
          <w:szCs w:val="12"/>
          <w:color w:val="auto"/>
        </w:rPr>
      </w:pPr>
    </w:p>
    <w:p>
      <w:pPr>
        <w:ind w:left="320" w:right="220" w:hanging="313"/>
        <w:spacing w:after="0" w:line="254" w:lineRule="auto"/>
        <w:tabs>
          <w:tab w:leader="none" w:pos="320" w:val="left"/>
        </w:tabs>
        <w:numPr>
          <w:ilvl w:val="0"/>
          <w:numId w:val="181"/>
        </w:numPr>
        <w:rPr>
          <w:rFonts w:ascii="Arial" w:cs="Arial" w:eastAsia="Arial" w:hAnsi="Arial"/>
          <w:sz w:val="12"/>
          <w:szCs w:val="12"/>
          <w:color w:val="auto"/>
        </w:rPr>
      </w:pPr>
      <w:r>
        <w:rPr>
          <w:rFonts w:ascii="Arial" w:cs="Arial" w:eastAsia="Arial" w:hAnsi="Arial"/>
          <w:sz w:val="12"/>
          <w:szCs w:val="12"/>
          <w:b w:val="1"/>
          <w:bCs w:val="1"/>
          <w:color w:val="auto"/>
        </w:rPr>
        <w:t xml:space="preserve">Bonus. </w:t>
      </w:r>
      <w:r>
        <w:rPr>
          <w:rFonts w:ascii="Arial" w:cs="Arial" w:eastAsia="Arial" w:hAnsi="Arial"/>
          <w:sz w:val="12"/>
          <w:szCs w:val="12"/>
          <w:color w:val="auto"/>
        </w:rPr>
        <w:t>Annual incentive awards provided under the Raytheon Technologies Corporation Executive Annual Incentive Plan are primarily based on measured performance against pre-established</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goals and Corporate Responsibility Scorecard objectives (as detailed on pages 47-51). However, the Committee retains discretion to adjust annual incentive award amounts based on its assessment of overall performance. Consequently, we report annual incentive awards in the Bonus column rather than in a Non-Equity Incentive Plan Compensation column.</w:t>
      </w:r>
    </w:p>
    <w:p>
      <w:pPr>
        <w:spacing w:after="0" w:line="17" w:lineRule="exact"/>
        <w:rPr>
          <w:rFonts w:ascii="Arial" w:cs="Arial" w:eastAsia="Arial" w:hAnsi="Arial"/>
          <w:sz w:val="12"/>
          <w:szCs w:val="12"/>
          <w:color w:val="auto"/>
        </w:rPr>
      </w:pPr>
    </w:p>
    <w:p>
      <w:pPr>
        <w:ind w:left="320" w:hanging="313"/>
        <w:spacing w:after="0" w:line="241" w:lineRule="auto"/>
        <w:tabs>
          <w:tab w:leader="none" w:pos="320" w:val="left"/>
        </w:tabs>
        <w:numPr>
          <w:ilvl w:val="0"/>
          <w:numId w:val="181"/>
        </w:numPr>
        <w:rPr>
          <w:rFonts w:ascii="Arial" w:cs="Arial" w:eastAsia="Arial" w:hAnsi="Arial"/>
          <w:sz w:val="12"/>
          <w:szCs w:val="12"/>
          <w:color w:val="auto"/>
        </w:rPr>
      </w:pPr>
      <w:r>
        <w:rPr>
          <w:rFonts w:ascii="Arial" w:cs="Arial" w:eastAsia="Arial" w:hAnsi="Arial"/>
          <w:sz w:val="12"/>
          <w:szCs w:val="12"/>
          <w:b w:val="1"/>
          <w:bCs w:val="1"/>
          <w:color w:val="auto"/>
        </w:rPr>
        <w:t xml:space="preserve">Stock Awards. </w:t>
      </w:r>
      <w:r>
        <w:rPr>
          <w:rFonts w:ascii="Arial" w:cs="Arial" w:eastAsia="Arial" w:hAnsi="Arial"/>
          <w:sz w:val="12"/>
          <w:szCs w:val="12"/>
          <w:color w:val="auto"/>
        </w:rPr>
        <w:t>Amounts shown include the grant date fair value of RSUs and PSUs granted in 2021 under the Raytheon Technologies Corporation 2018 Long-Term Incentive Plan, as amended and</w:t>
      </w:r>
      <w:r>
        <w:rPr>
          <w:rFonts w:ascii="Arial" w:cs="Arial" w:eastAsia="Arial" w:hAnsi="Arial"/>
          <w:sz w:val="12"/>
          <w:szCs w:val="12"/>
          <w:b w:val="1"/>
          <w:bCs w:val="1"/>
          <w:color w:val="auto"/>
        </w:rPr>
        <w:t xml:space="preserve"> </w:t>
      </w:r>
      <w:r>
        <w:rPr>
          <w:rFonts w:ascii="Arial" w:cs="Arial" w:eastAsia="Arial" w:hAnsi="Arial"/>
          <w:sz w:val="12"/>
          <w:szCs w:val="12"/>
          <w:color w:val="auto"/>
        </w:rPr>
        <w:t>restated (“RTX LTIP”). The assumptions made in calculating the fair value of these awards are set forth in Note 21: Stock Based Compensation, to the Consolidated Financial Statements in RTX’s 2021 Annual Report on Form 10-K (“2021 Form 10-K”). Additionally, for Mr. Kennedy, the amounts shown also include incremental fair value of $3,670,352 resulting from a grant modification to certain unvested stock awards in connection with his retirement from the Company. See footnote (7) on page 69 for additional details. For the 2021 PSUs, if the highest level of performance is achieved for all performance metrics, the grant date fair values would be: Mr. Hayes, $12,848,441; Mr. Mitchill, $2,215,957; Mr. Dumais, $3,101,311; Mr. Calio, $3,101,311; Mr. Timm, $3,101,311; Mr. Kennedy, $9,303,933; and Mr. O’Brien, $3,544,508.</w:t>
      </w:r>
    </w:p>
    <w:p>
      <w:pPr>
        <w:spacing w:after="0" w:line="141" w:lineRule="exact"/>
        <w:rPr>
          <w:sz w:val="20"/>
          <w:szCs w:val="20"/>
          <w:color w:val="auto"/>
        </w:rPr>
      </w:pPr>
    </w:p>
    <w:p>
      <w:pPr>
        <w:ind w:left="260" w:hanging="253"/>
        <w:spacing w:after="0"/>
        <w:tabs>
          <w:tab w:leader="none" w:pos="260" w:val="left"/>
        </w:tabs>
        <w:numPr>
          <w:ilvl w:val="0"/>
          <w:numId w:val="182"/>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ind w:right="100"/>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SUMMARY COMPENSATION TABLE</w:t>
      </w:r>
    </w:p>
    <w:p>
      <w:pPr>
        <w:spacing w:after="0" w:line="130" w:lineRule="exact"/>
        <w:rPr>
          <w:sz w:val="20"/>
          <w:szCs w:val="20"/>
          <w:color w:val="auto"/>
        </w:rPr>
      </w:pPr>
    </w:p>
    <w:p>
      <w:pPr>
        <w:jc w:val="both"/>
        <w:ind w:left="320" w:right="120" w:hanging="313"/>
        <w:spacing w:after="0" w:line="254" w:lineRule="auto"/>
        <w:tabs>
          <w:tab w:leader="none" w:pos="320" w:val="left"/>
        </w:tabs>
        <w:numPr>
          <w:ilvl w:val="0"/>
          <w:numId w:val="183"/>
        </w:numPr>
        <w:rPr>
          <w:rFonts w:ascii="Arial" w:cs="Arial" w:eastAsia="Arial" w:hAnsi="Arial"/>
          <w:sz w:val="12"/>
          <w:szCs w:val="12"/>
          <w:color w:val="auto"/>
        </w:rPr>
      </w:pPr>
      <w:r>
        <w:rPr>
          <w:rFonts w:ascii="Arial" w:cs="Arial" w:eastAsia="Arial" w:hAnsi="Arial"/>
          <w:sz w:val="12"/>
          <w:szCs w:val="12"/>
          <w:b w:val="1"/>
          <w:bCs w:val="1"/>
          <w:color w:val="auto"/>
        </w:rPr>
        <w:t xml:space="preserve">Option Awards. </w:t>
      </w:r>
      <w:r>
        <w:rPr>
          <w:rFonts w:ascii="Arial" w:cs="Arial" w:eastAsia="Arial" w:hAnsi="Arial"/>
          <w:sz w:val="12"/>
          <w:szCs w:val="12"/>
          <w:color w:val="auto"/>
        </w:rPr>
        <w:t>Amounts shown include the grant date fair value of SARs granted under the RTX LTIP during 2021. The assumptions made in the valuation of these awards are set forth in Note 21:</w:t>
      </w:r>
      <w:r>
        <w:rPr>
          <w:rFonts w:ascii="Arial" w:cs="Arial" w:eastAsia="Arial" w:hAnsi="Arial"/>
          <w:sz w:val="12"/>
          <w:szCs w:val="12"/>
          <w:b w:val="1"/>
          <w:bCs w:val="1"/>
          <w:color w:val="auto"/>
        </w:rPr>
        <w:t xml:space="preserve"> </w:t>
      </w:r>
      <w:r>
        <w:rPr>
          <w:rFonts w:ascii="Arial" w:cs="Arial" w:eastAsia="Arial" w:hAnsi="Arial"/>
          <w:sz w:val="12"/>
          <w:szCs w:val="12"/>
          <w:color w:val="auto"/>
        </w:rPr>
        <w:t>Stock Based Compensation, to the Consolidated Financial Statements in RTX’s 2021 Form 10-K. For Mr. Kennedy, the amounts shown also include an incremental fair value of $1,122,530 resulting from a grant modification to his 2021 SARs in connection with his retirement from the Company. See footnote (7) on page 69 for additional details.</w:t>
      </w:r>
    </w:p>
    <w:p>
      <w:pPr>
        <w:spacing w:after="0" w:line="17" w:lineRule="exact"/>
        <w:rPr>
          <w:rFonts w:ascii="Arial" w:cs="Arial" w:eastAsia="Arial" w:hAnsi="Arial"/>
          <w:sz w:val="12"/>
          <w:szCs w:val="12"/>
          <w:color w:val="auto"/>
        </w:rPr>
      </w:pPr>
    </w:p>
    <w:p>
      <w:pPr>
        <w:ind w:left="320" w:right="120" w:hanging="313"/>
        <w:spacing w:after="0" w:line="238" w:lineRule="auto"/>
        <w:tabs>
          <w:tab w:leader="none" w:pos="320" w:val="left"/>
        </w:tabs>
        <w:numPr>
          <w:ilvl w:val="0"/>
          <w:numId w:val="183"/>
        </w:numPr>
        <w:rPr>
          <w:rFonts w:ascii="Arial" w:cs="Arial" w:eastAsia="Arial" w:hAnsi="Arial"/>
          <w:sz w:val="12"/>
          <w:szCs w:val="12"/>
          <w:color w:val="auto"/>
        </w:rPr>
      </w:pPr>
      <w:r>
        <w:rPr>
          <w:rFonts w:ascii="Arial" w:cs="Arial" w:eastAsia="Arial" w:hAnsi="Arial"/>
          <w:sz w:val="12"/>
          <w:szCs w:val="12"/>
          <w:b w:val="1"/>
          <w:bCs w:val="1"/>
          <w:color w:val="auto"/>
        </w:rPr>
        <w:t xml:space="preserve">Change in Pension Value and Nonqualified Deferred Compensation Earnings. </w:t>
      </w:r>
      <w:r>
        <w:rPr>
          <w:rFonts w:ascii="Arial" w:cs="Arial" w:eastAsia="Arial" w:hAnsi="Arial"/>
          <w:sz w:val="12"/>
          <w:szCs w:val="12"/>
          <w:color w:val="auto"/>
        </w:rPr>
        <w:t>The amounts in this column reflect the change (if any) in the year-over-year actuarial present value of each NEO’s</w:t>
      </w:r>
      <w:r>
        <w:rPr>
          <w:rFonts w:ascii="Arial" w:cs="Arial" w:eastAsia="Arial" w:hAnsi="Arial"/>
          <w:sz w:val="12"/>
          <w:szCs w:val="12"/>
          <w:b w:val="1"/>
          <w:bCs w:val="1"/>
          <w:color w:val="auto"/>
        </w:rPr>
        <w:t xml:space="preserve"> </w:t>
      </w:r>
      <w:r>
        <w:rPr>
          <w:rFonts w:ascii="Arial" w:cs="Arial" w:eastAsia="Arial" w:hAnsi="Arial"/>
          <w:sz w:val="12"/>
          <w:szCs w:val="12"/>
          <w:color w:val="auto"/>
        </w:rPr>
        <w:t>accrued benefit under the Company’s defined benefit plans and above-market earnings (if any) under the Company’s deferred compensation plans. Messrs. Dumais (-$51,593), Calio (-$6,176) and Timm (-$14,015) all had a negative change in present value of their pension benefits from the prior year; however per SEC rules, the values shown in this column are zero. The legacy UTC pension plans were closed to new participants on January 1, 2010, and were closed to all participants effective December 31, 2019. As a result, for Messrs. Hayes, Dumais, Calio and Timm, the change in pension value is entirely attributable to year-over-year changes in pension plan actuarial assumptions. The legacy RTN pension plans were closed to new participants on January 1, 2007. However, since Messrs. Kennedy and O’Brien were hired prior to this date, they continued to accrue benefits under these pension plans until their separation from the Company. Actuarial value computations are based on the assumptions established in accordance with FASB ASC Topic 715 and discussed in Note 11: Employee Benefit Plans, to the Consolidated Financial Statements in RTX’s 2021 Form 10-K. RTX’s deferred compensation plans do not provide above-market rates of return. However, an above-market interest rate is paid under the frozen Sundstrand Corporation Deferred Compensation Plan, which was assumed by the Company upon its acquisition of Sundstrand Corporation in 1999. Mr. Hayes accrued $9,751 in above-market earnings under this plan in 2021.</w:t>
      </w:r>
    </w:p>
    <w:p>
      <w:pPr>
        <w:spacing w:after="0" w:line="27" w:lineRule="exact"/>
        <w:rPr>
          <w:rFonts w:ascii="Arial" w:cs="Arial" w:eastAsia="Arial" w:hAnsi="Arial"/>
          <w:sz w:val="12"/>
          <w:szCs w:val="12"/>
          <w:color w:val="auto"/>
        </w:rPr>
      </w:pPr>
    </w:p>
    <w:p>
      <w:pPr>
        <w:ind w:left="320" w:hanging="313"/>
        <w:spacing w:after="0"/>
        <w:tabs>
          <w:tab w:leader="none" w:pos="320" w:val="left"/>
        </w:tabs>
        <w:numPr>
          <w:ilvl w:val="0"/>
          <w:numId w:val="183"/>
        </w:numPr>
        <w:rPr>
          <w:rFonts w:ascii="Arial" w:cs="Arial" w:eastAsia="Arial" w:hAnsi="Arial"/>
          <w:sz w:val="12"/>
          <w:szCs w:val="12"/>
          <w:color w:val="auto"/>
        </w:rPr>
      </w:pPr>
      <w:r>
        <w:rPr>
          <w:rFonts w:ascii="Arial" w:cs="Arial" w:eastAsia="Arial" w:hAnsi="Arial"/>
          <w:sz w:val="12"/>
          <w:szCs w:val="12"/>
          <w:b w:val="1"/>
          <w:bCs w:val="1"/>
          <w:color w:val="auto"/>
        </w:rPr>
        <w:t xml:space="preserve">All Other Compensation. </w:t>
      </w:r>
      <w:r>
        <w:rPr>
          <w:rFonts w:ascii="Arial" w:cs="Arial" w:eastAsia="Arial" w:hAnsi="Arial"/>
          <w:sz w:val="12"/>
          <w:szCs w:val="12"/>
          <w:color w:val="auto"/>
        </w:rPr>
        <w:t>The 2021 amounts in this column consist of the following items shown in the chart below. See page 61 for details on changes to executive perquisites.</w:t>
      </w:r>
    </w:p>
    <w:p>
      <w:pPr>
        <w:spacing w:after="0" w:line="327" w:lineRule="exact"/>
        <w:rPr>
          <w:sz w:val="20"/>
          <w:szCs w:val="20"/>
          <w:color w:val="auto"/>
        </w:rPr>
      </w:pPr>
    </w:p>
    <w:tbl>
      <w:tblPr>
        <w:tblLayout w:type="fixed"/>
        <w:tblInd w:w="340" w:type="dxa"/>
        <w:tblCellMar>
          <w:top w:w="0" w:type="dxa"/>
          <w:left w:w="0" w:type="dxa"/>
          <w:bottom w:w="0" w:type="dxa"/>
          <w:right w:w="0" w:type="dxa"/>
        </w:tblCellMar>
      </w:tblPr>
      <w:tr>
        <w:trPr>
          <w:trHeight w:val="138"/>
        </w:trPr>
        <w:tc>
          <w:tcPr>
            <w:tcW w:w="16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jc w:val="right"/>
              <w:ind w:right="32"/>
              <w:spacing w:after="0"/>
              <w:rPr>
                <w:sz w:val="20"/>
                <w:szCs w:val="20"/>
                <w:color w:val="auto"/>
              </w:rPr>
            </w:pPr>
            <w:r>
              <w:rPr>
                <w:rFonts w:ascii="Arial" w:cs="Arial" w:eastAsia="Arial" w:hAnsi="Arial"/>
                <w:sz w:val="12"/>
                <w:szCs w:val="12"/>
                <w:color w:val="auto"/>
              </w:rPr>
              <w:t>Company</w:t>
            </w:r>
          </w:p>
        </w:tc>
        <w:tc>
          <w:tcPr>
            <w:tcW w:w="10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4"/>
        </w:trPr>
        <w:tc>
          <w:tcPr>
            <w:tcW w:w="1600" w:type="dxa"/>
            <w:vAlign w:val="bottom"/>
          </w:tcPr>
          <w:p>
            <w:pPr>
              <w:spacing w:after="0"/>
              <w:rPr>
                <w:sz w:val="11"/>
                <w:szCs w:val="11"/>
                <w:color w:val="auto"/>
              </w:rPr>
            </w:pPr>
          </w:p>
        </w:tc>
        <w:tc>
          <w:tcPr>
            <w:tcW w:w="1380" w:type="dxa"/>
            <w:vAlign w:val="bottom"/>
          </w:tcPr>
          <w:p>
            <w:pPr>
              <w:jc w:val="right"/>
              <w:ind w:right="12"/>
              <w:spacing w:after="0" w:line="134" w:lineRule="exact"/>
              <w:rPr>
                <w:sz w:val="20"/>
                <w:szCs w:val="20"/>
                <w:color w:val="auto"/>
              </w:rPr>
            </w:pPr>
            <w:r>
              <w:rPr>
                <w:rFonts w:ascii="Arial" w:cs="Arial" w:eastAsia="Arial" w:hAnsi="Arial"/>
                <w:sz w:val="12"/>
                <w:szCs w:val="12"/>
                <w:color w:val="auto"/>
              </w:rPr>
              <w:t>Personal</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jc w:val="right"/>
              <w:ind w:right="32"/>
              <w:spacing w:after="0" w:line="134" w:lineRule="exact"/>
              <w:rPr>
                <w:sz w:val="20"/>
                <w:szCs w:val="20"/>
                <w:color w:val="auto"/>
              </w:rPr>
            </w:pPr>
            <w:r>
              <w:rPr>
                <w:rFonts w:ascii="Arial" w:cs="Arial" w:eastAsia="Arial" w:hAnsi="Arial"/>
                <w:sz w:val="12"/>
                <w:szCs w:val="12"/>
                <w:color w:val="auto"/>
              </w:rPr>
              <w:t>Contributions</w:t>
            </w:r>
          </w:p>
        </w:tc>
        <w:tc>
          <w:tcPr>
            <w:tcW w:w="10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4"/>
        </w:trPr>
        <w:tc>
          <w:tcPr>
            <w:tcW w:w="1600" w:type="dxa"/>
            <w:vAlign w:val="bottom"/>
          </w:tcPr>
          <w:p>
            <w:pPr>
              <w:spacing w:after="0"/>
              <w:rPr>
                <w:sz w:val="11"/>
                <w:szCs w:val="11"/>
                <w:color w:val="auto"/>
              </w:rPr>
            </w:pPr>
          </w:p>
        </w:tc>
        <w:tc>
          <w:tcPr>
            <w:tcW w:w="1380" w:type="dxa"/>
            <w:vAlign w:val="bottom"/>
          </w:tcPr>
          <w:p>
            <w:pPr>
              <w:jc w:val="right"/>
              <w:ind w:right="12"/>
              <w:spacing w:after="0" w:line="134" w:lineRule="exact"/>
              <w:rPr>
                <w:sz w:val="20"/>
                <w:szCs w:val="20"/>
                <w:color w:val="auto"/>
              </w:rPr>
            </w:pPr>
            <w:r>
              <w:rPr>
                <w:rFonts w:ascii="Arial" w:cs="Arial" w:eastAsia="Arial" w:hAnsi="Arial"/>
                <w:sz w:val="12"/>
                <w:szCs w:val="12"/>
                <w:color w:val="auto"/>
              </w:rPr>
              <w:t>Use of</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jc w:val="right"/>
              <w:ind w:right="32"/>
              <w:spacing w:after="0" w:line="134" w:lineRule="exact"/>
              <w:rPr>
                <w:sz w:val="20"/>
                <w:szCs w:val="20"/>
                <w:color w:val="auto"/>
              </w:rPr>
            </w:pPr>
            <w:r>
              <w:rPr>
                <w:rFonts w:ascii="Arial" w:cs="Arial" w:eastAsia="Arial" w:hAnsi="Arial"/>
                <w:sz w:val="12"/>
                <w:szCs w:val="12"/>
                <w:color w:val="auto"/>
              </w:rPr>
              <w:t>to Defined</w:t>
            </w:r>
          </w:p>
        </w:tc>
        <w:tc>
          <w:tcPr>
            <w:tcW w:w="1040" w:type="dxa"/>
            <w:vAlign w:val="bottom"/>
          </w:tcPr>
          <w:p>
            <w:pPr>
              <w:jc w:val="right"/>
              <w:ind w:right="11"/>
              <w:spacing w:after="0" w:line="134" w:lineRule="exact"/>
              <w:rPr>
                <w:sz w:val="20"/>
                <w:szCs w:val="20"/>
                <w:color w:val="auto"/>
              </w:rPr>
            </w:pPr>
            <w:r>
              <w:rPr>
                <w:rFonts w:ascii="Arial" w:cs="Arial" w:eastAsia="Arial" w:hAnsi="Arial"/>
                <w:sz w:val="12"/>
                <w:szCs w:val="12"/>
                <w:color w:val="auto"/>
              </w:rPr>
              <w:t>Payments upon</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39"/>
        </w:trPr>
        <w:tc>
          <w:tcPr>
            <w:tcW w:w="1600" w:type="dxa"/>
            <w:vAlign w:val="bottom"/>
          </w:tcPr>
          <w:p>
            <w:pPr>
              <w:spacing w:after="0"/>
              <w:rPr>
                <w:sz w:val="12"/>
                <w:szCs w:val="12"/>
                <w:color w:val="auto"/>
              </w:rPr>
            </w:pPr>
          </w:p>
        </w:tc>
        <w:tc>
          <w:tcPr>
            <w:tcW w:w="1380" w:type="dxa"/>
            <w:vAlign w:val="bottom"/>
          </w:tcPr>
          <w:p>
            <w:pPr>
              <w:jc w:val="right"/>
              <w:ind w:right="12"/>
              <w:spacing w:after="0"/>
              <w:rPr>
                <w:sz w:val="20"/>
                <w:szCs w:val="20"/>
                <w:color w:val="auto"/>
              </w:rPr>
            </w:pPr>
            <w:r>
              <w:rPr>
                <w:rFonts w:ascii="Arial" w:cs="Arial" w:eastAsia="Arial" w:hAnsi="Arial"/>
                <w:sz w:val="12"/>
                <w:szCs w:val="12"/>
                <w:color w:val="auto"/>
              </w:rPr>
              <w:t>Corporate</w:t>
            </w:r>
          </w:p>
        </w:tc>
        <w:tc>
          <w:tcPr>
            <w:tcW w:w="720" w:type="dxa"/>
            <w:vAlign w:val="bottom"/>
          </w:tcPr>
          <w:p>
            <w:pPr>
              <w:jc w:val="right"/>
              <w:ind w:right="32"/>
              <w:spacing w:after="0"/>
              <w:rPr>
                <w:sz w:val="20"/>
                <w:szCs w:val="20"/>
                <w:color w:val="auto"/>
              </w:rPr>
            </w:pPr>
            <w:r>
              <w:rPr>
                <w:rFonts w:ascii="Arial" w:cs="Arial" w:eastAsia="Arial" w:hAnsi="Arial"/>
                <w:sz w:val="12"/>
                <w:szCs w:val="12"/>
                <w:color w:val="auto"/>
              </w:rPr>
              <w:t>Company</w:t>
            </w:r>
          </w:p>
        </w:tc>
        <w:tc>
          <w:tcPr>
            <w:tcW w:w="860" w:type="dxa"/>
            <w:vAlign w:val="bottom"/>
          </w:tcPr>
          <w:p>
            <w:pPr>
              <w:jc w:val="right"/>
              <w:ind w:right="11"/>
              <w:spacing w:after="0"/>
              <w:rPr>
                <w:sz w:val="20"/>
                <w:szCs w:val="20"/>
                <w:color w:val="auto"/>
              </w:rPr>
            </w:pPr>
            <w:r>
              <w:rPr>
                <w:rFonts w:ascii="Arial" w:cs="Arial" w:eastAsia="Arial" w:hAnsi="Arial"/>
                <w:sz w:val="12"/>
                <w:szCs w:val="12"/>
                <w:color w:val="auto"/>
              </w:rPr>
              <w:t>Insurance</w:t>
            </w:r>
          </w:p>
        </w:tc>
        <w:tc>
          <w:tcPr>
            <w:tcW w:w="920" w:type="dxa"/>
            <w:vAlign w:val="bottom"/>
          </w:tcPr>
          <w:p>
            <w:pPr>
              <w:jc w:val="right"/>
              <w:ind w:right="32"/>
              <w:spacing w:after="0"/>
              <w:rPr>
                <w:sz w:val="20"/>
                <w:szCs w:val="20"/>
                <w:color w:val="auto"/>
              </w:rPr>
            </w:pPr>
            <w:r>
              <w:rPr>
                <w:rFonts w:ascii="Arial" w:cs="Arial" w:eastAsia="Arial" w:hAnsi="Arial"/>
                <w:sz w:val="12"/>
                <w:szCs w:val="12"/>
                <w:color w:val="auto"/>
              </w:rPr>
              <w:t>Contribution</w:t>
            </w:r>
          </w:p>
        </w:tc>
        <w:tc>
          <w:tcPr>
            <w:tcW w:w="1040" w:type="dxa"/>
            <w:vAlign w:val="bottom"/>
          </w:tcPr>
          <w:p>
            <w:pPr>
              <w:jc w:val="right"/>
              <w:ind w:right="11"/>
              <w:spacing w:after="0"/>
              <w:rPr>
                <w:sz w:val="20"/>
                <w:szCs w:val="20"/>
                <w:color w:val="auto"/>
              </w:rPr>
            </w:pPr>
            <w:r>
              <w:rPr>
                <w:rFonts w:ascii="Arial" w:cs="Arial" w:eastAsia="Arial" w:hAnsi="Arial"/>
                <w:sz w:val="12"/>
                <w:szCs w:val="12"/>
                <w:color w:val="auto"/>
              </w:rPr>
              <w:t>Termination of</w:t>
            </w:r>
          </w:p>
        </w:tc>
        <w:tc>
          <w:tcPr>
            <w:tcW w:w="780" w:type="dxa"/>
            <w:vAlign w:val="bottom"/>
          </w:tcPr>
          <w:p>
            <w:pPr>
              <w:jc w:val="right"/>
              <w:ind w:right="31"/>
              <w:spacing w:after="0"/>
              <w:rPr>
                <w:sz w:val="20"/>
                <w:szCs w:val="20"/>
                <w:color w:val="auto"/>
              </w:rPr>
            </w:pPr>
            <w:r>
              <w:rPr>
                <w:rFonts w:ascii="Arial" w:cs="Arial" w:eastAsia="Arial" w:hAnsi="Arial"/>
                <w:sz w:val="12"/>
                <w:szCs w:val="12"/>
                <w:color w:val="auto"/>
              </w:rPr>
              <w:t>Relocation</w:t>
            </w:r>
          </w:p>
        </w:tc>
        <w:tc>
          <w:tcPr>
            <w:tcW w:w="800" w:type="dxa"/>
            <w:vAlign w:val="bottom"/>
          </w:tcPr>
          <w:p>
            <w:pPr>
              <w:jc w:val="right"/>
              <w:ind w:right="31"/>
              <w:spacing w:after="0"/>
              <w:rPr>
                <w:sz w:val="20"/>
                <w:szCs w:val="20"/>
                <w:color w:val="auto"/>
              </w:rPr>
            </w:pPr>
            <w:r>
              <w:rPr>
                <w:rFonts w:ascii="Arial" w:cs="Arial" w:eastAsia="Arial" w:hAnsi="Arial"/>
                <w:sz w:val="12"/>
                <w:szCs w:val="12"/>
                <w:color w:val="auto"/>
              </w:rPr>
              <w:t>Financial</w:t>
            </w:r>
          </w:p>
        </w:tc>
        <w:tc>
          <w:tcPr>
            <w:tcW w:w="760" w:type="dxa"/>
            <w:vAlign w:val="bottom"/>
          </w:tcPr>
          <w:p>
            <w:pPr>
              <w:jc w:val="right"/>
              <w:ind w:right="31"/>
              <w:spacing w:after="0"/>
              <w:rPr>
                <w:sz w:val="20"/>
                <w:szCs w:val="20"/>
                <w:color w:val="auto"/>
              </w:rPr>
            </w:pPr>
            <w:r>
              <w:rPr>
                <w:rFonts w:ascii="Arial" w:cs="Arial" w:eastAsia="Arial" w:hAnsi="Arial"/>
                <w:sz w:val="12"/>
                <w:szCs w:val="12"/>
                <w:color w:val="auto"/>
              </w:rPr>
              <w:t>Health</w:t>
            </w:r>
          </w:p>
        </w:tc>
        <w:tc>
          <w:tcPr>
            <w:tcW w:w="620" w:type="dxa"/>
            <w:vAlign w:val="bottom"/>
          </w:tcPr>
          <w:p>
            <w:pPr>
              <w:jc w:val="right"/>
              <w:ind w:right="11"/>
              <w:spacing w:after="0"/>
              <w:rPr>
                <w:sz w:val="20"/>
                <w:szCs w:val="20"/>
                <w:color w:val="auto"/>
              </w:rPr>
            </w:pPr>
            <w:r>
              <w:rPr>
                <w:rFonts w:ascii="Arial" w:cs="Arial" w:eastAsia="Arial" w:hAnsi="Arial"/>
                <w:sz w:val="12"/>
                <w:szCs w:val="12"/>
                <w:color w:val="auto"/>
              </w:rPr>
              <w:t>Industry</w:t>
            </w:r>
          </w:p>
        </w:tc>
        <w:tc>
          <w:tcPr>
            <w:tcW w:w="58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2"/>
                <w:szCs w:val="12"/>
                <w:color w:val="auto"/>
              </w:rPr>
              <w:t>Name</w:t>
            </w:r>
          </w:p>
        </w:tc>
        <w:tc>
          <w:tcPr>
            <w:tcW w:w="1380" w:type="dxa"/>
            <w:vAlign w:val="bottom"/>
            <w:tcBorders>
              <w:bottom w:val="single" w:sz="8" w:color="636466"/>
            </w:tcBorders>
          </w:tcPr>
          <w:p>
            <w:pPr>
              <w:jc w:val="right"/>
              <w:ind w:right="12"/>
              <w:spacing w:after="0" w:line="202" w:lineRule="exact"/>
              <w:rPr>
                <w:sz w:val="20"/>
                <w:szCs w:val="20"/>
                <w:color w:val="auto"/>
              </w:rPr>
            </w:pPr>
            <w:r>
              <w:rPr>
                <w:rFonts w:ascii="Arial" w:cs="Arial" w:eastAsia="Arial" w:hAnsi="Arial"/>
                <w:sz w:val="12"/>
                <w:szCs w:val="12"/>
                <w:color w:val="auto"/>
              </w:rPr>
              <w:t>Aircraft</w:t>
            </w:r>
            <w:r>
              <w:rPr>
                <w:rFonts w:ascii="Arial" w:cs="Arial" w:eastAsia="Arial" w:hAnsi="Arial"/>
                <w:sz w:val="20"/>
                <w:szCs w:val="20"/>
                <w:color w:val="auto"/>
                <w:vertAlign w:val="superscript"/>
              </w:rPr>
              <w:t>(a)</w:t>
            </w:r>
          </w:p>
        </w:tc>
        <w:tc>
          <w:tcPr>
            <w:tcW w:w="720" w:type="dxa"/>
            <w:vAlign w:val="bottom"/>
            <w:tcBorders>
              <w:bottom w:val="single" w:sz="8" w:color="636466"/>
            </w:tcBorders>
          </w:tcPr>
          <w:p>
            <w:pPr>
              <w:jc w:val="right"/>
              <w:ind w:right="32"/>
              <w:spacing w:after="0" w:line="201" w:lineRule="exact"/>
              <w:rPr>
                <w:sz w:val="20"/>
                <w:szCs w:val="20"/>
                <w:color w:val="auto"/>
              </w:rPr>
            </w:pPr>
            <w:r>
              <w:rPr>
                <w:rFonts w:ascii="Arial" w:cs="Arial" w:eastAsia="Arial" w:hAnsi="Arial"/>
                <w:sz w:val="23"/>
                <w:szCs w:val="23"/>
                <w:color w:val="auto"/>
                <w:vertAlign w:val="subscript"/>
              </w:rPr>
              <w:t>Car</w:t>
            </w:r>
            <w:r>
              <w:rPr>
                <w:rFonts w:ascii="Arial" w:cs="Arial" w:eastAsia="Arial" w:hAnsi="Arial"/>
                <w:sz w:val="10"/>
                <w:szCs w:val="10"/>
                <w:color w:val="auto"/>
              </w:rPr>
              <w:t>(b)</w:t>
            </w:r>
          </w:p>
        </w:tc>
        <w:tc>
          <w:tcPr>
            <w:tcW w:w="860" w:type="dxa"/>
            <w:vAlign w:val="bottom"/>
            <w:tcBorders>
              <w:bottom w:val="single" w:sz="8" w:color="636466"/>
            </w:tcBorders>
          </w:tcPr>
          <w:p>
            <w:pPr>
              <w:jc w:val="right"/>
              <w:ind w:right="11"/>
              <w:spacing w:after="0" w:line="202" w:lineRule="exact"/>
              <w:rPr>
                <w:sz w:val="20"/>
                <w:szCs w:val="20"/>
                <w:color w:val="auto"/>
              </w:rPr>
            </w:pPr>
            <w:r>
              <w:rPr>
                <w:rFonts w:ascii="Arial" w:cs="Arial" w:eastAsia="Arial" w:hAnsi="Arial"/>
                <w:sz w:val="12"/>
                <w:szCs w:val="12"/>
                <w:color w:val="auto"/>
              </w:rPr>
              <w:t>Premiums</w:t>
            </w:r>
            <w:r>
              <w:rPr>
                <w:rFonts w:ascii="Arial" w:cs="Arial" w:eastAsia="Arial" w:hAnsi="Arial"/>
                <w:sz w:val="20"/>
                <w:szCs w:val="20"/>
                <w:color w:val="auto"/>
                <w:vertAlign w:val="superscript"/>
              </w:rPr>
              <w:t>(c)</w:t>
            </w:r>
          </w:p>
        </w:tc>
        <w:tc>
          <w:tcPr>
            <w:tcW w:w="920" w:type="dxa"/>
            <w:vAlign w:val="bottom"/>
            <w:tcBorders>
              <w:bottom w:val="single" w:sz="8" w:color="636466"/>
            </w:tcBorders>
          </w:tcPr>
          <w:p>
            <w:pPr>
              <w:jc w:val="right"/>
              <w:ind w:right="32"/>
              <w:spacing w:after="0" w:line="202" w:lineRule="exact"/>
              <w:rPr>
                <w:sz w:val="20"/>
                <w:szCs w:val="20"/>
                <w:color w:val="auto"/>
              </w:rPr>
            </w:pPr>
            <w:r>
              <w:rPr>
                <w:rFonts w:ascii="Arial" w:cs="Arial" w:eastAsia="Arial" w:hAnsi="Arial"/>
                <w:sz w:val="12"/>
                <w:szCs w:val="12"/>
                <w:color w:val="auto"/>
              </w:rPr>
              <w:t>Plans</w:t>
            </w:r>
            <w:r>
              <w:rPr>
                <w:rFonts w:ascii="Arial" w:cs="Arial" w:eastAsia="Arial" w:hAnsi="Arial"/>
                <w:sz w:val="20"/>
                <w:szCs w:val="20"/>
                <w:color w:val="auto"/>
                <w:vertAlign w:val="superscript"/>
              </w:rPr>
              <w:t>(d)</w:t>
            </w:r>
          </w:p>
        </w:tc>
        <w:tc>
          <w:tcPr>
            <w:tcW w:w="1040" w:type="dxa"/>
            <w:vAlign w:val="bottom"/>
            <w:tcBorders>
              <w:bottom w:val="single" w:sz="8" w:color="636466"/>
            </w:tcBorders>
          </w:tcPr>
          <w:p>
            <w:pPr>
              <w:jc w:val="right"/>
              <w:ind w:right="11"/>
              <w:spacing w:after="0" w:line="202" w:lineRule="exact"/>
              <w:rPr>
                <w:sz w:val="20"/>
                <w:szCs w:val="20"/>
                <w:color w:val="auto"/>
              </w:rPr>
            </w:pPr>
            <w:r>
              <w:rPr>
                <w:rFonts w:ascii="Arial" w:cs="Arial" w:eastAsia="Arial" w:hAnsi="Arial"/>
                <w:sz w:val="12"/>
                <w:szCs w:val="12"/>
                <w:color w:val="auto"/>
              </w:rPr>
              <w:t>Employment</w:t>
            </w:r>
            <w:r>
              <w:rPr>
                <w:rFonts w:ascii="Arial" w:cs="Arial" w:eastAsia="Arial" w:hAnsi="Arial"/>
                <w:sz w:val="20"/>
                <w:szCs w:val="20"/>
                <w:color w:val="auto"/>
                <w:vertAlign w:val="superscript"/>
              </w:rPr>
              <w:t>(e)</w:t>
            </w:r>
          </w:p>
        </w:tc>
        <w:tc>
          <w:tcPr>
            <w:tcW w:w="780" w:type="dxa"/>
            <w:vAlign w:val="bottom"/>
            <w:tcBorders>
              <w:bottom w:val="single" w:sz="8" w:color="636466"/>
            </w:tcBorders>
          </w:tcPr>
          <w:p>
            <w:pPr>
              <w:jc w:val="right"/>
              <w:ind w:right="31"/>
              <w:spacing w:after="0" w:line="202" w:lineRule="exact"/>
              <w:rPr>
                <w:sz w:val="20"/>
                <w:szCs w:val="20"/>
                <w:color w:val="auto"/>
              </w:rPr>
            </w:pPr>
            <w:r>
              <w:rPr>
                <w:rFonts w:ascii="Arial" w:cs="Arial" w:eastAsia="Arial" w:hAnsi="Arial"/>
                <w:sz w:val="12"/>
                <w:szCs w:val="12"/>
                <w:color w:val="auto"/>
              </w:rPr>
              <w:t>Benefits</w:t>
            </w:r>
            <w:r>
              <w:rPr>
                <w:rFonts w:ascii="Arial" w:cs="Arial" w:eastAsia="Arial" w:hAnsi="Arial"/>
                <w:sz w:val="20"/>
                <w:szCs w:val="20"/>
                <w:color w:val="auto"/>
                <w:vertAlign w:val="superscript"/>
              </w:rPr>
              <w:t>(f)</w:t>
            </w:r>
          </w:p>
        </w:tc>
        <w:tc>
          <w:tcPr>
            <w:tcW w:w="800" w:type="dxa"/>
            <w:vAlign w:val="bottom"/>
            <w:tcBorders>
              <w:bottom w:val="single" w:sz="8" w:color="636466"/>
            </w:tcBorders>
          </w:tcPr>
          <w:p>
            <w:pPr>
              <w:jc w:val="right"/>
              <w:ind w:right="31"/>
              <w:spacing w:after="0" w:line="202" w:lineRule="exact"/>
              <w:rPr>
                <w:sz w:val="20"/>
                <w:szCs w:val="20"/>
                <w:color w:val="auto"/>
              </w:rPr>
            </w:pPr>
            <w:r>
              <w:rPr>
                <w:rFonts w:ascii="Arial" w:cs="Arial" w:eastAsia="Arial" w:hAnsi="Arial"/>
                <w:sz w:val="12"/>
                <w:szCs w:val="12"/>
                <w:color w:val="auto"/>
              </w:rPr>
              <w:t>Planning</w:t>
            </w:r>
            <w:r>
              <w:rPr>
                <w:rFonts w:ascii="Arial" w:cs="Arial" w:eastAsia="Arial" w:hAnsi="Arial"/>
                <w:sz w:val="20"/>
                <w:szCs w:val="20"/>
                <w:color w:val="auto"/>
                <w:vertAlign w:val="superscript"/>
              </w:rPr>
              <w:t>(g)</w:t>
            </w:r>
          </w:p>
        </w:tc>
        <w:tc>
          <w:tcPr>
            <w:tcW w:w="760" w:type="dxa"/>
            <w:vAlign w:val="bottom"/>
            <w:tcBorders>
              <w:bottom w:val="single" w:sz="8" w:color="636466"/>
            </w:tcBorders>
          </w:tcPr>
          <w:p>
            <w:pPr>
              <w:jc w:val="right"/>
              <w:ind w:right="31"/>
              <w:spacing w:after="0" w:line="202" w:lineRule="exact"/>
              <w:rPr>
                <w:sz w:val="20"/>
                <w:szCs w:val="20"/>
                <w:color w:val="auto"/>
              </w:rPr>
            </w:pPr>
            <w:r>
              <w:rPr>
                <w:rFonts w:ascii="Arial" w:cs="Arial" w:eastAsia="Arial" w:hAnsi="Arial"/>
                <w:sz w:val="12"/>
                <w:szCs w:val="12"/>
                <w:color w:val="auto"/>
              </w:rPr>
              <w:t>Benefits</w:t>
            </w:r>
            <w:r>
              <w:rPr>
                <w:rFonts w:ascii="Arial" w:cs="Arial" w:eastAsia="Arial" w:hAnsi="Arial"/>
                <w:sz w:val="20"/>
                <w:szCs w:val="20"/>
                <w:color w:val="auto"/>
                <w:vertAlign w:val="superscript"/>
              </w:rPr>
              <w:t>(h)</w:t>
            </w:r>
          </w:p>
        </w:tc>
        <w:tc>
          <w:tcPr>
            <w:tcW w:w="620" w:type="dxa"/>
            <w:vAlign w:val="bottom"/>
            <w:tcBorders>
              <w:bottom w:val="single" w:sz="8" w:color="636466"/>
            </w:tcBorders>
          </w:tcPr>
          <w:p>
            <w:pPr>
              <w:jc w:val="right"/>
              <w:ind w:right="11"/>
              <w:spacing w:after="0" w:line="202" w:lineRule="exact"/>
              <w:rPr>
                <w:sz w:val="20"/>
                <w:szCs w:val="20"/>
                <w:color w:val="auto"/>
              </w:rPr>
            </w:pPr>
            <w:r>
              <w:rPr>
                <w:rFonts w:ascii="Arial" w:cs="Arial" w:eastAsia="Arial" w:hAnsi="Arial"/>
                <w:sz w:val="12"/>
                <w:szCs w:val="12"/>
                <w:color w:val="auto"/>
              </w:rPr>
              <w:t xml:space="preserve">Club </w:t>
            </w:r>
            <w:r>
              <w:rPr>
                <w:rFonts w:ascii="Arial" w:cs="Arial" w:eastAsia="Arial" w:hAnsi="Arial"/>
                <w:sz w:val="20"/>
                <w:szCs w:val="20"/>
                <w:color w:val="auto"/>
                <w:vertAlign w:val="superscript"/>
              </w:rPr>
              <w:t>(i)</w:t>
            </w:r>
          </w:p>
        </w:tc>
        <w:tc>
          <w:tcPr>
            <w:tcW w:w="580" w:type="dxa"/>
            <w:vAlign w:val="bottom"/>
            <w:tcBorders>
              <w:bottom w:val="single" w:sz="8" w:color="636466"/>
            </w:tcBorders>
          </w:tcPr>
          <w:p>
            <w:pPr>
              <w:jc w:val="right"/>
              <w:spacing w:after="0" w:line="202" w:lineRule="exact"/>
              <w:rPr>
                <w:sz w:val="20"/>
                <w:szCs w:val="20"/>
                <w:color w:val="auto"/>
              </w:rPr>
            </w:pPr>
            <w:r>
              <w:rPr>
                <w:rFonts w:ascii="Arial" w:cs="Arial" w:eastAsia="Arial" w:hAnsi="Arial"/>
                <w:sz w:val="12"/>
                <w:szCs w:val="12"/>
                <w:color w:val="auto"/>
              </w:rPr>
              <w:t>Misc.</w:t>
            </w:r>
            <w:r>
              <w:rPr>
                <w:rFonts w:ascii="Arial" w:cs="Arial" w:eastAsia="Arial" w:hAnsi="Arial"/>
                <w:sz w:val="20"/>
                <w:szCs w:val="20"/>
                <w:color w:val="auto"/>
                <w:vertAlign w:val="superscript"/>
              </w:rPr>
              <w:t>(j)</w:t>
            </w:r>
          </w:p>
        </w:tc>
        <w:tc>
          <w:tcPr>
            <w:tcW w:w="940" w:type="dxa"/>
            <w:vAlign w:val="bottom"/>
            <w:tcBorders>
              <w:bottom w:val="single" w:sz="8" w:color="636466"/>
            </w:tcBorders>
          </w:tcPr>
          <w:p>
            <w:pPr>
              <w:jc w:val="right"/>
              <w:spacing w:after="0"/>
              <w:rPr>
                <w:sz w:val="20"/>
                <w:szCs w:val="20"/>
                <w:color w:val="auto"/>
              </w:rPr>
            </w:pPr>
            <w:r>
              <w:rPr>
                <w:rFonts w:ascii="Arial" w:cs="Arial" w:eastAsia="Arial" w:hAnsi="Arial"/>
                <w:sz w:val="12"/>
                <w:szCs w:val="12"/>
                <w:color w:val="auto"/>
              </w:rPr>
              <w:t>Total</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G. Hayes</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$87,418</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$38,257</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$475,600</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$15,498</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$21,383</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$7,106</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$645,262</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N. Mitchill, Jr.</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$1,462</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$25,349</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$108,412</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$23,368</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$6,517</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$165,108</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M. Dumais</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$0</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$33,550</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$71,867</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$205,610</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$127,500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$16,000</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$20,633</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$2,902</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$478,062</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 Calio</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$1,462</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$28,047</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$141,775</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$26,720</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$8,000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$3,793</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$209,797</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 Timm</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$0</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$22,673</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$121,275</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$3,602</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$18,972</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$8,374</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$1,297</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$176,193</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T. Kennedy</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$133,165</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$584</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$1,586</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$155,272</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$136,307</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$15,000</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$39,019</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$8,000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$682</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$489,615</w:t>
            </w:r>
          </w:p>
        </w:tc>
      </w:tr>
      <w:tr>
        <w:trPr>
          <w:trHeight w:val="208"/>
        </w:trPr>
        <w:tc>
          <w:tcPr>
            <w:tcW w:w="1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A. O’Brien III</w:t>
            </w:r>
          </w:p>
        </w:tc>
        <w:tc>
          <w:tcPr>
            <w:tcW w:w="1380" w:type="dxa"/>
            <w:vAlign w:val="bottom"/>
            <w:tcBorders>
              <w:bottom w:val="single" w:sz="8" w:color="636466"/>
            </w:tcBorders>
          </w:tcPr>
          <w:p>
            <w:pPr>
              <w:jc w:val="right"/>
              <w:ind w:right="12"/>
              <w:spacing w:after="0"/>
              <w:rPr>
                <w:sz w:val="20"/>
                <w:szCs w:val="20"/>
                <w:color w:val="auto"/>
              </w:rPr>
            </w:pPr>
            <w:r>
              <w:rPr>
                <w:rFonts w:ascii="Arial" w:cs="Arial" w:eastAsia="Arial" w:hAnsi="Arial"/>
                <w:sz w:val="14"/>
                <w:szCs w:val="14"/>
                <w:color w:val="auto"/>
              </w:rPr>
              <w:t>$0</w:t>
            </w:r>
          </w:p>
        </w:tc>
        <w:tc>
          <w:tcPr>
            <w:tcW w:w="7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$0</w:t>
            </w:r>
          </w:p>
        </w:tc>
        <w:tc>
          <w:tcPr>
            <w:tcW w:w="8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$16,112</w:t>
            </w:r>
          </w:p>
        </w:tc>
        <w:tc>
          <w:tcPr>
            <w:tcW w:w="920" w:type="dxa"/>
            <w:vAlign w:val="bottom"/>
            <w:tcBorders>
              <w:bottom w:val="single" w:sz="8" w:color="636466"/>
            </w:tcBorders>
          </w:tcPr>
          <w:p>
            <w:pPr>
              <w:jc w:val="right"/>
              <w:ind w:right="32"/>
              <w:spacing w:after="0"/>
              <w:rPr>
                <w:sz w:val="20"/>
                <w:szCs w:val="20"/>
                <w:color w:val="auto"/>
              </w:rPr>
            </w:pPr>
            <w:r>
              <w:rPr>
                <w:rFonts w:ascii="Arial" w:cs="Arial" w:eastAsia="Arial" w:hAnsi="Arial"/>
                <w:sz w:val="14"/>
                <w:szCs w:val="14"/>
                <w:color w:val="auto"/>
              </w:rPr>
              <w:t>$53,397</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$4,632,398</w:t>
            </w:r>
          </w:p>
        </w:tc>
        <w:tc>
          <w:tcPr>
            <w:tcW w:w="7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$0</w:t>
            </w:r>
          </w:p>
        </w:tc>
        <w:tc>
          <w:tcPr>
            <w:tcW w:w="80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$10,000</w:t>
            </w:r>
          </w:p>
        </w:tc>
        <w:tc>
          <w:tcPr>
            <w:tcW w:w="76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$21,141</w:t>
            </w:r>
          </w:p>
        </w:tc>
        <w:tc>
          <w:tcPr>
            <w:tcW w:w="62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5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$235</w:t>
            </w:r>
          </w:p>
        </w:tc>
        <w:tc>
          <w:tcPr>
            <w:tcW w:w="9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$4,733,283</w:t>
            </w:r>
          </w:p>
        </w:tc>
      </w:tr>
    </w:tbl>
    <w:p>
      <w:pPr>
        <w:spacing w:after="0" w:line="48" w:lineRule="exact"/>
        <w:rPr>
          <w:sz w:val="20"/>
          <w:szCs w:val="20"/>
          <w:color w:val="auto"/>
        </w:rPr>
      </w:pPr>
    </w:p>
    <w:p>
      <w:pPr>
        <w:ind w:left="700" w:right="300" w:hanging="318"/>
        <w:spacing w:after="0" w:line="24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Incremental variable operating costs incurred for personal air travel, which includes fuel (calculated on the basis of aircraft-specific average consumption rates and fleet average fuel costs), fleet average landing and handling fees, additional crew lodging and meal allowances, and catering and hourly maintenance contract charges, when applicable. Because fleet-wide aircraft utilization is primarily for business purposes, capital and other fixed expenditures are not treated as an incremental cost.</w:t>
      </w:r>
    </w:p>
    <w:p>
      <w:pPr>
        <w:spacing w:after="0" w:line="37" w:lineRule="exact"/>
        <w:rPr>
          <w:rFonts w:ascii="Arial" w:cs="Arial" w:eastAsia="Arial" w:hAnsi="Arial"/>
          <w:sz w:val="12"/>
          <w:szCs w:val="12"/>
          <w:color w:val="auto"/>
        </w:rPr>
      </w:pPr>
    </w:p>
    <w:p>
      <w:pPr>
        <w:ind w:left="700" w:right="500" w:hanging="318"/>
        <w:spacing w:after="0" w:line="25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Annual costs incurred by the Company in connection with a leased vehicle provided to legacy UTC executives. This benefit program will be closed by mid-2023. For Messrs. Hayes and Kennedy this also included personal use of a company-provided car and driver used for security purposes.</w:t>
      </w:r>
    </w:p>
    <w:p>
      <w:pPr>
        <w:spacing w:after="0" w:line="31" w:lineRule="exact"/>
        <w:rPr>
          <w:rFonts w:ascii="Arial" w:cs="Arial" w:eastAsia="Arial" w:hAnsi="Arial"/>
          <w:sz w:val="12"/>
          <w:szCs w:val="12"/>
          <w:color w:val="auto"/>
        </w:rPr>
      </w:pPr>
    </w:p>
    <w:p>
      <w:pPr>
        <w:ind w:left="700" w:right="160" w:hanging="318"/>
        <w:spacing w:after="0" w:line="24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Reflects premiums paid on executive life and excess liability insurance policies. Individual life insurance policies have been prospectively eliminated for legacy UTC executives effective January 31, 2015; however, Mr. Dumais still maintains a policy. Legacy RTN split dollar life insurance policies have been prospectively eliminated effective upon the Merger; however, Messrs. Kennedy, and O’Brien still maintain a policy. Legacy RTN excess liability insurance policies will be eliminated for all executives effective April 1, 2022.</w:t>
      </w:r>
    </w:p>
    <w:p>
      <w:pPr>
        <w:spacing w:after="0" w:line="37" w:lineRule="exact"/>
        <w:rPr>
          <w:rFonts w:ascii="Arial" w:cs="Arial" w:eastAsia="Arial" w:hAnsi="Arial"/>
          <w:sz w:val="12"/>
          <w:szCs w:val="12"/>
          <w:color w:val="auto"/>
        </w:rPr>
      </w:pPr>
    </w:p>
    <w:p>
      <w:pPr>
        <w:ind w:left="700" w:right="240" w:hanging="318"/>
        <w:spacing w:after="0" w:line="24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Amounts represent the total Company contributions to qualified 401(k) and nonqualified defined contribution plans applicable to each NEO. Since the legacy UTC pension plans were closed effective December 31, 2019, our legacy UTC NEOs accrue new retirement benefits only under the legacy UTC defined contribution plans. For further details on the legacy UTC and RTN qualified and nonqualified defined contribution plans, refer to pages 60 and 76-77 of this Proxy Statement.</w:t>
      </w:r>
    </w:p>
    <w:p>
      <w:pPr>
        <w:spacing w:after="0" w:line="37" w:lineRule="exact"/>
        <w:rPr>
          <w:rFonts w:ascii="Arial" w:cs="Arial" w:eastAsia="Arial" w:hAnsi="Arial"/>
          <w:sz w:val="12"/>
          <w:szCs w:val="12"/>
          <w:color w:val="auto"/>
        </w:rPr>
      </w:pPr>
    </w:p>
    <w:p>
      <w:pPr>
        <w:ind w:left="700" w:right="440" w:hanging="318"/>
        <w:spacing w:after="0" w:line="24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Reflects all required payments made to Mr. O’Brien, pursuant to the terms of his Raytheon Company Change-in-Control Severance Agreement and the Raytheon Company Enhanced Severance Plan for Senior Leadership Team Members. Also includes the value of payments made to Messrs. Kennedy and O’Brien following termination of employment for accrued (and unused) paid time off.</w:t>
      </w:r>
    </w:p>
    <w:p>
      <w:pPr>
        <w:spacing w:after="0" w:line="37" w:lineRule="exact"/>
        <w:rPr>
          <w:rFonts w:ascii="Arial" w:cs="Arial" w:eastAsia="Arial" w:hAnsi="Arial"/>
          <w:sz w:val="12"/>
          <w:szCs w:val="12"/>
          <w:color w:val="auto"/>
        </w:rPr>
      </w:pPr>
    </w:p>
    <w:p>
      <w:pPr>
        <w:ind w:left="700" w:hanging="318"/>
        <w:spacing w:after="0"/>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Costs associated with Mr. Dumais’ relocation.</w:t>
      </w:r>
    </w:p>
    <w:p>
      <w:pPr>
        <w:spacing w:after="0" w:line="49" w:lineRule="exact"/>
        <w:rPr>
          <w:rFonts w:ascii="Arial" w:cs="Arial" w:eastAsia="Arial" w:hAnsi="Arial"/>
          <w:sz w:val="12"/>
          <w:szCs w:val="12"/>
          <w:color w:val="auto"/>
        </w:rPr>
      </w:pPr>
    </w:p>
    <w:p>
      <w:pPr>
        <w:ind w:left="700" w:hanging="318"/>
        <w:spacing w:after="0"/>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Costs associated with the financial planning benefit available to our NEOs. Starting in 2022, the annual financial planning allowance will be reduced to $13,500 for all NEOs.</w:t>
      </w:r>
    </w:p>
    <w:p>
      <w:pPr>
        <w:spacing w:after="0" w:line="49" w:lineRule="exact"/>
        <w:rPr>
          <w:rFonts w:ascii="Arial" w:cs="Arial" w:eastAsia="Arial" w:hAnsi="Arial"/>
          <w:sz w:val="12"/>
          <w:szCs w:val="12"/>
          <w:color w:val="auto"/>
        </w:rPr>
      </w:pPr>
    </w:p>
    <w:p>
      <w:pPr>
        <w:ind w:left="700" w:hanging="318"/>
        <w:spacing w:after="0"/>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Costs associated with annual executive physicals and Company-covered healthcare benefits. Starting in 2022, the annual executive physical benefit will be capped at $5,000 for all NEOs.</w:t>
      </w:r>
    </w:p>
    <w:p>
      <w:pPr>
        <w:spacing w:after="0" w:line="49" w:lineRule="exact"/>
        <w:rPr>
          <w:rFonts w:ascii="Arial" w:cs="Arial" w:eastAsia="Arial" w:hAnsi="Arial"/>
          <w:sz w:val="12"/>
          <w:szCs w:val="12"/>
          <w:color w:val="auto"/>
        </w:rPr>
      </w:pPr>
    </w:p>
    <w:p>
      <w:pPr>
        <w:ind w:left="700" w:hanging="318"/>
        <w:spacing w:after="0"/>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Costs associated with membership and meeting attendance fees for an Aerospace &amp; Defense industry club.</w:t>
      </w:r>
    </w:p>
    <w:p>
      <w:pPr>
        <w:spacing w:after="0" w:line="49" w:lineRule="exact"/>
        <w:rPr>
          <w:rFonts w:ascii="Arial" w:cs="Arial" w:eastAsia="Arial" w:hAnsi="Arial"/>
          <w:sz w:val="12"/>
          <w:szCs w:val="12"/>
          <w:color w:val="auto"/>
        </w:rPr>
      </w:pPr>
    </w:p>
    <w:p>
      <w:pPr>
        <w:ind w:left="700" w:right="480" w:hanging="318"/>
        <w:spacing w:after="0" w:line="252" w:lineRule="auto"/>
        <w:tabs>
          <w:tab w:leader="none" w:pos="700" w:val="left"/>
        </w:tabs>
        <w:numPr>
          <w:ilvl w:val="1"/>
          <w:numId w:val="184"/>
        </w:numPr>
        <w:rPr>
          <w:rFonts w:ascii="Arial" w:cs="Arial" w:eastAsia="Arial" w:hAnsi="Arial"/>
          <w:sz w:val="12"/>
          <w:szCs w:val="12"/>
          <w:color w:val="auto"/>
        </w:rPr>
      </w:pPr>
      <w:r>
        <w:rPr>
          <w:rFonts w:ascii="Arial" w:cs="Arial" w:eastAsia="Arial" w:hAnsi="Arial"/>
          <w:sz w:val="12"/>
          <w:szCs w:val="12"/>
          <w:color w:val="auto"/>
        </w:rPr>
        <w:t>Costs related to security monitoring for Mr. Hayes’ personal residence, as well as costs associated with a spouse joining executives at business events, employee gifts, executive use of Company-provided tickets for sporting events and other miscellaneous items, including a tax reimbursement payment of $381 to Mr. Kennedy, and $235 to Mr. O’Brien.</w:t>
      </w:r>
    </w:p>
    <w:p>
      <w:pPr>
        <w:spacing w:after="0" w:line="31" w:lineRule="exact"/>
        <w:rPr>
          <w:rFonts w:ascii="Arial" w:cs="Arial" w:eastAsia="Arial" w:hAnsi="Arial"/>
          <w:sz w:val="12"/>
          <w:szCs w:val="12"/>
          <w:color w:val="auto"/>
        </w:rPr>
      </w:pPr>
    </w:p>
    <w:p>
      <w:pPr>
        <w:ind w:left="380" w:right="580" w:hanging="373"/>
        <w:spacing w:after="0" w:line="252" w:lineRule="auto"/>
        <w:tabs>
          <w:tab w:leader="none" w:pos="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Mr. Mitchill served in the role of Corporate Vice President, Financial Planning &amp; Analysis and Investor Relations until April 7, 2021, when he was appointed Executive Vice President &amp; Chief Financial Officer.</w:t>
      </w:r>
    </w:p>
    <w:p>
      <w:pPr>
        <w:spacing w:after="0" w:line="31" w:lineRule="exact"/>
        <w:rPr>
          <w:rFonts w:ascii="Arial" w:cs="Arial" w:eastAsia="Arial" w:hAnsi="Arial"/>
          <w:sz w:val="12"/>
          <w:szCs w:val="12"/>
          <w:color w:val="auto"/>
        </w:rPr>
      </w:pPr>
    </w:p>
    <w:p>
      <w:pPr>
        <w:ind w:left="380" w:right="480" w:hanging="373"/>
        <w:spacing w:after="0" w:line="252" w:lineRule="auto"/>
        <w:tabs>
          <w:tab w:leader="none" w:pos="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Mr. Dumais served in the role of Executive Vice President, Corporate Strategy &amp; Development until January 11, 2021, when he was appointed Executive Vice President, Chief Transformation Officer.</w:t>
      </w:r>
    </w:p>
    <w:p>
      <w:pPr>
        <w:spacing w:after="0" w:line="31" w:lineRule="exact"/>
        <w:rPr>
          <w:rFonts w:ascii="Arial" w:cs="Arial" w:eastAsia="Arial" w:hAnsi="Arial"/>
          <w:sz w:val="12"/>
          <w:szCs w:val="12"/>
          <w:color w:val="auto"/>
        </w:rPr>
      </w:pPr>
    </w:p>
    <w:p>
      <w:pPr>
        <w:ind w:left="380" w:hanging="373"/>
        <w:spacing w:after="0"/>
        <w:tabs>
          <w:tab w:leader="none" w:pos="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Mr. Calio served in the role of President, Pratt &amp; Whitney until March 1, 2022, when he was appointed to the role of Chief Operating Officer.</w:t>
      </w:r>
    </w:p>
    <w:p>
      <w:pPr>
        <w:spacing w:after="0" w:line="49" w:lineRule="exact"/>
        <w:rPr>
          <w:rFonts w:ascii="Arial" w:cs="Arial" w:eastAsia="Arial" w:hAnsi="Arial"/>
          <w:sz w:val="12"/>
          <w:szCs w:val="12"/>
          <w:color w:val="auto"/>
        </w:rPr>
      </w:pPr>
    </w:p>
    <w:p>
      <w:pPr>
        <w:ind w:left="380" w:hanging="373"/>
        <w:spacing w:after="0"/>
        <w:tabs>
          <w:tab w:leader="none" w:pos="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Mr. Kennedy served in the role of Executive Chairman until his retirement from the Company on June 1, 2021.</w:t>
      </w:r>
    </w:p>
    <w:p>
      <w:pPr>
        <w:spacing w:after="0" w:line="49" w:lineRule="exact"/>
        <w:rPr>
          <w:rFonts w:ascii="Arial" w:cs="Arial" w:eastAsia="Arial" w:hAnsi="Arial"/>
          <w:sz w:val="12"/>
          <w:szCs w:val="12"/>
          <w:color w:val="auto"/>
        </w:rPr>
      </w:pPr>
    </w:p>
    <w:p>
      <w:pPr>
        <w:ind w:left="380" w:hanging="373"/>
        <w:spacing w:after="0"/>
        <w:tabs>
          <w:tab w:leader="none" w:pos="380" w:val="left"/>
        </w:tabs>
        <w:numPr>
          <w:ilvl w:val="0"/>
          <w:numId w:val="185"/>
        </w:numPr>
        <w:rPr>
          <w:rFonts w:ascii="Arial" w:cs="Arial" w:eastAsia="Arial" w:hAnsi="Arial"/>
          <w:sz w:val="12"/>
          <w:szCs w:val="12"/>
          <w:color w:val="auto"/>
        </w:rPr>
      </w:pPr>
      <w:r>
        <w:rPr>
          <w:rFonts w:ascii="Arial" w:cs="Arial" w:eastAsia="Arial" w:hAnsi="Arial"/>
          <w:sz w:val="12"/>
          <w:szCs w:val="12"/>
          <w:color w:val="auto"/>
        </w:rPr>
        <w:t>Mr. O’Brien served in the role of Executive Vice President &amp; Chief Financial Officer until his departure from the Company on April 7, 2021.</w:t>
      </w:r>
    </w:p>
    <w:p>
      <w:pPr>
        <w:spacing w:after="0" w:line="151" w:lineRule="exact"/>
        <w:rPr>
          <w:sz w:val="20"/>
          <w:szCs w:val="20"/>
          <w:color w:val="auto"/>
        </w:rPr>
      </w:pPr>
    </w:p>
    <w:p>
      <w:pPr>
        <w:jc w:val="right"/>
        <w:ind w:right="100"/>
        <w:spacing w:after="0"/>
        <w:tabs>
          <w:tab w:leader="none" w:pos="2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GRANTS OF PLAN-BASED AWARDS</w:t>
      </w:r>
    </w:p>
    <w:p>
      <w:pPr>
        <w:spacing w:after="0" w:line="2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Grants of Plan-Based Awards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000" w:type="dxa"/>
            <w:vAlign w:val="bottom"/>
            <w:gridSpan w:val="4"/>
            <w:vMerge w:val="restart"/>
          </w:tcPr>
          <w:p>
            <w:pPr>
              <w:jc w:val="right"/>
              <w:ind w:right="80"/>
              <w:spacing w:after="0"/>
              <w:rPr>
                <w:sz w:val="20"/>
                <w:szCs w:val="20"/>
                <w:color w:val="auto"/>
              </w:rPr>
            </w:pPr>
            <w:r>
              <w:rPr>
                <w:rFonts w:ascii="Arial" w:cs="Arial" w:eastAsia="Arial" w:hAnsi="Arial"/>
                <w:sz w:val="12"/>
                <w:szCs w:val="12"/>
                <w:b w:val="1"/>
                <w:bCs w:val="1"/>
                <w:color w:val="636466"/>
              </w:rPr>
              <w:t>Estimated Future Payouts under Equity Incentive</w:t>
            </w:r>
          </w:p>
        </w:tc>
        <w:tc>
          <w:tcPr>
            <w:tcW w:w="1120" w:type="dxa"/>
            <w:vAlign w:val="bottom"/>
          </w:tcPr>
          <w:p>
            <w:pPr>
              <w:spacing w:after="0"/>
              <w:rPr>
                <w:sz w:val="12"/>
                <w:szCs w:val="12"/>
                <w:color w:val="auto"/>
              </w:rPr>
            </w:pPr>
          </w:p>
        </w:tc>
        <w:tc>
          <w:tcPr>
            <w:tcW w:w="1120" w:type="dxa"/>
            <w:vAlign w:val="bottom"/>
          </w:tcPr>
          <w:p>
            <w:pPr>
              <w:jc w:val="right"/>
              <w:ind w:right="31"/>
              <w:spacing w:after="0"/>
              <w:rPr>
                <w:sz w:val="20"/>
                <w:szCs w:val="20"/>
                <w:color w:val="auto"/>
              </w:rPr>
            </w:pPr>
            <w:r>
              <w:rPr>
                <w:rFonts w:ascii="Arial" w:cs="Arial" w:eastAsia="Arial" w:hAnsi="Arial"/>
                <w:sz w:val="12"/>
                <w:szCs w:val="12"/>
                <w:b w:val="1"/>
                <w:bCs w:val="1"/>
                <w:color w:val="636466"/>
              </w:rPr>
              <w:t>All Other</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19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0" w:type="dxa"/>
            <w:vAlign w:val="bottom"/>
            <w:gridSpan w:val="4"/>
            <w:vMerge w:val="continue"/>
          </w:tcPr>
          <w:p>
            <w:pPr>
              <w:spacing w:after="0"/>
              <w:rPr>
                <w:sz w:val="7"/>
                <w:szCs w:val="7"/>
                <w:color w:val="auto"/>
              </w:rPr>
            </w:pPr>
          </w:p>
        </w:tc>
        <w:tc>
          <w:tcPr>
            <w:tcW w:w="1120" w:type="dxa"/>
            <w:vAlign w:val="bottom"/>
            <w:vMerge w:val="restart"/>
          </w:tcPr>
          <w:p>
            <w:pPr>
              <w:jc w:val="right"/>
              <w:ind w:right="30"/>
              <w:spacing w:after="0" w:line="134" w:lineRule="exact"/>
              <w:rPr>
                <w:sz w:val="20"/>
                <w:szCs w:val="20"/>
                <w:color w:val="auto"/>
              </w:rPr>
            </w:pPr>
            <w:r>
              <w:rPr>
                <w:rFonts w:ascii="Arial" w:cs="Arial" w:eastAsia="Arial" w:hAnsi="Arial"/>
                <w:sz w:val="12"/>
                <w:szCs w:val="12"/>
                <w:b w:val="1"/>
                <w:bCs w:val="1"/>
                <w:color w:val="636466"/>
              </w:rPr>
              <w:t>All Other</w:t>
            </w:r>
          </w:p>
        </w:tc>
        <w:tc>
          <w:tcPr>
            <w:tcW w:w="1120" w:type="dxa"/>
            <w:vAlign w:val="bottom"/>
            <w:vMerge w:val="restart"/>
          </w:tcPr>
          <w:p>
            <w:pPr>
              <w:jc w:val="right"/>
              <w:ind w:right="31"/>
              <w:spacing w:after="0" w:line="134" w:lineRule="exact"/>
              <w:rPr>
                <w:sz w:val="20"/>
                <w:szCs w:val="20"/>
                <w:color w:val="auto"/>
              </w:rPr>
            </w:pPr>
            <w:r>
              <w:rPr>
                <w:rFonts w:ascii="Arial" w:cs="Arial" w:eastAsia="Arial" w:hAnsi="Arial"/>
                <w:sz w:val="12"/>
                <w:szCs w:val="12"/>
                <w:b w:val="1"/>
                <w:bCs w:val="1"/>
                <w:color w:val="636466"/>
              </w:rPr>
              <w:t>Option Awards:</w:t>
            </w: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
        </w:trPr>
        <w:tc>
          <w:tcPr>
            <w:tcW w:w="1960" w:type="dxa"/>
            <w:vAlign w:val="bottom"/>
          </w:tcPr>
          <w:p>
            <w:pPr>
              <w:spacing w:after="0"/>
              <w:rPr>
                <w:sz w:val="4"/>
                <w:szCs w:val="4"/>
                <w:color w:val="auto"/>
              </w:rPr>
            </w:pPr>
          </w:p>
        </w:tc>
        <w:tc>
          <w:tcPr>
            <w:tcW w:w="1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00" w:type="dxa"/>
            <w:vAlign w:val="bottom"/>
            <w:vMerge w:val="restart"/>
          </w:tcPr>
          <w:p>
            <w:pPr>
              <w:jc w:val="right"/>
              <w:ind w:right="49"/>
              <w:spacing w:after="0" w:line="186" w:lineRule="exact"/>
              <w:rPr>
                <w:sz w:val="20"/>
                <w:szCs w:val="20"/>
                <w:color w:val="auto"/>
              </w:rPr>
            </w:pPr>
            <w:r>
              <w:rPr>
                <w:rFonts w:ascii="Arial" w:cs="Arial" w:eastAsia="Arial" w:hAnsi="Arial"/>
                <w:sz w:val="12"/>
                <w:szCs w:val="12"/>
                <w:b w:val="1"/>
                <w:bCs w:val="1"/>
                <w:color w:val="636466"/>
              </w:rPr>
              <w:t>Plan Awards</w:t>
            </w:r>
            <w:r>
              <w:rPr>
                <w:rFonts w:ascii="Arial" w:cs="Arial" w:eastAsia="Arial" w:hAnsi="Arial"/>
                <w:sz w:val="20"/>
                <w:szCs w:val="20"/>
                <w:b w:val="1"/>
                <w:bCs w:val="1"/>
                <w:color w:val="636466"/>
                <w:vertAlign w:val="superscript"/>
              </w:rPr>
              <w:t>(1)</w:t>
            </w: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1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19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920" w:type="dxa"/>
            <w:vAlign w:val="bottom"/>
            <w:tcBorders>
              <w:bottom w:val="single" w:sz="8" w:color="CE0F2D"/>
            </w:tcBorders>
          </w:tcPr>
          <w:p>
            <w:pPr>
              <w:spacing w:after="0"/>
              <w:rPr>
                <w:sz w:val="12"/>
                <w:szCs w:val="12"/>
                <w:color w:val="auto"/>
              </w:rPr>
            </w:pPr>
          </w:p>
        </w:tc>
        <w:tc>
          <w:tcPr>
            <w:tcW w:w="1100" w:type="dxa"/>
            <w:vAlign w:val="bottom"/>
            <w:tcBorders>
              <w:bottom w:val="single" w:sz="8" w:color="CE0F2D"/>
            </w:tcBorders>
            <w:vMerge w:val="continue"/>
          </w:tcPr>
          <w:p>
            <w:pPr>
              <w:spacing w:after="0"/>
              <w:rPr>
                <w:sz w:val="12"/>
                <w:szCs w:val="12"/>
                <w:color w:val="auto"/>
              </w:rPr>
            </w:pPr>
          </w:p>
        </w:tc>
        <w:tc>
          <w:tcPr>
            <w:tcW w:w="880" w:type="dxa"/>
            <w:vAlign w:val="bottom"/>
            <w:tcBorders>
              <w:bottom w:val="single" w:sz="8" w:color="CE0F2D"/>
            </w:tcBorders>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30"/>
              <w:spacing w:after="0"/>
              <w:rPr>
                <w:sz w:val="20"/>
                <w:szCs w:val="20"/>
                <w:color w:val="auto"/>
              </w:rPr>
            </w:pPr>
            <w:r>
              <w:rPr>
                <w:rFonts w:ascii="Arial" w:cs="Arial" w:eastAsia="Arial" w:hAnsi="Arial"/>
                <w:sz w:val="12"/>
                <w:szCs w:val="12"/>
                <w:b w:val="1"/>
                <w:bCs w:val="1"/>
                <w:color w:val="636466"/>
              </w:rPr>
              <w:t>Stock Awards:</w:t>
            </w:r>
          </w:p>
        </w:tc>
        <w:tc>
          <w:tcPr>
            <w:tcW w:w="1120" w:type="dxa"/>
            <w:vAlign w:val="bottom"/>
          </w:tcPr>
          <w:p>
            <w:pPr>
              <w:jc w:val="right"/>
              <w:ind w:right="31"/>
              <w:spacing w:after="0"/>
              <w:rPr>
                <w:sz w:val="20"/>
                <w:szCs w:val="20"/>
                <w:color w:val="auto"/>
              </w:rPr>
            </w:pPr>
            <w:r>
              <w:rPr>
                <w:rFonts w:ascii="Arial" w:cs="Arial" w:eastAsia="Arial" w:hAnsi="Arial"/>
                <w:sz w:val="12"/>
                <w:szCs w:val="12"/>
                <w:b w:val="1"/>
                <w:bCs w:val="1"/>
                <w:color w:val="636466"/>
              </w:rPr>
              <w:t>Number of</w:t>
            </w: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636466"/>
              </w:rPr>
              <w:t>Grant Date Fair</w:t>
            </w:r>
          </w:p>
        </w:tc>
        <w:tc>
          <w:tcPr>
            <w:tcW w:w="0" w:type="dxa"/>
            <w:vAlign w:val="bottom"/>
          </w:tcPr>
          <w:p>
            <w:pPr>
              <w:spacing w:after="0"/>
              <w:rPr>
                <w:sz w:val="1"/>
                <w:szCs w:val="1"/>
                <w:color w:val="auto"/>
              </w:rPr>
            </w:pPr>
          </w:p>
        </w:tc>
      </w:tr>
      <w:tr>
        <w:trPr>
          <w:trHeight w:val="101"/>
        </w:trPr>
        <w:tc>
          <w:tcPr>
            <w:tcW w:w="19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jc w:val="right"/>
              <w:ind w:right="30"/>
              <w:spacing w:after="0" w:line="101" w:lineRule="exact"/>
              <w:rPr>
                <w:sz w:val="20"/>
                <w:szCs w:val="20"/>
                <w:color w:val="auto"/>
              </w:rPr>
            </w:pPr>
            <w:r>
              <w:rPr>
                <w:rFonts w:ascii="Arial" w:cs="Arial" w:eastAsia="Arial" w:hAnsi="Arial"/>
                <w:sz w:val="11"/>
                <w:szCs w:val="11"/>
                <w:b w:val="1"/>
                <w:bCs w:val="1"/>
                <w:color w:val="636466"/>
              </w:rPr>
              <w:t>Number of</w:t>
            </w:r>
          </w:p>
        </w:tc>
        <w:tc>
          <w:tcPr>
            <w:tcW w:w="1120" w:type="dxa"/>
            <w:vAlign w:val="bottom"/>
          </w:tcPr>
          <w:p>
            <w:pPr>
              <w:jc w:val="right"/>
              <w:ind w:right="31"/>
              <w:spacing w:after="0" w:line="101" w:lineRule="exact"/>
              <w:rPr>
                <w:sz w:val="20"/>
                <w:szCs w:val="20"/>
                <w:color w:val="auto"/>
              </w:rPr>
            </w:pPr>
            <w:r>
              <w:rPr>
                <w:rFonts w:ascii="Arial" w:cs="Arial" w:eastAsia="Arial" w:hAnsi="Arial"/>
                <w:sz w:val="11"/>
                <w:szCs w:val="11"/>
                <w:b w:val="1"/>
                <w:bCs w:val="1"/>
                <w:color w:val="636466"/>
              </w:rPr>
              <w:t>Securities</w:t>
            </w:r>
          </w:p>
        </w:tc>
        <w:tc>
          <w:tcPr>
            <w:tcW w:w="1140" w:type="dxa"/>
            <w:vAlign w:val="bottom"/>
          </w:tcPr>
          <w:p>
            <w:pPr>
              <w:jc w:val="right"/>
              <w:spacing w:after="0" w:line="101" w:lineRule="exact"/>
              <w:rPr>
                <w:sz w:val="20"/>
                <w:szCs w:val="20"/>
                <w:color w:val="auto"/>
              </w:rPr>
            </w:pPr>
            <w:r>
              <w:rPr>
                <w:rFonts w:ascii="Arial" w:cs="Arial" w:eastAsia="Arial" w:hAnsi="Arial"/>
                <w:sz w:val="11"/>
                <w:szCs w:val="11"/>
                <w:b w:val="1"/>
                <w:bCs w:val="1"/>
                <w:color w:val="636466"/>
              </w:rPr>
              <w:t>Exercise or Base</w:t>
            </w:r>
          </w:p>
        </w:tc>
        <w:tc>
          <w:tcPr>
            <w:tcW w:w="180" w:type="dxa"/>
            <w:vAlign w:val="bottom"/>
          </w:tcPr>
          <w:p>
            <w:pPr>
              <w:spacing w:after="0"/>
              <w:rPr>
                <w:sz w:val="8"/>
                <w:szCs w:val="8"/>
                <w:color w:val="auto"/>
              </w:rPr>
            </w:pPr>
          </w:p>
        </w:tc>
        <w:tc>
          <w:tcPr>
            <w:tcW w:w="960" w:type="dxa"/>
            <w:vAlign w:val="bottom"/>
          </w:tcPr>
          <w:p>
            <w:pPr>
              <w:jc w:val="right"/>
              <w:spacing w:after="0" w:line="101" w:lineRule="exact"/>
              <w:rPr>
                <w:sz w:val="20"/>
                <w:szCs w:val="20"/>
                <w:color w:val="auto"/>
              </w:rPr>
            </w:pPr>
            <w:r>
              <w:rPr>
                <w:rFonts w:ascii="Arial" w:cs="Arial" w:eastAsia="Arial" w:hAnsi="Arial"/>
                <w:sz w:val="11"/>
                <w:szCs w:val="11"/>
                <w:b w:val="1"/>
                <w:bCs w:val="1"/>
                <w:color w:val="636466"/>
              </w:rPr>
              <w:t>Value of Stock</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14"/>
                <w:szCs w:val="14"/>
                <w:color w:val="auto"/>
              </w:rPr>
            </w:pPr>
          </w:p>
        </w:tc>
        <w:tc>
          <w:tcPr>
            <w:tcW w:w="1760" w:type="dxa"/>
            <w:vAlign w:val="bottom"/>
          </w:tcPr>
          <w:p>
            <w:pPr>
              <w:jc w:val="right"/>
              <w:ind w:right="89"/>
              <w:spacing w:after="0"/>
              <w:rPr>
                <w:sz w:val="20"/>
                <w:szCs w:val="20"/>
                <w:color w:val="auto"/>
              </w:rPr>
            </w:pPr>
            <w:r>
              <w:rPr>
                <w:rFonts w:ascii="Arial" w:cs="Arial" w:eastAsia="Arial" w:hAnsi="Arial"/>
                <w:sz w:val="12"/>
                <w:szCs w:val="12"/>
                <w:b w:val="1"/>
                <w:bCs w:val="1"/>
                <w:color w:val="636466"/>
              </w:rPr>
              <w:t>Approval</w:t>
            </w: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ind w:right="30"/>
              <w:spacing w:after="0"/>
              <w:rPr>
                <w:sz w:val="20"/>
                <w:szCs w:val="20"/>
                <w:color w:val="auto"/>
              </w:rPr>
            </w:pPr>
            <w:r>
              <w:rPr>
                <w:rFonts w:ascii="Arial" w:cs="Arial" w:eastAsia="Arial" w:hAnsi="Arial"/>
                <w:sz w:val="12"/>
                <w:szCs w:val="12"/>
                <w:b w:val="1"/>
                <w:bCs w:val="1"/>
                <w:color w:val="636466"/>
              </w:rPr>
              <w:t>Shares of Stock</w:t>
            </w:r>
          </w:p>
        </w:tc>
        <w:tc>
          <w:tcPr>
            <w:tcW w:w="1120" w:type="dxa"/>
            <w:vAlign w:val="bottom"/>
          </w:tcPr>
          <w:p>
            <w:pPr>
              <w:jc w:val="right"/>
              <w:ind w:right="31"/>
              <w:spacing w:after="0"/>
              <w:rPr>
                <w:sz w:val="20"/>
                <w:szCs w:val="20"/>
                <w:color w:val="auto"/>
              </w:rPr>
            </w:pPr>
            <w:r>
              <w:rPr>
                <w:rFonts w:ascii="Arial" w:cs="Arial" w:eastAsia="Arial" w:hAnsi="Arial"/>
                <w:sz w:val="12"/>
                <w:szCs w:val="12"/>
                <w:b w:val="1"/>
                <w:bCs w:val="1"/>
                <w:color w:val="636466"/>
              </w:rPr>
              <w:t>Underlying</w:t>
            </w:r>
          </w:p>
        </w:tc>
        <w:tc>
          <w:tcPr>
            <w:tcW w:w="1140" w:type="dxa"/>
            <w:vAlign w:val="bottom"/>
          </w:tcPr>
          <w:p>
            <w:pPr>
              <w:jc w:val="right"/>
              <w:spacing w:after="0"/>
              <w:rPr>
                <w:sz w:val="20"/>
                <w:szCs w:val="20"/>
                <w:color w:val="auto"/>
              </w:rPr>
            </w:pPr>
            <w:r>
              <w:rPr>
                <w:rFonts w:ascii="Arial" w:cs="Arial" w:eastAsia="Arial" w:hAnsi="Arial"/>
                <w:sz w:val="12"/>
                <w:szCs w:val="12"/>
                <w:b w:val="1"/>
                <w:bCs w:val="1"/>
                <w:color w:val="636466"/>
              </w:rPr>
              <w:t>Price of Option</w:t>
            </w:r>
          </w:p>
        </w:tc>
        <w:tc>
          <w:tcPr>
            <w:tcW w:w="1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636466"/>
              </w:rPr>
              <w:t>and Option</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2"/>
                <w:szCs w:val="12"/>
                <w:b w:val="1"/>
                <w:bCs w:val="1"/>
                <w:color w:val="636466"/>
              </w:rPr>
              <w:t>Grant Date</w:t>
            </w:r>
          </w:p>
        </w:tc>
        <w:tc>
          <w:tcPr>
            <w:tcW w:w="1760" w:type="dxa"/>
            <w:vAlign w:val="bottom"/>
            <w:tcBorders>
              <w:bottom w:val="single" w:sz="8" w:color="CE0F2D"/>
            </w:tcBorders>
          </w:tcPr>
          <w:p>
            <w:pPr>
              <w:jc w:val="right"/>
              <w:ind w:right="89"/>
              <w:spacing w:after="0"/>
              <w:rPr>
                <w:sz w:val="20"/>
                <w:szCs w:val="20"/>
                <w:color w:val="auto"/>
              </w:rPr>
            </w:pPr>
            <w:r>
              <w:rPr>
                <w:rFonts w:ascii="Arial" w:cs="Arial" w:eastAsia="Arial" w:hAnsi="Arial"/>
                <w:sz w:val="12"/>
                <w:szCs w:val="12"/>
                <w:b w:val="1"/>
                <w:bCs w:val="1"/>
                <w:color w:val="636466"/>
              </w:rPr>
              <w:t>Date</w:t>
            </w:r>
          </w:p>
        </w:tc>
        <w:tc>
          <w:tcPr>
            <w:tcW w:w="920" w:type="dxa"/>
            <w:vAlign w:val="bottom"/>
            <w:tcBorders>
              <w:bottom w:val="single" w:sz="8" w:color="CE0F2D"/>
            </w:tcBorders>
          </w:tcPr>
          <w:p>
            <w:pPr>
              <w:jc w:val="right"/>
              <w:ind w:right="9"/>
              <w:spacing w:after="0"/>
              <w:rPr>
                <w:sz w:val="20"/>
                <w:szCs w:val="20"/>
                <w:color w:val="auto"/>
              </w:rPr>
            </w:pPr>
            <w:r>
              <w:rPr>
                <w:rFonts w:ascii="Arial" w:cs="Arial" w:eastAsia="Arial" w:hAnsi="Arial"/>
                <w:sz w:val="12"/>
                <w:szCs w:val="12"/>
                <w:b w:val="1"/>
                <w:bCs w:val="1"/>
                <w:color w:val="636466"/>
              </w:rPr>
              <w:t>Threshold (#)</w:t>
            </w:r>
          </w:p>
        </w:tc>
        <w:tc>
          <w:tcPr>
            <w:tcW w:w="1100" w:type="dxa"/>
            <w:vAlign w:val="bottom"/>
            <w:tcBorders>
              <w:bottom w:val="single" w:sz="8" w:color="CE0F2D"/>
            </w:tcBorders>
          </w:tcPr>
          <w:p>
            <w:pPr>
              <w:jc w:val="right"/>
              <w:ind w:right="69"/>
              <w:spacing w:after="0"/>
              <w:rPr>
                <w:sz w:val="20"/>
                <w:szCs w:val="20"/>
                <w:color w:val="auto"/>
              </w:rPr>
            </w:pPr>
            <w:r>
              <w:rPr>
                <w:rFonts w:ascii="Arial" w:cs="Arial" w:eastAsia="Arial" w:hAnsi="Arial"/>
                <w:sz w:val="12"/>
                <w:szCs w:val="12"/>
                <w:b w:val="1"/>
                <w:bCs w:val="1"/>
                <w:color w:val="636466"/>
              </w:rPr>
              <w:t>Target (#)</w:t>
            </w:r>
          </w:p>
        </w:tc>
        <w:tc>
          <w:tcPr>
            <w:tcW w:w="980" w:type="dxa"/>
            <w:vAlign w:val="bottom"/>
            <w:tcBorders>
              <w:bottom w:val="single" w:sz="8" w:color="CE0F2D"/>
            </w:tcBorders>
            <w:gridSpan w:val="2"/>
          </w:tcPr>
          <w:p>
            <w:pPr>
              <w:jc w:val="right"/>
              <w:ind w:right="100"/>
              <w:spacing w:after="0"/>
              <w:rPr>
                <w:sz w:val="20"/>
                <w:szCs w:val="20"/>
                <w:color w:val="auto"/>
              </w:rPr>
            </w:pPr>
            <w:r>
              <w:rPr>
                <w:rFonts w:ascii="Arial" w:cs="Arial" w:eastAsia="Arial" w:hAnsi="Arial"/>
                <w:sz w:val="12"/>
                <w:szCs w:val="12"/>
                <w:b w:val="1"/>
                <w:bCs w:val="1"/>
                <w:color w:val="636466"/>
              </w:rPr>
              <w:t>Maximum (#)</w:t>
            </w:r>
          </w:p>
        </w:tc>
        <w:tc>
          <w:tcPr>
            <w:tcW w:w="1120" w:type="dxa"/>
            <w:vAlign w:val="bottom"/>
            <w:tcBorders>
              <w:bottom w:val="single" w:sz="8" w:color="CE0F2D"/>
            </w:tcBorders>
          </w:tcPr>
          <w:p>
            <w:pPr>
              <w:jc w:val="right"/>
              <w:ind w:right="30"/>
              <w:spacing w:after="0" w:line="187" w:lineRule="exact"/>
              <w:rPr>
                <w:sz w:val="20"/>
                <w:szCs w:val="20"/>
                <w:color w:val="auto"/>
              </w:rPr>
            </w:pPr>
            <w:r>
              <w:rPr>
                <w:rFonts w:ascii="Arial" w:cs="Arial" w:eastAsia="Arial" w:hAnsi="Arial"/>
                <w:sz w:val="12"/>
                <w:szCs w:val="12"/>
                <w:b w:val="1"/>
                <w:bCs w:val="1"/>
                <w:color w:val="636466"/>
              </w:rPr>
              <w:t>or Units (#)</w:t>
            </w:r>
            <w:r>
              <w:rPr>
                <w:rFonts w:ascii="Arial" w:cs="Arial" w:eastAsia="Arial" w:hAnsi="Arial"/>
                <w:sz w:val="20"/>
                <w:szCs w:val="20"/>
                <w:b w:val="1"/>
                <w:bCs w:val="1"/>
                <w:color w:val="636466"/>
                <w:vertAlign w:val="superscript"/>
              </w:rPr>
              <w:t>(2)</w:t>
            </w:r>
          </w:p>
        </w:tc>
        <w:tc>
          <w:tcPr>
            <w:tcW w:w="1120" w:type="dxa"/>
            <w:vAlign w:val="bottom"/>
            <w:tcBorders>
              <w:bottom w:val="single" w:sz="8" w:color="CE0F2D"/>
            </w:tcBorders>
          </w:tcPr>
          <w:p>
            <w:pPr>
              <w:jc w:val="right"/>
              <w:ind w:right="31"/>
              <w:spacing w:after="0" w:line="187" w:lineRule="exact"/>
              <w:rPr>
                <w:sz w:val="20"/>
                <w:szCs w:val="20"/>
                <w:color w:val="auto"/>
              </w:rPr>
            </w:pPr>
            <w:r>
              <w:rPr>
                <w:rFonts w:ascii="Arial" w:cs="Arial" w:eastAsia="Arial" w:hAnsi="Arial"/>
                <w:sz w:val="12"/>
                <w:szCs w:val="12"/>
                <w:b w:val="1"/>
                <w:bCs w:val="1"/>
                <w:color w:val="636466"/>
              </w:rPr>
              <w:t>Options (#)</w:t>
            </w:r>
            <w:r>
              <w:rPr>
                <w:rFonts w:ascii="Arial" w:cs="Arial" w:eastAsia="Arial" w:hAnsi="Arial"/>
                <w:sz w:val="20"/>
                <w:szCs w:val="20"/>
                <w:b w:val="1"/>
                <w:bCs w:val="1"/>
                <w:color w:val="636466"/>
                <w:vertAlign w:val="superscript"/>
              </w:rPr>
              <w:t>(3)</w:t>
            </w:r>
          </w:p>
        </w:tc>
        <w:tc>
          <w:tcPr>
            <w:tcW w:w="1140" w:type="dxa"/>
            <w:vAlign w:val="bottom"/>
            <w:tcBorders>
              <w:bottom w:val="single" w:sz="8" w:color="CE0F2D"/>
            </w:tcBorders>
          </w:tcPr>
          <w:p>
            <w:pPr>
              <w:jc w:val="right"/>
              <w:spacing w:after="0" w:line="187" w:lineRule="exact"/>
              <w:rPr>
                <w:sz w:val="20"/>
                <w:szCs w:val="20"/>
                <w:color w:val="auto"/>
              </w:rPr>
            </w:pPr>
            <w:r>
              <w:rPr>
                <w:rFonts w:ascii="Arial" w:cs="Arial" w:eastAsia="Arial" w:hAnsi="Arial"/>
                <w:sz w:val="12"/>
                <w:szCs w:val="12"/>
                <w:b w:val="1"/>
                <w:bCs w:val="1"/>
                <w:color w:val="636466"/>
              </w:rPr>
              <w:t>Awards ($/Sh)</w:t>
            </w:r>
            <w:r>
              <w:rPr>
                <w:rFonts w:ascii="Arial" w:cs="Arial" w:eastAsia="Arial" w:hAnsi="Arial"/>
                <w:sz w:val="20"/>
                <w:szCs w:val="20"/>
                <w:b w:val="1"/>
                <w:bCs w:val="1"/>
                <w:color w:val="636466"/>
                <w:vertAlign w:val="superscript"/>
              </w:rPr>
              <w:t>(4)</w:t>
            </w:r>
          </w:p>
        </w:tc>
        <w:tc>
          <w:tcPr>
            <w:tcW w:w="180" w:type="dxa"/>
            <w:vAlign w:val="bottom"/>
            <w:tcBorders>
              <w:bottom w:val="single" w:sz="8" w:color="CE0F2D"/>
            </w:tcBorders>
          </w:tcPr>
          <w:p>
            <w:pPr>
              <w:spacing w:after="0"/>
              <w:rPr>
                <w:sz w:val="18"/>
                <w:szCs w:val="18"/>
                <w:color w:val="auto"/>
              </w:rPr>
            </w:pPr>
          </w:p>
        </w:tc>
        <w:tc>
          <w:tcPr>
            <w:tcW w:w="960" w:type="dxa"/>
            <w:vAlign w:val="bottom"/>
            <w:tcBorders>
              <w:bottom w:val="single" w:sz="8" w:color="CE0F2D"/>
            </w:tcBorders>
          </w:tcPr>
          <w:p>
            <w:pPr>
              <w:jc w:val="right"/>
              <w:spacing w:after="0" w:line="187" w:lineRule="exact"/>
              <w:rPr>
                <w:sz w:val="20"/>
                <w:szCs w:val="20"/>
                <w:color w:val="auto"/>
              </w:rPr>
            </w:pPr>
            <w:r>
              <w:rPr>
                <w:rFonts w:ascii="Arial" w:cs="Arial" w:eastAsia="Arial" w:hAnsi="Arial"/>
                <w:sz w:val="12"/>
                <w:szCs w:val="12"/>
                <w:b w:val="1"/>
                <w:bCs w:val="1"/>
                <w:color w:val="636466"/>
              </w:rPr>
              <w:t>Awards ($)</w:t>
            </w:r>
            <w:r>
              <w:rPr>
                <w:rFonts w:ascii="Arial" w:cs="Arial" w:eastAsia="Arial" w:hAnsi="Arial"/>
                <w:sz w:val="20"/>
                <w:szCs w:val="20"/>
                <w:b w:val="1"/>
                <w:bCs w:val="1"/>
                <w:color w:val="636466"/>
                <w:vertAlign w:val="superscript"/>
              </w:rPr>
              <w:t>(5)</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G. Hayes</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7,501</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120,020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240,040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$8,839,773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181,900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$2,815,812</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40,010</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19"/>
                <w:szCs w:val="19"/>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$2,900,325</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N. Mitchill, Jr.</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518</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8,280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16,560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$609,843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18,900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$292,572</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8,280</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$600,217</w:t>
            </w:r>
          </w:p>
        </w:tc>
        <w:tc>
          <w:tcPr>
            <w:tcW w:w="0" w:type="dxa"/>
            <w:vAlign w:val="bottom"/>
          </w:tcPr>
          <w:p>
            <w:pPr>
              <w:spacing w:after="0"/>
              <w:rPr>
                <w:sz w:val="1"/>
                <w:szCs w:val="1"/>
                <w:color w:val="auto"/>
              </w:rPr>
            </w:pPr>
          </w:p>
        </w:tc>
      </w:tr>
      <w:tr>
        <w:trPr>
          <w:trHeight w:val="240"/>
        </w:trPr>
        <w:tc>
          <w:tcPr>
            <w:tcW w:w="196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4/26/2021</w:t>
            </w:r>
            <w:r>
              <w:rPr>
                <w:rFonts w:ascii="Arial" w:cs="Arial" w:eastAsia="Arial" w:hAnsi="Arial"/>
                <w:sz w:val="23"/>
                <w:szCs w:val="23"/>
                <w:color w:val="auto"/>
                <w:vertAlign w:val="superscript"/>
              </w:rPr>
              <w:t>(6)</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695</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11,115</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22,230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20"/>
                <w:szCs w:val="20"/>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$914,743</w:t>
            </w:r>
          </w:p>
        </w:tc>
        <w:tc>
          <w:tcPr>
            <w:tcW w:w="0" w:type="dxa"/>
            <w:vAlign w:val="bottom"/>
          </w:tcPr>
          <w:p>
            <w:pPr>
              <w:spacing w:after="0"/>
              <w:rPr>
                <w:sz w:val="1"/>
                <w:szCs w:val="1"/>
                <w:color w:val="auto"/>
              </w:rPr>
            </w:pPr>
          </w:p>
        </w:tc>
      </w:tr>
      <w:tr>
        <w:trPr>
          <w:trHeight w:val="234"/>
        </w:trPr>
        <w:tc>
          <w:tcPr>
            <w:tcW w:w="196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4/26/2021</w:t>
            </w:r>
            <w:r>
              <w:rPr>
                <w:rFonts w:ascii="Arial" w:cs="Arial" w:eastAsia="Arial" w:hAnsi="Arial"/>
                <w:sz w:val="23"/>
                <w:szCs w:val="23"/>
                <w:color w:val="auto"/>
                <w:vertAlign w:val="superscript"/>
              </w:rPr>
              <w:t>(6)</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4/25/2021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16,900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$81.00</w:t>
            </w:r>
          </w:p>
        </w:tc>
        <w:tc>
          <w:tcPr>
            <w:tcW w:w="180" w:type="dxa"/>
            <w:vAlign w:val="bottom"/>
            <w:tcBorders>
              <w:bottom w:val="single" w:sz="8" w:color="auto"/>
            </w:tcBorders>
            <w:shd w:val="clear" w:color="auto" w:fill="ECEDEF"/>
          </w:tcPr>
          <w:p>
            <w:pPr>
              <w:spacing w:after="0"/>
              <w:rPr>
                <w:sz w:val="20"/>
                <w:szCs w:val="20"/>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$292,201</w:t>
            </w:r>
          </w:p>
        </w:tc>
        <w:tc>
          <w:tcPr>
            <w:tcW w:w="0" w:type="dxa"/>
            <w:vAlign w:val="bottom"/>
          </w:tcPr>
          <w:p>
            <w:pPr>
              <w:spacing w:after="0"/>
              <w:rPr>
                <w:sz w:val="1"/>
                <w:szCs w:val="1"/>
                <w:color w:val="auto"/>
              </w:rPr>
            </w:pPr>
          </w:p>
        </w:tc>
      </w:tr>
      <w:tr>
        <w:trPr>
          <w:trHeight w:val="241"/>
        </w:trPr>
        <w:tc>
          <w:tcPr>
            <w:tcW w:w="196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4/26/2021</w:t>
            </w:r>
            <w:r>
              <w:rPr>
                <w:rFonts w:ascii="Arial" w:cs="Arial" w:eastAsia="Arial" w:hAnsi="Arial"/>
                <w:sz w:val="23"/>
                <w:szCs w:val="23"/>
                <w:color w:val="auto"/>
                <w:vertAlign w:val="superscript"/>
              </w:rPr>
              <w:t>(6)</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4/25/2021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3,705</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20"/>
                <w:szCs w:val="20"/>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$300,105</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M. Dumais</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1,811</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28,970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57,940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$2,133,713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43,900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$679,572</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9,660</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19"/>
                <w:szCs w:val="19"/>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$700,253</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C. Calio</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1,811</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28,970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57,940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$2,133,713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43,900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$679,572</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9,660</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19"/>
                <w:szCs w:val="19"/>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$700,253</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S. Timm</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1,811</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28,970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57,940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$2,133,713</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43,900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$679,572</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9,660</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19"/>
                <w:szCs w:val="19"/>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$700,253</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T. Kennedy</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5,432</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86,910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173,820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$6,401,139</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131,700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$2,038,716</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28,970</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$2,100,035</w:t>
            </w:r>
          </w:p>
        </w:tc>
        <w:tc>
          <w:tcPr>
            <w:tcW w:w="0" w:type="dxa"/>
            <w:vAlign w:val="bottom"/>
          </w:tcPr>
          <w:p>
            <w:pPr>
              <w:spacing w:after="0"/>
              <w:rPr>
                <w:sz w:val="1"/>
                <w:szCs w:val="1"/>
                <w:color w:val="auto"/>
              </w:rPr>
            </w:pPr>
          </w:p>
        </w:tc>
      </w:tr>
      <w:tr>
        <w:trPr>
          <w:trHeight w:val="247"/>
        </w:trPr>
        <w:tc>
          <w:tcPr>
            <w:tcW w:w="1960" w:type="dxa"/>
            <w:vAlign w:val="bottom"/>
            <w:tcBorders>
              <w:bottom w:val="single" w:sz="8" w:color="636466"/>
            </w:tcBorders>
          </w:tcPr>
          <w:p>
            <w:pPr>
              <w:ind w:left="60"/>
              <w:spacing w:after="0" w:line="240" w:lineRule="exact"/>
              <w:rPr>
                <w:sz w:val="20"/>
                <w:szCs w:val="20"/>
                <w:color w:val="auto"/>
              </w:rPr>
            </w:pPr>
            <w:r>
              <w:rPr>
                <w:rFonts w:ascii="Arial" w:cs="Arial" w:eastAsia="Arial" w:hAnsi="Arial"/>
                <w:sz w:val="14"/>
                <w:szCs w:val="14"/>
                <w:color w:val="auto"/>
              </w:rPr>
              <w:t>5/24/2021</w:t>
            </w:r>
            <w:r>
              <w:rPr>
                <w:rFonts w:ascii="Arial" w:cs="Arial" w:eastAsia="Arial" w:hAnsi="Arial"/>
                <w:sz w:val="23"/>
                <w:szCs w:val="23"/>
                <w:color w:val="auto"/>
                <w:vertAlign w:val="superscript"/>
              </w:rPr>
              <w:t>(7)</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4/25/2021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21"/>
                <w:szCs w:val="21"/>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$4,792,881</w:t>
            </w:r>
          </w:p>
        </w:tc>
        <w:tc>
          <w:tcPr>
            <w:tcW w:w="0" w:type="dxa"/>
            <w:vAlign w:val="bottom"/>
          </w:tcPr>
          <w:p>
            <w:pPr>
              <w:spacing w:after="0"/>
              <w:rPr>
                <w:sz w:val="1"/>
                <w:szCs w:val="1"/>
                <w:color w:val="auto"/>
              </w:rPr>
            </w:pPr>
          </w:p>
        </w:tc>
      </w:tr>
      <w:tr>
        <w:trPr>
          <w:trHeight w:val="275"/>
        </w:trPr>
        <w:tc>
          <w:tcPr>
            <w:tcW w:w="1960" w:type="dxa"/>
            <w:vAlign w:val="bottom"/>
            <w:tcBorders>
              <w:bottom w:val="single" w:sz="8" w:color="CE0F2D"/>
            </w:tcBorders>
          </w:tcPr>
          <w:p>
            <w:pPr>
              <w:ind w:left="60"/>
              <w:spacing w:after="0"/>
              <w:rPr>
                <w:sz w:val="20"/>
                <w:szCs w:val="20"/>
                <w:color w:val="auto"/>
              </w:rPr>
            </w:pPr>
            <w:r>
              <w:rPr>
                <w:rFonts w:ascii="Arial" w:cs="Arial" w:eastAsia="Arial" w:hAnsi="Arial"/>
                <w:sz w:val="14"/>
                <w:szCs w:val="14"/>
                <w:b w:val="1"/>
                <w:bCs w:val="1"/>
                <w:color w:val="CE0F2D"/>
              </w:rPr>
              <w:t>A. O’Brien III</w:t>
            </w:r>
          </w:p>
        </w:tc>
        <w:tc>
          <w:tcPr>
            <w:tcW w:w="1760" w:type="dxa"/>
            <w:vAlign w:val="bottom"/>
            <w:tcBorders>
              <w:bottom w:val="single" w:sz="8" w:color="CE0F2D"/>
            </w:tcBorders>
          </w:tcPr>
          <w:p>
            <w:pPr>
              <w:spacing w:after="0"/>
              <w:rPr>
                <w:sz w:val="23"/>
                <w:szCs w:val="23"/>
                <w:color w:val="auto"/>
              </w:rPr>
            </w:pPr>
          </w:p>
        </w:tc>
        <w:tc>
          <w:tcPr>
            <w:tcW w:w="920" w:type="dxa"/>
            <w:vAlign w:val="bottom"/>
            <w:tcBorders>
              <w:bottom w:val="single" w:sz="8" w:color="CE0F2D"/>
            </w:tcBorders>
          </w:tcPr>
          <w:p>
            <w:pPr>
              <w:spacing w:after="0"/>
              <w:rPr>
                <w:sz w:val="23"/>
                <w:szCs w:val="23"/>
                <w:color w:val="auto"/>
              </w:rPr>
            </w:pPr>
          </w:p>
        </w:tc>
        <w:tc>
          <w:tcPr>
            <w:tcW w:w="1100" w:type="dxa"/>
            <w:vAlign w:val="bottom"/>
            <w:tcBorders>
              <w:bottom w:val="single" w:sz="8" w:color="CE0F2D"/>
            </w:tcBorders>
          </w:tcPr>
          <w:p>
            <w:pPr>
              <w:spacing w:after="0"/>
              <w:rPr>
                <w:sz w:val="23"/>
                <w:szCs w:val="23"/>
                <w:color w:val="auto"/>
              </w:rPr>
            </w:pPr>
          </w:p>
        </w:tc>
        <w:tc>
          <w:tcPr>
            <w:tcW w:w="8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1140" w:type="dxa"/>
            <w:vAlign w:val="bottom"/>
            <w:tcBorders>
              <w:bottom w:val="single" w:sz="8" w:color="CE0F2D"/>
            </w:tcBorders>
          </w:tcPr>
          <w:p>
            <w:pPr>
              <w:spacing w:after="0"/>
              <w:rPr>
                <w:sz w:val="23"/>
                <w:szCs w:val="23"/>
                <w:color w:val="auto"/>
              </w:rPr>
            </w:pPr>
          </w:p>
        </w:tc>
        <w:tc>
          <w:tcPr>
            <w:tcW w:w="180" w:type="dxa"/>
            <w:vAlign w:val="bottom"/>
            <w:tcBorders>
              <w:bottom w:val="single" w:sz="8" w:color="CE0F2D"/>
            </w:tcBorders>
          </w:tcPr>
          <w:p>
            <w:pPr>
              <w:spacing w:after="0"/>
              <w:rPr>
                <w:sz w:val="23"/>
                <w:szCs w:val="23"/>
                <w:color w:val="auto"/>
              </w:rPr>
            </w:pPr>
          </w:p>
        </w:tc>
        <w:tc>
          <w:tcPr>
            <w:tcW w:w="960" w:type="dxa"/>
            <w:vAlign w:val="bottom"/>
            <w:tcBorders>
              <w:bottom w:val="single" w:sz="8" w:color="CE0F2D"/>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2,069</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33,110</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66,220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$2,438,634</w:t>
            </w:r>
          </w:p>
        </w:tc>
        <w:tc>
          <w:tcPr>
            <w:tcW w:w="0" w:type="dxa"/>
            <w:vAlign w:val="bottom"/>
          </w:tcPr>
          <w:p>
            <w:pPr>
              <w:spacing w:after="0"/>
              <w:rPr>
                <w:sz w:val="1"/>
                <w:szCs w:val="1"/>
                <w:color w:val="auto"/>
              </w:rPr>
            </w:pPr>
          </w:p>
        </w:tc>
      </w:tr>
      <w:tr>
        <w:trPr>
          <w:trHeight w:val="208"/>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50,200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$72.49</w:t>
            </w:r>
          </w:p>
        </w:tc>
        <w:tc>
          <w:tcPr>
            <w:tcW w:w="180" w:type="dxa"/>
            <w:vAlign w:val="bottom"/>
            <w:tcBorders>
              <w:bottom w:val="single" w:sz="8" w:color="auto"/>
            </w:tcBorders>
            <w:shd w:val="clear" w:color="auto" w:fill="ECEDEF"/>
          </w:tcPr>
          <w:p>
            <w:pPr>
              <w:spacing w:after="0"/>
              <w:rPr>
                <w:sz w:val="18"/>
                <w:szCs w:val="18"/>
                <w:color w:val="auto"/>
              </w:rPr>
            </w:pPr>
          </w:p>
        </w:tc>
        <w:tc>
          <w:tcPr>
            <w:tcW w:w="9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$777,096</w:t>
            </w:r>
          </w:p>
        </w:tc>
        <w:tc>
          <w:tcPr>
            <w:tcW w:w="0" w:type="dxa"/>
            <w:vAlign w:val="bottom"/>
          </w:tcPr>
          <w:p>
            <w:pPr>
              <w:spacing w:after="0"/>
              <w:rPr>
                <w:sz w:val="1"/>
                <w:szCs w:val="1"/>
                <w:color w:val="auto"/>
              </w:rPr>
            </w:pPr>
          </w:p>
        </w:tc>
      </w:tr>
      <w:tr>
        <w:trPr>
          <w:trHeight w:val="220"/>
        </w:trPr>
        <w:tc>
          <w:tcPr>
            <w:tcW w:w="1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2/8/2021</w:t>
            </w:r>
          </w:p>
        </w:tc>
        <w:tc>
          <w:tcPr>
            <w:tcW w:w="1760" w:type="dxa"/>
            <w:vAlign w:val="bottom"/>
            <w:tcBorders>
              <w:bottom w:val="single" w:sz="8" w:color="636466"/>
            </w:tcBorders>
          </w:tcPr>
          <w:p>
            <w:pPr>
              <w:jc w:val="right"/>
              <w:ind w:right="89"/>
              <w:spacing w:after="0"/>
              <w:rPr>
                <w:sz w:val="20"/>
                <w:szCs w:val="20"/>
                <w:color w:val="auto"/>
              </w:rPr>
            </w:pPr>
            <w:r>
              <w:rPr>
                <w:rFonts w:ascii="Arial" w:cs="Arial" w:eastAsia="Arial" w:hAnsi="Arial"/>
                <w:sz w:val="14"/>
                <w:szCs w:val="14"/>
                <w:color w:val="auto"/>
              </w:rPr>
              <w:t>2/5/2021</w:t>
            </w:r>
          </w:p>
        </w:tc>
        <w:tc>
          <w:tcPr>
            <w:tcW w:w="920" w:type="dxa"/>
            <w:vAlign w:val="bottom"/>
            <w:tcBorders>
              <w:bottom w:val="single" w:sz="8" w:color="636466"/>
            </w:tcBorders>
          </w:tcPr>
          <w:p>
            <w:pPr>
              <w:jc w:val="right"/>
              <w:ind w:right="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636466"/>
            </w:tcBorders>
          </w:tcPr>
          <w:p>
            <w:pPr>
              <w:jc w:val="right"/>
              <w:ind w:right="6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11,040</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636466"/>
            </w:tcBorders>
            <w:shd w:val="clear" w:color="auto" w:fill="ECEDEF"/>
          </w:tcPr>
          <w:p>
            <w:pPr>
              <w:spacing w:after="0"/>
              <w:rPr>
                <w:sz w:val="19"/>
                <w:szCs w:val="19"/>
                <w:color w:val="auto"/>
              </w:rPr>
            </w:pPr>
          </w:p>
        </w:tc>
        <w:tc>
          <w:tcPr>
            <w:tcW w:w="9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$800,290</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320" w:right="100" w:hanging="313"/>
        <w:spacing w:after="0" w:line="237" w:lineRule="auto"/>
        <w:tabs>
          <w:tab w:leader="none" w:pos="320" w:val="left"/>
        </w:tabs>
        <w:numPr>
          <w:ilvl w:val="0"/>
          <w:numId w:val="186"/>
        </w:numPr>
        <w:rPr>
          <w:rFonts w:ascii="Arial" w:cs="Arial" w:eastAsia="Arial" w:hAnsi="Arial"/>
          <w:sz w:val="12"/>
          <w:szCs w:val="12"/>
          <w:color w:val="auto"/>
        </w:rPr>
      </w:pPr>
      <w:r>
        <w:rPr>
          <w:rFonts w:ascii="Arial" w:cs="Arial" w:eastAsia="Arial" w:hAnsi="Arial"/>
          <w:sz w:val="12"/>
          <w:szCs w:val="12"/>
          <w:color w:val="auto"/>
        </w:rPr>
        <w:t>Reflects the number of PSUs granted under the RTX LTIP during 2021, which vest based on Company performance relative to four performance metrics and the executive’s continued employment, except in the case of death, disability, qualifying separation within two years of a change-in-control, retirement and certain involuntary terminations. Vesting occurs following the three-year performance period with payouts ranging from 6.25%, if threshold performance is achieved for one metric only, to a maximum payout of 200%, if maximum performance is achieved for all four metrics. If RTX’s three-year TSR is negative, the payout for each TSR portion of the award is capped at 100%, regardless of RTX’s performance relative to the S&amp;P 500 and our Core A&amp;D Peers. Unvested PSUs do not earn dividend equivalents. Vested PSUs are settled in unrestricted shares of RTX Common Stock at the end of the performance period following the Committee’s review and approval of performance achievement levels.</w:t>
      </w:r>
    </w:p>
    <w:p>
      <w:pPr>
        <w:spacing w:after="0" w:line="155" w:lineRule="exact"/>
        <w:rPr>
          <w:sz w:val="20"/>
          <w:szCs w:val="20"/>
          <w:color w:val="auto"/>
        </w:rPr>
      </w:pPr>
    </w:p>
    <w:p>
      <w:pPr>
        <w:ind w:left="260" w:hanging="253"/>
        <w:spacing w:after="0"/>
        <w:tabs>
          <w:tab w:leader="none" w:pos="260" w:val="left"/>
        </w:tabs>
        <w:numPr>
          <w:ilvl w:val="0"/>
          <w:numId w:val="187"/>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OUTSTANDING EQUITY AWARDS AT FISCAL YEAR-END</w:t>
      </w:r>
    </w:p>
    <w:p>
      <w:pPr>
        <w:spacing w:after="0" w:line="197" w:lineRule="exact"/>
        <w:rPr>
          <w:sz w:val="20"/>
          <w:szCs w:val="20"/>
          <w:color w:val="auto"/>
        </w:rPr>
      </w:pPr>
    </w:p>
    <w:p>
      <w:pPr>
        <w:ind w:left="320" w:right="40" w:hanging="313"/>
        <w:spacing w:after="0" w:line="239" w:lineRule="auto"/>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Reflects the number of RSUs granted under the RTX LTIP during 2021. RSUs vest three years from the grant date, subject to the executive’s continued employment, except in the case of death, disability, qualifying separation within two years of a change-in-control, retirement and certain involuntary terminations. Each RSU corresponds to one share of RTX Common Stock. When RTX pays a dividend to shareowners, RSUs earn dividend equivalents that are reinvested as additional RSUs during the vesting period. The reinvested RSUs vest on the same date as the underlying RSUs. Vested RSUs are settled in unrestricted shares of RTX Common Stock.</w:t>
      </w:r>
    </w:p>
    <w:p>
      <w:pPr>
        <w:spacing w:after="0" w:line="39" w:lineRule="exact"/>
        <w:rPr>
          <w:rFonts w:ascii="Arial" w:cs="Arial" w:eastAsia="Arial" w:hAnsi="Arial"/>
          <w:sz w:val="12"/>
          <w:szCs w:val="12"/>
          <w:color w:val="auto"/>
        </w:rPr>
      </w:pPr>
    </w:p>
    <w:p>
      <w:pPr>
        <w:jc w:val="both"/>
        <w:ind w:left="320" w:right="40" w:hanging="313"/>
        <w:spacing w:after="0" w:line="242" w:lineRule="auto"/>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Reflects the number of SARs granted under the RTX LTIP during 2021, which vest and become exercisable three years from the grant date, subject to the executive’s continued employment, except in the case of death, disability, qualifying separation within two years of a change-in-control, retirement and certain involuntary terminations. Exercised SARs are settled in unrestricted shares of RTX Common Stock.</w:t>
      </w:r>
    </w:p>
    <w:p>
      <w:pPr>
        <w:spacing w:after="0" w:line="37" w:lineRule="exact"/>
        <w:rPr>
          <w:rFonts w:ascii="Arial" w:cs="Arial" w:eastAsia="Arial" w:hAnsi="Arial"/>
          <w:sz w:val="12"/>
          <w:szCs w:val="12"/>
          <w:color w:val="auto"/>
        </w:rPr>
      </w:pPr>
    </w:p>
    <w:p>
      <w:pPr>
        <w:ind w:left="320" w:hanging="313"/>
        <w:spacing w:after="0"/>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The SAR exercise price equals the NYSE closing price of RTX Common Stock on the grant date.</w:t>
      </w:r>
    </w:p>
    <w:p>
      <w:pPr>
        <w:spacing w:after="0" w:line="49" w:lineRule="exact"/>
        <w:rPr>
          <w:rFonts w:ascii="Arial" w:cs="Arial" w:eastAsia="Arial" w:hAnsi="Arial"/>
          <w:sz w:val="12"/>
          <w:szCs w:val="12"/>
          <w:color w:val="auto"/>
        </w:rPr>
      </w:pPr>
    </w:p>
    <w:p>
      <w:pPr>
        <w:ind w:left="320" w:right="320" w:hanging="313"/>
        <w:spacing w:after="0" w:line="252" w:lineRule="auto"/>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Reflects the grant date fair value of awards granted in 2021, with vesting assumed at 100% of target for PSUs. Values are calculated in accordance with FASB ASC Topic 718, but excluding the effect of estimated forfeitures.</w:t>
      </w:r>
    </w:p>
    <w:p>
      <w:pPr>
        <w:spacing w:after="0" w:line="31" w:lineRule="exact"/>
        <w:rPr>
          <w:rFonts w:ascii="Arial" w:cs="Arial" w:eastAsia="Arial" w:hAnsi="Arial"/>
          <w:sz w:val="12"/>
          <w:szCs w:val="12"/>
          <w:color w:val="auto"/>
        </w:rPr>
      </w:pPr>
    </w:p>
    <w:p>
      <w:pPr>
        <w:ind w:left="320" w:right="160" w:hanging="313"/>
        <w:spacing w:after="0" w:line="242" w:lineRule="auto"/>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Following Mr. Mitchill’s appointment to the role of Executive Vice President &amp; Chief Financial Officer in April 2021, the Committee awarded him an incremental 2021 LTI award (comprised of PSUs, RSUs and SARs) to account for his expanded responsibilities and to better align his 2021 LTI award with the market for his new role. The incremental 2021 LTI award has the same terms and conditions and was granted with the same LTI mix as the 2021 LTI award granted on February 8, 2021.</w:t>
      </w:r>
    </w:p>
    <w:p>
      <w:pPr>
        <w:spacing w:after="0" w:line="37" w:lineRule="exact"/>
        <w:rPr>
          <w:rFonts w:ascii="Arial" w:cs="Arial" w:eastAsia="Arial" w:hAnsi="Arial"/>
          <w:sz w:val="12"/>
          <w:szCs w:val="12"/>
          <w:color w:val="auto"/>
        </w:rPr>
      </w:pPr>
    </w:p>
    <w:p>
      <w:pPr>
        <w:ind w:left="320" w:right="40" w:hanging="313"/>
        <w:spacing w:after="0"/>
        <w:tabs>
          <w:tab w:leader="none" w:pos="32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Upon Mr. Kennedy’s retirement, the majority of his legacy RTN equity awards that were assumed by RTX in connection with the Merger were eligible to vest or continue vesting by their terms in accordance with retirement vesting provisions that pre-dated the Merger. In recognition of the release of claims agreed to by Mr. Kennedy at the time of his retirement (see page 83 for additional details), and in order to provide Mr. Kennedy with the benefit of the equity award vesting that he generally would have received had there been a need for him to continue service with RTX through the second anniversary of the Merger as originally contemplated per the terms of his employment agreement, the Committee agreed to give Mr. Kennedy retirement vesting treatment for the remainder of his legacy Raytheon Company equity awards and for his 2021 RTX LTI awards. The amounts shown reflects the incremental fair value resulting from this grant modification, pursuant to accounting guidance prescribed under FASB ASC Topic 718, which in accordance with SEC rules is reportable as compensation. The incremental fair value is determined by comparing the aggregate fair value of the awards immediately before and after the modification. The assumptions made in the valuation of these awards are set forth in Note 21: Stock Based Compensation, to the Consolidated Financial Statements in RTX’s 2021 Form 10-K.</w:t>
      </w:r>
    </w:p>
    <w:p>
      <w:pPr>
        <w:spacing w:after="0" w:line="26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Outstanding Equity Awards at Fiscal Year-End</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20" w:type="dxa"/>
            <w:vAlign w:val="bottom"/>
          </w:tcPr>
          <w:p>
            <w:pPr>
              <w:spacing w:after="0"/>
              <w:rPr>
                <w:sz w:val="15"/>
                <w:szCs w:val="15"/>
                <w:color w:val="auto"/>
              </w:rPr>
            </w:pPr>
          </w:p>
        </w:tc>
        <w:tc>
          <w:tcPr>
            <w:tcW w:w="1040" w:type="dxa"/>
            <w:vAlign w:val="bottom"/>
            <w:tcBorders>
              <w:bottom w:val="single" w:sz="8" w:color="CE0F2D"/>
            </w:tcBorders>
          </w:tcPr>
          <w:p>
            <w:pPr>
              <w:spacing w:after="0"/>
              <w:rPr>
                <w:sz w:val="15"/>
                <w:szCs w:val="15"/>
                <w:color w:val="auto"/>
              </w:rPr>
            </w:pPr>
          </w:p>
        </w:tc>
        <w:tc>
          <w:tcPr>
            <w:tcW w:w="1920" w:type="dxa"/>
            <w:vAlign w:val="bottom"/>
            <w:tcBorders>
              <w:bottom w:val="single" w:sz="8" w:color="CE0F2D"/>
            </w:tcBorders>
            <w:gridSpan w:val="2"/>
          </w:tcPr>
          <w:p>
            <w:pPr>
              <w:jc w:val="right"/>
              <w:ind w:right="570"/>
              <w:spacing w:after="0"/>
              <w:rPr>
                <w:sz w:val="20"/>
                <w:szCs w:val="20"/>
                <w:color w:val="auto"/>
              </w:rPr>
            </w:pPr>
            <w:r>
              <w:rPr>
                <w:rFonts w:ascii="Arial" w:cs="Arial" w:eastAsia="Arial" w:hAnsi="Arial"/>
                <w:sz w:val="12"/>
                <w:szCs w:val="12"/>
                <w:b w:val="1"/>
                <w:bCs w:val="1"/>
                <w:color w:val="auto"/>
              </w:rPr>
              <w:t>Option Awards</w:t>
            </w:r>
          </w:p>
        </w:tc>
        <w:tc>
          <w:tcPr>
            <w:tcW w:w="780" w:type="dxa"/>
            <w:vAlign w:val="bottom"/>
            <w:tcBorders>
              <w:bottom w:val="single" w:sz="8" w:color="CE0F2D"/>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CE0F2D"/>
            </w:tcBorders>
          </w:tcPr>
          <w:p>
            <w:pPr>
              <w:spacing w:after="0"/>
              <w:rPr>
                <w:sz w:val="15"/>
                <w:szCs w:val="15"/>
                <w:color w:val="auto"/>
              </w:rPr>
            </w:pPr>
          </w:p>
        </w:tc>
        <w:tc>
          <w:tcPr>
            <w:tcW w:w="2260" w:type="dxa"/>
            <w:vAlign w:val="bottom"/>
            <w:tcBorders>
              <w:bottom w:val="single" w:sz="8" w:color="CE0F2D"/>
            </w:tcBorders>
            <w:gridSpan w:val="2"/>
          </w:tcPr>
          <w:p>
            <w:pPr>
              <w:jc w:val="right"/>
              <w:ind w:right="591"/>
              <w:spacing w:after="0"/>
              <w:rPr>
                <w:sz w:val="20"/>
                <w:szCs w:val="20"/>
                <w:color w:val="auto"/>
              </w:rPr>
            </w:pPr>
            <w:r>
              <w:rPr>
                <w:rFonts w:ascii="Arial" w:cs="Arial" w:eastAsia="Arial" w:hAnsi="Arial"/>
                <w:sz w:val="12"/>
                <w:szCs w:val="12"/>
                <w:b w:val="1"/>
                <w:bCs w:val="1"/>
                <w:color w:val="auto"/>
              </w:rPr>
              <w:t>Stock Awards</w:t>
            </w:r>
          </w:p>
        </w:tc>
        <w:tc>
          <w:tcPr>
            <w:tcW w:w="1160" w:type="dxa"/>
            <w:vAlign w:val="bottom"/>
            <w:tcBorders>
              <w:bottom w:val="single" w:sz="8" w:color="CE0F2D"/>
            </w:tcBorders>
          </w:tcPr>
          <w:p>
            <w:pPr>
              <w:spacing w:after="0"/>
              <w:rPr>
                <w:sz w:val="15"/>
                <w:szCs w:val="15"/>
                <w:color w:val="auto"/>
              </w:rPr>
            </w:pPr>
          </w:p>
        </w:tc>
      </w:tr>
      <w:tr>
        <w:trPr>
          <w:trHeight w:val="141"/>
        </w:trPr>
        <w:tc>
          <w:tcPr>
            <w:tcW w:w="2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shd w:val="clear" w:color="auto" w:fill="ECEDEF"/>
          </w:tcPr>
          <w:p>
            <w:pPr>
              <w:spacing w:after="0"/>
              <w:rPr>
                <w:sz w:val="12"/>
                <w:szCs w:val="12"/>
                <w:color w:val="auto"/>
              </w:rPr>
            </w:pPr>
          </w:p>
        </w:tc>
        <w:tc>
          <w:tcPr>
            <w:tcW w:w="1020" w:type="dxa"/>
            <w:vAlign w:val="bottom"/>
            <w:shd w:val="clear" w:color="auto" w:fill="ECEDEF"/>
          </w:tcPr>
          <w:p>
            <w:pPr>
              <w:spacing w:after="0"/>
              <w:rPr>
                <w:sz w:val="12"/>
                <w:szCs w:val="12"/>
                <w:color w:val="auto"/>
              </w:rPr>
            </w:pPr>
          </w:p>
        </w:tc>
        <w:tc>
          <w:tcPr>
            <w:tcW w:w="1240" w:type="dxa"/>
            <w:vAlign w:val="bottom"/>
            <w:shd w:val="clear" w:color="auto" w:fill="ECEDEF"/>
          </w:tcPr>
          <w:p>
            <w:pPr>
              <w:spacing w:after="0"/>
              <w:rPr>
                <w:sz w:val="12"/>
                <w:szCs w:val="12"/>
                <w:color w:val="auto"/>
              </w:rPr>
            </w:pPr>
          </w:p>
        </w:tc>
        <w:tc>
          <w:tcPr>
            <w:tcW w:w="1160" w:type="dxa"/>
            <w:vAlign w:val="bottom"/>
            <w:shd w:val="clear" w:color="auto" w:fill="ECEDEF"/>
          </w:tcPr>
          <w:p>
            <w:pPr>
              <w:jc w:val="right"/>
              <w:spacing w:after="0"/>
              <w:rPr>
                <w:sz w:val="20"/>
                <w:szCs w:val="20"/>
                <w:color w:val="auto"/>
              </w:rPr>
            </w:pPr>
            <w:r>
              <w:rPr>
                <w:rFonts w:ascii="Arial" w:cs="Arial" w:eastAsia="Arial" w:hAnsi="Arial"/>
                <w:sz w:val="12"/>
                <w:szCs w:val="12"/>
                <w:b w:val="1"/>
                <w:bCs w:val="1"/>
                <w:color w:val="636466"/>
              </w:rPr>
              <w:t>Equity Incentive</w:t>
            </w:r>
          </w:p>
        </w:tc>
      </w:tr>
      <w:tr>
        <w:trPr>
          <w:trHeight w:val="134"/>
        </w:trPr>
        <w:tc>
          <w:tcPr>
            <w:tcW w:w="29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spacing w:after="0"/>
              <w:rPr>
                <w:sz w:val="11"/>
                <w:szCs w:val="11"/>
                <w:color w:val="auto"/>
              </w:rPr>
            </w:pPr>
          </w:p>
        </w:tc>
        <w:tc>
          <w:tcPr>
            <w:tcW w:w="1020" w:type="dxa"/>
            <w:vAlign w:val="bottom"/>
            <w:shd w:val="clear" w:color="auto" w:fill="ECEDEF"/>
          </w:tcPr>
          <w:p>
            <w:pPr>
              <w:spacing w:after="0"/>
              <w:rPr>
                <w:sz w:val="11"/>
                <w:szCs w:val="11"/>
                <w:color w:val="auto"/>
              </w:rPr>
            </w:pPr>
          </w:p>
        </w:tc>
        <w:tc>
          <w:tcPr>
            <w:tcW w:w="124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Equity Incentive</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Plan Awards:</w:t>
            </w:r>
          </w:p>
        </w:tc>
      </w:tr>
      <w:tr>
        <w:trPr>
          <w:trHeight w:val="167"/>
        </w:trPr>
        <w:tc>
          <w:tcPr>
            <w:tcW w:w="2920" w:type="dxa"/>
            <w:vAlign w:val="bottom"/>
          </w:tcPr>
          <w:p>
            <w:pPr>
              <w:spacing w:after="0"/>
              <w:rPr>
                <w:sz w:val="14"/>
                <w:szCs w:val="14"/>
                <w:color w:val="auto"/>
              </w:rPr>
            </w:pPr>
          </w:p>
        </w:tc>
        <w:tc>
          <w:tcPr>
            <w:tcW w:w="1040" w:type="dxa"/>
            <w:vAlign w:val="bottom"/>
          </w:tcPr>
          <w:p>
            <w:pPr>
              <w:jc w:val="right"/>
              <w:ind w:right="11"/>
              <w:spacing w:after="0"/>
              <w:rPr>
                <w:sz w:val="20"/>
                <w:szCs w:val="20"/>
                <w:color w:val="auto"/>
              </w:rPr>
            </w:pPr>
            <w:r>
              <w:rPr>
                <w:rFonts w:ascii="Arial" w:cs="Arial" w:eastAsia="Arial" w:hAnsi="Arial"/>
                <w:sz w:val="12"/>
                <w:szCs w:val="12"/>
                <w:b w:val="1"/>
                <w:bCs w:val="1"/>
                <w:color w:val="636466"/>
              </w:rPr>
              <w:t>Number of</w:t>
            </w:r>
          </w:p>
        </w:tc>
        <w:tc>
          <w:tcPr>
            <w:tcW w:w="1120" w:type="dxa"/>
            <w:vAlign w:val="bottom"/>
          </w:tcPr>
          <w:p>
            <w:pPr>
              <w:jc w:val="right"/>
              <w:ind w:right="31"/>
              <w:spacing w:after="0"/>
              <w:rPr>
                <w:sz w:val="20"/>
                <w:szCs w:val="20"/>
                <w:color w:val="auto"/>
              </w:rPr>
            </w:pPr>
            <w:r>
              <w:rPr>
                <w:rFonts w:ascii="Arial" w:cs="Arial" w:eastAsia="Arial" w:hAnsi="Arial"/>
                <w:sz w:val="12"/>
                <w:szCs w:val="12"/>
                <w:b w:val="1"/>
                <w:bCs w:val="1"/>
                <w:color w:val="636466"/>
              </w:rPr>
              <w:t>Number of</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shd w:val="clear" w:color="auto" w:fill="ECEDEF"/>
          </w:tcPr>
          <w:p>
            <w:pPr>
              <w:spacing w:after="0"/>
              <w:rPr>
                <w:sz w:val="14"/>
                <w:szCs w:val="14"/>
                <w:color w:val="auto"/>
              </w:rPr>
            </w:pPr>
          </w:p>
        </w:tc>
        <w:tc>
          <w:tcPr>
            <w:tcW w:w="1020" w:type="dxa"/>
            <w:vAlign w:val="bottom"/>
            <w:shd w:val="clear" w:color="auto" w:fill="ECEDEF"/>
          </w:tcPr>
          <w:p>
            <w:pPr>
              <w:spacing w:after="0"/>
              <w:rPr>
                <w:sz w:val="14"/>
                <w:szCs w:val="14"/>
                <w:color w:val="auto"/>
              </w:rPr>
            </w:pPr>
          </w:p>
        </w:tc>
        <w:tc>
          <w:tcPr>
            <w:tcW w:w="1240" w:type="dxa"/>
            <w:vAlign w:val="bottom"/>
            <w:shd w:val="clear" w:color="auto" w:fill="ECEDEF"/>
          </w:tcPr>
          <w:p>
            <w:pPr>
              <w:jc w:val="right"/>
              <w:ind w:right="91"/>
              <w:spacing w:after="0"/>
              <w:rPr>
                <w:sz w:val="20"/>
                <w:szCs w:val="20"/>
                <w:color w:val="auto"/>
              </w:rPr>
            </w:pPr>
            <w:r>
              <w:rPr>
                <w:rFonts w:ascii="Arial" w:cs="Arial" w:eastAsia="Arial" w:hAnsi="Arial"/>
                <w:sz w:val="12"/>
                <w:szCs w:val="12"/>
                <w:b w:val="1"/>
                <w:bCs w:val="1"/>
                <w:color w:val="636466"/>
              </w:rPr>
              <w:t>Plan Awards:</w:t>
            </w:r>
          </w:p>
        </w:tc>
        <w:tc>
          <w:tcPr>
            <w:tcW w:w="1160" w:type="dxa"/>
            <w:vAlign w:val="bottom"/>
            <w:shd w:val="clear" w:color="auto" w:fill="ECEDEF"/>
          </w:tcPr>
          <w:p>
            <w:pPr>
              <w:jc w:val="right"/>
              <w:spacing w:after="0"/>
              <w:rPr>
                <w:sz w:val="20"/>
                <w:szCs w:val="20"/>
                <w:color w:val="auto"/>
              </w:rPr>
            </w:pPr>
            <w:r>
              <w:rPr>
                <w:rFonts w:ascii="Arial" w:cs="Arial" w:eastAsia="Arial" w:hAnsi="Arial"/>
                <w:sz w:val="12"/>
                <w:szCs w:val="12"/>
                <w:b w:val="1"/>
                <w:bCs w:val="1"/>
                <w:color w:val="636466"/>
              </w:rPr>
              <w:t>Market or Payout</w:t>
            </w:r>
          </w:p>
        </w:tc>
      </w:tr>
      <w:tr>
        <w:trPr>
          <w:trHeight w:val="134"/>
        </w:trPr>
        <w:tc>
          <w:tcPr>
            <w:tcW w:w="2920" w:type="dxa"/>
            <w:vAlign w:val="bottom"/>
          </w:tcPr>
          <w:p>
            <w:pPr>
              <w:spacing w:after="0"/>
              <w:rPr>
                <w:sz w:val="11"/>
                <w:szCs w:val="11"/>
                <w:color w:val="auto"/>
              </w:rPr>
            </w:pPr>
          </w:p>
        </w:tc>
        <w:tc>
          <w:tcPr>
            <w:tcW w:w="104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Securities</w:t>
            </w:r>
          </w:p>
        </w:tc>
        <w:tc>
          <w:tcPr>
            <w:tcW w:w="112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Number of</w:t>
            </w:r>
          </w:p>
        </w:tc>
        <w:tc>
          <w:tcPr>
            <w:tcW w:w="102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Market Value</w:t>
            </w:r>
          </w:p>
        </w:tc>
        <w:tc>
          <w:tcPr>
            <w:tcW w:w="124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Number of</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Value of Unearned</w:t>
            </w:r>
          </w:p>
        </w:tc>
      </w:tr>
      <w:tr>
        <w:trPr>
          <w:trHeight w:val="134"/>
        </w:trPr>
        <w:tc>
          <w:tcPr>
            <w:tcW w:w="2920" w:type="dxa"/>
            <w:vAlign w:val="bottom"/>
          </w:tcPr>
          <w:p>
            <w:pPr>
              <w:spacing w:after="0"/>
              <w:rPr>
                <w:sz w:val="11"/>
                <w:szCs w:val="11"/>
                <w:color w:val="auto"/>
              </w:rPr>
            </w:pPr>
          </w:p>
        </w:tc>
        <w:tc>
          <w:tcPr>
            <w:tcW w:w="104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Underlying</w:t>
            </w:r>
          </w:p>
        </w:tc>
        <w:tc>
          <w:tcPr>
            <w:tcW w:w="112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Underlying</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Shares or</w:t>
            </w:r>
          </w:p>
        </w:tc>
        <w:tc>
          <w:tcPr>
            <w:tcW w:w="102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of Shares or</w:t>
            </w:r>
          </w:p>
        </w:tc>
        <w:tc>
          <w:tcPr>
            <w:tcW w:w="124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Unearned Shares,</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Shares, Units or</w:t>
            </w:r>
          </w:p>
        </w:tc>
      </w:tr>
      <w:tr>
        <w:trPr>
          <w:trHeight w:val="134"/>
        </w:trPr>
        <w:tc>
          <w:tcPr>
            <w:tcW w:w="2920" w:type="dxa"/>
            <w:vAlign w:val="bottom"/>
          </w:tcPr>
          <w:p>
            <w:pPr>
              <w:spacing w:after="0"/>
              <w:rPr>
                <w:sz w:val="11"/>
                <w:szCs w:val="11"/>
                <w:color w:val="auto"/>
              </w:rPr>
            </w:pPr>
          </w:p>
        </w:tc>
        <w:tc>
          <w:tcPr>
            <w:tcW w:w="104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Unexercised</w:t>
            </w:r>
          </w:p>
        </w:tc>
        <w:tc>
          <w:tcPr>
            <w:tcW w:w="112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Unexercised</w:t>
            </w:r>
          </w:p>
        </w:tc>
        <w:tc>
          <w:tcPr>
            <w:tcW w:w="80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Option</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b w:val="1"/>
                <w:bCs w:val="1"/>
                <w:color w:val="636466"/>
              </w:rPr>
              <w:t>Option</w:t>
            </w: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Units of Stock</w:t>
            </w:r>
          </w:p>
        </w:tc>
        <w:tc>
          <w:tcPr>
            <w:tcW w:w="102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Units of Stock</w:t>
            </w:r>
          </w:p>
        </w:tc>
        <w:tc>
          <w:tcPr>
            <w:tcW w:w="124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Units or Other</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Other Rights</w:t>
            </w:r>
          </w:p>
        </w:tc>
      </w:tr>
      <w:tr>
        <w:trPr>
          <w:trHeight w:val="134"/>
        </w:trPr>
        <w:tc>
          <w:tcPr>
            <w:tcW w:w="2920" w:type="dxa"/>
            <w:vAlign w:val="bottom"/>
          </w:tcPr>
          <w:p>
            <w:pPr>
              <w:spacing w:after="0"/>
              <w:rPr>
                <w:sz w:val="11"/>
                <w:szCs w:val="11"/>
                <w:color w:val="auto"/>
              </w:rPr>
            </w:pPr>
          </w:p>
        </w:tc>
        <w:tc>
          <w:tcPr>
            <w:tcW w:w="104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36466"/>
              </w:rPr>
              <w:t>Options (#)</w:t>
            </w:r>
          </w:p>
        </w:tc>
        <w:tc>
          <w:tcPr>
            <w:tcW w:w="1120" w:type="dxa"/>
            <w:vAlign w:val="bottom"/>
          </w:tcPr>
          <w:p>
            <w:pPr>
              <w:jc w:val="right"/>
              <w:ind w:right="31"/>
              <w:spacing w:after="0" w:line="134" w:lineRule="exact"/>
              <w:rPr>
                <w:sz w:val="20"/>
                <w:szCs w:val="20"/>
                <w:color w:val="auto"/>
              </w:rPr>
            </w:pPr>
            <w:r>
              <w:rPr>
                <w:rFonts w:ascii="Arial" w:cs="Arial" w:eastAsia="Arial" w:hAnsi="Arial"/>
                <w:sz w:val="12"/>
                <w:szCs w:val="12"/>
                <w:b w:val="1"/>
                <w:bCs w:val="1"/>
                <w:color w:val="636466"/>
              </w:rPr>
              <w:t>Options (#)</w:t>
            </w:r>
          </w:p>
        </w:tc>
        <w:tc>
          <w:tcPr>
            <w:tcW w:w="80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Exercise</w:t>
            </w:r>
          </w:p>
        </w:tc>
        <w:tc>
          <w:tcPr>
            <w:tcW w:w="880" w:type="dxa"/>
            <w:vAlign w:val="bottom"/>
            <w:gridSpan w:val="2"/>
          </w:tcPr>
          <w:p>
            <w:pPr>
              <w:jc w:val="right"/>
              <w:ind w:right="160"/>
              <w:spacing w:after="0" w:line="134" w:lineRule="exact"/>
              <w:rPr>
                <w:sz w:val="20"/>
                <w:szCs w:val="20"/>
                <w:color w:val="auto"/>
              </w:rPr>
            </w:pPr>
            <w:r>
              <w:rPr>
                <w:rFonts w:ascii="Arial" w:cs="Arial" w:eastAsia="Arial" w:hAnsi="Arial"/>
                <w:sz w:val="12"/>
                <w:szCs w:val="12"/>
                <w:b w:val="1"/>
                <w:bCs w:val="1"/>
                <w:color w:val="636466"/>
              </w:rPr>
              <w:t>Expiration</w:t>
            </w: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That Have Not</w:t>
            </w:r>
          </w:p>
        </w:tc>
        <w:tc>
          <w:tcPr>
            <w:tcW w:w="102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That Have Not</w:t>
            </w:r>
          </w:p>
        </w:tc>
        <w:tc>
          <w:tcPr>
            <w:tcW w:w="1240" w:type="dxa"/>
            <w:vAlign w:val="bottom"/>
            <w:shd w:val="clear" w:color="auto" w:fill="ECEDEF"/>
          </w:tcPr>
          <w:p>
            <w:pPr>
              <w:jc w:val="right"/>
              <w:ind w:right="91"/>
              <w:spacing w:after="0" w:line="134" w:lineRule="exact"/>
              <w:rPr>
                <w:sz w:val="20"/>
                <w:szCs w:val="20"/>
                <w:color w:val="auto"/>
              </w:rPr>
            </w:pPr>
            <w:r>
              <w:rPr>
                <w:rFonts w:ascii="Arial" w:cs="Arial" w:eastAsia="Arial" w:hAnsi="Arial"/>
                <w:sz w:val="12"/>
                <w:szCs w:val="12"/>
                <w:b w:val="1"/>
                <w:bCs w:val="1"/>
                <w:color w:val="636466"/>
              </w:rPr>
              <w:t>Rights That Have</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That Have Not</w:t>
            </w:r>
          </w:p>
        </w:tc>
      </w:tr>
      <w:tr>
        <w:trPr>
          <w:trHeight w:val="208"/>
        </w:trPr>
        <w:tc>
          <w:tcPr>
            <w:tcW w:w="2920" w:type="dxa"/>
            <w:vAlign w:val="bottom"/>
            <w:tcBorders>
              <w:bottom w:val="single" w:sz="8" w:color="CE0F2D"/>
            </w:tcBorders>
          </w:tcPr>
          <w:p>
            <w:pPr>
              <w:ind w:left="40"/>
              <w:spacing w:after="0"/>
              <w:rPr>
                <w:sz w:val="20"/>
                <w:szCs w:val="20"/>
                <w:color w:val="auto"/>
              </w:rPr>
            </w:pPr>
            <w:r>
              <w:rPr>
                <w:rFonts w:ascii="Arial" w:cs="Arial" w:eastAsia="Arial" w:hAnsi="Arial"/>
                <w:sz w:val="12"/>
                <w:szCs w:val="12"/>
                <w:b w:val="1"/>
                <w:bCs w:val="1"/>
                <w:color w:val="636466"/>
              </w:rPr>
              <w:t>Grant Date</w:t>
            </w:r>
          </w:p>
        </w:tc>
        <w:tc>
          <w:tcPr>
            <w:tcW w:w="1040" w:type="dxa"/>
            <w:vAlign w:val="bottom"/>
            <w:tcBorders>
              <w:bottom w:val="single" w:sz="8" w:color="CE0F2D"/>
            </w:tcBorders>
          </w:tcPr>
          <w:p>
            <w:pPr>
              <w:jc w:val="right"/>
              <w:ind w:right="11"/>
              <w:spacing w:after="0"/>
              <w:rPr>
                <w:sz w:val="20"/>
                <w:szCs w:val="20"/>
                <w:color w:val="auto"/>
              </w:rPr>
            </w:pPr>
            <w:r>
              <w:rPr>
                <w:rFonts w:ascii="Arial" w:cs="Arial" w:eastAsia="Arial" w:hAnsi="Arial"/>
                <w:sz w:val="12"/>
                <w:szCs w:val="12"/>
                <w:b w:val="1"/>
                <w:bCs w:val="1"/>
                <w:color w:val="636466"/>
              </w:rPr>
              <w:t>(Exercisable)</w:t>
            </w:r>
          </w:p>
        </w:tc>
        <w:tc>
          <w:tcPr>
            <w:tcW w:w="1120" w:type="dxa"/>
            <w:vAlign w:val="bottom"/>
            <w:tcBorders>
              <w:bottom w:val="single" w:sz="8" w:color="CE0F2D"/>
            </w:tcBorders>
          </w:tcPr>
          <w:p>
            <w:pPr>
              <w:jc w:val="right"/>
              <w:ind w:right="31"/>
              <w:spacing w:after="0"/>
              <w:rPr>
                <w:sz w:val="20"/>
                <w:szCs w:val="20"/>
                <w:color w:val="auto"/>
              </w:rPr>
            </w:pPr>
            <w:r>
              <w:rPr>
                <w:rFonts w:ascii="Arial" w:cs="Arial" w:eastAsia="Arial" w:hAnsi="Arial"/>
                <w:sz w:val="12"/>
                <w:szCs w:val="12"/>
                <w:b w:val="1"/>
                <w:bCs w:val="1"/>
                <w:color w:val="636466"/>
              </w:rPr>
              <w:t>(Unexercisable)</w:t>
            </w:r>
          </w:p>
        </w:tc>
        <w:tc>
          <w:tcPr>
            <w:tcW w:w="800" w:type="dxa"/>
            <w:vAlign w:val="bottom"/>
            <w:tcBorders>
              <w:bottom w:val="single" w:sz="8" w:color="CE0F2D"/>
            </w:tcBorders>
          </w:tcPr>
          <w:p>
            <w:pPr>
              <w:jc w:val="right"/>
              <w:ind w:right="10"/>
              <w:spacing w:after="0" w:line="187" w:lineRule="exact"/>
              <w:rPr>
                <w:sz w:val="20"/>
                <w:szCs w:val="20"/>
                <w:color w:val="auto"/>
              </w:rPr>
            </w:pPr>
            <w:r>
              <w:rPr>
                <w:rFonts w:ascii="Arial" w:cs="Arial" w:eastAsia="Arial" w:hAnsi="Arial"/>
                <w:sz w:val="12"/>
                <w:szCs w:val="12"/>
                <w:b w:val="1"/>
                <w:bCs w:val="1"/>
                <w:color w:val="636466"/>
              </w:rPr>
              <w:t>Price ($)</w:t>
            </w:r>
            <w:r>
              <w:rPr>
                <w:rFonts w:ascii="Arial" w:cs="Arial" w:eastAsia="Arial" w:hAnsi="Arial"/>
                <w:sz w:val="20"/>
                <w:szCs w:val="20"/>
                <w:b w:val="1"/>
                <w:bCs w:val="1"/>
                <w:color w:val="636466"/>
                <w:vertAlign w:val="superscript"/>
              </w:rPr>
              <w:t>(1)</w:t>
            </w:r>
          </w:p>
        </w:tc>
        <w:tc>
          <w:tcPr>
            <w:tcW w:w="880" w:type="dxa"/>
            <w:vAlign w:val="bottom"/>
            <w:tcBorders>
              <w:bottom w:val="single" w:sz="8" w:color="CE0F2D"/>
            </w:tcBorders>
            <w:gridSpan w:val="2"/>
          </w:tcPr>
          <w:p>
            <w:pPr>
              <w:jc w:val="right"/>
              <w:ind w:right="160"/>
              <w:spacing w:after="0"/>
              <w:rPr>
                <w:sz w:val="20"/>
                <w:szCs w:val="20"/>
                <w:color w:val="auto"/>
              </w:rPr>
            </w:pPr>
            <w:r>
              <w:rPr>
                <w:rFonts w:ascii="Arial" w:cs="Arial" w:eastAsia="Arial" w:hAnsi="Arial"/>
                <w:sz w:val="12"/>
                <w:szCs w:val="12"/>
                <w:b w:val="1"/>
                <w:bCs w:val="1"/>
                <w:color w:val="636466"/>
              </w:rPr>
              <w:t>Date</w:t>
            </w:r>
          </w:p>
        </w:tc>
        <w:tc>
          <w:tcPr>
            <w:tcW w:w="1060" w:type="dxa"/>
            <w:vAlign w:val="bottom"/>
            <w:tcBorders>
              <w:bottom w:val="single" w:sz="8" w:color="CE0F2D"/>
            </w:tcBorders>
            <w:shd w:val="clear" w:color="auto" w:fill="ECEDEF"/>
          </w:tcPr>
          <w:p>
            <w:pPr>
              <w:jc w:val="right"/>
              <w:ind w:right="90"/>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(2)</w:t>
            </w:r>
          </w:p>
        </w:tc>
        <w:tc>
          <w:tcPr>
            <w:tcW w:w="1020" w:type="dxa"/>
            <w:vAlign w:val="bottom"/>
            <w:tcBorders>
              <w:bottom w:val="single" w:sz="8" w:color="CE0F2D"/>
            </w:tcBorders>
            <w:shd w:val="clear" w:color="auto" w:fill="ECEDEF"/>
          </w:tcPr>
          <w:p>
            <w:pPr>
              <w:jc w:val="right"/>
              <w:ind w:right="91"/>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(3)</w:t>
            </w:r>
          </w:p>
        </w:tc>
        <w:tc>
          <w:tcPr>
            <w:tcW w:w="1240" w:type="dxa"/>
            <w:vAlign w:val="bottom"/>
            <w:tcBorders>
              <w:bottom w:val="single" w:sz="8" w:color="CE0F2D"/>
            </w:tcBorders>
            <w:shd w:val="clear" w:color="auto" w:fill="ECEDEF"/>
          </w:tcPr>
          <w:p>
            <w:pPr>
              <w:jc w:val="right"/>
              <w:ind w:right="91"/>
              <w:spacing w:after="0" w:line="187" w:lineRule="exact"/>
              <w:rPr>
                <w:sz w:val="20"/>
                <w:szCs w:val="20"/>
                <w:color w:val="auto"/>
              </w:rPr>
            </w:pPr>
            <w:r>
              <w:rPr>
                <w:rFonts w:ascii="Arial" w:cs="Arial" w:eastAsia="Arial" w:hAnsi="Arial"/>
                <w:sz w:val="12"/>
                <w:szCs w:val="12"/>
                <w:b w:val="1"/>
                <w:bCs w:val="1"/>
                <w:color w:val="636466"/>
              </w:rPr>
              <w:t>Not Vested (#)</w:t>
            </w:r>
            <w:r>
              <w:rPr>
                <w:rFonts w:ascii="Arial" w:cs="Arial" w:eastAsia="Arial" w:hAnsi="Arial"/>
                <w:sz w:val="20"/>
                <w:szCs w:val="20"/>
                <w:b w:val="1"/>
                <w:bCs w:val="1"/>
                <w:color w:val="636466"/>
                <w:vertAlign w:val="superscript"/>
              </w:rPr>
              <w:t>(4)</w:t>
            </w:r>
          </w:p>
        </w:tc>
        <w:tc>
          <w:tcPr>
            <w:tcW w:w="1160" w:type="dxa"/>
            <w:vAlign w:val="bottom"/>
            <w:tcBorders>
              <w:bottom w:val="single" w:sz="8" w:color="CE0F2D"/>
            </w:tcBorders>
            <w:shd w:val="clear" w:color="auto" w:fill="ECEDEF"/>
          </w:tcPr>
          <w:p>
            <w:pPr>
              <w:jc w:val="right"/>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(5)</w:t>
            </w:r>
          </w:p>
        </w:tc>
      </w:tr>
      <w:tr>
        <w:trPr>
          <w:trHeight w:val="275"/>
        </w:trPr>
        <w:tc>
          <w:tcPr>
            <w:tcW w:w="292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G. Hayes</w:t>
            </w:r>
          </w:p>
        </w:tc>
        <w:tc>
          <w:tcPr>
            <w:tcW w:w="104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41" w:lineRule="exact"/>
              <w:rPr>
                <w:sz w:val="20"/>
                <w:szCs w:val="20"/>
                <w:color w:val="auto"/>
              </w:rPr>
            </w:pPr>
            <w:r>
              <w:rPr>
                <w:rFonts w:ascii="Arial" w:cs="Arial" w:eastAsia="Arial" w:hAnsi="Arial"/>
                <w:sz w:val="14"/>
                <w:szCs w:val="14"/>
                <w:color w:val="auto"/>
              </w:rPr>
              <w:t>181,900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$72.49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2/7/2031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40,988</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$3,527,427</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240,040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$20,657,842</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2/4/2020</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34" w:lineRule="exact"/>
              <w:rPr>
                <w:sz w:val="20"/>
                <w:szCs w:val="20"/>
                <w:color w:val="auto"/>
              </w:rPr>
            </w:pPr>
            <w:r>
              <w:rPr>
                <w:rFonts w:ascii="Arial" w:cs="Arial" w:eastAsia="Arial" w:hAnsi="Arial"/>
                <w:sz w:val="14"/>
                <w:szCs w:val="14"/>
                <w:color w:val="auto"/>
              </w:rPr>
              <w:t>430,050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$90.73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2/3/2030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78,408</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$6,747,792</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34" w:lineRule="exact"/>
              <w:rPr>
                <w:sz w:val="20"/>
                <w:szCs w:val="20"/>
                <w:color w:val="auto"/>
              </w:rPr>
            </w:pPr>
            <w:r>
              <w:rPr>
                <w:rFonts w:ascii="Arial" w:cs="Arial" w:eastAsia="Arial" w:hAnsi="Arial"/>
                <w:sz w:val="14"/>
                <w:szCs w:val="14"/>
                <w:color w:val="auto"/>
              </w:rPr>
              <w:t>541,357</w:t>
            </w:r>
            <w:r>
              <w:rPr>
                <w:rFonts w:ascii="Arial" w:cs="Arial" w:eastAsia="Arial" w:hAnsi="Arial"/>
                <w:sz w:val="23"/>
                <w:szCs w:val="23"/>
                <w:color w:val="auto"/>
                <w:vertAlign w:val="superscript"/>
              </w:rPr>
              <w:t>(7)</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$71.62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2/4/2029</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114,320</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$9,838,379</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1/2/2018</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271,521</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$76.00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1/3/2017</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128,541</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$82.35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1/2/2027</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1/4/2016</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224,734</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1/3/2026</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1/2/2015</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140,884</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$85.47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29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1/2/2014</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60,865</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$83.58</w:t>
            </w:r>
          </w:p>
        </w:tc>
        <w:tc>
          <w:tcPr>
            <w:tcW w:w="7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1/1/2024</w:t>
            </w:r>
          </w:p>
        </w:tc>
        <w:tc>
          <w:tcPr>
            <w:tcW w:w="100" w:type="dxa"/>
            <w:vAlign w:val="bottom"/>
            <w:tcBorders>
              <w:bottom w:val="single" w:sz="8" w:color="636466"/>
            </w:tcBorders>
          </w:tcPr>
          <w:p>
            <w:pPr>
              <w:spacing w:after="0"/>
              <w:rPr>
                <w:sz w:val="19"/>
                <w:szCs w:val="19"/>
                <w:color w:val="auto"/>
              </w:rPr>
            </w:pPr>
          </w:p>
        </w:tc>
        <w:tc>
          <w:tcPr>
            <w:tcW w:w="106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36466"/>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292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N. Mitchill, Jr.</w:t>
            </w:r>
          </w:p>
        </w:tc>
        <w:tc>
          <w:tcPr>
            <w:tcW w:w="104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8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4/26/2021</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41" w:lineRule="exact"/>
              <w:rPr>
                <w:sz w:val="20"/>
                <w:szCs w:val="20"/>
                <w:color w:val="auto"/>
              </w:rPr>
            </w:pPr>
            <w:r>
              <w:rPr>
                <w:rFonts w:ascii="Arial" w:cs="Arial" w:eastAsia="Arial" w:hAnsi="Arial"/>
                <w:sz w:val="14"/>
                <w:szCs w:val="14"/>
                <w:color w:val="auto"/>
              </w:rPr>
              <w:t>16,900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$81.00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4/25/2031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3,772</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$324,618</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22,230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$1,913,114</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34" w:lineRule="exact"/>
              <w:rPr>
                <w:sz w:val="20"/>
                <w:szCs w:val="20"/>
                <w:color w:val="auto"/>
              </w:rPr>
            </w:pPr>
            <w:r>
              <w:rPr>
                <w:rFonts w:ascii="Arial" w:cs="Arial" w:eastAsia="Arial" w:hAnsi="Arial"/>
                <w:sz w:val="14"/>
                <w:szCs w:val="14"/>
                <w:color w:val="auto"/>
              </w:rPr>
              <w:t>18,900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$72.49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2/7/2031</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8,482</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$729,961</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16,560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$1,425,154</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2/4/2020</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34" w:lineRule="exact"/>
              <w:rPr>
                <w:sz w:val="20"/>
                <w:szCs w:val="20"/>
                <w:color w:val="auto"/>
              </w:rPr>
            </w:pPr>
            <w:r>
              <w:rPr>
                <w:rFonts w:ascii="Arial" w:cs="Arial" w:eastAsia="Arial" w:hAnsi="Arial"/>
                <w:sz w:val="14"/>
                <w:szCs w:val="14"/>
                <w:color w:val="auto"/>
              </w:rPr>
              <w:t>52,280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$90.73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2/3/2030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9,947</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$856,039</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line="234" w:lineRule="exact"/>
              <w:rPr>
                <w:sz w:val="20"/>
                <w:szCs w:val="20"/>
                <w:color w:val="auto"/>
              </w:rPr>
            </w:pPr>
            <w:r>
              <w:rPr>
                <w:rFonts w:ascii="Arial" w:cs="Arial" w:eastAsia="Arial" w:hAnsi="Arial"/>
                <w:sz w:val="14"/>
                <w:szCs w:val="14"/>
                <w:color w:val="auto"/>
              </w:rPr>
              <w:t>46,377</w:t>
            </w:r>
            <w:r>
              <w:rPr>
                <w:rFonts w:ascii="Arial" w:cs="Arial" w:eastAsia="Arial" w:hAnsi="Arial"/>
                <w:sz w:val="23"/>
                <w:szCs w:val="23"/>
                <w:color w:val="auto"/>
                <w:vertAlign w:val="superscript"/>
              </w:rPr>
              <w:t>(7)</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$71.62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2/4/2029</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10,287</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$885,299</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15,046</w:t>
            </w:r>
            <w:r>
              <w:rPr>
                <w:rFonts w:ascii="Arial" w:cs="Arial" w:eastAsia="Arial" w:hAnsi="Arial"/>
                <w:sz w:val="23"/>
                <w:szCs w:val="23"/>
                <w:color w:val="auto"/>
                <w:vertAlign w:val="superscript"/>
              </w:rPr>
              <w:t>(10)</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$1,294,859</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1/2/2018</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19,394</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$76.00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1/1/2028</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2/13/2017</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40" w:lineRule="exact"/>
              <w:rPr>
                <w:sz w:val="20"/>
                <w:szCs w:val="20"/>
                <w:color w:val="auto"/>
              </w:rPr>
            </w:pPr>
            <w:r>
              <w:rPr>
                <w:rFonts w:ascii="Arial" w:cs="Arial" w:eastAsia="Arial" w:hAnsi="Arial"/>
                <w:sz w:val="14"/>
                <w:szCs w:val="14"/>
                <w:color w:val="auto"/>
              </w:rPr>
              <w:t>17,161</w:t>
            </w:r>
            <w:r>
              <w:rPr>
                <w:rFonts w:ascii="Arial" w:cs="Arial" w:eastAsia="Arial" w:hAnsi="Arial"/>
                <w:sz w:val="23"/>
                <w:szCs w:val="23"/>
                <w:color w:val="auto"/>
                <w:vertAlign w:val="superscript"/>
              </w:rPr>
              <w:t>(11)</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$1,476,876</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1/3/2017</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8,938</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$82.35</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1/2/2027</w:t>
            </w: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1/4/2016</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11,236</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$71.01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1/3/2026</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1/2/2015</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5,873</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$85.47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1/1/2025</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29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9/2/2014</w:t>
            </w:r>
          </w:p>
        </w:tc>
        <w:tc>
          <w:tcPr>
            <w:tcW w:w="104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9,023</w:t>
            </w:r>
          </w:p>
        </w:tc>
        <w:tc>
          <w:tcPr>
            <w:tcW w:w="112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$81.02</w:t>
            </w:r>
          </w:p>
        </w:tc>
        <w:tc>
          <w:tcPr>
            <w:tcW w:w="7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9/1/2024</w:t>
            </w:r>
          </w:p>
        </w:tc>
        <w:tc>
          <w:tcPr>
            <w:tcW w:w="100" w:type="dxa"/>
            <w:vAlign w:val="bottom"/>
            <w:tcBorders>
              <w:bottom w:val="single" w:sz="8" w:color="636466"/>
            </w:tcBorders>
          </w:tcPr>
          <w:p>
            <w:pPr>
              <w:spacing w:after="0"/>
              <w:rPr>
                <w:sz w:val="19"/>
                <w:szCs w:val="19"/>
                <w:color w:val="auto"/>
              </w:rPr>
            </w:pPr>
          </w:p>
        </w:tc>
        <w:tc>
          <w:tcPr>
            <w:tcW w:w="106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36466"/>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shd w:val="clear" w:color="auto" w:fill="ECEDEF"/>
          </w:tcPr>
          <w:p>
            <w:pPr>
              <w:jc w:val="right"/>
              <w:ind w:right="91"/>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bl>
    <w:p>
      <w:pPr>
        <w:spacing w:after="0" w:line="13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gridSpan w:val="3"/>
          </w:tcPr>
          <w:p>
            <w:pPr>
              <w:jc w:val="right"/>
              <w:ind w:right="110"/>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OUTSTANDING EQUITY AWARDS AT FISCAL YEAR-END</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06"/>
        </w:trPr>
        <w:tc>
          <w:tcPr>
            <w:tcW w:w="2960" w:type="dxa"/>
            <w:vAlign w:val="bottom"/>
          </w:tcPr>
          <w:p>
            <w:pPr>
              <w:spacing w:after="0"/>
              <w:rPr>
                <w:sz w:val="24"/>
                <w:szCs w:val="24"/>
                <w:color w:val="auto"/>
              </w:rPr>
            </w:pPr>
          </w:p>
        </w:tc>
        <w:tc>
          <w:tcPr>
            <w:tcW w:w="1060" w:type="dxa"/>
            <w:vAlign w:val="bottom"/>
            <w:tcBorders>
              <w:bottom w:val="single" w:sz="8" w:color="CE0F2D"/>
            </w:tcBorders>
          </w:tcPr>
          <w:p>
            <w:pPr>
              <w:spacing w:after="0"/>
              <w:rPr>
                <w:sz w:val="24"/>
                <w:szCs w:val="24"/>
                <w:color w:val="auto"/>
              </w:rPr>
            </w:pPr>
          </w:p>
        </w:tc>
        <w:tc>
          <w:tcPr>
            <w:tcW w:w="1920" w:type="dxa"/>
            <w:vAlign w:val="bottom"/>
            <w:tcBorders>
              <w:bottom w:val="single" w:sz="8" w:color="CE0F2D"/>
            </w:tcBorders>
            <w:gridSpan w:val="2"/>
          </w:tcPr>
          <w:p>
            <w:pPr>
              <w:jc w:val="right"/>
              <w:ind w:right="609"/>
              <w:spacing w:after="0"/>
              <w:rPr>
                <w:sz w:val="20"/>
                <w:szCs w:val="20"/>
                <w:color w:val="auto"/>
              </w:rPr>
            </w:pPr>
            <w:r>
              <w:rPr>
                <w:rFonts w:ascii="Arial" w:cs="Arial" w:eastAsia="Arial" w:hAnsi="Arial"/>
                <w:sz w:val="12"/>
                <w:szCs w:val="12"/>
                <w:b w:val="1"/>
                <w:bCs w:val="1"/>
                <w:color w:val="404040"/>
              </w:rPr>
              <w:t>Option Awards</w:t>
            </w:r>
          </w:p>
        </w:tc>
        <w:tc>
          <w:tcPr>
            <w:tcW w:w="720" w:type="dxa"/>
            <w:vAlign w:val="bottom"/>
            <w:tcBorders>
              <w:bottom w:val="single" w:sz="8" w:color="CE0F2D"/>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bottom w:val="single" w:sz="8" w:color="CE0F2D"/>
            </w:tcBorders>
          </w:tcPr>
          <w:p>
            <w:pPr>
              <w:spacing w:after="0"/>
              <w:rPr>
                <w:sz w:val="24"/>
                <w:szCs w:val="24"/>
                <w:color w:val="auto"/>
              </w:rPr>
            </w:pPr>
          </w:p>
        </w:tc>
        <w:tc>
          <w:tcPr>
            <w:tcW w:w="2260" w:type="dxa"/>
            <w:vAlign w:val="bottom"/>
            <w:tcBorders>
              <w:bottom w:val="single" w:sz="8" w:color="CE0F2D"/>
            </w:tcBorders>
            <w:gridSpan w:val="2"/>
          </w:tcPr>
          <w:p>
            <w:pPr>
              <w:jc w:val="right"/>
              <w:ind w:right="590"/>
              <w:spacing w:after="0"/>
              <w:rPr>
                <w:sz w:val="20"/>
                <w:szCs w:val="20"/>
                <w:color w:val="auto"/>
              </w:rPr>
            </w:pPr>
            <w:r>
              <w:rPr>
                <w:rFonts w:ascii="Arial" w:cs="Arial" w:eastAsia="Arial" w:hAnsi="Arial"/>
                <w:sz w:val="12"/>
                <w:szCs w:val="12"/>
                <w:b w:val="1"/>
                <w:bCs w:val="1"/>
                <w:color w:val="404040"/>
              </w:rPr>
              <w:t>Stock Awards</w:t>
            </w:r>
          </w:p>
        </w:tc>
        <w:tc>
          <w:tcPr>
            <w:tcW w:w="1160" w:type="dxa"/>
            <w:vAlign w:val="bottom"/>
            <w:tcBorders>
              <w:bottom w:val="single" w:sz="8" w:color="CE0F2D"/>
            </w:tcBorders>
          </w:tcPr>
          <w:p>
            <w:pPr>
              <w:spacing w:after="0"/>
              <w:rPr>
                <w:sz w:val="24"/>
                <w:szCs w:val="24"/>
                <w:color w:val="auto"/>
              </w:rPr>
            </w:pPr>
          </w:p>
        </w:tc>
      </w:tr>
      <w:tr>
        <w:trPr>
          <w:trHeight w:val="141"/>
        </w:trPr>
        <w:tc>
          <w:tcPr>
            <w:tcW w:w="2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shd w:val="clear" w:color="auto" w:fill="ECEDEF"/>
          </w:tcPr>
          <w:p>
            <w:pPr>
              <w:spacing w:after="0"/>
              <w:rPr>
                <w:sz w:val="12"/>
                <w:szCs w:val="12"/>
                <w:color w:val="auto"/>
              </w:rPr>
            </w:pPr>
          </w:p>
        </w:tc>
        <w:tc>
          <w:tcPr>
            <w:tcW w:w="1020" w:type="dxa"/>
            <w:vAlign w:val="bottom"/>
            <w:shd w:val="clear" w:color="auto" w:fill="ECEDEF"/>
          </w:tcPr>
          <w:p>
            <w:pPr>
              <w:spacing w:after="0"/>
              <w:rPr>
                <w:sz w:val="12"/>
                <w:szCs w:val="12"/>
                <w:color w:val="auto"/>
              </w:rPr>
            </w:pPr>
          </w:p>
        </w:tc>
        <w:tc>
          <w:tcPr>
            <w:tcW w:w="1240" w:type="dxa"/>
            <w:vAlign w:val="bottom"/>
            <w:shd w:val="clear" w:color="auto" w:fill="ECEDEF"/>
          </w:tcPr>
          <w:p>
            <w:pPr>
              <w:spacing w:after="0"/>
              <w:rPr>
                <w:sz w:val="12"/>
                <w:szCs w:val="12"/>
                <w:color w:val="auto"/>
              </w:rPr>
            </w:pPr>
          </w:p>
        </w:tc>
        <w:tc>
          <w:tcPr>
            <w:tcW w:w="1160" w:type="dxa"/>
            <w:vAlign w:val="bottom"/>
            <w:shd w:val="clear" w:color="auto" w:fill="ECEDEF"/>
          </w:tcPr>
          <w:p>
            <w:pPr>
              <w:jc w:val="right"/>
              <w:spacing w:after="0"/>
              <w:rPr>
                <w:sz w:val="20"/>
                <w:szCs w:val="20"/>
                <w:color w:val="auto"/>
              </w:rPr>
            </w:pPr>
            <w:r>
              <w:rPr>
                <w:rFonts w:ascii="Arial" w:cs="Arial" w:eastAsia="Arial" w:hAnsi="Arial"/>
                <w:sz w:val="12"/>
                <w:szCs w:val="12"/>
                <w:b w:val="1"/>
                <w:bCs w:val="1"/>
                <w:color w:val="636466"/>
              </w:rPr>
              <w:t>Equity Incentive</w:t>
            </w:r>
          </w:p>
        </w:tc>
      </w:tr>
      <w:tr>
        <w:trPr>
          <w:trHeight w:val="134"/>
        </w:trPr>
        <w:tc>
          <w:tcPr>
            <w:tcW w:w="29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spacing w:after="0"/>
              <w:rPr>
                <w:sz w:val="11"/>
                <w:szCs w:val="11"/>
                <w:color w:val="auto"/>
              </w:rPr>
            </w:pPr>
          </w:p>
        </w:tc>
        <w:tc>
          <w:tcPr>
            <w:tcW w:w="1020" w:type="dxa"/>
            <w:vAlign w:val="bottom"/>
            <w:shd w:val="clear" w:color="auto" w:fill="ECEDEF"/>
          </w:tcPr>
          <w:p>
            <w:pPr>
              <w:spacing w:after="0"/>
              <w:rPr>
                <w:sz w:val="11"/>
                <w:szCs w:val="11"/>
                <w:color w:val="auto"/>
              </w:rPr>
            </w:pPr>
          </w:p>
        </w:tc>
        <w:tc>
          <w:tcPr>
            <w:tcW w:w="124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Equity Incentive</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Plan Awards:</w:t>
            </w:r>
          </w:p>
        </w:tc>
      </w:tr>
      <w:tr>
        <w:trPr>
          <w:trHeight w:val="167"/>
        </w:trPr>
        <w:tc>
          <w:tcPr>
            <w:tcW w:w="2960" w:type="dxa"/>
            <w:vAlign w:val="bottom"/>
          </w:tcPr>
          <w:p>
            <w:pPr>
              <w:spacing w:after="0"/>
              <w:rPr>
                <w:sz w:val="14"/>
                <w:szCs w:val="14"/>
                <w:color w:val="auto"/>
              </w:rPr>
            </w:pPr>
          </w:p>
        </w:tc>
        <w:tc>
          <w:tcPr>
            <w:tcW w:w="1060" w:type="dxa"/>
            <w:vAlign w:val="bottom"/>
          </w:tcPr>
          <w:p>
            <w:pPr>
              <w:jc w:val="right"/>
              <w:ind w:right="10"/>
              <w:spacing w:after="0"/>
              <w:rPr>
                <w:sz w:val="20"/>
                <w:szCs w:val="20"/>
                <w:color w:val="auto"/>
              </w:rPr>
            </w:pPr>
            <w:r>
              <w:rPr>
                <w:rFonts w:ascii="Arial" w:cs="Arial" w:eastAsia="Arial" w:hAnsi="Arial"/>
                <w:sz w:val="12"/>
                <w:szCs w:val="12"/>
                <w:b w:val="1"/>
                <w:bCs w:val="1"/>
                <w:color w:val="636466"/>
              </w:rPr>
              <w:t>Number of</w:t>
            </w:r>
          </w:p>
        </w:tc>
        <w:tc>
          <w:tcPr>
            <w:tcW w:w="1120" w:type="dxa"/>
            <w:vAlign w:val="bottom"/>
          </w:tcPr>
          <w:p>
            <w:pPr>
              <w:jc w:val="right"/>
              <w:ind w:right="30"/>
              <w:spacing w:after="0"/>
              <w:rPr>
                <w:sz w:val="20"/>
                <w:szCs w:val="20"/>
                <w:color w:val="auto"/>
              </w:rPr>
            </w:pPr>
            <w:r>
              <w:rPr>
                <w:rFonts w:ascii="Arial" w:cs="Arial" w:eastAsia="Arial" w:hAnsi="Arial"/>
                <w:sz w:val="12"/>
                <w:szCs w:val="12"/>
                <w:b w:val="1"/>
                <w:bCs w:val="1"/>
                <w:color w:val="636466"/>
              </w:rPr>
              <w:t>Number of</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shd w:val="clear" w:color="auto" w:fill="ECEDEF"/>
          </w:tcPr>
          <w:p>
            <w:pPr>
              <w:spacing w:after="0"/>
              <w:rPr>
                <w:sz w:val="14"/>
                <w:szCs w:val="14"/>
                <w:color w:val="auto"/>
              </w:rPr>
            </w:pPr>
          </w:p>
        </w:tc>
        <w:tc>
          <w:tcPr>
            <w:tcW w:w="1020" w:type="dxa"/>
            <w:vAlign w:val="bottom"/>
            <w:shd w:val="clear" w:color="auto" w:fill="ECEDEF"/>
          </w:tcPr>
          <w:p>
            <w:pPr>
              <w:spacing w:after="0"/>
              <w:rPr>
                <w:sz w:val="14"/>
                <w:szCs w:val="14"/>
                <w:color w:val="auto"/>
              </w:rPr>
            </w:pPr>
          </w:p>
        </w:tc>
        <w:tc>
          <w:tcPr>
            <w:tcW w:w="1240" w:type="dxa"/>
            <w:vAlign w:val="bottom"/>
            <w:shd w:val="clear" w:color="auto" w:fill="ECEDEF"/>
          </w:tcPr>
          <w:p>
            <w:pPr>
              <w:jc w:val="right"/>
              <w:ind w:right="90"/>
              <w:spacing w:after="0"/>
              <w:rPr>
                <w:sz w:val="20"/>
                <w:szCs w:val="20"/>
                <w:color w:val="auto"/>
              </w:rPr>
            </w:pPr>
            <w:r>
              <w:rPr>
                <w:rFonts w:ascii="Arial" w:cs="Arial" w:eastAsia="Arial" w:hAnsi="Arial"/>
                <w:sz w:val="12"/>
                <w:szCs w:val="12"/>
                <w:b w:val="1"/>
                <w:bCs w:val="1"/>
                <w:color w:val="636466"/>
              </w:rPr>
              <w:t>Plan Awards:</w:t>
            </w:r>
          </w:p>
        </w:tc>
        <w:tc>
          <w:tcPr>
            <w:tcW w:w="1160" w:type="dxa"/>
            <w:vAlign w:val="bottom"/>
            <w:shd w:val="clear" w:color="auto" w:fill="ECEDEF"/>
          </w:tcPr>
          <w:p>
            <w:pPr>
              <w:jc w:val="right"/>
              <w:spacing w:after="0"/>
              <w:rPr>
                <w:sz w:val="20"/>
                <w:szCs w:val="20"/>
                <w:color w:val="auto"/>
              </w:rPr>
            </w:pPr>
            <w:r>
              <w:rPr>
                <w:rFonts w:ascii="Arial" w:cs="Arial" w:eastAsia="Arial" w:hAnsi="Arial"/>
                <w:sz w:val="12"/>
                <w:szCs w:val="12"/>
                <w:b w:val="1"/>
                <w:bCs w:val="1"/>
                <w:color w:val="636466"/>
              </w:rPr>
              <w:t>Market or Payout</w:t>
            </w:r>
          </w:p>
        </w:tc>
      </w:tr>
      <w:tr>
        <w:trPr>
          <w:trHeight w:val="134"/>
        </w:trPr>
        <w:tc>
          <w:tcPr>
            <w:tcW w:w="2960" w:type="dxa"/>
            <w:vAlign w:val="bottom"/>
          </w:tcPr>
          <w:p>
            <w:pPr>
              <w:spacing w:after="0"/>
              <w:rPr>
                <w:sz w:val="11"/>
                <w:szCs w:val="11"/>
                <w:color w:val="auto"/>
              </w:rPr>
            </w:pPr>
          </w:p>
        </w:tc>
        <w:tc>
          <w:tcPr>
            <w:tcW w:w="10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Securities</w:t>
            </w:r>
          </w:p>
        </w:tc>
        <w:tc>
          <w:tcPr>
            <w:tcW w:w="112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36466"/>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Number of</w:t>
            </w:r>
          </w:p>
        </w:tc>
        <w:tc>
          <w:tcPr>
            <w:tcW w:w="102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Market Value</w:t>
            </w:r>
          </w:p>
        </w:tc>
        <w:tc>
          <w:tcPr>
            <w:tcW w:w="124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Number of</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Value of Unearned</w:t>
            </w:r>
          </w:p>
        </w:tc>
      </w:tr>
      <w:tr>
        <w:trPr>
          <w:trHeight w:val="134"/>
        </w:trPr>
        <w:tc>
          <w:tcPr>
            <w:tcW w:w="2960" w:type="dxa"/>
            <w:vAlign w:val="bottom"/>
          </w:tcPr>
          <w:p>
            <w:pPr>
              <w:spacing w:after="0"/>
              <w:rPr>
                <w:sz w:val="11"/>
                <w:szCs w:val="11"/>
                <w:color w:val="auto"/>
              </w:rPr>
            </w:pPr>
          </w:p>
        </w:tc>
        <w:tc>
          <w:tcPr>
            <w:tcW w:w="10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Underlying</w:t>
            </w:r>
          </w:p>
        </w:tc>
        <w:tc>
          <w:tcPr>
            <w:tcW w:w="112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36466"/>
              </w:rPr>
              <w:t>Underlying</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Shares or</w:t>
            </w:r>
          </w:p>
        </w:tc>
        <w:tc>
          <w:tcPr>
            <w:tcW w:w="102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of Shares or</w:t>
            </w:r>
          </w:p>
        </w:tc>
        <w:tc>
          <w:tcPr>
            <w:tcW w:w="124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Unearned Shares,</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Shares, Units or</w:t>
            </w:r>
          </w:p>
        </w:tc>
      </w:tr>
      <w:tr>
        <w:trPr>
          <w:trHeight w:val="134"/>
        </w:trPr>
        <w:tc>
          <w:tcPr>
            <w:tcW w:w="2960" w:type="dxa"/>
            <w:vAlign w:val="bottom"/>
          </w:tcPr>
          <w:p>
            <w:pPr>
              <w:spacing w:after="0"/>
              <w:rPr>
                <w:sz w:val="11"/>
                <w:szCs w:val="11"/>
                <w:color w:val="auto"/>
              </w:rPr>
            </w:pPr>
          </w:p>
        </w:tc>
        <w:tc>
          <w:tcPr>
            <w:tcW w:w="10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Unexercised</w:t>
            </w:r>
          </w:p>
        </w:tc>
        <w:tc>
          <w:tcPr>
            <w:tcW w:w="112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36466"/>
              </w:rPr>
              <w:t>Unexercised</w:t>
            </w:r>
          </w:p>
        </w:tc>
        <w:tc>
          <w:tcPr>
            <w:tcW w:w="800" w:type="dxa"/>
            <w:vAlign w:val="bottom"/>
          </w:tcPr>
          <w:p>
            <w:pPr>
              <w:jc w:val="right"/>
              <w:ind w:right="29"/>
              <w:spacing w:after="0" w:line="134" w:lineRule="exact"/>
              <w:rPr>
                <w:sz w:val="20"/>
                <w:szCs w:val="20"/>
                <w:color w:val="auto"/>
              </w:rPr>
            </w:pPr>
            <w:r>
              <w:rPr>
                <w:rFonts w:ascii="Arial" w:cs="Arial" w:eastAsia="Arial" w:hAnsi="Arial"/>
                <w:sz w:val="12"/>
                <w:szCs w:val="12"/>
                <w:b w:val="1"/>
                <w:bCs w:val="1"/>
                <w:color w:val="636466"/>
              </w:rPr>
              <w:t>Option</w:t>
            </w:r>
          </w:p>
        </w:tc>
        <w:tc>
          <w:tcPr>
            <w:tcW w:w="820" w:type="dxa"/>
            <w:vAlign w:val="bottom"/>
            <w:gridSpan w:val="2"/>
          </w:tcPr>
          <w:p>
            <w:pPr>
              <w:jc w:val="right"/>
              <w:ind w:right="100"/>
              <w:spacing w:after="0" w:line="134" w:lineRule="exact"/>
              <w:rPr>
                <w:sz w:val="20"/>
                <w:szCs w:val="20"/>
                <w:color w:val="auto"/>
              </w:rPr>
            </w:pPr>
            <w:r>
              <w:rPr>
                <w:rFonts w:ascii="Arial" w:cs="Arial" w:eastAsia="Arial" w:hAnsi="Arial"/>
                <w:sz w:val="12"/>
                <w:szCs w:val="12"/>
                <w:b w:val="1"/>
                <w:bCs w:val="1"/>
                <w:color w:val="636466"/>
              </w:rPr>
              <w:t>Option</w:t>
            </w: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Units of Stock</w:t>
            </w:r>
          </w:p>
        </w:tc>
        <w:tc>
          <w:tcPr>
            <w:tcW w:w="102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Units of Stock</w:t>
            </w:r>
          </w:p>
        </w:tc>
        <w:tc>
          <w:tcPr>
            <w:tcW w:w="124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Units or Other</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Other Rights</w:t>
            </w:r>
          </w:p>
        </w:tc>
      </w:tr>
      <w:tr>
        <w:trPr>
          <w:trHeight w:val="134"/>
        </w:trPr>
        <w:tc>
          <w:tcPr>
            <w:tcW w:w="2960" w:type="dxa"/>
            <w:vAlign w:val="bottom"/>
          </w:tcPr>
          <w:p>
            <w:pPr>
              <w:spacing w:after="0"/>
              <w:rPr>
                <w:sz w:val="11"/>
                <w:szCs w:val="11"/>
                <w:color w:val="auto"/>
              </w:rPr>
            </w:pPr>
          </w:p>
        </w:tc>
        <w:tc>
          <w:tcPr>
            <w:tcW w:w="106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36466"/>
              </w:rPr>
              <w:t>Options (#)</w:t>
            </w:r>
          </w:p>
        </w:tc>
        <w:tc>
          <w:tcPr>
            <w:tcW w:w="112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36466"/>
              </w:rPr>
              <w:t>Options (#)</w:t>
            </w:r>
          </w:p>
        </w:tc>
        <w:tc>
          <w:tcPr>
            <w:tcW w:w="800" w:type="dxa"/>
            <w:vAlign w:val="bottom"/>
          </w:tcPr>
          <w:p>
            <w:pPr>
              <w:jc w:val="right"/>
              <w:ind w:right="29"/>
              <w:spacing w:after="0" w:line="134" w:lineRule="exact"/>
              <w:rPr>
                <w:sz w:val="20"/>
                <w:szCs w:val="20"/>
                <w:color w:val="auto"/>
              </w:rPr>
            </w:pPr>
            <w:r>
              <w:rPr>
                <w:rFonts w:ascii="Arial" w:cs="Arial" w:eastAsia="Arial" w:hAnsi="Arial"/>
                <w:sz w:val="12"/>
                <w:szCs w:val="12"/>
                <w:b w:val="1"/>
                <w:bCs w:val="1"/>
                <w:color w:val="636466"/>
              </w:rPr>
              <w:t>Exercise</w:t>
            </w:r>
          </w:p>
        </w:tc>
        <w:tc>
          <w:tcPr>
            <w:tcW w:w="820" w:type="dxa"/>
            <w:vAlign w:val="bottom"/>
            <w:gridSpan w:val="2"/>
          </w:tcPr>
          <w:p>
            <w:pPr>
              <w:jc w:val="right"/>
              <w:ind w:right="100"/>
              <w:spacing w:after="0" w:line="134" w:lineRule="exact"/>
              <w:rPr>
                <w:sz w:val="20"/>
                <w:szCs w:val="20"/>
                <w:color w:val="auto"/>
              </w:rPr>
            </w:pPr>
            <w:r>
              <w:rPr>
                <w:rFonts w:ascii="Arial" w:cs="Arial" w:eastAsia="Arial" w:hAnsi="Arial"/>
                <w:sz w:val="12"/>
                <w:szCs w:val="12"/>
                <w:b w:val="1"/>
                <w:bCs w:val="1"/>
                <w:color w:val="636466"/>
              </w:rPr>
              <w:t>Expiration</w:t>
            </w:r>
          </w:p>
        </w:tc>
        <w:tc>
          <w:tcPr>
            <w:tcW w:w="106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That Have Not</w:t>
            </w:r>
          </w:p>
        </w:tc>
        <w:tc>
          <w:tcPr>
            <w:tcW w:w="102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That Have Not</w:t>
            </w:r>
          </w:p>
        </w:tc>
        <w:tc>
          <w:tcPr>
            <w:tcW w:w="1240" w:type="dxa"/>
            <w:vAlign w:val="bottom"/>
            <w:shd w:val="clear" w:color="auto" w:fill="ECEDEF"/>
          </w:tcPr>
          <w:p>
            <w:pPr>
              <w:jc w:val="right"/>
              <w:ind w:right="90"/>
              <w:spacing w:after="0" w:line="134" w:lineRule="exact"/>
              <w:rPr>
                <w:sz w:val="20"/>
                <w:szCs w:val="20"/>
                <w:color w:val="auto"/>
              </w:rPr>
            </w:pPr>
            <w:r>
              <w:rPr>
                <w:rFonts w:ascii="Arial" w:cs="Arial" w:eastAsia="Arial" w:hAnsi="Arial"/>
                <w:sz w:val="12"/>
                <w:szCs w:val="12"/>
                <w:b w:val="1"/>
                <w:bCs w:val="1"/>
                <w:color w:val="636466"/>
              </w:rPr>
              <w:t>Rights That Have</w:t>
            </w:r>
          </w:p>
        </w:tc>
        <w:tc>
          <w:tcPr>
            <w:tcW w:w="116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b w:val="1"/>
                <w:bCs w:val="1"/>
                <w:color w:val="636466"/>
              </w:rPr>
              <w:t>That Have Not</w:t>
            </w:r>
          </w:p>
        </w:tc>
      </w:tr>
      <w:tr>
        <w:trPr>
          <w:trHeight w:val="208"/>
        </w:trPr>
        <w:tc>
          <w:tcPr>
            <w:tcW w:w="2960" w:type="dxa"/>
            <w:vAlign w:val="bottom"/>
            <w:tcBorders>
              <w:bottom w:val="single" w:sz="8" w:color="CE0F2D"/>
            </w:tcBorders>
          </w:tcPr>
          <w:p>
            <w:pPr>
              <w:ind w:left="40"/>
              <w:spacing w:after="0"/>
              <w:rPr>
                <w:sz w:val="20"/>
                <w:szCs w:val="20"/>
                <w:color w:val="auto"/>
              </w:rPr>
            </w:pPr>
            <w:r>
              <w:rPr>
                <w:rFonts w:ascii="Arial" w:cs="Arial" w:eastAsia="Arial" w:hAnsi="Arial"/>
                <w:sz w:val="12"/>
                <w:szCs w:val="12"/>
                <w:b w:val="1"/>
                <w:bCs w:val="1"/>
                <w:color w:val="636466"/>
              </w:rPr>
              <w:t>Grant Date</w:t>
            </w:r>
          </w:p>
        </w:tc>
        <w:tc>
          <w:tcPr>
            <w:tcW w:w="1060" w:type="dxa"/>
            <w:vAlign w:val="bottom"/>
            <w:tcBorders>
              <w:bottom w:val="single" w:sz="8" w:color="CE0F2D"/>
            </w:tcBorders>
          </w:tcPr>
          <w:p>
            <w:pPr>
              <w:jc w:val="right"/>
              <w:ind w:right="10"/>
              <w:spacing w:after="0"/>
              <w:rPr>
                <w:sz w:val="20"/>
                <w:szCs w:val="20"/>
                <w:color w:val="auto"/>
              </w:rPr>
            </w:pPr>
            <w:r>
              <w:rPr>
                <w:rFonts w:ascii="Arial" w:cs="Arial" w:eastAsia="Arial" w:hAnsi="Arial"/>
                <w:sz w:val="12"/>
                <w:szCs w:val="12"/>
                <w:b w:val="1"/>
                <w:bCs w:val="1"/>
                <w:color w:val="636466"/>
              </w:rPr>
              <w:t>(Exercisable)</w:t>
            </w:r>
          </w:p>
        </w:tc>
        <w:tc>
          <w:tcPr>
            <w:tcW w:w="1120" w:type="dxa"/>
            <w:vAlign w:val="bottom"/>
            <w:tcBorders>
              <w:bottom w:val="single" w:sz="8" w:color="CE0F2D"/>
            </w:tcBorders>
          </w:tcPr>
          <w:p>
            <w:pPr>
              <w:jc w:val="right"/>
              <w:ind w:right="30"/>
              <w:spacing w:after="0"/>
              <w:rPr>
                <w:sz w:val="20"/>
                <w:szCs w:val="20"/>
                <w:color w:val="auto"/>
              </w:rPr>
            </w:pPr>
            <w:r>
              <w:rPr>
                <w:rFonts w:ascii="Arial" w:cs="Arial" w:eastAsia="Arial" w:hAnsi="Arial"/>
                <w:sz w:val="12"/>
                <w:szCs w:val="12"/>
                <w:b w:val="1"/>
                <w:bCs w:val="1"/>
                <w:color w:val="636466"/>
              </w:rPr>
              <w:t>(Unexercisable)</w:t>
            </w:r>
          </w:p>
        </w:tc>
        <w:tc>
          <w:tcPr>
            <w:tcW w:w="800" w:type="dxa"/>
            <w:vAlign w:val="bottom"/>
            <w:tcBorders>
              <w:bottom w:val="single" w:sz="8" w:color="CE0F2D"/>
            </w:tcBorders>
          </w:tcPr>
          <w:p>
            <w:pPr>
              <w:jc w:val="right"/>
              <w:ind w:right="29"/>
              <w:spacing w:after="0" w:line="187" w:lineRule="exact"/>
              <w:rPr>
                <w:sz w:val="20"/>
                <w:szCs w:val="20"/>
                <w:color w:val="auto"/>
              </w:rPr>
            </w:pPr>
            <w:r>
              <w:rPr>
                <w:rFonts w:ascii="Arial" w:cs="Arial" w:eastAsia="Arial" w:hAnsi="Arial"/>
                <w:sz w:val="12"/>
                <w:szCs w:val="12"/>
                <w:b w:val="1"/>
                <w:bCs w:val="1"/>
                <w:color w:val="636466"/>
              </w:rPr>
              <w:t>Price ($)</w:t>
            </w:r>
            <w:r>
              <w:rPr>
                <w:rFonts w:ascii="Arial" w:cs="Arial" w:eastAsia="Arial" w:hAnsi="Arial"/>
                <w:sz w:val="20"/>
                <w:szCs w:val="20"/>
                <w:b w:val="1"/>
                <w:bCs w:val="1"/>
                <w:color w:val="636466"/>
                <w:vertAlign w:val="superscript"/>
              </w:rPr>
              <w:t>(1)</w:t>
            </w:r>
          </w:p>
        </w:tc>
        <w:tc>
          <w:tcPr>
            <w:tcW w:w="820" w:type="dxa"/>
            <w:vAlign w:val="bottom"/>
            <w:tcBorders>
              <w:bottom w:val="single" w:sz="8" w:color="CE0F2D"/>
            </w:tcBorders>
            <w:gridSpan w:val="2"/>
          </w:tcPr>
          <w:p>
            <w:pPr>
              <w:jc w:val="right"/>
              <w:ind w:right="100"/>
              <w:spacing w:after="0"/>
              <w:rPr>
                <w:sz w:val="20"/>
                <w:szCs w:val="20"/>
                <w:color w:val="auto"/>
              </w:rPr>
            </w:pPr>
            <w:r>
              <w:rPr>
                <w:rFonts w:ascii="Arial" w:cs="Arial" w:eastAsia="Arial" w:hAnsi="Arial"/>
                <w:sz w:val="12"/>
                <w:szCs w:val="12"/>
                <w:b w:val="1"/>
                <w:bCs w:val="1"/>
                <w:color w:val="636466"/>
              </w:rPr>
              <w:t>Date</w:t>
            </w:r>
          </w:p>
        </w:tc>
        <w:tc>
          <w:tcPr>
            <w:tcW w:w="1060" w:type="dxa"/>
            <w:vAlign w:val="bottom"/>
            <w:tcBorders>
              <w:bottom w:val="single" w:sz="8" w:color="CE0F2D"/>
            </w:tcBorders>
            <w:shd w:val="clear" w:color="auto" w:fill="ECEDEF"/>
          </w:tcPr>
          <w:p>
            <w:pPr>
              <w:jc w:val="right"/>
              <w:ind w:right="90"/>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(2)</w:t>
            </w:r>
          </w:p>
        </w:tc>
        <w:tc>
          <w:tcPr>
            <w:tcW w:w="1020" w:type="dxa"/>
            <w:vAlign w:val="bottom"/>
            <w:tcBorders>
              <w:bottom w:val="single" w:sz="8" w:color="CE0F2D"/>
            </w:tcBorders>
            <w:shd w:val="clear" w:color="auto" w:fill="ECEDEF"/>
          </w:tcPr>
          <w:p>
            <w:pPr>
              <w:jc w:val="right"/>
              <w:ind w:right="90"/>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(3)</w:t>
            </w:r>
          </w:p>
        </w:tc>
        <w:tc>
          <w:tcPr>
            <w:tcW w:w="1240" w:type="dxa"/>
            <w:vAlign w:val="bottom"/>
            <w:tcBorders>
              <w:bottom w:val="single" w:sz="8" w:color="CE0F2D"/>
            </w:tcBorders>
            <w:shd w:val="clear" w:color="auto" w:fill="ECEDEF"/>
          </w:tcPr>
          <w:p>
            <w:pPr>
              <w:jc w:val="right"/>
              <w:ind w:right="90"/>
              <w:spacing w:after="0" w:line="187" w:lineRule="exact"/>
              <w:rPr>
                <w:sz w:val="20"/>
                <w:szCs w:val="20"/>
                <w:color w:val="auto"/>
              </w:rPr>
            </w:pPr>
            <w:r>
              <w:rPr>
                <w:rFonts w:ascii="Arial" w:cs="Arial" w:eastAsia="Arial" w:hAnsi="Arial"/>
                <w:sz w:val="12"/>
                <w:szCs w:val="12"/>
                <w:b w:val="1"/>
                <w:bCs w:val="1"/>
                <w:color w:val="636466"/>
              </w:rPr>
              <w:t>Not Vested (#)</w:t>
            </w:r>
            <w:r>
              <w:rPr>
                <w:rFonts w:ascii="Arial" w:cs="Arial" w:eastAsia="Arial" w:hAnsi="Arial"/>
                <w:sz w:val="20"/>
                <w:szCs w:val="20"/>
                <w:b w:val="1"/>
                <w:bCs w:val="1"/>
                <w:color w:val="636466"/>
                <w:vertAlign w:val="superscript"/>
              </w:rPr>
              <w:t>(4)</w:t>
            </w:r>
          </w:p>
        </w:tc>
        <w:tc>
          <w:tcPr>
            <w:tcW w:w="1160" w:type="dxa"/>
            <w:vAlign w:val="bottom"/>
            <w:tcBorders>
              <w:bottom w:val="single" w:sz="8" w:color="CE0F2D"/>
            </w:tcBorders>
            <w:shd w:val="clear" w:color="auto" w:fill="ECEDEF"/>
          </w:tcPr>
          <w:p>
            <w:pPr>
              <w:jc w:val="right"/>
              <w:spacing w:after="0" w:line="187" w:lineRule="exact"/>
              <w:rPr>
                <w:sz w:val="20"/>
                <w:szCs w:val="20"/>
                <w:color w:val="auto"/>
              </w:rPr>
            </w:pPr>
            <w:r>
              <w:rPr>
                <w:rFonts w:ascii="Arial" w:cs="Arial" w:eastAsia="Arial" w:hAnsi="Arial"/>
                <w:sz w:val="12"/>
                <w:szCs w:val="12"/>
                <w:b w:val="1"/>
                <w:bCs w:val="1"/>
                <w:color w:val="636466"/>
              </w:rPr>
              <w:t>Vested ($)</w:t>
            </w:r>
            <w:r>
              <w:rPr>
                <w:rFonts w:ascii="Arial" w:cs="Arial" w:eastAsia="Arial" w:hAnsi="Arial"/>
                <w:sz w:val="20"/>
                <w:szCs w:val="20"/>
                <w:b w:val="1"/>
                <w:bCs w:val="1"/>
                <w:color w:val="636466"/>
                <w:vertAlign w:val="superscript"/>
              </w:rPr>
              <w:t>(5)</w:t>
            </w:r>
          </w:p>
        </w:tc>
      </w:tr>
      <w:tr>
        <w:trPr>
          <w:trHeight w:val="275"/>
        </w:trPr>
        <w:tc>
          <w:tcPr>
            <w:tcW w:w="296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M. Dumais</w:t>
            </w:r>
          </w:p>
        </w:tc>
        <w:tc>
          <w:tcPr>
            <w:tcW w:w="106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2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41" w:lineRule="exact"/>
              <w:rPr>
                <w:sz w:val="20"/>
                <w:szCs w:val="20"/>
                <w:color w:val="auto"/>
              </w:rPr>
            </w:pPr>
            <w:r>
              <w:rPr>
                <w:rFonts w:ascii="Arial" w:cs="Arial" w:eastAsia="Arial" w:hAnsi="Arial"/>
                <w:sz w:val="14"/>
                <w:szCs w:val="14"/>
                <w:color w:val="auto"/>
              </w:rPr>
              <w:t>43,900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$72.49</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2/7/2031</w:t>
            </w: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9,896</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$851,650</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57,940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$4,986,316</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2/14/2020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99,501</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$91.00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2/13/2030</w:t>
            </w: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18,063</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$1,554,502</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124,798</w:t>
            </w:r>
            <w:r>
              <w:rPr>
                <w:rFonts w:ascii="Arial" w:cs="Arial" w:eastAsia="Arial" w:hAnsi="Arial"/>
                <w:sz w:val="23"/>
                <w:szCs w:val="23"/>
                <w:color w:val="auto"/>
                <w:vertAlign w:val="superscript"/>
              </w:rPr>
              <w:t>(7)</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$71.62</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2/4/2029</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26,410</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$2,272,845</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15,046</w:t>
            </w:r>
            <w:r>
              <w:rPr>
                <w:rFonts w:ascii="Arial" w:cs="Arial" w:eastAsia="Arial" w:hAnsi="Arial"/>
                <w:sz w:val="23"/>
                <w:szCs w:val="23"/>
                <w:color w:val="auto"/>
                <w:vertAlign w:val="superscript"/>
              </w:rPr>
              <w:t>(10)</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$1,294,859</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73,361</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$76.00</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1/1/2028</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1/3/2017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35,327</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$82.35</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1/2/2027</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1/4/2016</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67,250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$71.01</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1/3/2026</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31,496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$85.47</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1/1/2025</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1/2/2014</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26,814</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$83.58</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1/1/2024</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7"/>
        </w:trPr>
        <w:tc>
          <w:tcPr>
            <w:tcW w:w="29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8/15/2012</w:t>
            </w:r>
          </w:p>
        </w:tc>
        <w:tc>
          <w:tcPr>
            <w:tcW w:w="10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36466"/>
            </w:tcBorders>
            <w:shd w:val="clear" w:color="auto" w:fill="ECEDEF"/>
          </w:tcPr>
          <w:p>
            <w:pPr>
              <w:jc w:val="right"/>
              <w:ind w:right="90"/>
              <w:spacing w:after="0" w:line="240" w:lineRule="exact"/>
              <w:rPr>
                <w:sz w:val="20"/>
                <w:szCs w:val="20"/>
                <w:color w:val="auto"/>
              </w:rPr>
            </w:pPr>
            <w:r>
              <w:rPr>
                <w:rFonts w:ascii="Arial" w:cs="Arial" w:eastAsia="Arial" w:hAnsi="Arial"/>
                <w:sz w:val="14"/>
                <w:szCs w:val="14"/>
                <w:color w:val="auto"/>
              </w:rPr>
              <w:t>28,151</w:t>
            </w:r>
            <w:r>
              <w:rPr>
                <w:rFonts w:ascii="Arial" w:cs="Arial" w:eastAsia="Arial" w:hAnsi="Arial"/>
                <w:sz w:val="23"/>
                <w:szCs w:val="23"/>
                <w:color w:val="auto"/>
                <w:vertAlign w:val="superscript"/>
              </w:rPr>
              <w:t>(11)</w:t>
            </w:r>
          </w:p>
        </w:tc>
        <w:tc>
          <w:tcPr>
            <w:tcW w:w="10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$2,422,675</w:t>
            </w:r>
          </w:p>
        </w:tc>
        <w:tc>
          <w:tcPr>
            <w:tcW w:w="124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296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C. Calio</w:t>
            </w:r>
          </w:p>
        </w:tc>
        <w:tc>
          <w:tcPr>
            <w:tcW w:w="106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2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41" w:lineRule="exact"/>
              <w:rPr>
                <w:sz w:val="20"/>
                <w:szCs w:val="20"/>
                <w:color w:val="auto"/>
              </w:rPr>
            </w:pPr>
            <w:r>
              <w:rPr>
                <w:rFonts w:ascii="Arial" w:cs="Arial" w:eastAsia="Arial" w:hAnsi="Arial"/>
                <w:sz w:val="14"/>
                <w:szCs w:val="14"/>
                <w:color w:val="auto"/>
              </w:rPr>
              <w:t>43,900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$72.49</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2/7/2031</w:t>
            </w: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9,896</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$851,650</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57,940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$4,986,316</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2/4/2020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91,912</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$90.73</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2/3/2030</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17,585</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$1,513,365</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54,810</w:t>
            </w:r>
            <w:r>
              <w:rPr>
                <w:rFonts w:ascii="Arial" w:cs="Arial" w:eastAsia="Arial" w:hAnsi="Arial"/>
                <w:sz w:val="23"/>
                <w:szCs w:val="23"/>
                <w:color w:val="auto"/>
                <w:vertAlign w:val="superscript"/>
              </w:rPr>
              <w:t>(7)</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$71.62</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2/4/2029</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30,083</w:t>
            </w:r>
            <w:r>
              <w:rPr>
                <w:rFonts w:ascii="Arial" w:cs="Arial" w:eastAsia="Arial" w:hAnsi="Arial"/>
                <w:sz w:val="23"/>
                <w:szCs w:val="23"/>
                <w:color w:val="auto"/>
                <w:vertAlign w:val="superscript"/>
              </w:rPr>
              <w:t>(10)</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$2,588,943</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11,933</w:t>
            </w:r>
            <w:r>
              <w:rPr>
                <w:rFonts w:ascii="Arial" w:cs="Arial" w:eastAsia="Arial" w:hAnsi="Arial"/>
                <w:sz w:val="23"/>
                <w:szCs w:val="23"/>
                <w:color w:val="auto"/>
                <w:vertAlign w:val="superscript"/>
              </w:rPr>
              <w:t>(9)</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$1,026,954</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1/2/2018</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31,199</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$76.00</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1/1/2028</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1/18/2017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40" w:lineRule="exact"/>
              <w:rPr>
                <w:sz w:val="20"/>
                <w:szCs w:val="20"/>
                <w:color w:val="auto"/>
              </w:rPr>
            </w:pPr>
            <w:r>
              <w:rPr>
                <w:rFonts w:ascii="Arial" w:cs="Arial" w:eastAsia="Arial" w:hAnsi="Arial"/>
                <w:sz w:val="14"/>
                <w:szCs w:val="14"/>
                <w:color w:val="auto"/>
              </w:rPr>
              <w:t>17,161</w:t>
            </w:r>
            <w:r>
              <w:rPr>
                <w:rFonts w:ascii="Arial" w:cs="Arial" w:eastAsia="Arial" w:hAnsi="Arial"/>
                <w:sz w:val="23"/>
                <w:szCs w:val="23"/>
                <w:color w:val="auto"/>
                <w:vertAlign w:val="superscript"/>
              </w:rPr>
              <w:t>(11)</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$1,476,876</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1/3/2017</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8,938</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$82.35</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1/2/2027</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1/4/2016</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11,236</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$71.01</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1/3/2026</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1/2/2015</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4,767</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$85.47</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1/1/2025</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1/2/2014</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4,000</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$83.58</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1/1/2024</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29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1/2/2013</w:t>
            </w:r>
          </w:p>
        </w:tc>
        <w:tc>
          <w:tcPr>
            <w:tcW w:w="10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5,022</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$62.41</w:t>
            </w:r>
          </w:p>
        </w:tc>
        <w:tc>
          <w:tcPr>
            <w:tcW w:w="82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1/1/2023</w:t>
            </w:r>
          </w:p>
        </w:tc>
        <w:tc>
          <w:tcPr>
            <w:tcW w:w="106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296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S. Timm</w:t>
            </w:r>
          </w:p>
        </w:tc>
        <w:tc>
          <w:tcPr>
            <w:tcW w:w="106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2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41" w:lineRule="exact"/>
              <w:rPr>
                <w:sz w:val="20"/>
                <w:szCs w:val="20"/>
                <w:color w:val="auto"/>
              </w:rPr>
            </w:pPr>
            <w:r>
              <w:rPr>
                <w:rFonts w:ascii="Arial" w:cs="Arial" w:eastAsia="Arial" w:hAnsi="Arial"/>
                <w:sz w:val="14"/>
                <w:szCs w:val="14"/>
                <w:color w:val="auto"/>
              </w:rPr>
              <w:t>43,900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$72.49</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2/7/2031</w:t>
            </w: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9,896</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$851,650</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57,940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$4,986,316</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2/20/2020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11,528</w:t>
            </w:r>
            <w:r>
              <w:rPr>
                <w:rFonts w:ascii="Arial" w:cs="Arial" w:eastAsia="Arial" w:hAnsi="Arial"/>
                <w:sz w:val="23"/>
                <w:szCs w:val="23"/>
                <w:color w:val="auto"/>
                <w:vertAlign w:val="superscript"/>
              </w:rPr>
              <w:t>(11)</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$992,100</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2/4/2020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84,323</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$90.73</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2/3/2030</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15,987</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$1,375,841</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7/2/2019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21,249</w:t>
            </w:r>
            <w:r>
              <w:rPr>
                <w:rFonts w:ascii="Arial" w:cs="Arial" w:eastAsia="Arial" w:hAnsi="Arial"/>
                <w:sz w:val="23"/>
                <w:szCs w:val="23"/>
                <w:color w:val="auto"/>
                <w:vertAlign w:val="superscript"/>
              </w:rPr>
              <w:t>(12)</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$78.25</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7/1/2029</w:t>
            </w:r>
          </w:p>
        </w:tc>
        <w:tc>
          <w:tcPr>
            <w:tcW w:w="106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34" w:lineRule="exact"/>
              <w:rPr>
                <w:sz w:val="20"/>
                <w:szCs w:val="20"/>
                <w:color w:val="auto"/>
              </w:rPr>
            </w:pPr>
            <w:r>
              <w:rPr>
                <w:rFonts w:ascii="Arial" w:cs="Arial" w:eastAsia="Arial" w:hAnsi="Arial"/>
                <w:sz w:val="14"/>
                <w:szCs w:val="14"/>
                <w:color w:val="auto"/>
              </w:rPr>
              <w:t>7,420</w:t>
            </w:r>
            <w:r>
              <w:rPr>
                <w:rFonts w:ascii="Arial" w:cs="Arial" w:eastAsia="Arial" w:hAnsi="Arial"/>
                <w:sz w:val="23"/>
                <w:szCs w:val="23"/>
                <w:color w:val="auto"/>
                <w:vertAlign w:val="superscript"/>
              </w:rPr>
              <w:t>(7)</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$71.62</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2/4/2029</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2,600</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$223,756</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29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2/5/2019</w:t>
            </w:r>
          </w:p>
        </w:tc>
        <w:tc>
          <w:tcPr>
            <w:tcW w:w="10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36466"/>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1,895</w:t>
            </w:r>
            <w:r>
              <w:rPr>
                <w:rFonts w:ascii="Arial" w:cs="Arial" w:eastAsia="Arial" w:hAnsi="Arial"/>
                <w:sz w:val="23"/>
                <w:szCs w:val="23"/>
                <w:color w:val="auto"/>
                <w:vertAlign w:val="superscript"/>
              </w:rPr>
              <w:t>(9)</w:t>
            </w:r>
          </w:p>
        </w:tc>
        <w:tc>
          <w:tcPr>
            <w:tcW w:w="10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$163,084</w:t>
            </w:r>
          </w:p>
        </w:tc>
        <w:tc>
          <w:tcPr>
            <w:tcW w:w="124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2960" w:type="dxa"/>
            <w:vAlign w:val="bottom"/>
            <w:tcBorders>
              <w:bottom w:val="single" w:sz="8" w:color="CE0F2D"/>
            </w:tcBorders>
          </w:tcPr>
          <w:p>
            <w:pPr>
              <w:ind w:left="40"/>
              <w:spacing w:after="0"/>
              <w:rPr>
                <w:sz w:val="20"/>
                <w:szCs w:val="20"/>
                <w:color w:val="auto"/>
              </w:rPr>
            </w:pPr>
            <w:r>
              <w:rPr>
                <w:rFonts w:ascii="Arial" w:cs="Arial" w:eastAsia="Arial" w:hAnsi="Arial"/>
                <w:sz w:val="14"/>
                <w:szCs w:val="14"/>
                <w:b w:val="1"/>
                <w:bCs w:val="1"/>
                <w:color w:val="CE0F2D"/>
              </w:rPr>
              <w:t>T. Kennedy</w:t>
            </w:r>
          </w:p>
        </w:tc>
        <w:tc>
          <w:tcPr>
            <w:tcW w:w="1060" w:type="dxa"/>
            <w:vAlign w:val="bottom"/>
            <w:tcBorders>
              <w:bottom w:val="single" w:sz="8" w:color="CE0F2D"/>
            </w:tcBorders>
          </w:tcPr>
          <w:p>
            <w:pPr>
              <w:spacing w:after="0"/>
              <w:rPr>
                <w:sz w:val="23"/>
                <w:szCs w:val="23"/>
                <w:color w:val="auto"/>
              </w:rPr>
            </w:pPr>
          </w:p>
        </w:tc>
        <w:tc>
          <w:tcPr>
            <w:tcW w:w="1120" w:type="dxa"/>
            <w:vAlign w:val="bottom"/>
            <w:tcBorders>
              <w:bottom w:val="single" w:sz="8" w:color="CE0F2D"/>
            </w:tcBorders>
          </w:tcPr>
          <w:p>
            <w:pPr>
              <w:spacing w:after="0"/>
              <w:rPr>
                <w:sz w:val="23"/>
                <w:szCs w:val="23"/>
                <w:color w:val="auto"/>
              </w:rPr>
            </w:pPr>
          </w:p>
        </w:tc>
        <w:tc>
          <w:tcPr>
            <w:tcW w:w="800" w:type="dxa"/>
            <w:vAlign w:val="bottom"/>
            <w:tcBorders>
              <w:bottom w:val="single" w:sz="8" w:color="CE0F2D"/>
            </w:tcBorders>
          </w:tcPr>
          <w:p>
            <w:pPr>
              <w:spacing w:after="0"/>
              <w:rPr>
                <w:sz w:val="23"/>
                <w:szCs w:val="23"/>
                <w:color w:val="auto"/>
              </w:rPr>
            </w:pPr>
          </w:p>
        </w:tc>
        <w:tc>
          <w:tcPr>
            <w:tcW w:w="720" w:type="dxa"/>
            <w:vAlign w:val="bottom"/>
            <w:tcBorders>
              <w:bottom w:val="single" w:sz="8" w:color="CE0F2D"/>
            </w:tcBorders>
          </w:tcPr>
          <w:p>
            <w:pPr>
              <w:spacing w:after="0"/>
              <w:rPr>
                <w:sz w:val="23"/>
                <w:szCs w:val="23"/>
                <w:color w:val="auto"/>
              </w:rPr>
            </w:pPr>
          </w:p>
        </w:tc>
        <w:tc>
          <w:tcPr>
            <w:tcW w:w="100" w:type="dxa"/>
            <w:vAlign w:val="bottom"/>
            <w:tcBorders>
              <w:bottom w:val="single" w:sz="8" w:color="CE0F2D"/>
            </w:tcBorders>
          </w:tcPr>
          <w:p>
            <w:pPr>
              <w:spacing w:after="0"/>
              <w:rPr>
                <w:sz w:val="23"/>
                <w:szCs w:val="23"/>
                <w:color w:val="auto"/>
              </w:rPr>
            </w:pPr>
          </w:p>
        </w:tc>
        <w:tc>
          <w:tcPr>
            <w:tcW w:w="1060" w:type="dxa"/>
            <w:vAlign w:val="bottom"/>
            <w:tcBorders>
              <w:bottom w:val="single" w:sz="8" w:color="CE0F2D"/>
            </w:tcBorders>
          </w:tcPr>
          <w:p>
            <w:pPr>
              <w:spacing w:after="0"/>
              <w:rPr>
                <w:sz w:val="23"/>
                <w:szCs w:val="23"/>
                <w:color w:val="auto"/>
              </w:rPr>
            </w:pPr>
          </w:p>
        </w:tc>
        <w:tc>
          <w:tcPr>
            <w:tcW w:w="1020" w:type="dxa"/>
            <w:vAlign w:val="bottom"/>
            <w:tcBorders>
              <w:bottom w:val="single" w:sz="8" w:color="CE0F2D"/>
            </w:tcBorders>
          </w:tcPr>
          <w:p>
            <w:pPr>
              <w:spacing w:after="0"/>
              <w:rPr>
                <w:sz w:val="23"/>
                <w:szCs w:val="23"/>
                <w:color w:val="auto"/>
              </w:rPr>
            </w:pPr>
          </w:p>
        </w:tc>
        <w:tc>
          <w:tcPr>
            <w:tcW w:w="1240" w:type="dxa"/>
            <w:vAlign w:val="bottom"/>
            <w:tcBorders>
              <w:bottom w:val="single" w:sz="8" w:color="CE0F2D"/>
            </w:tcBorders>
          </w:tcPr>
          <w:p>
            <w:pPr>
              <w:spacing w:after="0"/>
              <w:rPr>
                <w:sz w:val="23"/>
                <w:szCs w:val="23"/>
                <w:color w:val="auto"/>
              </w:rPr>
            </w:pPr>
          </w:p>
        </w:tc>
        <w:tc>
          <w:tcPr>
            <w:tcW w:w="1160" w:type="dxa"/>
            <w:vAlign w:val="bottom"/>
            <w:tcBorders>
              <w:bottom w:val="single" w:sz="8" w:color="CE0F2D"/>
            </w:tcBorders>
          </w:tcPr>
          <w:p>
            <w:pPr>
              <w:spacing w:after="0"/>
              <w:rPr>
                <w:sz w:val="23"/>
                <w:szCs w:val="23"/>
                <w:color w:val="auto"/>
              </w:rPr>
            </w:pPr>
          </w:p>
        </w:tc>
      </w:tr>
      <w:tr>
        <w:trPr>
          <w:trHeight w:val="241"/>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2/8/2021</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line="241" w:lineRule="exact"/>
              <w:rPr>
                <w:sz w:val="20"/>
                <w:szCs w:val="20"/>
                <w:color w:val="auto"/>
              </w:rPr>
            </w:pPr>
            <w:r>
              <w:rPr>
                <w:rFonts w:ascii="Arial" w:cs="Arial" w:eastAsia="Arial" w:hAnsi="Arial"/>
                <w:sz w:val="14"/>
                <w:szCs w:val="14"/>
                <w:color w:val="auto"/>
              </w:rPr>
              <w:t>131,700</w:t>
            </w:r>
            <w:r>
              <w:rPr>
                <w:rFonts w:ascii="Arial" w:cs="Arial" w:eastAsia="Arial" w:hAnsi="Arial"/>
                <w:sz w:val="23"/>
                <w:szCs w:val="23"/>
                <w:color w:val="auto"/>
                <w:vertAlign w:val="superscript"/>
              </w:rPr>
              <w:t>(6)</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$72.49</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2/7/2031</w:t>
            </w:r>
          </w:p>
        </w:tc>
        <w:tc>
          <w:tcPr>
            <w:tcW w:w="1060" w:type="dxa"/>
            <w:vAlign w:val="bottom"/>
            <w:tcBorders>
              <w:bottom w:val="single" w:sz="8" w:color="auto"/>
            </w:tcBorders>
            <w:shd w:val="clear" w:color="auto" w:fill="ECEDEF"/>
          </w:tcPr>
          <w:p>
            <w:pPr>
              <w:jc w:val="right"/>
              <w:ind w:right="90"/>
              <w:spacing w:after="0" w:line="241" w:lineRule="exact"/>
              <w:rPr>
                <w:sz w:val="20"/>
                <w:szCs w:val="20"/>
                <w:color w:val="auto"/>
              </w:rPr>
            </w:pPr>
            <w:r>
              <w:rPr>
                <w:rFonts w:ascii="Arial" w:cs="Arial" w:eastAsia="Arial" w:hAnsi="Arial"/>
                <w:sz w:val="14"/>
                <w:szCs w:val="14"/>
                <w:color w:val="auto"/>
              </w:rPr>
              <w:t>29,678</w:t>
            </w:r>
            <w:r>
              <w:rPr>
                <w:rFonts w:ascii="Arial" w:cs="Arial" w:eastAsia="Arial" w:hAnsi="Arial"/>
                <w:sz w:val="23"/>
                <w:szCs w:val="23"/>
                <w:color w:val="auto"/>
                <w:vertAlign w:val="superscript"/>
              </w:rPr>
              <w:t>(8)</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$2,554,089</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173,820</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$14,958,949</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3/25/2020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64,988</w:t>
            </w:r>
            <w:r>
              <w:rPr>
                <w:rFonts w:ascii="Arial" w:cs="Arial" w:eastAsia="Arial" w:hAnsi="Arial"/>
                <w:sz w:val="23"/>
                <w:szCs w:val="23"/>
                <w:color w:val="auto"/>
                <w:vertAlign w:val="superscript"/>
              </w:rPr>
              <w:t>(13)</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$5,592,867</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1/29/2020</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62,085</w:t>
            </w:r>
            <w:r>
              <w:rPr>
                <w:rFonts w:ascii="Arial" w:cs="Arial" w:eastAsia="Arial" w:hAnsi="Arial"/>
                <w:sz w:val="23"/>
                <w:szCs w:val="23"/>
                <w:color w:val="auto"/>
                <w:vertAlign w:val="superscript"/>
              </w:rPr>
              <w:t>(14)</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$5,343,035</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3/20/2019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34,842</w:t>
            </w:r>
            <w:r>
              <w:rPr>
                <w:rFonts w:ascii="Arial" w:cs="Arial" w:eastAsia="Arial" w:hAnsi="Arial"/>
                <w:sz w:val="23"/>
                <w:szCs w:val="23"/>
                <w:color w:val="auto"/>
                <w:vertAlign w:val="superscript"/>
              </w:rPr>
              <w:t>(13)</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$2,998,503</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34"/>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1/30/2019</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94,292</w:t>
            </w:r>
            <w:r>
              <w:rPr>
                <w:rFonts w:ascii="Arial" w:cs="Arial" w:eastAsia="Arial" w:hAnsi="Arial"/>
                <w:sz w:val="23"/>
                <w:szCs w:val="23"/>
                <w:color w:val="auto"/>
                <w:vertAlign w:val="superscript"/>
              </w:rPr>
              <w:t>(14)</w:t>
            </w:r>
          </w:p>
        </w:tc>
        <w:tc>
          <w:tcPr>
            <w:tcW w:w="102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$8,114,770</w:t>
            </w:r>
          </w:p>
        </w:tc>
        <w:tc>
          <w:tcPr>
            <w:tcW w:w="1240" w:type="dxa"/>
            <w:vAlign w:val="bottom"/>
            <w:tcBorders>
              <w:bottom w:val="single" w:sz="8" w:color="auto"/>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1"/>
        </w:trPr>
        <w:tc>
          <w:tcPr>
            <w:tcW w:w="296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3/21/2018</w:t>
            </w:r>
          </w:p>
        </w:tc>
        <w:tc>
          <w:tcPr>
            <w:tcW w:w="10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636466"/>
            </w:tcBorders>
          </w:tcPr>
          <w:p>
            <w:pPr>
              <w:jc w:val="right"/>
              <w:ind w:right="2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636466"/>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636466"/>
            </w:tcBorders>
            <w:shd w:val="clear" w:color="auto" w:fill="ECEDEF"/>
          </w:tcPr>
          <w:p>
            <w:pPr>
              <w:jc w:val="right"/>
              <w:ind w:right="90"/>
              <w:spacing w:after="0" w:line="234" w:lineRule="exact"/>
              <w:rPr>
                <w:sz w:val="20"/>
                <w:szCs w:val="20"/>
                <w:color w:val="auto"/>
              </w:rPr>
            </w:pPr>
            <w:r>
              <w:rPr>
                <w:rFonts w:ascii="Arial" w:cs="Arial" w:eastAsia="Arial" w:hAnsi="Arial"/>
                <w:sz w:val="14"/>
                <w:szCs w:val="14"/>
                <w:color w:val="auto"/>
              </w:rPr>
              <w:t>16,092</w:t>
            </w:r>
            <w:r>
              <w:rPr>
                <w:rFonts w:ascii="Arial" w:cs="Arial" w:eastAsia="Arial" w:hAnsi="Arial"/>
                <w:sz w:val="23"/>
                <w:szCs w:val="23"/>
                <w:color w:val="auto"/>
                <w:vertAlign w:val="superscript"/>
              </w:rPr>
              <w:t>(13)</w:t>
            </w:r>
          </w:p>
        </w:tc>
        <w:tc>
          <w:tcPr>
            <w:tcW w:w="102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$1,384,878</w:t>
            </w:r>
          </w:p>
        </w:tc>
        <w:tc>
          <w:tcPr>
            <w:tcW w:w="1240" w:type="dxa"/>
            <w:vAlign w:val="bottom"/>
            <w:tcBorders>
              <w:bottom w:val="single" w:sz="8" w:color="636466"/>
            </w:tcBorders>
            <w:shd w:val="clear" w:color="auto" w:fill="ECEDEF"/>
          </w:tcPr>
          <w:p>
            <w:pPr>
              <w:jc w:val="right"/>
              <w:ind w:right="9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bl>
    <w:p>
      <w:pPr>
        <w:spacing w:after="0" w:line="149" w:lineRule="exact"/>
        <w:rPr>
          <w:sz w:val="20"/>
          <w:szCs w:val="20"/>
          <w:color w:val="auto"/>
        </w:rPr>
      </w:pPr>
    </w:p>
    <w:p>
      <w:pPr>
        <w:ind w:left="260" w:hanging="253"/>
        <w:spacing w:after="0"/>
        <w:tabs>
          <w:tab w:leader="none" w:pos="260" w:val="left"/>
        </w:tabs>
        <w:numPr>
          <w:ilvl w:val="0"/>
          <w:numId w:val="189"/>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715454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OUTSTANDING EQUITY AWARDS AT FISCAL YEAR-END</w:t>
      </w:r>
    </w:p>
    <w:p>
      <w:pPr>
        <w:spacing w:after="0" w:line="144" w:lineRule="exact"/>
        <w:rPr>
          <w:sz w:val="20"/>
          <w:szCs w:val="20"/>
          <w:color w:val="auto"/>
        </w:rPr>
      </w:pPr>
    </w:p>
    <w:p>
      <w:pPr>
        <w:ind w:left="380" w:right="340" w:hanging="373"/>
        <w:spacing w:after="0" w:line="252"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The exercise price of each SAR is set equal to the NYSE closing price of RTX Common Stock on the grant date. However, for SARs granted prior to April 3, 2020, exercise prices shown were adjusted upon the spinoffs of Carrier and Otis, in accordance with plan rules and the Employee Matters Agreement, as amended.</w:t>
      </w:r>
    </w:p>
    <w:p>
      <w:pPr>
        <w:spacing w:after="0" w:line="31"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RSUs, including any legacy UTC and RTN RSUs and PSUs that were converted to RTX RSUs upon the April 3, 2020 spinoffs of Carrier and Otis and the Merger.</w:t>
      </w:r>
    </w:p>
    <w:p>
      <w:pPr>
        <w:spacing w:after="0" w:line="49"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Calculated by multiplying the number of unvested RSUs by $86.06, the NYSE closing price of RTX Common Stock on the last trading day of 2021.</w:t>
      </w:r>
    </w:p>
    <w:p>
      <w:pPr>
        <w:spacing w:after="0" w:line="49" w:lineRule="exact"/>
        <w:rPr>
          <w:rFonts w:ascii="Arial" w:cs="Arial" w:eastAsia="Arial" w:hAnsi="Arial"/>
          <w:sz w:val="12"/>
          <w:szCs w:val="12"/>
          <w:color w:val="auto"/>
        </w:rPr>
      </w:pPr>
    </w:p>
    <w:p>
      <w:pPr>
        <w:ind w:left="380" w:right="60" w:hanging="373"/>
        <w:spacing w:after="0" w:line="239"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PSUs scheduled to vest following the three-year performance/time-based vesting period, subject to Company performance relative to pre-established performance goals and the executive’s continued employment with the Company, except in the case of death, disability, qualifying separation within two years of a change-in-control, retirement and certain involuntary terminations. PSUs are settled following the Committee’s certification of performance achievement levels. Pursuant to SEC rules, the number of shares shown with respect to PSU awards granted in 2021 assumes maximum-level performance, based on vesting estimates as of December 31, 2021.</w:t>
      </w:r>
    </w:p>
    <w:p>
      <w:pPr>
        <w:spacing w:after="0" w:line="39"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Calculated by multiplying the number of unvested PSUs by $86.06, the NYSE closing price of RTX Common Stock on the last trading day of 2021.</w:t>
      </w:r>
    </w:p>
    <w:p>
      <w:pPr>
        <w:spacing w:after="0" w:line="49" w:lineRule="exact"/>
        <w:rPr>
          <w:rFonts w:ascii="Arial" w:cs="Arial" w:eastAsia="Arial" w:hAnsi="Arial"/>
          <w:sz w:val="12"/>
          <w:szCs w:val="12"/>
          <w:color w:val="auto"/>
        </w:rPr>
      </w:pPr>
    </w:p>
    <w:p>
      <w:pPr>
        <w:ind w:left="380" w:right="160" w:hanging="373"/>
        <w:spacing w:after="0" w:line="252"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SARs scheduled to vest on the third anniversary of the grant date, subject to the executive’s continued employment with the Company, except in the case of death, disability, qualifying separation within two years of a change-in-control, retirement and certain involuntary terminations.</w:t>
      </w:r>
    </w:p>
    <w:p>
      <w:pPr>
        <w:spacing w:after="0" w:line="31"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SARs that vested on February 5, 2022.</w:t>
      </w:r>
    </w:p>
    <w:p>
      <w:pPr>
        <w:spacing w:after="0" w:line="49" w:lineRule="exact"/>
        <w:rPr>
          <w:rFonts w:ascii="Arial" w:cs="Arial" w:eastAsia="Arial" w:hAnsi="Arial"/>
          <w:sz w:val="12"/>
          <w:szCs w:val="12"/>
          <w:color w:val="auto"/>
        </w:rPr>
      </w:pPr>
    </w:p>
    <w:p>
      <w:pPr>
        <w:jc w:val="both"/>
        <w:ind w:left="380" w:right="140" w:hanging="373"/>
        <w:spacing w:after="0" w:line="242"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RSUs scheduled to vest on the third anniversary of the grant date, subject to the executive’s continued employment with the Company, except in the case of death, disability, qualifying separation within two years of a change-in-control, retirement and certain involuntary terminations. Each time the Company pays a dividend to shareowners, dividend equivalents are reinvested as additional RSUs. The reinvested RSUs vest on the same date as the underlying RSUs. RSUs granted on February 5, 2019 vested on February 5, 2022.</w:t>
      </w:r>
    </w:p>
    <w:p>
      <w:pPr>
        <w:spacing w:after="0" w:line="37" w:lineRule="exact"/>
        <w:rPr>
          <w:rFonts w:ascii="Arial" w:cs="Arial" w:eastAsia="Arial" w:hAnsi="Arial"/>
          <w:sz w:val="12"/>
          <w:szCs w:val="12"/>
          <w:color w:val="auto"/>
        </w:rPr>
      </w:pPr>
    </w:p>
    <w:p>
      <w:pPr>
        <w:ind w:left="380" w:right="180" w:hanging="373"/>
        <w:spacing w:after="0" w:line="252"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UTC PSUs that converted to RTX RSUs upon the spinoffs of Carrier and Otis on April 3, 2020 and vested on February 5, 2022. Performance was measured upon the spinoffs and a performance factor was applied to the pre-spinoff portion of the award, with target performance applied to the post-spinoff portion of the award in calculating the conversion to RTX RSUs.</w:t>
      </w:r>
    </w:p>
    <w:p>
      <w:pPr>
        <w:spacing w:after="0" w:line="31"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Retention RSU award that vested on February 5, 2022.</w:t>
      </w:r>
    </w:p>
    <w:p>
      <w:pPr>
        <w:spacing w:after="0" w:line="49" w:lineRule="exact"/>
        <w:rPr>
          <w:rFonts w:ascii="Arial" w:cs="Arial" w:eastAsia="Arial" w:hAnsi="Arial"/>
          <w:sz w:val="12"/>
          <w:szCs w:val="12"/>
          <w:color w:val="auto"/>
        </w:rPr>
      </w:pPr>
    </w:p>
    <w:p>
      <w:pPr>
        <w:ind w:left="380" w:right="160" w:hanging="373"/>
        <w:spacing w:after="0" w:line="252"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ELG RSUs granted upon the executive’s appointment to the ELG, which vest in the event of a qualifying separation (as defined under the ELG program and detailed on pages 62-63), death or disability. Each time the Company pays a dividend to shareowners, dividend equivalents are reinvested as additional RSUs. The reinvested RSUs vest on the same date as the underlying RSUs.</w:t>
      </w:r>
    </w:p>
    <w:p>
      <w:pPr>
        <w:spacing w:after="0" w:line="31" w:lineRule="exact"/>
        <w:rPr>
          <w:rFonts w:ascii="Arial" w:cs="Arial" w:eastAsia="Arial" w:hAnsi="Arial"/>
          <w:sz w:val="12"/>
          <w:szCs w:val="12"/>
          <w:color w:val="auto"/>
        </w:rPr>
      </w:pPr>
    </w:p>
    <w:p>
      <w:pPr>
        <w:ind w:left="38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Retention SAR award that will vest on July 2, 2022, subject to continued employment or upon death, disability or qualifying separation within two years of a change-in-control.</w:t>
      </w:r>
    </w:p>
    <w:p>
      <w:pPr>
        <w:spacing w:after="0" w:line="49" w:lineRule="exact"/>
        <w:rPr>
          <w:rFonts w:ascii="Arial" w:cs="Arial" w:eastAsia="Arial" w:hAnsi="Arial"/>
          <w:sz w:val="12"/>
          <w:szCs w:val="12"/>
          <w:color w:val="auto"/>
        </w:rPr>
      </w:pPr>
    </w:p>
    <w:p>
      <w:pPr>
        <w:ind w:left="380" w:right="20" w:hanging="373"/>
        <w:spacing w:after="0"/>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RTN RSUs originally granted under the legacy RTN 2019 and 2010 Stock Plans that were converted to RTX RSUs on April 3, 2020 (the closing date of the Merger), in accordance with the terms of the Merger Agreement. These RSUs were awarded to employees who, at the time of grant had met certain retirement conditions (i.e., age 60 or greater and 10 or more years of service). These RSUs vest in three annual installments on the second, third and fourth anniversaries of the grant dates and pay cash dividends during the vesting period. Under the terms of these awards, upon Mr. Kennedy’s retirement from the Company, the awards continue to vest into retirement, subject to his compliance with certain post-employment restrictive covenants, including a non-competition covenant.</w:t>
      </w:r>
    </w:p>
    <w:p>
      <w:pPr>
        <w:spacing w:after="0" w:line="171" w:lineRule="exact"/>
        <w:rPr>
          <w:rFonts w:ascii="Arial" w:cs="Arial" w:eastAsia="Arial" w:hAnsi="Arial"/>
          <w:sz w:val="12"/>
          <w:szCs w:val="12"/>
          <w:color w:val="auto"/>
        </w:rPr>
      </w:pPr>
    </w:p>
    <w:p>
      <w:pPr>
        <w:ind w:left="380" w:right="60" w:hanging="373"/>
        <w:spacing w:after="0" w:line="237" w:lineRule="auto"/>
        <w:tabs>
          <w:tab w:leader="none" w:pos="38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RTN PSUs originally granted under the legacy RTN 2019 and 2010 Stock Plans that were converted to RTX RSUs on April 3, 2020 (the closing date of the Merger), in accordance with the terms of the Merger Agreement. For the 2019 RTN PSUs, performance was measured upon the Merger and a performance factor was applied prior to their conversion into RTX RSUs. For the 2020 RTN PSUs, a target performance factor was applied prior to the conversion into RTX RSUs. During the vesting period, these awards accrue dividend equivalents that are paid in cash at the time of vesting. Under the terms of these awards, Mr. Kennedy had met the criteria for favorable retirement vesting treatment (i.e., age 55 or greater with 10 or more years of service). As a result, Mr. Kennedy would have received pro-rata vesting following his retirement from the Company. However, as detailed on page 83, the Committee provided Mr. Kennedy full vesting of the PSUs, subject to a 6-month delay in settlement required under IRC Section 409A.</w:t>
      </w:r>
    </w:p>
    <w:p>
      <w:pPr>
        <w:spacing w:after="0" w:line="106" w:lineRule="exact"/>
        <w:rPr>
          <w:sz w:val="20"/>
          <w:szCs w:val="20"/>
          <w:color w:val="auto"/>
        </w:rPr>
      </w:pPr>
    </w:p>
    <w:p>
      <w:pPr>
        <w:jc w:val="both"/>
        <w:ind w:right="80"/>
        <w:spacing w:after="0" w:line="242" w:lineRule="auto"/>
        <w:rPr>
          <w:sz w:val="20"/>
          <w:szCs w:val="20"/>
          <w:color w:val="auto"/>
        </w:rPr>
      </w:pPr>
      <w:r>
        <w:rPr>
          <w:rFonts w:ascii="Arial" w:cs="Arial" w:eastAsia="Arial" w:hAnsi="Arial"/>
          <w:sz w:val="12"/>
          <w:szCs w:val="12"/>
          <w:color w:val="auto"/>
        </w:rPr>
        <w:t>Upon the spinoffs of Carrier and Otis that occurred on April 3, 2020, vested UTC SARs were adjusted and converted into vested SARs of RTX (as shown in the Outstanding Equity Awards at Fiscal Year-End table on pages 69-70), Carrier and Otis. Both the number of outstanding SARs and the exercise price of each award were adjusted at the time of the spinoffs to reflect the post-spinoff stock prices of the three companies. The table below shows the outstanding Carrier and Otis SARs held by our legacy UTC NEOs as of fiscal year-end.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680" w:type="dxa"/>
            <w:vAlign w:val="bottom"/>
          </w:tcPr>
          <w:p>
            <w:pPr>
              <w:spacing w:after="0"/>
              <w:rPr>
                <w:sz w:val="15"/>
                <w:szCs w:val="15"/>
                <w:color w:val="auto"/>
              </w:rPr>
            </w:pPr>
          </w:p>
        </w:tc>
        <w:tc>
          <w:tcPr>
            <w:tcW w:w="2820" w:type="dxa"/>
            <w:vAlign w:val="bottom"/>
            <w:tcBorders>
              <w:bottom w:val="single" w:sz="8" w:color="636466"/>
            </w:tcBorders>
            <w:gridSpan w:val="2"/>
          </w:tcPr>
          <w:p>
            <w:pPr>
              <w:jc w:val="right"/>
              <w:ind w:right="471"/>
              <w:spacing w:after="0"/>
              <w:rPr>
                <w:sz w:val="20"/>
                <w:szCs w:val="20"/>
                <w:color w:val="auto"/>
              </w:rPr>
            </w:pPr>
            <w:r>
              <w:rPr>
                <w:rFonts w:ascii="Arial" w:cs="Arial" w:eastAsia="Arial" w:hAnsi="Arial"/>
                <w:sz w:val="12"/>
                <w:szCs w:val="12"/>
                <w:b w:val="1"/>
                <w:bCs w:val="1"/>
                <w:color w:val="auto"/>
              </w:rPr>
              <w:t>Carrier SARs</w:t>
            </w:r>
          </w:p>
        </w:tc>
        <w:tc>
          <w:tcPr>
            <w:tcW w:w="960" w:type="dxa"/>
            <w:vAlign w:val="bottom"/>
            <w:tcBorders>
              <w:bottom w:val="single" w:sz="8" w:color="636466"/>
            </w:tcBorders>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tcBorders>
              <w:bottom w:val="single" w:sz="8" w:color="636466"/>
            </w:tcBorders>
          </w:tcPr>
          <w:p>
            <w:pPr>
              <w:spacing w:after="0"/>
              <w:rPr>
                <w:sz w:val="15"/>
                <w:szCs w:val="15"/>
                <w:color w:val="auto"/>
              </w:rPr>
            </w:pPr>
          </w:p>
        </w:tc>
        <w:tc>
          <w:tcPr>
            <w:tcW w:w="1320" w:type="dxa"/>
            <w:vAlign w:val="bottom"/>
            <w:tcBorders>
              <w:bottom w:val="single" w:sz="8" w:color="636466"/>
            </w:tcBorders>
          </w:tcPr>
          <w:p>
            <w:pPr>
              <w:jc w:val="right"/>
              <w:ind w:right="572"/>
              <w:spacing w:after="0"/>
              <w:rPr>
                <w:sz w:val="20"/>
                <w:szCs w:val="20"/>
                <w:color w:val="auto"/>
              </w:rPr>
            </w:pPr>
            <w:r>
              <w:rPr>
                <w:rFonts w:ascii="Arial" w:cs="Arial" w:eastAsia="Arial" w:hAnsi="Arial"/>
                <w:sz w:val="12"/>
                <w:szCs w:val="12"/>
                <w:b w:val="1"/>
                <w:bCs w:val="1"/>
                <w:color w:val="auto"/>
              </w:rPr>
              <w:t>Otis SARs</w:t>
            </w:r>
          </w:p>
        </w:tc>
        <w:tc>
          <w:tcPr>
            <w:tcW w:w="900" w:type="dxa"/>
            <w:vAlign w:val="bottom"/>
            <w:tcBorders>
              <w:bottom w:val="single" w:sz="8" w:color="636466"/>
            </w:tcBorders>
          </w:tcPr>
          <w:p>
            <w:pPr>
              <w:spacing w:after="0"/>
              <w:rPr>
                <w:sz w:val="15"/>
                <w:szCs w:val="15"/>
                <w:color w:val="auto"/>
              </w:rPr>
            </w:pPr>
          </w:p>
        </w:tc>
      </w:tr>
      <w:tr>
        <w:trPr>
          <w:trHeight w:val="155"/>
        </w:trPr>
        <w:tc>
          <w:tcPr>
            <w:tcW w:w="3680" w:type="dxa"/>
            <w:vAlign w:val="bottom"/>
          </w:tcPr>
          <w:p>
            <w:pPr>
              <w:spacing w:after="0"/>
              <w:rPr>
                <w:sz w:val="13"/>
                <w:szCs w:val="13"/>
                <w:color w:val="auto"/>
              </w:rPr>
            </w:pPr>
          </w:p>
        </w:tc>
        <w:tc>
          <w:tcPr>
            <w:tcW w:w="1660" w:type="dxa"/>
            <w:vAlign w:val="bottom"/>
          </w:tcPr>
          <w:p>
            <w:pPr>
              <w:jc w:val="right"/>
              <w:ind w:right="13"/>
              <w:spacing w:after="0"/>
              <w:rPr>
                <w:sz w:val="20"/>
                <w:szCs w:val="20"/>
                <w:color w:val="auto"/>
              </w:rPr>
            </w:pPr>
            <w:r>
              <w:rPr>
                <w:rFonts w:ascii="Arial" w:cs="Arial" w:eastAsia="Arial" w:hAnsi="Arial"/>
                <w:sz w:val="12"/>
                <w:szCs w:val="12"/>
                <w:color w:val="auto"/>
              </w:rPr>
              <w:t>Number of Securities</w:t>
            </w:r>
          </w:p>
        </w:tc>
        <w:tc>
          <w:tcPr>
            <w:tcW w:w="1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shd w:val="clear" w:color="auto" w:fill="ECEDEF"/>
          </w:tcPr>
          <w:p>
            <w:pPr>
              <w:jc w:val="right"/>
              <w:spacing w:after="0"/>
              <w:rPr>
                <w:sz w:val="20"/>
                <w:szCs w:val="20"/>
                <w:color w:val="auto"/>
              </w:rPr>
            </w:pPr>
            <w:r>
              <w:rPr>
                <w:rFonts w:ascii="Arial" w:cs="Arial" w:eastAsia="Arial" w:hAnsi="Arial"/>
                <w:sz w:val="12"/>
                <w:szCs w:val="12"/>
                <w:color w:val="auto"/>
              </w:rPr>
              <w:t>Number of Securities</w:t>
            </w:r>
          </w:p>
        </w:tc>
        <w:tc>
          <w:tcPr>
            <w:tcW w:w="1320" w:type="dxa"/>
            <w:vAlign w:val="bottom"/>
            <w:shd w:val="clear" w:color="auto" w:fill="ECEDEF"/>
          </w:tcPr>
          <w:p>
            <w:pPr>
              <w:spacing w:after="0"/>
              <w:rPr>
                <w:sz w:val="13"/>
                <w:szCs w:val="13"/>
                <w:color w:val="auto"/>
              </w:rPr>
            </w:pPr>
          </w:p>
        </w:tc>
        <w:tc>
          <w:tcPr>
            <w:tcW w:w="900" w:type="dxa"/>
            <w:vAlign w:val="bottom"/>
            <w:shd w:val="clear" w:color="auto" w:fill="ECEDEF"/>
          </w:tcPr>
          <w:p>
            <w:pPr>
              <w:spacing w:after="0"/>
              <w:rPr>
                <w:sz w:val="13"/>
                <w:szCs w:val="13"/>
                <w:color w:val="auto"/>
              </w:rPr>
            </w:pPr>
          </w:p>
        </w:tc>
      </w:tr>
      <w:tr>
        <w:trPr>
          <w:trHeight w:val="134"/>
        </w:trPr>
        <w:tc>
          <w:tcPr>
            <w:tcW w:w="3680" w:type="dxa"/>
            <w:vAlign w:val="bottom"/>
          </w:tcPr>
          <w:p>
            <w:pPr>
              <w:spacing w:after="0"/>
              <w:rPr>
                <w:sz w:val="11"/>
                <w:szCs w:val="11"/>
                <w:color w:val="auto"/>
              </w:rPr>
            </w:pPr>
          </w:p>
        </w:tc>
        <w:tc>
          <w:tcPr>
            <w:tcW w:w="1660" w:type="dxa"/>
            <w:vAlign w:val="bottom"/>
          </w:tcPr>
          <w:p>
            <w:pPr>
              <w:jc w:val="right"/>
              <w:ind w:right="13"/>
              <w:spacing w:after="0" w:line="134" w:lineRule="exact"/>
              <w:rPr>
                <w:sz w:val="20"/>
                <w:szCs w:val="20"/>
                <w:color w:val="auto"/>
              </w:rPr>
            </w:pPr>
            <w:r>
              <w:rPr>
                <w:rFonts w:ascii="Arial" w:cs="Arial" w:eastAsia="Arial" w:hAnsi="Arial"/>
                <w:sz w:val="12"/>
                <w:szCs w:val="12"/>
                <w:color w:val="auto"/>
              </w:rPr>
              <w:t>Underlying Unexercised</w:t>
            </w:r>
          </w:p>
        </w:tc>
        <w:tc>
          <w:tcPr>
            <w:tcW w:w="1160" w:type="dxa"/>
            <w:vAlign w:val="bottom"/>
          </w:tcPr>
          <w:p>
            <w:pPr>
              <w:jc w:val="right"/>
              <w:ind w:right="11"/>
              <w:spacing w:after="0" w:line="134" w:lineRule="exact"/>
              <w:rPr>
                <w:sz w:val="20"/>
                <w:szCs w:val="20"/>
                <w:color w:val="auto"/>
              </w:rPr>
            </w:pPr>
            <w:r>
              <w:rPr>
                <w:rFonts w:ascii="Arial" w:cs="Arial" w:eastAsia="Arial" w:hAnsi="Arial"/>
                <w:sz w:val="12"/>
                <w:szCs w:val="12"/>
                <w:color w:val="auto"/>
              </w:rPr>
              <w:t>Option</w:t>
            </w:r>
          </w:p>
        </w:tc>
        <w:tc>
          <w:tcPr>
            <w:tcW w:w="1040" w:type="dxa"/>
            <w:vAlign w:val="bottom"/>
            <w:gridSpan w:val="2"/>
          </w:tcPr>
          <w:p>
            <w:pPr>
              <w:jc w:val="right"/>
              <w:ind w:right="80"/>
              <w:spacing w:after="0" w:line="134" w:lineRule="exact"/>
              <w:rPr>
                <w:sz w:val="20"/>
                <w:szCs w:val="20"/>
                <w:color w:val="auto"/>
              </w:rPr>
            </w:pPr>
            <w:r>
              <w:rPr>
                <w:rFonts w:ascii="Arial" w:cs="Arial" w:eastAsia="Arial" w:hAnsi="Arial"/>
                <w:sz w:val="12"/>
                <w:szCs w:val="12"/>
                <w:color w:val="auto"/>
              </w:rPr>
              <w:t>Option</w:t>
            </w:r>
          </w:p>
        </w:tc>
        <w:tc>
          <w:tcPr>
            <w:tcW w:w="148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color w:val="auto"/>
              </w:rPr>
              <w:t>Underlying Unexercised</w:t>
            </w:r>
          </w:p>
        </w:tc>
        <w:tc>
          <w:tcPr>
            <w:tcW w:w="1320" w:type="dxa"/>
            <w:vAlign w:val="bottom"/>
            <w:shd w:val="clear" w:color="auto" w:fill="ECEDEF"/>
          </w:tcPr>
          <w:p>
            <w:pPr>
              <w:jc w:val="right"/>
              <w:ind w:right="112"/>
              <w:spacing w:after="0" w:line="134" w:lineRule="exact"/>
              <w:rPr>
                <w:sz w:val="20"/>
                <w:szCs w:val="20"/>
                <w:color w:val="auto"/>
              </w:rPr>
            </w:pPr>
            <w:r>
              <w:rPr>
                <w:rFonts w:ascii="Arial" w:cs="Arial" w:eastAsia="Arial" w:hAnsi="Arial"/>
                <w:sz w:val="12"/>
                <w:szCs w:val="12"/>
                <w:color w:val="auto"/>
              </w:rPr>
              <w:t>Option</w:t>
            </w:r>
          </w:p>
        </w:tc>
        <w:tc>
          <w:tcPr>
            <w:tcW w:w="900" w:type="dxa"/>
            <w:vAlign w:val="bottom"/>
            <w:shd w:val="clear" w:color="auto" w:fill="ECEDEF"/>
          </w:tcPr>
          <w:p>
            <w:pPr>
              <w:jc w:val="right"/>
              <w:spacing w:after="0" w:line="134" w:lineRule="exact"/>
              <w:rPr>
                <w:sz w:val="20"/>
                <w:szCs w:val="20"/>
                <w:color w:val="auto"/>
              </w:rPr>
            </w:pPr>
            <w:r>
              <w:rPr>
                <w:rFonts w:ascii="Arial" w:cs="Arial" w:eastAsia="Arial" w:hAnsi="Arial"/>
                <w:sz w:val="12"/>
                <w:szCs w:val="12"/>
                <w:color w:val="auto"/>
              </w:rPr>
              <w:t>Option</w:t>
            </w:r>
          </w:p>
        </w:tc>
      </w:tr>
      <w:tr>
        <w:trPr>
          <w:trHeight w:val="187"/>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2"/>
                <w:szCs w:val="12"/>
                <w:color w:val="auto"/>
              </w:rPr>
              <w:t>Grant Date</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2"/>
                <w:szCs w:val="12"/>
                <w:color w:val="auto"/>
              </w:rPr>
              <w:t>Options (#) (Exercisable)</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2"/>
                <w:szCs w:val="12"/>
                <w:color w:val="auto"/>
              </w:rPr>
              <w:t>Exercise Price ($)</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2"/>
                <w:szCs w:val="12"/>
                <w:color w:val="auto"/>
              </w:rPr>
              <w:t>Expiration Date</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2"/>
                <w:szCs w:val="12"/>
                <w:color w:val="auto"/>
              </w:rPr>
              <w:t>Options (#) (Exercisable)</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2"/>
                <w:szCs w:val="12"/>
                <w:color w:val="auto"/>
              </w:rPr>
              <w:t>Exercise Price ($)</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2"/>
                <w:szCs w:val="12"/>
                <w:color w:val="auto"/>
                <w:w w:val="99"/>
              </w:rPr>
              <w:t>Expiration Date</w:t>
            </w:r>
          </w:p>
        </w:tc>
      </w:tr>
      <w:tr>
        <w:trPr>
          <w:trHeight w:val="262"/>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b w:val="1"/>
                <w:bCs w:val="1"/>
                <w:color w:val="auto"/>
              </w:rPr>
              <w:t>M. Dumais</w:t>
            </w:r>
          </w:p>
        </w:tc>
        <w:tc>
          <w:tcPr>
            <w:tcW w:w="1660" w:type="dxa"/>
            <w:vAlign w:val="bottom"/>
            <w:tcBorders>
              <w:bottom w:val="single" w:sz="8" w:color="636466"/>
            </w:tcBorders>
          </w:tcPr>
          <w:p>
            <w:pPr>
              <w:spacing w:after="0"/>
              <w:rPr>
                <w:sz w:val="22"/>
                <w:szCs w:val="22"/>
                <w:color w:val="auto"/>
              </w:rPr>
            </w:pPr>
          </w:p>
        </w:tc>
        <w:tc>
          <w:tcPr>
            <w:tcW w:w="1160" w:type="dxa"/>
            <w:vAlign w:val="bottom"/>
            <w:tcBorders>
              <w:bottom w:val="single" w:sz="8" w:color="636466"/>
            </w:tcBorders>
          </w:tcPr>
          <w:p>
            <w:pPr>
              <w:spacing w:after="0"/>
              <w:rPr>
                <w:sz w:val="22"/>
                <w:szCs w:val="22"/>
                <w:color w:val="auto"/>
              </w:rPr>
            </w:pPr>
          </w:p>
        </w:tc>
        <w:tc>
          <w:tcPr>
            <w:tcW w:w="960" w:type="dxa"/>
            <w:vAlign w:val="bottom"/>
            <w:tcBorders>
              <w:bottom w:val="single" w:sz="8" w:color="636466"/>
            </w:tcBorders>
          </w:tcPr>
          <w:p>
            <w:pPr>
              <w:spacing w:after="0"/>
              <w:rPr>
                <w:sz w:val="22"/>
                <w:szCs w:val="22"/>
                <w:color w:val="auto"/>
              </w:rPr>
            </w:pPr>
          </w:p>
        </w:tc>
        <w:tc>
          <w:tcPr>
            <w:tcW w:w="80" w:type="dxa"/>
            <w:vAlign w:val="bottom"/>
            <w:tcBorders>
              <w:bottom w:val="single" w:sz="8" w:color="636466"/>
            </w:tcBorders>
          </w:tcPr>
          <w:p>
            <w:pPr>
              <w:spacing w:after="0"/>
              <w:rPr>
                <w:sz w:val="22"/>
                <w:szCs w:val="22"/>
                <w:color w:val="auto"/>
              </w:rPr>
            </w:pPr>
          </w:p>
        </w:tc>
        <w:tc>
          <w:tcPr>
            <w:tcW w:w="1480" w:type="dxa"/>
            <w:vAlign w:val="bottom"/>
            <w:tcBorders>
              <w:bottom w:val="single" w:sz="8" w:color="636466"/>
            </w:tcBorders>
            <w:shd w:val="clear" w:color="auto" w:fill="ECEDEF"/>
          </w:tcPr>
          <w:p>
            <w:pPr>
              <w:spacing w:after="0"/>
              <w:rPr>
                <w:sz w:val="22"/>
                <w:szCs w:val="22"/>
                <w:color w:val="auto"/>
              </w:rPr>
            </w:pPr>
          </w:p>
        </w:tc>
        <w:tc>
          <w:tcPr>
            <w:tcW w:w="1320" w:type="dxa"/>
            <w:vAlign w:val="bottom"/>
            <w:tcBorders>
              <w:bottom w:val="single" w:sz="8" w:color="636466"/>
            </w:tcBorders>
            <w:shd w:val="clear" w:color="auto" w:fill="ECEDEF"/>
          </w:tcPr>
          <w:p>
            <w:pPr>
              <w:spacing w:after="0"/>
              <w:rPr>
                <w:sz w:val="22"/>
                <w:szCs w:val="22"/>
                <w:color w:val="auto"/>
              </w:rPr>
            </w:pPr>
          </w:p>
        </w:tc>
        <w:tc>
          <w:tcPr>
            <w:tcW w:w="900" w:type="dxa"/>
            <w:vAlign w:val="bottom"/>
            <w:tcBorders>
              <w:bottom w:val="single" w:sz="8" w:color="636466"/>
            </w:tcBorders>
            <w:shd w:val="clear" w:color="auto" w:fill="ECEDEF"/>
          </w:tcPr>
          <w:p>
            <w:pPr>
              <w:spacing w:after="0"/>
              <w:rPr>
                <w:sz w:val="22"/>
                <w:szCs w:val="22"/>
                <w:color w:val="auto"/>
              </w:rPr>
            </w:pPr>
          </w:p>
        </w:tc>
      </w:tr>
      <w:tr>
        <w:trPr>
          <w:trHeight w:val="208"/>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1/3/2017</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4"/>
                <w:szCs w:val="14"/>
                <w:color w:val="auto"/>
              </w:rPr>
              <w:t>35,327</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$18.53</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4"/>
                <w:szCs w:val="14"/>
                <w:color w:val="auto"/>
              </w:rPr>
              <w:t>1/2/2027</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17,663</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4"/>
                <w:szCs w:val="14"/>
                <w:color w:val="auto"/>
              </w:rPr>
              <w:t>$58.66</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220"/>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1/4/2016</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4"/>
                <w:szCs w:val="14"/>
                <w:color w:val="auto"/>
              </w:rPr>
              <w:t>62,250</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$15.98</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4"/>
                <w:szCs w:val="14"/>
                <w:color w:val="auto"/>
              </w:rPr>
              <w:t>1/3/2026</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20,625</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4"/>
                <w:szCs w:val="14"/>
                <w:color w:val="auto"/>
              </w:rPr>
              <w:t>$50.58</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1/3/2026</w:t>
            </w:r>
          </w:p>
        </w:tc>
      </w:tr>
      <w:tr>
        <w:trPr>
          <w:trHeight w:val="262"/>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b w:val="1"/>
                <w:bCs w:val="1"/>
                <w:color w:val="auto"/>
              </w:rPr>
              <w:t>N. Mitchill, Jr.</w:t>
            </w:r>
          </w:p>
        </w:tc>
        <w:tc>
          <w:tcPr>
            <w:tcW w:w="1660" w:type="dxa"/>
            <w:vAlign w:val="bottom"/>
            <w:tcBorders>
              <w:bottom w:val="single" w:sz="8" w:color="636466"/>
            </w:tcBorders>
          </w:tcPr>
          <w:p>
            <w:pPr>
              <w:spacing w:after="0"/>
              <w:rPr>
                <w:sz w:val="22"/>
                <w:szCs w:val="22"/>
                <w:color w:val="auto"/>
              </w:rPr>
            </w:pPr>
          </w:p>
        </w:tc>
        <w:tc>
          <w:tcPr>
            <w:tcW w:w="1160" w:type="dxa"/>
            <w:vAlign w:val="bottom"/>
            <w:tcBorders>
              <w:bottom w:val="single" w:sz="8" w:color="636466"/>
            </w:tcBorders>
          </w:tcPr>
          <w:p>
            <w:pPr>
              <w:spacing w:after="0"/>
              <w:rPr>
                <w:sz w:val="22"/>
                <w:szCs w:val="22"/>
                <w:color w:val="auto"/>
              </w:rPr>
            </w:pPr>
          </w:p>
        </w:tc>
        <w:tc>
          <w:tcPr>
            <w:tcW w:w="960" w:type="dxa"/>
            <w:vAlign w:val="bottom"/>
            <w:tcBorders>
              <w:bottom w:val="single" w:sz="8" w:color="636466"/>
            </w:tcBorders>
          </w:tcPr>
          <w:p>
            <w:pPr>
              <w:spacing w:after="0"/>
              <w:rPr>
                <w:sz w:val="22"/>
                <w:szCs w:val="22"/>
                <w:color w:val="auto"/>
              </w:rPr>
            </w:pPr>
          </w:p>
        </w:tc>
        <w:tc>
          <w:tcPr>
            <w:tcW w:w="80" w:type="dxa"/>
            <w:vAlign w:val="bottom"/>
            <w:tcBorders>
              <w:bottom w:val="single" w:sz="8" w:color="636466"/>
            </w:tcBorders>
          </w:tcPr>
          <w:p>
            <w:pPr>
              <w:spacing w:after="0"/>
              <w:rPr>
                <w:sz w:val="22"/>
                <w:szCs w:val="22"/>
                <w:color w:val="auto"/>
              </w:rPr>
            </w:pPr>
          </w:p>
        </w:tc>
        <w:tc>
          <w:tcPr>
            <w:tcW w:w="1480" w:type="dxa"/>
            <w:vAlign w:val="bottom"/>
            <w:tcBorders>
              <w:bottom w:val="single" w:sz="8" w:color="636466"/>
            </w:tcBorders>
            <w:shd w:val="clear" w:color="auto" w:fill="ECEDEF"/>
          </w:tcPr>
          <w:p>
            <w:pPr>
              <w:spacing w:after="0"/>
              <w:rPr>
                <w:sz w:val="22"/>
                <w:szCs w:val="22"/>
                <w:color w:val="auto"/>
              </w:rPr>
            </w:pPr>
          </w:p>
        </w:tc>
        <w:tc>
          <w:tcPr>
            <w:tcW w:w="1320" w:type="dxa"/>
            <w:vAlign w:val="bottom"/>
            <w:tcBorders>
              <w:bottom w:val="single" w:sz="8" w:color="636466"/>
            </w:tcBorders>
            <w:shd w:val="clear" w:color="auto" w:fill="ECEDEF"/>
          </w:tcPr>
          <w:p>
            <w:pPr>
              <w:spacing w:after="0"/>
              <w:rPr>
                <w:sz w:val="22"/>
                <w:szCs w:val="22"/>
                <w:color w:val="auto"/>
              </w:rPr>
            </w:pPr>
          </w:p>
        </w:tc>
        <w:tc>
          <w:tcPr>
            <w:tcW w:w="900" w:type="dxa"/>
            <w:vAlign w:val="bottom"/>
            <w:tcBorders>
              <w:bottom w:val="single" w:sz="8" w:color="636466"/>
            </w:tcBorders>
            <w:shd w:val="clear" w:color="auto" w:fill="ECEDEF"/>
          </w:tcPr>
          <w:p>
            <w:pPr>
              <w:spacing w:after="0"/>
              <w:rPr>
                <w:sz w:val="22"/>
                <w:szCs w:val="22"/>
                <w:color w:val="auto"/>
              </w:rPr>
            </w:pPr>
          </w:p>
        </w:tc>
      </w:tr>
      <w:tr>
        <w:trPr>
          <w:trHeight w:val="208"/>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1/3/2017</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4"/>
                <w:szCs w:val="14"/>
                <w:color w:val="auto"/>
              </w:rPr>
              <w:t>8,938</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$18.53</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4"/>
                <w:szCs w:val="14"/>
                <w:color w:val="auto"/>
              </w:rPr>
              <w:t>1/2/2027</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4,469</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4"/>
                <w:szCs w:val="14"/>
                <w:color w:val="auto"/>
              </w:rPr>
              <w:t>$58.66</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1/2/2027</w:t>
            </w:r>
          </w:p>
        </w:tc>
      </w:tr>
      <w:tr>
        <w:trPr>
          <w:trHeight w:val="208"/>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1/4/2016</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5,618</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4"/>
                <w:szCs w:val="14"/>
                <w:color w:val="auto"/>
              </w:rPr>
              <w:t>$50.58</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1/3/2026</w:t>
            </w:r>
          </w:p>
        </w:tc>
      </w:tr>
      <w:tr>
        <w:trPr>
          <w:trHeight w:val="220"/>
        </w:trPr>
        <w:tc>
          <w:tcPr>
            <w:tcW w:w="368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1/2/2015</w:t>
            </w:r>
          </w:p>
        </w:tc>
        <w:tc>
          <w:tcPr>
            <w:tcW w:w="1660" w:type="dxa"/>
            <w:vAlign w:val="bottom"/>
            <w:tcBorders>
              <w:bottom w:val="single" w:sz="8" w:color="636466"/>
            </w:tcBorders>
          </w:tcPr>
          <w:p>
            <w:pPr>
              <w:jc w:val="right"/>
              <w:ind w:right="13"/>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636466"/>
            </w:tcBorders>
            <w:gridSpan w:val="2"/>
          </w:tcPr>
          <w:p>
            <w:pPr>
              <w:jc w:val="right"/>
              <w:ind w:right="80"/>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2,936</w:t>
            </w:r>
          </w:p>
        </w:tc>
        <w:tc>
          <w:tcPr>
            <w:tcW w:w="1320" w:type="dxa"/>
            <w:vAlign w:val="bottom"/>
            <w:tcBorders>
              <w:bottom w:val="single" w:sz="8" w:color="636466"/>
            </w:tcBorders>
            <w:shd w:val="clear" w:color="auto" w:fill="ECEDEF"/>
          </w:tcPr>
          <w:p>
            <w:pPr>
              <w:jc w:val="right"/>
              <w:ind w:right="112"/>
              <w:spacing w:after="0"/>
              <w:rPr>
                <w:sz w:val="20"/>
                <w:szCs w:val="20"/>
                <w:color w:val="auto"/>
              </w:rPr>
            </w:pPr>
            <w:r>
              <w:rPr>
                <w:rFonts w:ascii="Arial" w:cs="Arial" w:eastAsia="Arial" w:hAnsi="Arial"/>
                <w:sz w:val="14"/>
                <w:szCs w:val="14"/>
                <w:color w:val="auto"/>
              </w:rPr>
              <w:t>$60.88</w:t>
            </w:r>
          </w:p>
        </w:tc>
        <w:tc>
          <w:tcPr>
            <w:tcW w:w="9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1/1/2025</w:t>
            </w:r>
          </w:p>
        </w:tc>
      </w:tr>
    </w:tbl>
    <w:p>
      <w:pPr>
        <w:spacing w:after="0" w:line="135"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139065</wp:posOffset>
            </wp:positionV>
            <wp:extent cx="715454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OPTIONS EXERCISED AND STOCK VESTED</w:t>
      </w:r>
    </w:p>
    <w:p>
      <w:pPr>
        <w:spacing w:after="0" w:line="2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Options Exercised and Stock Vested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5600" w:type="dxa"/>
            <w:vAlign w:val="bottom"/>
          </w:tcPr>
          <w:p>
            <w:pPr>
              <w:spacing w:after="0"/>
              <w:rPr>
                <w:sz w:val="13"/>
                <w:szCs w:val="13"/>
                <w:color w:val="auto"/>
              </w:rPr>
            </w:pPr>
          </w:p>
        </w:tc>
        <w:tc>
          <w:tcPr>
            <w:tcW w:w="2780" w:type="dxa"/>
            <w:vAlign w:val="bottom"/>
            <w:tcBorders>
              <w:bottom w:val="single" w:sz="8" w:color="CE0F2D"/>
            </w:tcBorders>
            <w:gridSpan w:val="2"/>
          </w:tcPr>
          <w:p>
            <w:pPr>
              <w:jc w:val="right"/>
              <w:ind w:right="891"/>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Pr>
          <w:p>
            <w:pPr>
              <w:spacing w:after="0"/>
              <w:rPr>
                <w:sz w:val="13"/>
                <w:szCs w:val="13"/>
                <w:color w:val="auto"/>
              </w:rPr>
            </w:pPr>
          </w:p>
        </w:tc>
        <w:tc>
          <w:tcPr>
            <w:tcW w:w="2700" w:type="dxa"/>
            <w:vAlign w:val="bottom"/>
            <w:tcBorders>
              <w:bottom w:val="single" w:sz="8" w:color="CE0F2D"/>
            </w:tcBorders>
            <w:gridSpan w:val="2"/>
          </w:tcPr>
          <w:p>
            <w:pPr>
              <w:jc w:val="right"/>
              <w:ind w:right="871"/>
              <w:spacing w:after="0"/>
              <w:rPr>
                <w:sz w:val="20"/>
                <w:szCs w:val="20"/>
                <w:color w:val="auto"/>
              </w:rPr>
            </w:pPr>
            <w:r>
              <w:rPr>
                <w:rFonts w:ascii="Arial" w:cs="Arial" w:eastAsia="Arial" w:hAnsi="Arial"/>
                <w:sz w:val="12"/>
                <w:szCs w:val="12"/>
                <w:b w:val="1"/>
                <w:bCs w:val="1"/>
                <w:color w:val="auto"/>
              </w:rPr>
              <w:t>Stock Awards</w:t>
            </w:r>
          </w:p>
        </w:tc>
      </w:tr>
      <w:tr>
        <w:trPr>
          <w:trHeight w:val="142"/>
        </w:trPr>
        <w:tc>
          <w:tcPr>
            <w:tcW w:w="5600" w:type="dxa"/>
            <w:vAlign w:val="bottom"/>
          </w:tcPr>
          <w:p>
            <w:pPr>
              <w:spacing w:after="0"/>
              <w:rPr>
                <w:sz w:val="12"/>
                <w:szCs w:val="12"/>
                <w:color w:val="auto"/>
              </w:rPr>
            </w:pPr>
          </w:p>
        </w:tc>
        <w:tc>
          <w:tcPr>
            <w:tcW w:w="1680" w:type="dxa"/>
            <w:vAlign w:val="bottom"/>
          </w:tcPr>
          <w:p>
            <w:pPr>
              <w:jc w:val="right"/>
              <w:ind w:right="31"/>
              <w:spacing w:after="0"/>
              <w:rPr>
                <w:sz w:val="20"/>
                <w:szCs w:val="20"/>
                <w:color w:val="auto"/>
              </w:rPr>
            </w:pPr>
            <w:r>
              <w:rPr>
                <w:rFonts w:ascii="Arial" w:cs="Arial" w:eastAsia="Arial" w:hAnsi="Arial"/>
                <w:sz w:val="12"/>
                <w:szCs w:val="12"/>
                <w:b w:val="1"/>
                <w:bCs w:val="1"/>
                <w:color w:val="61676D"/>
              </w:rPr>
              <w:t>Number of Shares</w:t>
            </w:r>
          </w:p>
        </w:tc>
        <w:tc>
          <w:tcPr>
            <w:tcW w:w="126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61676D"/>
              </w:rPr>
              <w:t>Value Realized</w:t>
            </w:r>
          </w:p>
        </w:tc>
        <w:tc>
          <w:tcPr>
            <w:tcW w:w="1630" w:type="dxa"/>
            <w:vAlign w:val="bottom"/>
            <w:shd w:val="clear" w:color="auto" w:fill="ECEDEF"/>
          </w:tcPr>
          <w:p>
            <w:pPr>
              <w:jc w:val="right"/>
              <w:ind w:right="21"/>
              <w:spacing w:after="0"/>
              <w:rPr>
                <w:sz w:val="20"/>
                <w:szCs w:val="20"/>
                <w:color w:val="auto"/>
              </w:rPr>
            </w:pPr>
            <w:r>
              <w:rPr>
                <w:rFonts w:ascii="Arial" w:cs="Arial" w:eastAsia="Arial" w:hAnsi="Arial"/>
                <w:sz w:val="12"/>
                <w:szCs w:val="12"/>
                <w:b w:val="1"/>
                <w:bCs w:val="1"/>
                <w:color w:val="61676D"/>
              </w:rPr>
              <w:t>Number of Shares</w:t>
            </w:r>
          </w:p>
        </w:tc>
        <w:tc>
          <w:tcPr>
            <w:tcW w:w="1070" w:type="dxa"/>
            <w:vAlign w:val="bottom"/>
            <w:shd w:val="clear" w:color="auto" w:fill="ECEDEF"/>
          </w:tcPr>
          <w:p>
            <w:pPr>
              <w:jc w:val="right"/>
              <w:spacing w:after="0"/>
              <w:rPr>
                <w:sz w:val="20"/>
                <w:szCs w:val="20"/>
                <w:color w:val="auto"/>
              </w:rPr>
            </w:pPr>
            <w:r>
              <w:rPr>
                <w:rFonts w:ascii="Arial" w:cs="Arial" w:eastAsia="Arial" w:hAnsi="Arial"/>
                <w:sz w:val="12"/>
                <w:szCs w:val="12"/>
                <w:b w:val="1"/>
                <w:bCs w:val="1"/>
                <w:color w:val="61676D"/>
              </w:rPr>
              <w:t>Value Realized</w:t>
            </w:r>
          </w:p>
        </w:tc>
      </w:tr>
      <w:tr>
        <w:trPr>
          <w:trHeight w:val="207"/>
        </w:trPr>
        <w:tc>
          <w:tcPr>
            <w:tcW w:w="5600" w:type="dxa"/>
            <w:vAlign w:val="bottom"/>
            <w:tcBorders>
              <w:bottom w:val="single" w:sz="8" w:color="CE0F2C"/>
            </w:tcBorders>
          </w:tcPr>
          <w:p>
            <w:pPr>
              <w:ind w:left="40"/>
              <w:spacing w:after="0"/>
              <w:rPr>
                <w:sz w:val="20"/>
                <w:szCs w:val="20"/>
                <w:color w:val="auto"/>
              </w:rPr>
            </w:pPr>
            <w:r>
              <w:rPr>
                <w:rFonts w:ascii="Arial" w:cs="Arial" w:eastAsia="Arial" w:hAnsi="Arial"/>
                <w:sz w:val="12"/>
                <w:szCs w:val="12"/>
                <w:b w:val="1"/>
                <w:bCs w:val="1"/>
                <w:color w:val="61676D"/>
              </w:rPr>
              <w:t>Name</w:t>
            </w:r>
          </w:p>
        </w:tc>
        <w:tc>
          <w:tcPr>
            <w:tcW w:w="1680" w:type="dxa"/>
            <w:vAlign w:val="bottom"/>
            <w:tcBorders>
              <w:bottom w:val="single" w:sz="8" w:color="CE0F2C"/>
            </w:tcBorders>
          </w:tcPr>
          <w:p>
            <w:pPr>
              <w:jc w:val="right"/>
              <w:ind w:right="31"/>
              <w:spacing w:after="0" w:line="186" w:lineRule="exact"/>
              <w:rPr>
                <w:sz w:val="20"/>
                <w:szCs w:val="20"/>
                <w:color w:val="auto"/>
              </w:rPr>
            </w:pPr>
            <w:r>
              <w:rPr>
                <w:rFonts w:ascii="Arial" w:cs="Arial" w:eastAsia="Arial" w:hAnsi="Arial"/>
                <w:sz w:val="12"/>
                <w:szCs w:val="12"/>
                <w:b w:val="1"/>
                <w:bCs w:val="1"/>
                <w:color w:val="61676D"/>
                <w:w w:val="99"/>
              </w:rPr>
              <w:t>Acquired on Exercise (#)</w:t>
            </w:r>
            <w:r>
              <w:rPr>
                <w:rFonts w:ascii="Arial" w:cs="Arial" w:eastAsia="Arial" w:hAnsi="Arial"/>
                <w:sz w:val="20"/>
                <w:szCs w:val="20"/>
                <w:b w:val="1"/>
                <w:bCs w:val="1"/>
                <w:color w:val="61676D"/>
                <w:w w:val="99"/>
                <w:vertAlign w:val="superscript"/>
              </w:rPr>
              <w:t>(1)</w:t>
            </w:r>
          </w:p>
        </w:tc>
        <w:tc>
          <w:tcPr>
            <w:tcW w:w="1260" w:type="dxa"/>
            <w:vAlign w:val="bottom"/>
            <w:tcBorders>
              <w:bottom w:val="single" w:sz="8" w:color="CE0F2C"/>
            </w:tcBorders>
            <w:gridSpan w:val="2"/>
          </w:tcPr>
          <w:p>
            <w:pPr>
              <w:jc w:val="right"/>
              <w:ind w:right="160"/>
              <w:spacing w:after="0" w:line="186" w:lineRule="exact"/>
              <w:rPr>
                <w:sz w:val="20"/>
                <w:szCs w:val="20"/>
                <w:color w:val="auto"/>
              </w:rPr>
            </w:pPr>
            <w:r>
              <w:rPr>
                <w:rFonts w:ascii="Arial" w:cs="Arial" w:eastAsia="Arial" w:hAnsi="Arial"/>
                <w:sz w:val="12"/>
                <w:szCs w:val="12"/>
                <w:b w:val="1"/>
                <w:bCs w:val="1"/>
                <w:color w:val="61676D"/>
              </w:rPr>
              <w:t>on Exercise ($)</w:t>
            </w:r>
            <w:r>
              <w:rPr>
                <w:rFonts w:ascii="Arial" w:cs="Arial" w:eastAsia="Arial" w:hAnsi="Arial"/>
                <w:sz w:val="20"/>
                <w:szCs w:val="20"/>
                <w:b w:val="1"/>
                <w:bCs w:val="1"/>
                <w:color w:val="61676D"/>
                <w:vertAlign w:val="superscript"/>
              </w:rPr>
              <w:t>(2)</w:t>
            </w:r>
          </w:p>
        </w:tc>
        <w:tc>
          <w:tcPr>
            <w:tcW w:w="1630" w:type="dxa"/>
            <w:vAlign w:val="bottom"/>
            <w:tcBorders>
              <w:bottom w:val="single" w:sz="8" w:color="CE0F2C"/>
            </w:tcBorders>
            <w:shd w:val="clear" w:color="auto" w:fill="ECEDEF"/>
          </w:tcPr>
          <w:p>
            <w:pPr>
              <w:jc w:val="right"/>
              <w:ind w:right="21"/>
              <w:spacing w:after="0" w:line="186" w:lineRule="exact"/>
              <w:rPr>
                <w:sz w:val="20"/>
                <w:szCs w:val="20"/>
                <w:color w:val="auto"/>
              </w:rPr>
            </w:pPr>
            <w:r>
              <w:rPr>
                <w:rFonts w:ascii="Arial" w:cs="Arial" w:eastAsia="Arial" w:hAnsi="Arial"/>
                <w:sz w:val="12"/>
                <w:szCs w:val="12"/>
                <w:b w:val="1"/>
                <w:bCs w:val="1"/>
                <w:color w:val="61676D"/>
              </w:rPr>
              <w:t>Acquired on Vesting (#)</w:t>
            </w:r>
            <w:r>
              <w:rPr>
                <w:rFonts w:ascii="Arial" w:cs="Arial" w:eastAsia="Arial" w:hAnsi="Arial"/>
                <w:sz w:val="20"/>
                <w:szCs w:val="20"/>
                <w:b w:val="1"/>
                <w:bCs w:val="1"/>
                <w:color w:val="61676D"/>
                <w:vertAlign w:val="superscript"/>
              </w:rPr>
              <w:t>(3)</w:t>
            </w:r>
          </w:p>
        </w:tc>
        <w:tc>
          <w:tcPr>
            <w:tcW w:w="1070" w:type="dxa"/>
            <w:vAlign w:val="bottom"/>
            <w:tcBorders>
              <w:bottom w:val="single" w:sz="8" w:color="CE0F2C"/>
            </w:tcBorders>
            <w:shd w:val="clear" w:color="auto" w:fill="ECEDEF"/>
          </w:tcPr>
          <w:p>
            <w:pPr>
              <w:jc w:val="right"/>
              <w:spacing w:after="0" w:line="186" w:lineRule="exact"/>
              <w:rPr>
                <w:sz w:val="20"/>
                <w:szCs w:val="20"/>
                <w:color w:val="auto"/>
              </w:rPr>
            </w:pPr>
            <w:r>
              <w:rPr>
                <w:rFonts w:ascii="Arial" w:cs="Arial" w:eastAsia="Arial" w:hAnsi="Arial"/>
                <w:sz w:val="12"/>
                <w:szCs w:val="12"/>
                <w:b w:val="1"/>
                <w:bCs w:val="1"/>
                <w:color w:val="61676D"/>
              </w:rPr>
              <w:t>on Vesting ($)</w:t>
            </w:r>
            <w:r>
              <w:rPr>
                <w:rFonts w:ascii="Arial" w:cs="Arial" w:eastAsia="Arial" w:hAnsi="Arial"/>
                <w:sz w:val="20"/>
                <w:szCs w:val="20"/>
                <w:b w:val="1"/>
                <w:bCs w:val="1"/>
                <w:color w:val="61676D"/>
                <w:vertAlign w:val="superscript"/>
              </w:rPr>
              <w:t>(4)</w:t>
            </w:r>
          </w:p>
        </w:tc>
      </w:tr>
      <w:tr>
        <w:trPr>
          <w:trHeight w:val="208"/>
        </w:trPr>
        <w:tc>
          <w:tcPr>
            <w:tcW w:w="5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G. Hayes</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131,876</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$9,081,966</w:t>
            </w:r>
          </w:p>
        </w:tc>
      </w:tr>
      <w:tr>
        <w:trPr>
          <w:trHeight w:val="208"/>
        </w:trPr>
        <w:tc>
          <w:tcPr>
            <w:tcW w:w="5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N. Mitchill, Jr.</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9,560</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$654,191</w:t>
            </w:r>
          </w:p>
        </w:tc>
      </w:tr>
      <w:tr>
        <w:trPr>
          <w:trHeight w:val="208"/>
        </w:trPr>
        <w:tc>
          <w:tcPr>
            <w:tcW w:w="5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M. Dumais</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34,476</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$792,000</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43,354</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$3,102,675</w:t>
            </w:r>
          </w:p>
        </w:tc>
      </w:tr>
      <w:tr>
        <w:trPr>
          <w:trHeight w:val="208"/>
        </w:trPr>
        <w:tc>
          <w:tcPr>
            <w:tcW w:w="5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C. Calio</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15,022</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$1,027,955</w:t>
            </w:r>
          </w:p>
        </w:tc>
      </w:tr>
      <w:tr>
        <w:trPr>
          <w:trHeight w:val="208"/>
        </w:trPr>
        <w:tc>
          <w:tcPr>
            <w:tcW w:w="560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S. Timm</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w:t>
            </w:r>
          </w:p>
        </w:tc>
      </w:tr>
      <w:tr>
        <w:trPr>
          <w:trHeight w:val="240"/>
        </w:trPr>
        <w:tc>
          <w:tcPr>
            <w:tcW w:w="5600" w:type="dxa"/>
            <w:vAlign w:val="bottom"/>
            <w:tcBorders>
              <w:bottom w:val="single" w:sz="8" w:color="636466"/>
            </w:tcBorders>
          </w:tcPr>
          <w:p>
            <w:pPr>
              <w:ind w:left="40"/>
              <w:spacing w:after="0" w:line="240" w:lineRule="exact"/>
              <w:rPr>
                <w:sz w:val="20"/>
                <w:szCs w:val="20"/>
                <w:color w:val="auto"/>
              </w:rPr>
            </w:pPr>
            <w:r>
              <w:rPr>
                <w:rFonts w:ascii="Arial" w:cs="Arial" w:eastAsia="Arial" w:hAnsi="Arial"/>
                <w:sz w:val="14"/>
                <w:szCs w:val="14"/>
                <w:color w:val="auto"/>
              </w:rPr>
              <w:t>T. Kennedy</w:t>
            </w:r>
            <w:r>
              <w:rPr>
                <w:rFonts w:ascii="Arial" w:cs="Arial" w:eastAsia="Arial" w:hAnsi="Arial"/>
                <w:sz w:val="23"/>
                <w:szCs w:val="23"/>
                <w:color w:val="auto"/>
                <w:vertAlign w:val="superscript"/>
              </w:rPr>
              <w:t>(5)</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608,309</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$51,480,627</w:t>
            </w:r>
          </w:p>
        </w:tc>
      </w:tr>
      <w:tr>
        <w:trPr>
          <w:trHeight w:val="241"/>
        </w:trPr>
        <w:tc>
          <w:tcPr>
            <w:tcW w:w="5600" w:type="dxa"/>
            <w:vAlign w:val="bottom"/>
            <w:tcBorders>
              <w:bottom w:val="single" w:sz="8" w:color="636466"/>
            </w:tcBorders>
          </w:tcPr>
          <w:p>
            <w:pPr>
              <w:ind w:left="40"/>
              <w:spacing w:after="0" w:line="234" w:lineRule="exact"/>
              <w:rPr>
                <w:sz w:val="20"/>
                <w:szCs w:val="20"/>
                <w:color w:val="auto"/>
              </w:rPr>
            </w:pPr>
            <w:r>
              <w:rPr>
                <w:rFonts w:ascii="Arial" w:cs="Arial" w:eastAsia="Arial" w:hAnsi="Arial"/>
                <w:sz w:val="14"/>
                <w:szCs w:val="14"/>
                <w:color w:val="auto"/>
              </w:rPr>
              <w:t>A. O’Brien III</w:t>
            </w:r>
            <w:r>
              <w:rPr>
                <w:rFonts w:ascii="Arial" w:cs="Arial" w:eastAsia="Arial" w:hAnsi="Arial"/>
                <w:sz w:val="23"/>
                <w:szCs w:val="23"/>
                <w:color w:val="auto"/>
                <w:vertAlign w:val="superscript"/>
              </w:rPr>
              <w:t>(5)</w:t>
            </w:r>
          </w:p>
        </w:tc>
        <w:tc>
          <w:tcPr>
            <w:tcW w:w="1680" w:type="dxa"/>
            <w:vAlign w:val="bottom"/>
            <w:tcBorders>
              <w:bottom w:val="single" w:sz="8" w:color="636466"/>
            </w:tcBorders>
          </w:tcPr>
          <w:p>
            <w:pPr>
              <w:jc w:val="right"/>
              <w:ind w:right="3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630" w:type="dxa"/>
            <w:vAlign w:val="bottom"/>
            <w:tcBorders>
              <w:bottom w:val="single" w:sz="8" w:color="636466"/>
            </w:tcBorders>
            <w:shd w:val="clear" w:color="auto" w:fill="ECEDEF"/>
          </w:tcPr>
          <w:p>
            <w:pPr>
              <w:jc w:val="right"/>
              <w:ind w:right="21"/>
              <w:spacing w:after="0"/>
              <w:rPr>
                <w:sz w:val="20"/>
                <w:szCs w:val="20"/>
                <w:color w:val="auto"/>
              </w:rPr>
            </w:pPr>
            <w:r>
              <w:rPr>
                <w:rFonts w:ascii="Arial" w:cs="Arial" w:eastAsia="Arial" w:hAnsi="Arial"/>
                <w:sz w:val="14"/>
                <w:szCs w:val="14"/>
                <w:color w:val="auto"/>
              </w:rPr>
              <w:t>124,970</w:t>
            </w:r>
          </w:p>
        </w:tc>
        <w:tc>
          <w:tcPr>
            <w:tcW w:w="107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$9,380,983</w:t>
            </w:r>
          </w:p>
        </w:tc>
      </w:tr>
    </w:tbl>
    <w:p>
      <w:pPr>
        <w:spacing w:after="0" w:line="74" w:lineRule="exact"/>
        <w:rPr>
          <w:sz w:val="20"/>
          <w:szCs w:val="20"/>
          <w:color w:val="auto"/>
        </w:rPr>
      </w:pPr>
    </w:p>
    <w:p>
      <w:pPr>
        <w:ind w:left="240" w:hanging="233"/>
        <w:spacing w:after="0"/>
        <w:tabs>
          <w:tab w:leader="none" w:pos="24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RTX SARs exercised during 2021.</w:t>
      </w:r>
    </w:p>
    <w:p>
      <w:pPr>
        <w:spacing w:after="0" w:line="76" w:lineRule="exact"/>
        <w:rPr>
          <w:rFonts w:ascii="Arial" w:cs="Arial" w:eastAsia="Arial" w:hAnsi="Arial"/>
          <w:sz w:val="12"/>
          <w:szCs w:val="12"/>
          <w:color w:val="auto"/>
        </w:rPr>
      </w:pPr>
    </w:p>
    <w:p>
      <w:pPr>
        <w:ind w:left="240" w:hanging="233"/>
        <w:spacing w:after="0" w:line="239" w:lineRule="auto"/>
        <w:tabs>
          <w:tab w:leader="none" w:pos="24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Calculated by multiplying the number of RTX SARs exercised by the difference between the market price of RTX Common Stock on the exercise date and the exercise price of the award. During 2021, Mr. Hayes exercised 555,024 Carrier SARs for a gain of $18,734,066 and 277,511 Otis SARs for a gain of $9,887,244. Mr. Mitchill exercised 26,132 Carrier SARs for a gain of $982,628 and 4,511 Otis SARs for a gain of $121,047. Mr. Dumais exercised 36,496 Carrier SARs for a gain of $1,016,703 and 42,155 Otis SARs for a gain of $989,613. Mr. Calio exercised 24,941 Carrier SARs for a gain of $1,006,591 and 16,981 Otis SARs for a gain of $624,239. These values are not included in the table above.</w:t>
      </w:r>
    </w:p>
    <w:p>
      <w:pPr>
        <w:spacing w:after="0" w:line="66" w:lineRule="exact"/>
        <w:rPr>
          <w:rFonts w:ascii="Arial" w:cs="Arial" w:eastAsia="Arial" w:hAnsi="Arial"/>
          <w:sz w:val="12"/>
          <w:szCs w:val="12"/>
          <w:color w:val="auto"/>
        </w:rPr>
      </w:pPr>
    </w:p>
    <w:p>
      <w:pPr>
        <w:ind w:left="240" w:right="280" w:hanging="233"/>
        <w:spacing w:after="0" w:line="242" w:lineRule="auto"/>
        <w:tabs>
          <w:tab w:leader="none" w:pos="24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Restricted Stock Awards (granted by legacy RTN prior to the Merger) and RSUs (including legacy RTN and UTC PSUs that converted to RTX RSUs upon the spinoffs of Carrier and Otis and the Merger) that vested in 2021. Amounts include any shares that were withheld to cover U.S. Social Security and Medicare taxes due during the year as a result of the executive attaining retirement-eligible status under terms of the award.</w:t>
      </w:r>
    </w:p>
    <w:p>
      <w:pPr>
        <w:spacing w:after="0" w:line="64" w:lineRule="exact"/>
        <w:rPr>
          <w:rFonts w:ascii="Arial" w:cs="Arial" w:eastAsia="Arial" w:hAnsi="Arial"/>
          <w:sz w:val="12"/>
          <w:szCs w:val="12"/>
          <w:color w:val="auto"/>
        </w:rPr>
      </w:pPr>
    </w:p>
    <w:p>
      <w:pPr>
        <w:ind w:left="240" w:hanging="233"/>
        <w:spacing w:after="0"/>
        <w:tabs>
          <w:tab w:leader="none" w:pos="24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Calculated by multiplying the number of vested stock awards by the market price of RTX Common Stock on the vest date, except for awards detailed in footnote (5) below.</w:t>
      </w:r>
    </w:p>
    <w:p>
      <w:pPr>
        <w:spacing w:after="0" w:line="76" w:lineRule="exact"/>
        <w:rPr>
          <w:rFonts w:ascii="Arial" w:cs="Arial" w:eastAsia="Arial" w:hAnsi="Arial"/>
          <w:sz w:val="12"/>
          <w:szCs w:val="12"/>
          <w:color w:val="auto"/>
        </w:rPr>
      </w:pPr>
    </w:p>
    <w:p>
      <w:pPr>
        <w:ind w:left="240" w:right="100" w:hanging="233"/>
        <w:spacing w:after="0" w:line="239" w:lineRule="auto"/>
        <w:tabs>
          <w:tab w:leader="none" w:pos="24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These amounts also include the value of stock awards that vested (or remain eligible to vest subject to the Company’s performance) upon Messrs. Kennedy and O’Brien’s separation from the Company. Awards are valued using the closing stock price on the separation date of June 1, 2021 ($88.99) for Mr. Kennedy and April 7, 2021 ($77.60) for Mr. O’Brien. Values shown for the 2021 PSUs reflect maximum-level performance based on estimated performance as of December 31, 2021; however, actual vesting will be based on performance through 2023. RSU awards were subject to a 6-month delay in settlement as a result of IRC Section 409A.</w:t>
      </w:r>
    </w:p>
    <w:p>
      <w:pPr>
        <w:spacing w:after="0" w:line="12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Pension Benefits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UTC PENSION BENEFITS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Overview of Plans. </w:t>
      </w:r>
      <w:r>
        <w:rPr>
          <w:rFonts w:ascii="Arial" w:cs="Arial" w:eastAsia="Arial" w:hAnsi="Arial"/>
          <w:sz w:val="16"/>
          <w:szCs w:val="16"/>
          <w:color w:val="000000"/>
        </w:rPr>
        <w:t>The Company maintains the following legacy UTC frozen pension plans:</w:t>
      </w:r>
    </w:p>
    <w:p>
      <w:pPr>
        <w:spacing w:after="0" w:line="164" w:lineRule="exact"/>
        <w:rPr>
          <w:sz w:val="20"/>
          <w:szCs w:val="20"/>
          <w:color w:val="auto"/>
        </w:rPr>
      </w:pPr>
    </w:p>
    <w:p>
      <w:pPr>
        <w:ind w:left="240" w:right="380" w:hanging="233"/>
        <w:spacing w:after="0" w:line="282" w:lineRule="auto"/>
        <w:tabs>
          <w:tab w:leader="none" w:pos="240" w:val="left"/>
        </w:tabs>
        <w:numPr>
          <w:ilvl w:val="0"/>
          <w:numId w:val="192"/>
        </w:numPr>
        <w:rPr>
          <w:rFonts w:ascii="Arial" w:cs="Arial" w:eastAsia="Arial" w:hAnsi="Arial"/>
          <w:sz w:val="16"/>
          <w:szCs w:val="16"/>
          <w:color w:val="CE0F2D"/>
        </w:rPr>
      </w:pPr>
      <w:r>
        <w:rPr>
          <w:rFonts w:ascii="Arial" w:cs="Arial" w:eastAsia="Arial" w:hAnsi="Arial"/>
          <w:sz w:val="16"/>
          <w:szCs w:val="16"/>
          <w:b w:val="1"/>
          <w:bCs w:val="1"/>
          <w:color w:val="auto"/>
        </w:rPr>
        <w:t xml:space="preserve">UTC Pension Plan: </w:t>
      </w:r>
      <w:r>
        <w:rPr>
          <w:rFonts w:ascii="Arial" w:cs="Arial" w:eastAsia="Arial" w:hAnsi="Arial"/>
          <w:sz w:val="16"/>
          <w:szCs w:val="16"/>
          <w:color w:val="auto"/>
        </w:rPr>
        <w:t>A tax-qualified, defined benefit plan subject to IRC provisions that recognized pay and annual retirement benefits up to IRC limits</w:t>
      </w:r>
      <w:r>
        <w:rPr>
          <w:rFonts w:ascii="Arial" w:cs="Arial" w:eastAsia="Arial" w:hAnsi="Arial"/>
          <w:sz w:val="16"/>
          <w:szCs w:val="16"/>
          <w:b w:val="1"/>
          <w:bCs w:val="1"/>
          <w:color w:val="auto"/>
        </w:rPr>
        <w:t xml:space="preserve"> </w:t>
      </w:r>
      <w:r>
        <w:rPr>
          <w:rFonts w:ascii="Arial" w:cs="Arial" w:eastAsia="Arial" w:hAnsi="Arial"/>
          <w:sz w:val="16"/>
          <w:szCs w:val="16"/>
          <w:color w:val="auto"/>
        </w:rPr>
        <w:t>through the plan freeze date of December 31, 2019. This plan was formerly known as the UTC Employee Retirement Plan.</w:t>
      </w:r>
    </w:p>
    <w:p>
      <w:pPr>
        <w:spacing w:after="0" w:line="22" w:lineRule="exact"/>
        <w:rPr>
          <w:rFonts w:ascii="Arial" w:cs="Arial" w:eastAsia="Arial" w:hAnsi="Arial"/>
          <w:sz w:val="16"/>
          <w:szCs w:val="16"/>
          <w:color w:val="CE0F2D"/>
        </w:rPr>
      </w:pPr>
    </w:p>
    <w:p>
      <w:pPr>
        <w:ind w:left="240" w:right="540" w:hanging="233"/>
        <w:spacing w:after="0" w:line="282" w:lineRule="auto"/>
        <w:tabs>
          <w:tab w:leader="none" w:pos="240" w:val="left"/>
        </w:tabs>
        <w:numPr>
          <w:ilvl w:val="0"/>
          <w:numId w:val="192"/>
        </w:numPr>
        <w:rPr>
          <w:rFonts w:ascii="Arial" w:cs="Arial" w:eastAsia="Arial" w:hAnsi="Arial"/>
          <w:sz w:val="16"/>
          <w:szCs w:val="16"/>
          <w:color w:val="CE0F2D"/>
        </w:rPr>
      </w:pPr>
      <w:r>
        <w:rPr>
          <w:rFonts w:ascii="Arial" w:cs="Arial" w:eastAsia="Arial" w:hAnsi="Arial"/>
          <w:sz w:val="16"/>
          <w:szCs w:val="16"/>
          <w:b w:val="1"/>
          <w:bCs w:val="1"/>
          <w:color w:val="auto"/>
        </w:rPr>
        <w:t xml:space="preserve">UTC Pension Preservation Plan (“PPP”): </w:t>
      </w:r>
      <w:r>
        <w:rPr>
          <w:rFonts w:ascii="Arial" w:cs="Arial" w:eastAsia="Arial" w:hAnsi="Arial"/>
          <w:sz w:val="16"/>
          <w:szCs w:val="16"/>
          <w:color w:val="auto"/>
        </w:rPr>
        <w:t>An unfunded, nonqualified defined benefit plan that mirrors the benefit formula, retirement eligibility and</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provisions of the UTC Pension Plan, but provides benefits that could not be accrued under the UTC Pension Plan due to IRC limits.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CE0F2D"/>
        </w:rPr>
        <w:t xml:space="preserve">Eligibility and Pension Formulas. </w:t>
      </w:r>
      <w:r>
        <w:rPr>
          <w:rFonts w:ascii="Arial" w:cs="Arial" w:eastAsia="Arial" w:hAnsi="Arial"/>
          <w:sz w:val="16"/>
          <w:szCs w:val="16"/>
          <w:color w:val="000000"/>
        </w:rPr>
        <w:t>Over the years, as the competitive market has evolved, the eligible employee population and the pension benefit formula</w:t>
      </w:r>
      <w:r>
        <w:rPr>
          <w:rFonts w:ascii="Arial" w:cs="Arial" w:eastAsia="Arial" w:hAnsi="Arial"/>
          <w:sz w:val="16"/>
          <w:szCs w:val="16"/>
          <w:b w:val="1"/>
          <w:bCs w:val="1"/>
          <w:color w:val="CE0F2D"/>
        </w:rPr>
        <w:t xml:space="preserve"> </w:t>
      </w:r>
      <w:r>
        <w:rPr>
          <w:rFonts w:ascii="Arial" w:cs="Arial" w:eastAsia="Arial" w:hAnsi="Arial"/>
          <w:sz w:val="16"/>
          <w:szCs w:val="16"/>
          <w:color w:val="000000"/>
        </w:rPr>
        <w:t>used under these plans have changed. Benefit accruals earned under the UTC Pension Plan and PPP are therefore dependent upon when the employee was hired and which pension formula—the Final Average Earnings (“FAE”) or the Cash Balance formula—was applicable at the time of the accrual. See the following page for an explanation of each formula.</w:t>
      </w:r>
    </w:p>
    <w:p>
      <w:pPr>
        <w:spacing w:after="0" w:line="14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Both plans were closed to new participants hired on or after January 1, 2010. For employees hired prior to January 1, 2010, effective December 31, 2014, the FAE formula was frozen and these employees transitioned to a Cash Balance formula. This formula was then closed on December 31, 2019, other than with respect to interest credits on Cash Balance accounts. Beginning January 1, 2020, actively employed pension plan participants became eligible for equivalent age-based company contributions into legacy UTC’s defined contribution plans (i.e., the qualified UTC Employee Savings Plan and the nonqualified UTC Company Automatic Contribution Excess Plan).</w:t>
      </w:r>
    </w:p>
    <w:p>
      <w:pPr>
        <w:spacing w:after="0" w:line="151" w:lineRule="exact"/>
        <w:rPr>
          <w:sz w:val="20"/>
          <w:szCs w:val="20"/>
          <w:color w:val="auto"/>
        </w:rPr>
      </w:pPr>
    </w:p>
    <w:p>
      <w:pPr>
        <w:ind w:left="260" w:hanging="253"/>
        <w:spacing w:after="0"/>
        <w:tabs>
          <w:tab w:leader="none" w:pos="260" w:val="left"/>
        </w:tabs>
        <w:numPr>
          <w:ilvl w:val="0"/>
          <w:numId w:val="193"/>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60" w:type="dxa"/>
            <w:vAlign w:val="bottom"/>
          </w:tcPr>
          <w:p>
            <w:pPr>
              <w:ind w:left="820"/>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PENSION BENEFITS</w:t>
            </w:r>
          </w:p>
        </w:tc>
      </w:tr>
      <w:tr>
        <w:trPr>
          <w:trHeight w:val="347"/>
        </w:trPr>
        <w:tc>
          <w:tcPr>
            <w:tcW w:w="7580" w:type="dxa"/>
            <w:vAlign w:val="bottom"/>
            <w:gridSpan w:val="4"/>
          </w:tcPr>
          <w:p>
            <w:pPr>
              <w:spacing w:after="0"/>
              <w:rPr>
                <w:sz w:val="20"/>
                <w:szCs w:val="20"/>
                <w:color w:val="auto"/>
              </w:rPr>
            </w:pPr>
            <w:r>
              <w:rPr>
                <w:rFonts w:ascii="Arial" w:cs="Arial" w:eastAsia="Arial" w:hAnsi="Arial"/>
                <w:sz w:val="16"/>
                <w:szCs w:val="16"/>
                <w:color w:val="auto"/>
              </w:rPr>
              <w:t>The table below summarizes the status of accruals earned under the legacy UTC pension plans:</w:t>
            </w:r>
          </w:p>
        </w:tc>
        <w:tc>
          <w:tcPr>
            <w:tcW w:w="3660" w:type="dxa"/>
            <w:vAlign w:val="bottom"/>
          </w:tcPr>
          <w:p>
            <w:pPr>
              <w:spacing w:after="0"/>
              <w:rPr>
                <w:sz w:val="24"/>
                <w:szCs w:val="24"/>
                <w:color w:val="auto"/>
              </w:rPr>
            </w:pPr>
          </w:p>
        </w:tc>
      </w:tr>
      <w:tr>
        <w:trPr>
          <w:trHeight w:val="361"/>
        </w:trPr>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tcBorders>
              <w:bottom w:val="single" w:sz="8" w:color="CE0F2D"/>
            </w:tcBorders>
          </w:tcPr>
          <w:p>
            <w:pPr>
              <w:spacing w:after="0"/>
              <w:rPr>
                <w:sz w:val="24"/>
                <w:szCs w:val="24"/>
                <w:color w:val="auto"/>
              </w:rPr>
            </w:pPr>
          </w:p>
        </w:tc>
        <w:tc>
          <w:tcPr>
            <w:tcW w:w="6060" w:type="dxa"/>
            <w:vAlign w:val="bottom"/>
            <w:tcBorders>
              <w:bottom w:val="single" w:sz="8" w:color="CE0F2D"/>
            </w:tcBorders>
            <w:gridSpan w:val="2"/>
          </w:tcPr>
          <w:p>
            <w:pPr>
              <w:ind w:left="120"/>
              <w:spacing w:after="0"/>
              <w:rPr>
                <w:sz w:val="20"/>
                <w:szCs w:val="20"/>
                <w:color w:val="auto"/>
              </w:rPr>
            </w:pPr>
            <w:r>
              <w:rPr>
                <w:rFonts w:ascii="Arial" w:cs="Arial" w:eastAsia="Arial" w:hAnsi="Arial"/>
                <w:sz w:val="14"/>
                <w:szCs w:val="14"/>
                <w:b w:val="1"/>
                <w:bCs w:val="1"/>
                <w:color w:val="auto"/>
              </w:rPr>
              <w:t>Accruals Earned under Legacy UTC’s Pension Plans</w:t>
            </w:r>
          </w:p>
        </w:tc>
      </w:tr>
      <w:tr>
        <w:trPr>
          <w:trHeight w:val="207"/>
        </w:trPr>
        <w:tc>
          <w:tcPr>
            <w:tcW w:w="2680" w:type="dxa"/>
            <w:vAlign w:val="bottom"/>
            <w:tcBorders>
              <w:bottom w:val="single" w:sz="8" w:color="CE0F2C"/>
            </w:tcBorders>
          </w:tcPr>
          <w:p>
            <w:pPr>
              <w:ind w:left="40"/>
              <w:spacing w:after="0"/>
              <w:rPr>
                <w:sz w:val="20"/>
                <w:szCs w:val="20"/>
                <w:color w:val="auto"/>
              </w:rPr>
            </w:pPr>
            <w:r>
              <w:rPr>
                <w:rFonts w:ascii="Arial" w:cs="Arial" w:eastAsia="Arial" w:hAnsi="Arial"/>
                <w:sz w:val="14"/>
                <w:szCs w:val="14"/>
                <w:color w:val="61676D"/>
              </w:rPr>
              <w:t>Eligible Employees</w:t>
            </w:r>
          </w:p>
        </w:tc>
        <w:tc>
          <w:tcPr>
            <w:tcW w:w="2500" w:type="dxa"/>
            <w:vAlign w:val="bottom"/>
            <w:tcBorders>
              <w:bottom w:val="single" w:sz="8" w:color="CE0F2C"/>
            </w:tcBorders>
            <w:gridSpan w:val="2"/>
          </w:tcPr>
          <w:p>
            <w:pPr>
              <w:ind w:left="240"/>
              <w:spacing w:after="0"/>
              <w:rPr>
                <w:sz w:val="20"/>
                <w:szCs w:val="20"/>
                <w:color w:val="auto"/>
              </w:rPr>
            </w:pPr>
            <w:r>
              <w:rPr>
                <w:rFonts w:ascii="Arial" w:cs="Arial" w:eastAsia="Arial" w:hAnsi="Arial"/>
                <w:sz w:val="14"/>
                <w:szCs w:val="14"/>
                <w:color w:val="61676D"/>
              </w:rPr>
              <w:t>Prior to 2015</w:t>
            </w:r>
          </w:p>
        </w:tc>
        <w:tc>
          <w:tcPr>
            <w:tcW w:w="2400" w:type="dxa"/>
            <w:vAlign w:val="bottom"/>
            <w:tcBorders>
              <w:bottom w:val="single" w:sz="8" w:color="CE0F2C"/>
            </w:tcBorders>
          </w:tcPr>
          <w:p>
            <w:pPr>
              <w:ind w:left="140"/>
              <w:spacing w:after="0"/>
              <w:rPr>
                <w:sz w:val="20"/>
                <w:szCs w:val="20"/>
                <w:color w:val="auto"/>
              </w:rPr>
            </w:pPr>
            <w:r>
              <w:rPr>
                <w:rFonts w:ascii="Arial" w:cs="Arial" w:eastAsia="Arial" w:hAnsi="Arial"/>
                <w:sz w:val="14"/>
                <w:szCs w:val="14"/>
                <w:color w:val="61676D"/>
              </w:rPr>
              <w:t>Between 2015 and 2019</w:t>
            </w:r>
          </w:p>
        </w:tc>
        <w:tc>
          <w:tcPr>
            <w:tcW w:w="3660" w:type="dxa"/>
            <w:vAlign w:val="bottom"/>
            <w:tcBorders>
              <w:bottom w:val="single" w:sz="8" w:color="CE0F2C"/>
            </w:tcBorders>
          </w:tcPr>
          <w:p>
            <w:pPr>
              <w:ind w:left="140"/>
              <w:spacing w:after="0"/>
              <w:rPr>
                <w:sz w:val="20"/>
                <w:szCs w:val="20"/>
                <w:color w:val="auto"/>
              </w:rPr>
            </w:pPr>
            <w:r>
              <w:rPr>
                <w:rFonts w:ascii="Arial" w:cs="Arial" w:eastAsia="Arial" w:hAnsi="Arial"/>
                <w:sz w:val="14"/>
                <w:szCs w:val="14"/>
                <w:color w:val="61676D"/>
              </w:rPr>
              <w:t>2020 and later</w:t>
            </w:r>
          </w:p>
        </w:tc>
      </w:tr>
      <w:tr>
        <w:trPr>
          <w:trHeight w:val="222"/>
        </w:trPr>
        <w:tc>
          <w:tcPr>
            <w:tcW w:w="2680" w:type="dxa"/>
            <w:vAlign w:val="bottom"/>
          </w:tcPr>
          <w:p>
            <w:pPr>
              <w:ind w:left="40"/>
              <w:spacing w:after="0"/>
              <w:rPr>
                <w:sz w:val="20"/>
                <w:szCs w:val="20"/>
                <w:color w:val="auto"/>
              </w:rPr>
            </w:pPr>
            <w:r>
              <w:rPr>
                <w:rFonts w:ascii="Arial" w:cs="Arial" w:eastAsia="Arial" w:hAnsi="Arial"/>
                <w:sz w:val="16"/>
                <w:szCs w:val="16"/>
                <w:color w:val="auto"/>
              </w:rPr>
              <w:t>Hired prior to July 1, 2002</w:t>
            </w:r>
          </w:p>
        </w:tc>
        <w:tc>
          <w:tcPr>
            <w:tcW w:w="2500" w:type="dxa"/>
            <w:vAlign w:val="bottom"/>
            <w:gridSpan w:val="2"/>
          </w:tcPr>
          <w:p>
            <w:pPr>
              <w:ind w:left="240"/>
              <w:spacing w:after="0"/>
              <w:rPr>
                <w:sz w:val="20"/>
                <w:szCs w:val="20"/>
                <w:color w:val="auto"/>
              </w:rPr>
            </w:pPr>
            <w:r>
              <w:rPr>
                <w:rFonts w:ascii="Arial" w:cs="Arial" w:eastAsia="Arial" w:hAnsi="Arial"/>
                <w:sz w:val="16"/>
                <w:szCs w:val="16"/>
                <w:color w:val="auto"/>
              </w:rPr>
              <w:t>FAE formula</w:t>
            </w:r>
          </w:p>
        </w:tc>
        <w:tc>
          <w:tcPr>
            <w:tcW w:w="2400" w:type="dxa"/>
            <w:vAlign w:val="bottom"/>
          </w:tcPr>
          <w:p>
            <w:pPr>
              <w:ind w:left="140"/>
              <w:spacing w:after="0"/>
              <w:rPr>
                <w:sz w:val="20"/>
                <w:szCs w:val="20"/>
                <w:color w:val="auto"/>
              </w:rPr>
            </w:pPr>
            <w:r>
              <w:rPr>
                <w:rFonts w:ascii="Arial" w:cs="Arial" w:eastAsia="Arial" w:hAnsi="Arial"/>
                <w:sz w:val="16"/>
                <w:szCs w:val="16"/>
                <w:color w:val="auto"/>
              </w:rPr>
              <w:t>Cash Balance formula</w:t>
            </w:r>
          </w:p>
        </w:tc>
        <w:tc>
          <w:tcPr>
            <w:tcW w:w="3660" w:type="dxa"/>
            <w:vAlign w:val="bottom"/>
          </w:tcPr>
          <w:p>
            <w:pPr>
              <w:ind w:left="140"/>
              <w:spacing w:after="0"/>
              <w:rPr>
                <w:sz w:val="20"/>
                <w:szCs w:val="20"/>
                <w:color w:val="auto"/>
              </w:rPr>
            </w:pPr>
            <w:r>
              <w:rPr>
                <w:rFonts w:ascii="Arial" w:cs="Arial" w:eastAsia="Arial" w:hAnsi="Arial"/>
                <w:sz w:val="16"/>
                <w:szCs w:val="16"/>
                <w:color w:val="auto"/>
              </w:rPr>
              <w:t>No further Cash Balance pay credits, defined</w:t>
            </w:r>
          </w:p>
        </w:tc>
      </w:tr>
      <w:tr>
        <w:trPr>
          <w:trHeight w:val="213"/>
        </w:trPr>
        <w:tc>
          <w:tcPr>
            <w:tcW w:w="2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contribution plan benefits only</w:t>
            </w:r>
          </w:p>
        </w:tc>
      </w:tr>
      <w:tr>
        <w:trPr>
          <w:trHeight w:val="222"/>
        </w:trPr>
        <w:tc>
          <w:tcPr>
            <w:tcW w:w="2680" w:type="dxa"/>
            <w:vAlign w:val="bottom"/>
          </w:tcPr>
          <w:p>
            <w:pPr>
              <w:ind w:left="40"/>
              <w:spacing w:after="0"/>
              <w:rPr>
                <w:sz w:val="20"/>
                <w:szCs w:val="20"/>
                <w:color w:val="auto"/>
              </w:rPr>
            </w:pPr>
            <w:r>
              <w:rPr>
                <w:rFonts w:ascii="Arial" w:cs="Arial" w:eastAsia="Arial" w:hAnsi="Arial"/>
                <w:sz w:val="16"/>
                <w:szCs w:val="16"/>
                <w:color w:val="auto"/>
              </w:rPr>
              <w:t>Hired on or after July 1, 2002 and</w:t>
            </w:r>
          </w:p>
        </w:tc>
        <w:tc>
          <w:tcPr>
            <w:tcW w:w="2500" w:type="dxa"/>
            <w:vAlign w:val="bottom"/>
            <w:gridSpan w:val="2"/>
          </w:tcPr>
          <w:p>
            <w:pPr>
              <w:ind w:left="240"/>
              <w:spacing w:after="0"/>
              <w:rPr>
                <w:sz w:val="20"/>
                <w:szCs w:val="20"/>
                <w:color w:val="auto"/>
              </w:rPr>
            </w:pPr>
            <w:r>
              <w:rPr>
                <w:rFonts w:ascii="Arial" w:cs="Arial" w:eastAsia="Arial" w:hAnsi="Arial"/>
                <w:sz w:val="16"/>
                <w:szCs w:val="16"/>
                <w:color w:val="auto"/>
              </w:rPr>
              <w:t>Cash Balance formula</w:t>
            </w:r>
          </w:p>
        </w:tc>
        <w:tc>
          <w:tcPr>
            <w:tcW w:w="2400" w:type="dxa"/>
            <w:vAlign w:val="bottom"/>
          </w:tcPr>
          <w:p>
            <w:pPr>
              <w:ind w:left="140"/>
              <w:spacing w:after="0"/>
              <w:rPr>
                <w:sz w:val="20"/>
                <w:szCs w:val="20"/>
                <w:color w:val="auto"/>
              </w:rPr>
            </w:pPr>
            <w:r>
              <w:rPr>
                <w:rFonts w:ascii="Arial" w:cs="Arial" w:eastAsia="Arial" w:hAnsi="Arial"/>
                <w:sz w:val="16"/>
                <w:szCs w:val="16"/>
                <w:color w:val="auto"/>
              </w:rPr>
              <w:t>Cash Balance formula</w:t>
            </w:r>
          </w:p>
        </w:tc>
        <w:tc>
          <w:tcPr>
            <w:tcW w:w="3660" w:type="dxa"/>
            <w:vAlign w:val="bottom"/>
          </w:tcPr>
          <w:p>
            <w:pPr>
              <w:ind w:left="140"/>
              <w:spacing w:after="0"/>
              <w:rPr>
                <w:sz w:val="20"/>
                <w:szCs w:val="20"/>
                <w:color w:val="auto"/>
              </w:rPr>
            </w:pPr>
            <w:r>
              <w:rPr>
                <w:rFonts w:ascii="Arial" w:cs="Arial" w:eastAsia="Arial" w:hAnsi="Arial"/>
                <w:sz w:val="16"/>
                <w:szCs w:val="16"/>
                <w:color w:val="auto"/>
              </w:rPr>
              <w:t>No further Cash Balance pay credits, defined</w:t>
            </w:r>
          </w:p>
        </w:tc>
      </w:tr>
      <w:tr>
        <w:trPr>
          <w:trHeight w:val="213"/>
        </w:trPr>
        <w:tc>
          <w:tcPr>
            <w:tcW w:w="26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prior to January 1, 2010</w:t>
            </w:r>
          </w:p>
        </w:tc>
        <w:tc>
          <w:tcPr>
            <w:tcW w:w="2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contribution plan benefits only</w:t>
            </w:r>
          </w:p>
        </w:tc>
      </w:tr>
      <w:tr>
        <w:trPr>
          <w:trHeight w:val="222"/>
        </w:trPr>
        <w:tc>
          <w:tcPr>
            <w:tcW w:w="2680" w:type="dxa"/>
            <w:vAlign w:val="bottom"/>
          </w:tcPr>
          <w:p>
            <w:pPr>
              <w:ind w:left="40"/>
              <w:spacing w:after="0"/>
              <w:rPr>
                <w:sz w:val="20"/>
                <w:szCs w:val="20"/>
                <w:color w:val="auto"/>
              </w:rPr>
            </w:pPr>
            <w:r>
              <w:rPr>
                <w:rFonts w:ascii="Arial" w:cs="Arial" w:eastAsia="Arial" w:hAnsi="Arial"/>
                <w:sz w:val="16"/>
                <w:szCs w:val="16"/>
                <w:color w:val="auto"/>
              </w:rPr>
              <w:t>Hired on or after January 1, 2010</w:t>
            </w:r>
          </w:p>
        </w:tc>
        <w:tc>
          <w:tcPr>
            <w:tcW w:w="2500" w:type="dxa"/>
            <w:vAlign w:val="bottom"/>
            <w:gridSpan w:val="2"/>
          </w:tcPr>
          <w:p>
            <w:pPr>
              <w:ind w:left="240"/>
              <w:spacing w:after="0"/>
              <w:rPr>
                <w:sz w:val="20"/>
                <w:szCs w:val="20"/>
                <w:color w:val="auto"/>
              </w:rPr>
            </w:pPr>
            <w:r>
              <w:rPr>
                <w:rFonts w:ascii="Arial" w:cs="Arial" w:eastAsia="Arial" w:hAnsi="Arial"/>
                <w:sz w:val="16"/>
                <w:szCs w:val="16"/>
                <w:color w:val="auto"/>
              </w:rPr>
              <w:t>No pension benefit, defined</w:t>
            </w:r>
          </w:p>
        </w:tc>
        <w:tc>
          <w:tcPr>
            <w:tcW w:w="2400" w:type="dxa"/>
            <w:vAlign w:val="bottom"/>
          </w:tcPr>
          <w:p>
            <w:pPr>
              <w:ind w:left="140"/>
              <w:spacing w:after="0"/>
              <w:rPr>
                <w:sz w:val="20"/>
                <w:szCs w:val="20"/>
                <w:color w:val="auto"/>
              </w:rPr>
            </w:pPr>
            <w:r>
              <w:rPr>
                <w:rFonts w:ascii="Arial" w:cs="Arial" w:eastAsia="Arial" w:hAnsi="Arial"/>
                <w:sz w:val="16"/>
                <w:szCs w:val="16"/>
                <w:color w:val="auto"/>
              </w:rPr>
              <w:t>No pension benefit, defined</w:t>
            </w:r>
          </w:p>
        </w:tc>
        <w:tc>
          <w:tcPr>
            <w:tcW w:w="3660" w:type="dxa"/>
            <w:vAlign w:val="bottom"/>
          </w:tcPr>
          <w:p>
            <w:pPr>
              <w:ind w:left="140"/>
              <w:spacing w:after="0"/>
              <w:rPr>
                <w:sz w:val="20"/>
                <w:szCs w:val="20"/>
                <w:color w:val="auto"/>
              </w:rPr>
            </w:pPr>
            <w:r>
              <w:rPr>
                <w:rFonts w:ascii="Arial" w:cs="Arial" w:eastAsia="Arial" w:hAnsi="Arial"/>
                <w:sz w:val="16"/>
                <w:szCs w:val="16"/>
                <w:color w:val="auto"/>
              </w:rPr>
              <w:t>No pension benefit, defined contribution plan</w:t>
            </w:r>
          </w:p>
        </w:tc>
      </w:tr>
      <w:tr>
        <w:trPr>
          <w:trHeight w:val="201"/>
        </w:trPr>
        <w:tc>
          <w:tcPr>
            <w:tcW w:w="2680" w:type="dxa"/>
            <w:vAlign w:val="bottom"/>
          </w:tcPr>
          <w:p>
            <w:pPr>
              <w:spacing w:after="0"/>
              <w:rPr>
                <w:sz w:val="17"/>
                <w:szCs w:val="17"/>
                <w:color w:val="auto"/>
              </w:rPr>
            </w:pPr>
          </w:p>
        </w:tc>
        <w:tc>
          <w:tcPr>
            <w:tcW w:w="2500" w:type="dxa"/>
            <w:vAlign w:val="bottom"/>
            <w:gridSpan w:val="2"/>
          </w:tcPr>
          <w:p>
            <w:pPr>
              <w:ind w:left="240"/>
              <w:spacing w:after="0"/>
              <w:rPr>
                <w:sz w:val="20"/>
                <w:szCs w:val="20"/>
                <w:color w:val="auto"/>
              </w:rPr>
            </w:pPr>
            <w:r>
              <w:rPr>
                <w:rFonts w:ascii="Arial" w:cs="Arial" w:eastAsia="Arial" w:hAnsi="Arial"/>
                <w:sz w:val="16"/>
                <w:szCs w:val="16"/>
                <w:color w:val="auto"/>
              </w:rPr>
              <w:t>contribution plan benefits only</w:t>
            </w:r>
          </w:p>
        </w:tc>
        <w:tc>
          <w:tcPr>
            <w:tcW w:w="2400" w:type="dxa"/>
            <w:vAlign w:val="bottom"/>
          </w:tcPr>
          <w:p>
            <w:pPr>
              <w:ind w:left="140"/>
              <w:spacing w:after="0"/>
              <w:rPr>
                <w:sz w:val="20"/>
                <w:szCs w:val="20"/>
                <w:color w:val="auto"/>
              </w:rPr>
            </w:pPr>
            <w:r>
              <w:rPr>
                <w:rFonts w:ascii="Arial" w:cs="Arial" w:eastAsia="Arial" w:hAnsi="Arial"/>
                <w:sz w:val="16"/>
                <w:szCs w:val="16"/>
                <w:color w:val="auto"/>
              </w:rPr>
              <w:t>contribution plan benefits only</w:t>
            </w:r>
          </w:p>
        </w:tc>
        <w:tc>
          <w:tcPr>
            <w:tcW w:w="3660" w:type="dxa"/>
            <w:vAlign w:val="bottom"/>
          </w:tcPr>
          <w:p>
            <w:pPr>
              <w:ind w:left="140"/>
              <w:spacing w:after="0"/>
              <w:rPr>
                <w:sz w:val="20"/>
                <w:szCs w:val="20"/>
                <w:color w:val="auto"/>
              </w:rPr>
            </w:pPr>
            <w:r>
              <w:rPr>
                <w:rFonts w:ascii="Arial" w:cs="Arial" w:eastAsia="Arial" w:hAnsi="Arial"/>
                <w:sz w:val="16"/>
                <w:szCs w:val="16"/>
                <w:color w:val="auto"/>
              </w:rPr>
              <w:t>benefits only</w:t>
            </w:r>
          </w:p>
        </w:tc>
      </w:tr>
      <w:tr>
        <w:trPr>
          <w:trHeight w:val="39"/>
        </w:trPr>
        <w:tc>
          <w:tcPr>
            <w:tcW w:w="2680" w:type="dxa"/>
            <w:vAlign w:val="bottom"/>
            <w:tcBorders>
              <w:bottom w:val="single" w:sz="8" w:color="636466"/>
            </w:tcBorders>
          </w:tcPr>
          <w:p>
            <w:pPr>
              <w:spacing w:after="0"/>
              <w:rPr>
                <w:sz w:val="3"/>
                <w:szCs w:val="3"/>
                <w:color w:val="auto"/>
              </w:rPr>
            </w:pPr>
          </w:p>
        </w:tc>
        <w:tc>
          <w:tcPr>
            <w:tcW w:w="240" w:type="dxa"/>
            <w:vAlign w:val="bottom"/>
            <w:tcBorders>
              <w:bottom w:val="single" w:sz="8" w:color="636466"/>
            </w:tcBorders>
          </w:tcPr>
          <w:p>
            <w:pPr>
              <w:spacing w:after="0"/>
              <w:rPr>
                <w:sz w:val="3"/>
                <w:szCs w:val="3"/>
                <w:color w:val="auto"/>
              </w:rPr>
            </w:pPr>
          </w:p>
        </w:tc>
        <w:tc>
          <w:tcPr>
            <w:tcW w:w="2260" w:type="dxa"/>
            <w:vAlign w:val="bottom"/>
            <w:tcBorders>
              <w:bottom w:val="single" w:sz="8" w:color="636466"/>
            </w:tcBorders>
          </w:tcPr>
          <w:p>
            <w:pPr>
              <w:spacing w:after="0"/>
              <w:rPr>
                <w:sz w:val="3"/>
                <w:szCs w:val="3"/>
                <w:color w:val="auto"/>
              </w:rPr>
            </w:pPr>
          </w:p>
        </w:tc>
        <w:tc>
          <w:tcPr>
            <w:tcW w:w="2400" w:type="dxa"/>
            <w:vAlign w:val="bottom"/>
            <w:tcBorders>
              <w:bottom w:val="single" w:sz="8" w:color="636466"/>
            </w:tcBorders>
          </w:tcPr>
          <w:p>
            <w:pPr>
              <w:spacing w:after="0"/>
              <w:rPr>
                <w:sz w:val="3"/>
                <w:szCs w:val="3"/>
                <w:color w:val="auto"/>
              </w:rPr>
            </w:pPr>
          </w:p>
        </w:tc>
        <w:tc>
          <w:tcPr>
            <w:tcW w:w="3660" w:type="dxa"/>
            <w:vAlign w:val="bottom"/>
            <w:tcBorders>
              <w:bottom w:val="single" w:sz="8" w:color="636466"/>
            </w:tcBorders>
          </w:tcPr>
          <w:p>
            <w:pPr>
              <w:spacing w:after="0"/>
              <w:rPr>
                <w:sz w:val="3"/>
                <w:szCs w:val="3"/>
                <w:color w:val="auto"/>
              </w:rPr>
            </w:pPr>
          </w:p>
        </w:tc>
      </w:tr>
    </w:tbl>
    <w:p>
      <w:pPr>
        <w:spacing w:after="0" w:line="62" w:lineRule="exact"/>
        <w:rPr>
          <w:sz w:val="20"/>
          <w:szCs w:val="20"/>
          <w:color w:val="auto"/>
        </w:rPr>
      </w:pPr>
    </w:p>
    <w:p>
      <w:pPr>
        <w:ind w:left="240" w:right="160" w:hanging="233"/>
        <w:spacing w:after="0" w:line="254" w:lineRule="auto"/>
        <w:tabs>
          <w:tab w:leader="none" w:pos="240" w:val="left"/>
        </w:tabs>
        <w:numPr>
          <w:ilvl w:val="0"/>
          <w:numId w:val="194"/>
        </w:numPr>
        <w:rPr>
          <w:rFonts w:ascii="Arial" w:cs="Arial" w:eastAsia="Arial" w:hAnsi="Arial"/>
          <w:sz w:val="16"/>
          <w:szCs w:val="16"/>
          <w:color w:val="CE0F2D"/>
        </w:rPr>
      </w:pPr>
      <w:r>
        <w:rPr>
          <w:rFonts w:ascii="Arial" w:cs="Arial" w:eastAsia="Arial" w:hAnsi="Arial"/>
          <w:sz w:val="16"/>
          <w:szCs w:val="16"/>
          <w:b w:val="1"/>
          <w:bCs w:val="1"/>
          <w:color w:val="auto"/>
        </w:rPr>
        <w:t xml:space="preserve">FAE formula: </w:t>
      </w:r>
      <w:r>
        <w:rPr>
          <w:rFonts w:ascii="Arial" w:cs="Arial" w:eastAsia="Arial" w:hAnsi="Arial"/>
          <w:sz w:val="16"/>
          <w:szCs w:val="16"/>
          <w:color w:val="auto"/>
        </w:rPr>
        <w:t>Under this formula, the legacy UTC pension plans provided an annual benefit equal to 2% of an employee’s earnings (defined below) for</w:t>
      </w:r>
      <w:r>
        <w:rPr>
          <w:rFonts w:ascii="Arial" w:cs="Arial" w:eastAsia="Arial" w:hAnsi="Arial"/>
          <w:sz w:val="16"/>
          <w:szCs w:val="16"/>
          <w:b w:val="1"/>
          <w:bCs w:val="1"/>
          <w:color w:val="auto"/>
        </w:rPr>
        <w:t xml:space="preserve"> </w:t>
      </w:r>
      <w:r>
        <w:rPr>
          <w:rFonts w:ascii="Arial" w:cs="Arial" w:eastAsia="Arial" w:hAnsi="Arial"/>
          <w:sz w:val="16"/>
          <w:szCs w:val="16"/>
          <w:color w:val="auto"/>
        </w:rPr>
        <w:t>each year of service up to a maximum of 20 years, plus 1% of earnings for each year of service thereafter, minus 1.5% of the employee’s Social Security benefit for each year of service (up to a maximum 50% offset of the annual Social Security benefit). Earnings recognized under this formula consisted of the highest average annual base salary and annual incentive awards received over any consecutive five-calendar-year period ending on or before December 31, 2014.</w:t>
      </w:r>
    </w:p>
    <w:p>
      <w:pPr>
        <w:spacing w:after="0" w:line="44" w:lineRule="exact"/>
        <w:rPr>
          <w:rFonts w:ascii="Arial" w:cs="Arial" w:eastAsia="Arial" w:hAnsi="Arial"/>
          <w:sz w:val="16"/>
          <w:szCs w:val="16"/>
          <w:color w:val="CE0F2D"/>
        </w:rPr>
      </w:pPr>
    </w:p>
    <w:p>
      <w:pPr>
        <w:jc w:val="both"/>
        <w:ind w:left="240" w:right="60" w:hanging="233"/>
        <w:spacing w:after="0" w:line="263" w:lineRule="auto"/>
        <w:tabs>
          <w:tab w:leader="none" w:pos="240" w:val="left"/>
        </w:tabs>
        <w:numPr>
          <w:ilvl w:val="0"/>
          <w:numId w:val="194"/>
        </w:numPr>
        <w:rPr>
          <w:rFonts w:ascii="Arial" w:cs="Arial" w:eastAsia="Arial" w:hAnsi="Arial"/>
          <w:sz w:val="16"/>
          <w:szCs w:val="16"/>
          <w:color w:val="CE0F2D"/>
        </w:rPr>
      </w:pPr>
      <w:r>
        <w:rPr>
          <w:rFonts w:ascii="Arial" w:cs="Arial" w:eastAsia="Arial" w:hAnsi="Arial"/>
          <w:sz w:val="16"/>
          <w:szCs w:val="16"/>
          <w:b w:val="1"/>
          <w:bCs w:val="1"/>
          <w:color w:val="auto"/>
        </w:rPr>
        <w:t xml:space="preserve">Cash Balance formula: </w:t>
      </w:r>
      <w:r>
        <w:rPr>
          <w:rFonts w:ascii="Arial" w:cs="Arial" w:eastAsia="Arial" w:hAnsi="Arial"/>
          <w:sz w:val="16"/>
          <w:szCs w:val="16"/>
          <w:color w:val="auto"/>
        </w:rPr>
        <w:t>The Cash Balance formula credited a participant’s account with two types of credits—pay credits and interest credits. Pay credits</w:t>
      </w:r>
      <w:r>
        <w:rPr>
          <w:rFonts w:ascii="Arial" w:cs="Arial" w:eastAsia="Arial" w:hAnsi="Arial"/>
          <w:sz w:val="16"/>
          <w:szCs w:val="16"/>
          <w:b w:val="1"/>
          <w:bCs w:val="1"/>
          <w:color w:val="auto"/>
        </w:rPr>
        <w:t xml:space="preserve"> </w:t>
      </w:r>
      <w:r>
        <w:rPr>
          <w:rFonts w:ascii="Arial" w:cs="Arial" w:eastAsia="Arial" w:hAnsi="Arial"/>
          <w:sz w:val="16"/>
          <w:szCs w:val="16"/>
          <w:color w:val="auto"/>
        </w:rPr>
        <w:t>ranged from 3% to 8% of base salary and annual incentives, depending on the participant’s age. Interest credits are based on 30-year U.S. Treasury bond yields and are subject to annual adjustments but cannot fall below 3.8%.</w:t>
      </w:r>
    </w:p>
    <w:p>
      <w:pPr>
        <w:spacing w:after="0" w:line="199"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b w:val="1"/>
          <w:bCs w:val="1"/>
          <w:color w:val="auto"/>
        </w:rPr>
        <w:t xml:space="preserve">Other formulas used: </w:t>
      </w:r>
      <w:r>
        <w:rPr>
          <w:rFonts w:ascii="Arial" w:cs="Arial" w:eastAsia="Arial" w:hAnsi="Arial"/>
          <w:sz w:val="16"/>
          <w:szCs w:val="16"/>
          <w:color w:val="auto"/>
        </w:rPr>
        <w:t>For Mr. Hayes, benefits shown in the table on page 75 also include amounts accrued under a different formula used in a predecessor</w:t>
      </w:r>
      <w:r>
        <w:rPr>
          <w:rFonts w:ascii="Arial" w:cs="Arial" w:eastAsia="Arial" w:hAnsi="Arial"/>
          <w:sz w:val="16"/>
          <w:szCs w:val="16"/>
          <w:b w:val="1"/>
          <w:bCs w:val="1"/>
          <w:color w:val="auto"/>
        </w:rPr>
        <w:t xml:space="preserve"> </w:t>
      </w:r>
      <w:r>
        <w:rPr>
          <w:rFonts w:ascii="Arial" w:cs="Arial" w:eastAsia="Arial" w:hAnsi="Arial"/>
          <w:sz w:val="16"/>
          <w:szCs w:val="16"/>
          <w:color w:val="auto"/>
        </w:rPr>
        <w:t>Sundstrand pension plan that was merged into legacy UTC’s pension plans, upon UTC’s acquisition of Sundstrand Corporation in 1999. Benefits shown for Mr. Timm are based on the formula under the frozen Rockwell Collins qualified pension plan that was merged into the UTC Pension Plan on December 31, 2018.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Distribution Options. </w:t>
      </w:r>
      <w:r>
        <w:rPr>
          <w:rFonts w:ascii="Arial" w:cs="Arial" w:eastAsia="Arial" w:hAnsi="Arial"/>
          <w:sz w:val="16"/>
          <w:szCs w:val="16"/>
          <w:color w:val="000000"/>
        </w:rPr>
        <w:t>Plan participants may elect the following distribution options: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80" w:type="dxa"/>
            <w:vAlign w:val="bottom"/>
            <w:tcBorders>
              <w:bottom w:val="single" w:sz="8" w:color="CE0F2C"/>
            </w:tcBorders>
          </w:tcPr>
          <w:p>
            <w:pPr>
              <w:ind w:left="40"/>
              <w:spacing w:after="0"/>
              <w:rPr>
                <w:sz w:val="20"/>
                <w:szCs w:val="20"/>
                <w:color w:val="auto"/>
              </w:rPr>
            </w:pPr>
            <w:r>
              <w:rPr>
                <w:rFonts w:ascii="Arial" w:cs="Arial" w:eastAsia="Arial" w:hAnsi="Arial"/>
                <w:sz w:val="14"/>
                <w:szCs w:val="14"/>
                <w:color w:val="61676D"/>
              </w:rPr>
              <w:t>Plan</w:t>
            </w:r>
          </w:p>
        </w:tc>
        <w:tc>
          <w:tcPr>
            <w:tcW w:w="4040" w:type="dxa"/>
            <w:vAlign w:val="bottom"/>
            <w:tcBorders>
              <w:bottom w:val="single" w:sz="8" w:color="CE0F2C"/>
            </w:tcBorders>
            <w:gridSpan w:val="2"/>
          </w:tcPr>
          <w:p>
            <w:pPr>
              <w:ind w:left="340"/>
              <w:spacing w:after="0"/>
              <w:rPr>
                <w:sz w:val="20"/>
                <w:szCs w:val="20"/>
                <w:color w:val="auto"/>
              </w:rPr>
            </w:pPr>
            <w:r>
              <w:rPr>
                <w:rFonts w:ascii="Arial" w:cs="Arial" w:eastAsia="Arial" w:hAnsi="Arial"/>
                <w:sz w:val="14"/>
                <w:szCs w:val="14"/>
                <w:color w:val="61676D"/>
              </w:rPr>
              <w:t>FAE Benefit Formula</w:t>
            </w:r>
          </w:p>
        </w:tc>
        <w:tc>
          <w:tcPr>
            <w:tcW w:w="4420" w:type="dxa"/>
            <w:vAlign w:val="bottom"/>
            <w:tcBorders>
              <w:bottom w:val="single" w:sz="8" w:color="CE0F2C"/>
            </w:tcBorders>
            <w:gridSpan w:val="2"/>
          </w:tcPr>
          <w:p>
            <w:pPr>
              <w:ind w:left="940"/>
              <w:spacing w:after="0"/>
              <w:rPr>
                <w:sz w:val="20"/>
                <w:szCs w:val="20"/>
                <w:color w:val="auto"/>
              </w:rPr>
            </w:pPr>
            <w:r>
              <w:rPr>
                <w:rFonts w:ascii="Arial" w:cs="Arial" w:eastAsia="Arial" w:hAnsi="Arial"/>
                <w:sz w:val="14"/>
                <w:szCs w:val="14"/>
                <w:color w:val="61676D"/>
              </w:rPr>
              <w:t>Cash Balance Benefit Formula</w:t>
            </w:r>
          </w:p>
        </w:tc>
      </w:tr>
      <w:tr>
        <w:trPr>
          <w:trHeight w:val="222"/>
        </w:trPr>
        <w:tc>
          <w:tcPr>
            <w:tcW w:w="2780" w:type="dxa"/>
            <w:vAlign w:val="bottom"/>
          </w:tcPr>
          <w:p>
            <w:pPr>
              <w:ind w:left="40"/>
              <w:spacing w:after="0"/>
              <w:rPr>
                <w:sz w:val="20"/>
                <w:szCs w:val="20"/>
                <w:color w:val="auto"/>
              </w:rPr>
            </w:pPr>
            <w:r>
              <w:rPr>
                <w:rFonts w:ascii="Arial" w:cs="Arial" w:eastAsia="Arial" w:hAnsi="Arial"/>
                <w:sz w:val="16"/>
                <w:szCs w:val="16"/>
                <w:b w:val="1"/>
                <w:bCs w:val="1"/>
                <w:color w:val="auto"/>
              </w:rPr>
              <w:t>UTC Pension Plan</w:t>
            </w:r>
          </w:p>
        </w:tc>
        <w:tc>
          <w:tcPr>
            <w:tcW w:w="500" w:type="dxa"/>
            <w:vAlign w:val="bottom"/>
          </w:tcPr>
          <w:p>
            <w:pPr>
              <w:ind w:left="340"/>
              <w:spacing w:after="0"/>
              <w:rPr>
                <w:sz w:val="20"/>
                <w:szCs w:val="20"/>
                <w:color w:val="auto"/>
              </w:rPr>
            </w:pPr>
            <w:r>
              <w:rPr>
                <w:rFonts w:ascii="Arial" w:cs="Arial" w:eastAsia="Arial" w:hAnsi="Arial"/>
                <w:sz w:val="16"/>
                <w:szCs w:val="16"/>
                <w:color w:val="CE0F2D"/>
              </w:rPr>
              <w:t>●</w:t>
            </w:r>
          </w:p>
        </w:tc>
        <w:tc>
          <w:tcPr>
            <w:tcW w:w="3540" w:type="dxa"/>
            <w:vAlign w:val="bottom"/>
          </w:tcPr>
          <w:p>
            <w:pPr>
              <w:ind w:left="80"/>
              <w:spacing w:after="0"/>
              <w:rPr>
                <w:sz w:val="20"/>
                <w:szCs w:val="20"/>
                <w:color w:val="auto"/>
              </w:rPr>
            </w:pPr>
            <w:r>
              <w:rPr>
                <w:rFonts w:ascii="Arial" w:cs="Arial" w:eastAsia="Arial" w:hAnsi="Arial"/>
                <w:sz w:val="16"/>
                <w:szCs w:val="16"/>
                <w:color w:val="auto"/>
              </w:rPr>
              <w:t>Lump-sum payment</w:t>
            </w:r>
          </w:p>
        </w:tc>
        <w:tc>
          <w:tcPr>
            <w:tcW w:w="1100" w:type="dxa"/>
            <w:vAlign w:val="bottom"/>
          </w:tcPr>
          <w:p>
            <w:pPr>
              <w:ind w:left="940"/>
              <w:spacing w:after="0"/>
              <w:rPr>
                <w:sz w:val="20"/>
                <w:szCs w:val="20"/>
                <w:color w:val="auto"/>
              </w:rPr>
            </w:pPr>
            <w:r>
              <w:rPr>
                <w:rFonts w:ascii="Arial" w:cs="Arial" w:eastAsia="Arial" w:hAnsi="Arial"/>
                <w:sz w:val="16"/>
                <w:szCs w:val="16"/>
                <w:color w:val="CE0F2D"/>
              </w:rPr>
              <w:t>●</w:t>
            </w:r>
          </w:p>
        </w:tc>
        <w:tc>
          <w:tcPr>
            <w:tcW w:w="3320" w:type="dxa"/>
            <w:vAlign w:val="bottom"/>
          </w:tcPr>
          <w:p>
            <w:pPr>
              <w:ind w:left="80"/>
              <w:spacing w:after="0"/>
              <w:rPr>
                <w:sz w:val="20"/>
                <w:szCs w:val="20"/>
                <w:color w:val="auto"/>
              </w:rPr>
            </w:pPr>
            <w:r>
              <w:rPr>
                <w:rFonts w:ascii="Arial" w:cs="Arial" w:eastAsia="Arial" w:hAnsi="Arial"/>
                <w:sz w:val="16"/>
                <w:szCs w:val="16"/>
                <w:color w:val="auto"/>
              </w:rPr>
              <w:t>Lump-sum payment</w:t>
            </w:r>
          </w:p>
        </w:tc>
      </w:tr>
      <w:tr>
        <w:trPr>
          <w:trHeight w:val="267"/>
        </w:trPr>
        <w:tc>
          <w:tcPr>
            <w:tcW w:w="27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CE0F2D"/>
              </w:rPr>
              <w:t>●</w:t>
            </w:r>
          </w:p>
        </w:tc>
        <w:tc>
          <w:tcPr>
            <w:tcW w:w="35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Annuity payments</w:t>
            </w:r>
          </w:p>
        </w:tc>
        <w:tc>
          <w:tcPr>
            <w:tcW w:w="1100" w:type="dxa"/>
            <w:vAlign w:val="bottom"/>
            <w:tcBorders>
              <w:bottom w:val="single" w:sz="8" w:color="auto"/>
            </w:tcBorders>
          </w:tcPr>
          <w:p>
            <w:pPr>
              <w:ind w:left="940"/>
              <w:spacing w:after="0"/>
              <w:rPr>
                <w:sz w:val="20"/>
                <w:szCs w:val="20"/>
                <w:color w:val="auto"/>
              </w:rPr>
            </w:pPr>
            <w:r>
              <w:rPr>
                <w:rFonts w:ascii="Arial" w:cs="Arial" w:eastAsia="Arial" w:hAnsi="Arial"/>
                <w:sz w:val="16"/>
                <w:szCs w:val="16"/>
                <w:color w:val="CE0F2D"/>
              </w:rPr>
              <w:t>●</w:t>
            </w:r>
          </w:p>
        </w:tc>
        <w:tc>
          <w:tcPr>
            <w:tcW w:w="332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Annuity payments</w:t>
            </w:r>
          </w:p>
        </w:tc>
      </w:tr>
      <w:tr>
        <w:trPr>
          <w:trHeight w:val="222"/>
        </w:trPr>
        <w:tc>
          <w:tcPr>
            <w:tcW w:w="2780" w:type="dxa"/>
            <w:vAlign w:val="bottom"/>
          </w:tcPr>
          <w:p>
            <w:pPr>
              <w:ind w:left="40"/>
              <w:spacing w:after="0"/>
              <w:rPr>
                <w:sz w:val="20"/>
                <w:szCs w:val="20"/>
                <w:color w:val="auto"/>
              </w:rPr>
            </w:pPr>
            <w:r>
              <w:rPr>
                <w:rFonts w:ascii="Arial" w:cs="Arial" w:eastAsia="Arial" w:hAnsi="Arial"/>
                <w:sz w:val="16"/>
                <w:szCs w:val="16"/>
                <w:b w:val="1"/>
                <w:bCs w:val="1"/>
                <w:color w:val="auto"/>
              </w:rPr>
              <w:t>UTC Pension Preservation Plan</w:t>
            </w:r>
          </w:p>
        </w:tc>
        <w:tc>
          <w:tcPr>
            <w:tcW w:w="500" w:type="dxa"/>
            <w:vAlign w:val="bottom"/>
          </w:tcPr>
          <w:p>
            <w:pPr>
              <w:ind w:left="340"/>
              <w:spacing w:after="0"/>
              <w:rPr>
                <w:sz w:val="20"/>
                <w:szCs w:val="20"/>
                <w:color w:val="auto"/>
              </w:rPr>
            </w:pPr>
            <w:r>
              <w:rPr>
                <w:rFonts w:ascii="Arial" w:cs="Arial" w:eastAsia="Arial" w:hAnsi="Arial"/>
                <w:sz w:val="16"/>
                <w:szCs w:val="16"/>
                <w:color w:val="CE0F2D"/>
              </w:rPr>
              <w:t>●</w:t>
            </w:r>
          </w:p>
        </w:tc>
        <w:tc>
          <w:tcPr>
            <w:tcW w:w="3540" w:type="dxa"/>
            <w:vAlign w:val="bottom"/>
          </w:tcPr>
          <w:p>
            <w:pPr>
              <w:ind w:left="80"/>
              <w:spacing w:after="0"/>
              <w:rPr>
                <w:sz w:val="20"/>
                <w:szCs w:val="20"/>
                <w:color w:val="auto"/>
              </w:rPr>
            </w:pPr>
            <w:r>
              <w:rPr>
                <w:rFonts w:ascii="Arial" w:cs="Arial" w:eastAsia="Arial" w:hAnsi="Arial"/>
                <w:sz w:val="16"/>
                <w:szCs w:val="16"/>
                <w:color w:val="auto"/>
              </w:rPr>
              <w:t>Lump-sum* payment</w:t>
            </w:r>
          </w:p>
        </w:tc>
        <w:tc>
          <w:tcPr>
            <w:tcW w:w="1100" w:type="dxa"/>
            <w:vAlign w:val="bottom"/>
          </w:tcPr>
          <w:p>
            <w:pPr>
              <w:ind w:left="940"/>
              <w:spacing w:after="0"/>
              <w:rPr>
                <w:sz w:val="20"/>
                <w:szCs w:val="20"/>
                <w:color w:val="auto"/>
              </w:rPr>
            </w:pPr>
            <w:r>
              <w:rPr>
                <w:rFonts w:ascii="Arial" w:cs="Arial" w:eastAsia="Arial" w:hAnsi="Arial"/>
                <w:sz w:val="16"/>
                <w:szCs w:val="16"/>
                <w:color w:val="CE0F2D"/>
              </w:rPr>
              <w:t>●</w:t>
            </w:r>
          </w:p>
        </w:tc>
        <w:tc>
          <w:tcPr>
            <w:tcW w:w="3320" w:type="dxa"/>
            <w:vAlign w:val="bottom"/>
          </w:tcPr>
          <w:p>
            <w:pPr>
              <w:ind w:left="80"/>
              <w:spacing w:after="0"/>
              <w:rPr>
                <w:sz w:val="20"/>
                <w:szCs w:val="20"/>
                <w:color w:val="auto"/>
              </w:rPr>
            </w:pPr>
            <w:r>
              <w:rPr>
                <w:rFonts w:ascii="Arial" w:cs="Arial" w:eastAsia="Arial" w:hAnsi="Arial"/>
                <w:sz w:val="16"/>
                <w:szCs w:val="16"/>
                <w:color w:val="auto"/>
              </w:rPr>
              <w:t>Lump-sum* payment</w:t>
            </w:r>
          </w:p>
        </w:tc>
      </w:tr>
      <w:tr>
        <w:trPr>
          <w:trHeight w:val="254"/>
        </w:trPr>
        <w:tc>
          <w:tcPr>
            <w:tcW w:w="2780" w:type="dxa"/>
            <w:vAlign w:val="bottom"/>
          </w:tcPr>
          <w:p>
            <w:pPr>
              <w:spacing w:after="0"/>
              <w:rPr>
                <w:sz w:val="22"/>
                <w:szCs w:val="22"/>
                <w:color w:val="auto"/>
              </w:rPr>
            </w:pPr>
          </w:p>
        </w:tc>
        <w:tc>
          <w:tcPr>
            <w:tcW w:w="500" w:type="dxa"/>
            <w:vAlign w:val="bottom"/>
          </w:tcPr>
          <w:p>
            <w:pPr>
              <w:ind w:left="340"/>
              <w:spacing w:after="0"/>
              <w:rPr>
                <w:sz w:val="20"/>
                <w:szCs w:val="20"/>
                <w:color w:val="auto"/>
              </w:rPr>
            </w:pPr>
            <w:r>
              <w:rPr>
                <w:rFonts w:ascii="Arial" w:cs="Arial" w:eastAsia="Arial" w:hAnsi="Arial"/>
                <w:sz w:val="16"/>
                <w:szCs w:val="16"/>
                <w:color w:val="CE0F2D"/>
              </w:rPr>
              <w:t>●</w:t>
            </w:r>
          </w:p>
        </w:tc>
        <w:tc>
          <w:tcPr>
            <w:tcW w:w="3540" w:type="dxa"/>
            <w:vAlign w:val="bottom"/>
          </w:tcPr>
          <w:p>
            <w:pPr>
              <w:ind w:left="80"/>
              <w:spacing w:after="0"/>
              <w:rPr>
                <w:sz w:val="20"/>
                <w:szCs w:val="20"/>
                <w:color w:val="auto"/>
              </w:rPr>
            </w:pPr>
            <w:r>
              <w:rPr>
                <w:rFonts w:ascii="Arial" w:cs="Arial" w:eastAsia="Arial" w:hAnsi="Arial"/>
                <w:sz w:val="16"/>
                <w:szCs w:val="16"/>
                <w:color w:val="auto"/>
              </w:rPr>
              <w:t>Annuity payments</w:t>
            </w:r>
          </w:p>
        </w:tc>
        <w:tc>
          <w:tcPr>
            <w:tcW w:w="1100" w:type="dxa"/>
            <w:vAlign w:val="bottom"/>
          </w:tcPr>
          <w:p>
            <w:pPr>
              <w:ind w:left="940"/>
              <w:spacing w:after="0"/>
              <w:rPr>
                <w:sz w:val="20"/>
                <w:szCs w:val="20"/>
                <w:color w:val="auto"/>
              </w:rPr>
            </w:pPr>
            <w:r>
              <w:rPr>
                <w:rFonts w:ascii="Arial" w:cs="Arial" w:eastAsia="Arial" w:hAnsi="Arial"/>
                <w:sz w:val="16"/>
                <w:szCs w:val="16"/>
                <w:color w:val="CE0F2D"/>
              </w:rPr>
              <w:t>●</w:t>
            </w:r>
          </w:p>
        </w:tc>
        <w:tc>
          <w:tcPr>
            <w:tcW w:w="3320" w:type="dxa"/>
            <w:vAlign w:val="bottom"/>
          </w:tcPr>
          <w:p>
            <w:pPr>
              <w:ind w:left="80"/>
              <w:spacing w:after="0"/>
              <w:rPr>
                <w:sz w:val="20"/>
                <w:szCs w:val="20"/>
                <w:color w:val="auto"/>
              </w:rPr>
            </w:pPr>
            <w:r>
              <w:rPr>
                <w:rFonts w:ascii="Arial" w:cs="Arial" w:eastAsia="Arial" w:hAnsi="Arial"/>
                <w:sz w:val="16"/>
                <w:szCs w:val="16"/>
                <w:color w:val="auto"/>
              </w:rPr>
              <w:t>Annuity payments</w:t>
            </w:r>
          </w:p>
        </w:tc>
      </w:tr>
      <w:tr>
        <w:trPr>
          <w:trHeight w:val="280"/>
        </w:trPr>
        <w:tc>
          <w:tcPr>
            <w:tcW w:w="2780" w:type="dxa"/>
            <w:vAlign w:val="bottom"/>
            <w:tcBorders>
              <w:bottom w:val="single" w:sz="8" w:color="636466"/>
            </w:tcBorders>
          </w:tcPr>
          <w:p>
            <w:pPr>
              <w:spacing w:after="0"/>
              <w:rPr>
                <w:sz w:val="24"/>
                <w:szCs w:val="24"/>
                <w:color w:val="auto"/>
              </w:rPr>
            </w:pPr>
          </w:p>
        </w:tc>
        <w:tc>
          <w:tcPr>
            <w:tcW w:w="4040" w:type="dxa"/>
            <w:vAlign w:val="bottom"/>
            <w:tcBorders>
              <w:bottom w:val="single" w:sz="8" w:color="636466"/>
            </w:tcBorders>
            <w:gridSpan w:val="2"/>
          </w:tcPr>
          <w:p>
            <w:pPr>
              <w:ind w:left="3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Two- to 10-year annual installments</w:t>
            </w:r>
          </w:p>
        </w:tc>
        <w:tc>
          <w:tcPr>
            <w:tcW w:w="4420" w:type="dxa"/>
            <w:vAlign w:val="bottom"/>
            <w:tcBorders>
              <w:bottom w:val="single" w:sz="8" w:color="636466"/>
            </w:tcBorders>
            <w:gridSpan w:val="2"/>
          </w:tcPr>
          <w:p>
            <w:pPr>
              <w:ind w:left="940"/>
              <w:spacing w:after="0"/>
              <w:rPr>
                <w:sz w:val="20"/>
                <w:szCs w:val="20"/>
                <w:color w:val="auto"/>
              </w:rPr>
            </w:pPr>
            <w:r>
              <w:rPr>
                <w:rFonts w:ascii="Arial" w:cs="Arial" w:eastAsia="Arial" w:hAnsi="Arial"/>
                <w:sz w:val="16"/>
                <w:szCs w:val="16"/>
                <w:color w:val="CE0F2D"/>
              </w:rPr>
              <w:t xml:space="preserve">●  </w:t>
            </w:r>
            <w:r>
              <w:rPr>
                <w:rFonts w:ascii="Arial" w:cs="Arial" w:eastAsia="Arial" w:hAnsi="Arial"/>
                <w:sz w:val="16"/>
                <w:szCs w:val="16"/>
                <w:color w:val="000000"/>
              </w:rPr>
              <w:t>Two- to 10-year annual installments</w:t>
            </w:r>
          </w:p>
        </w:tc>
      </w:tr>
    </w:tbl>
    <w:p>
      <w:pPr>
        <w:spacing w:after="0" w:line="48" w:lineRule="exact"/>
        <w:rPr>
          <w:sz w:val="20"/>
          <w:szCs w:val="20"/>
          <w:color w:val="auto"/>
        </w:rPr>
      </w:pPr>
    </w:p>
    <w:p>
      <w:pPr>
        <w:ind w:left="240" w:right="120" w:hanging="233"/>
        <w:spacing w:after="0" w:line="252" w:lineRule="auto"/>
        <w:tabs>
          <w:tab w:leader="none" w:pos="24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Uses a discount rate equal to the Barclay’s Capital Municipal Bond Index averaged over five years. This non-taxable investment index is intended to yield an after-tax income stream on the net after-tax proceeds reinvested in tax-free bonds that are comparable to a more tax-efficient annuity distribution.</w:t>
      </w:r>
    </w:p>
    <w:p>
      <w:pPr>
        <w:spacing w:after="0" w:line="207" w:lineRule="exact"/>
        <w:rPr>
          <w:sz w:val="20"/>
          <w:szCs w:val="20"/>
          <w:color w:val="auto"/>
        </w:rPr>
      </w:pPr>
    </w:p>
    <w:p>
      <w:pPr>
        <w:ind w:right="280"/>
        <w:spacing w:after="0" w:line="263" w:lineRule="auto"/>
        <w:rPr>
          <w:sz w:val="20"/>
          <w:szCs w:val="20"/>
          <w:color w:val="auto"/>
        </w:rPr>
      </w:pPr>
      <w:r>
        <w:rPr>
          <w:rFonts w:ascii="Arial" w:cs="Arial" w:eastAsia="Arial" w:hAnsi="Arial"/>
          <w:sz w:val="16"/>
          <w:szCs w:val="16"/>
          <w:b w:val="1"/>
          <w:bCs w:val="1"/>
          <w:color w:val="CE0F2D"/>
        </w:rPr>
        <w:t xml:space="preserve">Retirement. </w:t>
      </w:r>
      <w:r>
        <w:rPr>
          <w:rFonts w:ascii="Arial" w:cs="Arial" w:eastAsia="Arial" w:hAnsi="Arial"/>
          <w:sz w:val="16"/>
          <w:szCs w:val="16"/>
          <w:color w:val="000000"/>
        </w:rPr>
        <w:t>The normal retirement age under both the FAE and the Cash Balance benefit formulas is 65. Early retirement benefits are available under the</w:t>
      </w:r>
      <w:r>
        <w:rPr>
          <w:rFonts w:ascii="Arial" w:cs="Arial" w:eastAsia="Arial" w:hAnsi="Arial"/>
          <w:sz w:val="16"/>
          <w:szCs w:val="16"/>
          <w:b w:val="1"/>
          <w:bCs w:val="1"/>
          <w:color w:val="CE0F2D"/>
        </w:rPr>
        <w:t xml:space="preserve"> </w:t>
      </w:r>
      <w:r>
        <w:rPr>
          <w:rFonts w:ascii="Arial" w:cs="Arial" w:eastAsia="Arial" w:hAnsi="Arial"/>
          <w:sz w:val="16"/>
          <w:szCs w:val="16"/>
          <w:color w:val="000000"/>
        </w:rPr>
        <w:t>FAE formula beginning at age 55 with at least 10 years of service. The value of the Cash Balance account is not impacted by an employee’s age at retirement. As of December 31, 2021, Messrs. Hayes and Dumais were eligible for early retirement under the FAE formula.</w:t>
      </w:r>
    </w:p>
    <w:p>
      <w:pPr>
        <w:spacing w:after="0" w:line="116" w:lineRule="exact"/>
        <w:rPr>
          <w:sz w:val="20"/>
          <w:szCs w:val="20"/>
          <w:color w:val="auto"/>
        </w:rPr>
      </w:pPr>
    </w:p>
    <w:p>
      <w:pPr>
        <w:ind w:left="7700"/>
        <w:spacing w:after="0"/>
        <w:tabs>
          <w:tab w:leader="none" w:pos="1108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2"/>
          <w:szCs w:val="12"/>
          <w:b w:val="1"/>
          <w:bCs w:val="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715454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PENSION BENEFITS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LEGACY RTN PENSION BENEFITS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CE0F2D"/>
        </w:rPr>
        <w:t xml:space="preserve">Overview of Plans. </w:t>
      </w:r>
      <w:r>
        <w:rPr>
          <w:rFonts w:ascii="Arial" w:cs="Arial" w:eastAsia="Arial" w:hAnsi="Arial"/>
          <w:sz w:val="16"/>
          <w:szCs w:val="16"/>
          <w:color w:val="000000"/>
        </w:rPr>
        <w:t>The Company maintains the following legacy RTN pension plans:</w:t>
      </w:r>
    </w:p>
    <w:p>
      <w:pPr>
        <w:spacing w:after="0" w:line="164" w:lineRule="exact"/>
        <w:rPr>
          <w:sz w:val="20"/>
          <w:szCs w:val="20"/>
          <w:color w:val="auto"/>
        </w:rPr>
      </w:pPr>
    </w:p>
    <w:p>
      <w:pPr>
        <w:ind w:left="240" w:right="280" w:hanging="233"/>
        <w:spacing w:after="0" w:line="282" w:lineRule="auto"/>
        <w:tabs>
          <w:tab w:leader="none" w:pos="240" w:val="left"/>
        </w:tabs>
        <w:numPr>
          <w:ilvl w:val="0"/>
          <w:numId w:val="196"/>
        </w:numPr>
        <w:rPr>
          <w:rFonts w:ascii="Arial" w:cs="Arial" w:eastAsia="Arial" w:hAnsi="Arial"/>
          <w:sz w:val="16"/>
          <w:szCs w:val="16"/>
          <w:color w:val="CE0F2D"/>
        </w:rPr>
      </w:pPr>
      <w:r>
        <w:rPr>
          <w:rFonts w:ascii="Arial" w:cs="Arial" w:eastAsia="Arial" w:hAnsi="Arial"/>
          <w:sz w:val="16"/>
          <w:szCs w:val="16"/>
          <w:b w:val="1"/>
          <w:bCs w:val="1"/>
          <w:color w:val="auto"/>
        </w:rPr>
        <w:t xml:space="preserve">Raytheon Company Pension Plan for Salaried Employees (“RTN Salaried Pension Plan”): </w:t>
      </w:r>
      <w:r>
        <w:rPr>
          <w:rFonts w:ascii="Arial" w:cs="Arial" w:eastAsia="Arial" w:hAnsi="Arial"/>
          <w:sz w:val="16"/>
          <w:szCs w:val="16"/>
          <w:color w:val="auto"/>
        </w:rPr>
        <w:t>A tax-qualified, defined benefit pension plan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IRC provisions that, as of December 31, 2021, limit recognized annual compensation to $290,000 and annual retirement benefits to $230,000.</w:t>
      </w:r>
    </w:p>
    <w:p>
      <w:pPr>
        <w:spacing w:after="0" w:line="22" w:lineRule="exact"/>
        <w:rPr>
          <w:rFonts w:ascii="Arial" w:cs="Arial" w:eastAsia="Arial" w:hAnsi="Arial"/>
          <w:sz w:val="16"/>
          <w:szCs w:val="16"/>
          <w:color w:val="CE0F2D"/>
        </w:rPr>
      </w:pPr>
    </w:p>
    <w:p>
      <w:pPr>
        <w:ind w:left="240" w:right="140" w:hanging="233"/>
        <w:spacing w:after="0" w:line="263" w:lineRule="auto"/>
        <w:tabs>
          <w:tab w:leader="none" w:pos="240" w:val="left"/>
        </w:tabs>
        <w:numPr>
          <w:ilvl w:val="0"/>
          <w:numId w:val="196"/>
        </w:numPr>
        <w:rPr>
          <w:rFonts w:ascii="Arial" w:cs="Arial" w:eastAsia="Arial" w:hAnsi="Arial"/>
          <w:sz w:val="16"/>
          <w:szCs w:val="16"/>
          <w:color w:val="CE0F2D"/>
        </w:rPr>
      </w:pPr>
      <w:r>
        <w:rPr>
          <w:rFonts w:ascii="Arial" w:cs="Arial" w:eastAsia="Arial" w:hAnsi="Arial"/>
          <w:sz w:val="16"/>
          <w:szCs w:val="16"/>
          <w:b w:val="1"/>
          <w:bCs w:val="1"/>
          <w:color w:val="auto"/>
        </w:rPr>
        <w:t xml:space="preserve">Raytheon Company Retirement Plan (“RTN Retirement Plan”): </w:t>
      </w:r>
      <w:r>
        <w:rPr>
          <w:rFonts w:ascii="Arial" w:cs="Arial" w:eastAsia="Arial" w:hAnsi="Arial"/>
          <w:sz w:val="16"/>
          <w:szCs w:val="16"/>
          <w:color w:val="auto"/>
        </w:rPr>
        <w:t>A tax-qualified, defined benefit pension plan, that covers employees who were part of</w:t>
      </w:r>
      <w:r>
        <w:rPr>
          <w:rFonts w:ascii="Arial" w:cs="Arial" w:eastAsia="Arial" w:hAnsi="Arial"/>
          <w:sz w:val="16"/>
          <w:szCs w:val="16"/>
          <w:b w:val="1"/>
          <w:bCs w:val="1"/>
          <w:color w:val="auto"/>
        </w:rPr>
        <w:t xml:space="preserve"> </w:t>
      </w:r>
      <w:r>
        <w:rPr>
          <w:rFonts w:ascii="Arial" w:cs="Arial" w:eastAsia="Arial" w:hAnsi="Arial"/>
          <w:sz w:val="16"/>
          <w:szCs w:val="16"/>
          <w:color w:val="auto"/>
        </w:rPr>
        <w:t>Raytheon Company’s 1997 acquisition of Hughes Aircraft, and is subject to IRC provisions that, as of December 31, 2021, limit recognized annual compensation to $290,000 and annual retirement benefits to $230,000.</w:t>
      </w:r>
    </w:p>
    <w:p>
      <w:pPr>
        <w:spacing w:after="0" w:line="37" w:lineRule="exact"/>
        <w:rPr>
          <w:rFonts w:ascii="Arial" w:cs="Arial" w:eastAsia="Arial" w:hAnsi="Arial"/>
          <w:sz w:val="16"/>
          <w:szCs w:val="16"/>
          <w:color w:val="CE0F2D"/>
        </w:rPr>
      </w:pPr>
    </w:p>
    <w:p>
      <w:pPr>
        <w:ind w:left="240" w:right="60" w:hanging="233"/>
        <w:spacing w:after="0" w:line="257" w:lineRule="auto"/>
        <w:tabs>
          <w:tab w:leader="none" w:pos="240" w:val="left"/>
        </w:tabs>
        <w:numPr>
          <w:ilvl w:val="0"/>
          <w:numId w:val="196"/>
        </w:numPr>
        <w:rPr>
          <w:rFonts w:ascii="Arial" w:cs="Arial" w:eastAsia="Arial" w:hAnsi="Arial"/>
          <w:sz w:val="16"/>
          <w:szCs w:val="16"/>
          <w:color w:val="CE0F2D"/>
        </w:rPr>
      </w:pPr>
      <w:r>
        <w:rPr>
          <w:rFonts w:ascii="Arial" w:cs="Arial" w:eastAsia="Arial" w:hAnsi="Arial"/>
          <w:sz w:val="16"/>
          <w:szCs w:val="16"/>
          <w:b w:val="1"/>
          <w:bCs w:val="1"/>
          <w:color w:val="auto"/>
        </w:rPr>
        <w:t xml:space="preserve">Raytheon Company Parity Pension Plan (“RTN Parity Pension Plan”): </w:t>
      </w:r>
      <w:r>
        <w:rPr>
          <w:rFonts w:ascii="Arial" w:cs="Arial" w:eastAsia="Arial" w:hAnsi="Arial"/>
          <w:sz w:val="16"/>
          <w:szCs w:val="16"/>
          <w:color w:val="auto"/>
        </w:rPr>
        <w:t>An unfunded, nonqualified excess pension plan that provides benefits that</w:t>
      </w:r>
      <w:r>
        <w:rPr>
          <w:rFonts w:ascii="Arial" w:cs="Arial" w:eastAsia="Arial" w:hAnsi="Arial"/>
          <w:sz w:val="16"/>
          <w:szCs w:val="16"/>
          <w:b w:val="1"/>
          <w:bCs w:val="1"/>
          <w:color w:val="auto"/>
        </w:rPr>
        <w:t xml:space="preserve"> </w:t>
      </w:r>
      <w:r>
        <w:rPr>
          <w:rFonts w:ascii="Arial" w:cs="Arial" w:eastAsia="Arial" w:hAnsi="Arial"/>
          <w:sz w:val="16"/>
          <w:szCs w:val="16"/>
          <w:color w:val="auto"/>
        </w:rPr>
        <w:t>would have been provided to a participant under the tax-qualified pension plan but for compensation and benefit limits imposed by the IRC. The plan features are generally the same as the features of the qualified plan, except that benefits are offset by the qualified plan benefit, and the forms of payment are subject to certain IRC restrictions.</w:t>
      </w:r>
    </w:p>
    <w:p>
      <w:pPr>
        <w:spacing w:after="0" w:line="42" w:lineRule="exact"/>
        <w:rPr>
          <w:rFonts w:ascii="Arial" w:cs="Arial" w:eastAsia="Arial" w:hAnsi="Arial"/>
          <w:sz w:val="16"/>
          <w:szCs w:val="16"/>
          <w:color w:val="CE0F2D"/>
        </w:rPr>
      </w:pPr>
    </w:p>
    <w:p>
      <w:pPr>
        <w:jc w:val="both"/>
        <w:ind w:left="240" w:right="140" w:hanging="233"/>
        <w:spacing w:after="0" w:line="263" w:lineRule="auto"/>
        <w:tabs>
          <w:tab w:leader="none" w:pos="240" w:val="left"/>
        </w:tabs>
        <w:numPr>
          <w:ilvl w:val="0"/>
          <w:numId w:val="196"/>
        </w:numPr>
        <w:rPr>
          <w:rFonts w:ascii="Arial" w:cs="Arial" w:eastAsia="Arial" w:hAnsi="Arial"/>
          <w:sz w:val="16"/>
          <w:szCs w:val="16"/>
          <w:color w:val="CE0F2D"/>
        </w:rPr>
      </w:pPr>
      <w:r>
        <w:rPr>
          <w:rFonts w:ascii="Arial" w:cs="Arial" w:eastAsia="Arial" w:hAnsi="Arial"/>
          <w:sz w:val="16"/>
          <w:szCs w:val="16"/>
          <w:b w:val="1"/>
          <w:bCs w:val="1"/>
          <w:color w:val="auto"/>
        </w:rPr>
        <w:t xml:space="preserve">Raytheon Company Supplemental Executive Retirement Plan (“RTN SERP”): </w:t>
      </w:r>
      <w:r>
        <w:rPr>
          <w:rFonts w:ascii="Arial" w:cs="Arial" w:eastAsia="Arial" w:hAnsi="Arial"/>
          <w:sz w:val="16"/>
          <w:szCs w:val="16"/>
          <w:color w:val="auto"/>
        </w:rPr>
        <w:t>An unfunded, nonqualified pension plan for eligible senior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designed to replicate, but not exceed, the retirement benefit that a mid-career person joining the Company would have achieved under the qualified and excess pension plans had such person begun their career with the Company.</w:t>
      </w:r>
    </w:p>
    <w:p>
      <w:pPr>
        <w:spacing w:after="0" w:line="199" w:lineRule="exact"/>
        <w:rPr>
          <w:sz w:val="20"/>
          <w:szCs w:val="20"/>
          <w:color w:val="auto"/>
        </w:rPr>
      </w:pPr>
    </w:p>
    <w:p>
      <w:pPr>
        <w:ind w:right="300"/>
        <w:spacing w:after="0" w:line="282" w:lineRule="auto"/>
        <w:rPr>
          <w:sz w:val="20"/>
          <w:szCs w:val="20"/>
          <w:color w:val="auto"/>
        </w:rPr>
      </w:pPr>
      <w:r>
        <w:rPr>
          <w:rFonts w:ascii="Arial" w:cs="Arial" w:eastAsia="Arial" w:hAnsi="Arial"/>
          <w:sz w:val="16"/>
          <w:szCs w:val="16"/>
          <w:b w:val="1"/>
          <w:bCs w:val="1"/>
          <w:color w:val="CE0F2D"/>
        </w:rPr>
        <w:t xml:space="preserve">Eligibility. </w:t>
      </w:r>
      <w:r>
        <w:rPr>
          <w:rFonts w:ascii="Arial" w:cs="Arial" w:eastAsia="Arial" w:hAnsi="Arial"/>
          <w:sz w:val="16"/>
          <w:szCs w:val="16"/>
          <w:color w:val="000000"/>
        </w:rPr>
        <w:t>Employees hired prior to January 1, 2007 remain eligible to participate in the RTN Salaried Pension Plan or RTN Retirement Plan and the RTN</w:t>
      </w:r>
      <w:r>
        <w:rPr>
          <w:rFonts w:ascii="Arial" w:cs="Arial" w:eastAsia="Arial" w:hAnsi="Arial"/>
          <w:sz w:val="16"/>
          <w:szCs w:val="16"/>
          <w:b w:val="1"/>
          <w:bCs w:val="1"/>
          <w:color w:val="CE0F2D"/>
        </w:rPr>
        <w:t xml:space="preserve"> </w:t>
      </w:r>
      <w:r>
        <w:rPr>
          <w:rFonts w:ascii="Arial" w:cs="Arial" w:eastAsia="Arial" w:hAnsi="Arial"/>
          <w:sz w:val="16"/>
          <w:szCs w:val="16"/>
          <w:color w:val="000000"/>
        </w:rPr>
        <w:t>Parity Pension Plan. Select senior executives are eligible for the RTN SERP.</w:t>
      </w:r>
    </w:p>
    <w:p>
      <w:pPr>
        <w:spacing w:after="0" w:line="103" w:lineRule="exact"/>
        <w:rPr>
          <w:sz w:val="20"/>
          <w:szCs w:val="20"/>
          <w:color w:val="auto"/>
        </w:rPr>
      </w:pPr>
    </w:p>
    <w:p>
      <w:pPr>
        <w:ind w:right="240"/>
        <w:spacing w:after="0" w:line="257" w:lineRule="auto"/>
        <w:rPr>
          <w:sz w:val="20"/>
          <w:szCs w:val="20"/>
          <w:color w:val="auto"/>
        </w:rPr>
      </w:pPr>
      <w:r>
        <w:rPr>
          <w:rFonts w:ascii="Arial" w:cs="Arial" w:eastAsia="Arial" w:hAnsi="Arial"/>
          <w:sz w:val="16"/>
          <w:szCs w:val="16"/>
          <w:b w:val="1"/>
          <w:bCs w:val="1"/>
          <w:color w:val="CE0F2D"/>
        </w:rPr>
        <w:t xml:space="preserve">Pension Formulas. </w:t>
      </w:r>
      <w:r>
        <w:rPr>
          <w:rFonts w:ascii="Arial" w:cs="Arial" w:eastAsia="Arial" w:hAnsi="Arial"/>
          <w:sz w:val="16"/>
          <w:szCs w:val="16"/>
          <w:color w:val="000000"/>
        </w:rPr>
        <w:t>Under the RTN Salaried Pension Plan, benefits are based on an FAE formula of 1.8% for each of the first 20 years of credited service</w:t>
      </w:r>
      <w:r>
        <w:rPr>
          <w:rFonts w:ascii="Arial" w:cs="Arial" w:eastAsia="Arial" w:hAnsi="Arial"/>
          <w:sz w:val="16"/>
          <w:szCs w:val="16"/>
          <w:b w:val="1"/>
          <w:bCs w:val="1"/>
          <w:color w:val="CE0F2D"/>
        </w:rPr>
        <w:t xml:space="preserve"> </w:t>
      </w:r>
      <w:r>
        <w:rPr>
          <w:rFonts w:ascii="Arial" w:cs="Arial" w:eastAsia="Arial" w:hAnsi="Arial"/>
          <w:sz w:val="16"/>
          <w:szCs w:val="16"/>
          <w:color w:val="000000"/>
        </w:rPr>
        <w:t>and 1.2% for each year of credited service thereafter, reduced by the same percentage of the employee’s estimated primary Social Security benefit. FAE is defined as the average of the 60 highest consecutive months of compensation (base salary and annual incentive awards) in the final 120 months of employment.</w:t>
      </w:r>
    </w:p>
    <w:p>
      <w:pPr>
        <w:spacing w:after="0" w:line="142"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For the RTN Retirement Plan, the contributory portion requires employee contributions of 3% of covered earnings. For each year of credited service, the pension under the contributory portion is based on a FAE formula of 1.75% for each year of credited service, reduced by 1.5% of the employee’s estimated Social Security benefit at age 65, reduced and limited to 50% of the Social Security benefit. FAE is defined as the average of compensation (base salary and annual incentive awards) in the highest five 12-month periods out of the last ten 12-month periods of employment. The retiree benefit from the contributory part of the Plan is subject to an annual cost-of-living adjustment.</w:t>
      </w:r>
    </w:p>
    <w:p>
      <w:pPr>
        <w:spacing w:after="0" w:line="151"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Benefits under the RTN SERP provide a pension of 35% of the FAE after 10 years of service and, at age 55, increases by 3% of the FAE for every additional year of service up to a maximum of 50% of the FAE. Amounts payable under this plan are offset by amounts payable under other Company pension plans, any prior employer plan, and Social Security.</w:t>
      </w:r>
    </w:p>
    <w:p>
      <w:pPr>
        <w:spacing w:after="0" w:line="14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Effective December 31, 2022, the FAE benefits under these plans will freeze and participants will begin to accrue benefits under a new Cash Balance formula that will provide an annual pay and interest credit. Service will continue under the RTN SERP benefit after December 31, 2022, but the FAE used to determine the benefit prior to any offsets will freeze.</w:t>
      </w:r>
    </w:p>
    <w:p>
      <w:pPr>
        <w:spacing w:after="0" w:line="128" w:lineRule="exact"/>
        <w:rPr>
          <w:sz w:val="20"/>
          <w:szCs w:val="20"/>
          <w:color w:val="auto"/>
        </w:rPr>
      </w:pPr>
    </w:p>
    <w:p>
      <w:pPr>
        <w:ind w:right="140"/>
        <w:spacing w:after="0" w:line="263" w:lineRule="auto"/>
        <w:rPr>
          <w:sz w:val="20"/>
          <w:szCs w:val="20"/>
          <w:color w:val="auto"/>
        </w:rPr>
      </w:pPr>
      <w:r>
        <w:rPr>
          <w:rFonts w:ascii="Arial" w:cs="Arial" w:eastAsia="Arial" w:hAnsi="Arial"/>
          <w:sz w:val="16"/>
          <w:szCs w:val="16"/>
          <w:b w:val="1"/>
          <w:bCs w:val="1"/>
          <w:color w:val="CE0F2D"/>
        </w:rPr>
        <w:t xml:space="preserve">Distribution Options. </w:t>
      </w:r>
      <w:r>
        <w:rPr>
          <w:rFonts w:ascii="Arial" w:cs="Arial" w:eastAsia="Arial" w:hAnsi="Arial"/>
          <w:sz w:val="16"/>
          <w:szCs w:val="16"/>
          <w:color w:val="000000"/>
        </w:rPr>
        <w:t>Both married and single participants can elect actuarially equivalent monthly life annuity forms of payment. The RTN Retirement Plan</w:t>
      </w:r>
      <w:r>
        <w:rPr>
          <w:rFonts w:ascii="Arial" w:cs="Arial" w:eastAsia="Arial" w:hAnsi="Arial"/>
          <w:sz w:val="16"/>
          <w:szCs w:val="16"/>
          <w:b w:val="1"/>
          <w:bCs w:val="1"/>
          <w:color w:val="CE0F2D"/>
        </w:rPr>
        <w:t xml:space="preserve"> </w:t>
      </w:r>
      <w:r>
        <w:rPr>
          <w:rFonts w:ascii="Arial" w:cs="Arial" w:eastAsia="Arial" w:hAnsi="Arial"/>
          <w:sz w:val="16"/>
          <w:szCs w:val="16"/>
          <w:color w:val="000000"/>
        </w:rPr>
        <w:t>also includes certain options such as the 5-year certain option. Under the RTN Parity Plan, the 5-year certain option is the designated form of payment for participants covered under the RTN Retirement Plan.</w:t>
      </w:r>
    </w:p>
    <w:p>
      <w:pPr>
        <w:spacing w:after="0" w:line="118" w:lineRule="exact"/>
        <w:rPr>
          <w:sz w:val="20"/>
          <w:szCs w:val="20"/>
          <w:color w:val="auto"/>
        </w:rPr>
      </w:pPr>
    </w:p>
    <w:p>
      <w:pPr>
        <w:ind w:right="140"/>
        <w:spacing w:after="0" w:line="257" w:lineRule="auto"/>
        <w:rPr>
          <w:sz w:val="20"/>
          <w:szCs w:val="20"/>
          <w:color w:val="auto"/>
        </w:rPr>
      </w:pPr>
      <w:r>
        <w:rPr>
          <w:rFonts w:ascii="Arial" w:cs="Arial" w:eastAsia="Arial" w:hAnsi="Arial"/>
          <w:sz w:val="16"/>
          <w:szCs w:val="16"/>
          <w:b w:val="1"/>
          <w:bCs w:val="1"/>
          <w:color w:val="CE0F2D"/>
        </w:rPr>
        <w:t xml:space="preserve">Retirement. </w:t>
      </w:r>
      <w:r>
        <w:rPr>
          <w:rFonts w:ascii="Arial" w:cs="Arial" w:eastAsia="Arial" w:hAnsi="Arial"/>
          <w:sz w:val="16"/>
          <w:szCs w:val="16"/>
          <w:color w:val="000000"/>
        </w:rPr>
        <w:t>The normal retirement age under the legacy RTN pension plans is 65. Early retirement benefits are available beginning at age 55 with 10 years</w:t>
      </w:r>
      <w:r>
        <w:rPr>
          <w:rFonts w:ascii="Arial" w:cs="Arial" w:eastAsia="Arial" w:hAnsi="Arial"/>
          <w:sz w:val="16"/>
          <w:szCs w:val="16"/>
          <w:b w:val="1"/>
          <w:bCs w:val="1"/>
          <w:color w:val="CE0F2D"/>
        </w:rPr>
        <w:t xml:space="preserve"> </w:t>
      </w:r>
      <w:r>
        <w:rPr>
          <w:rFonts w:ascii="Arial" w:cs="Arial" w:eastAsia="Arial" w:hAnsi="Arial"/>
          <w:sz w:val="16"/>
          <w:szCs w:val="16"/>
          <w:color w:val="000000"/>
        </w:rPr>
        <w:t>of service. Under the RTN Salaried Plan, benefits are reduced for early retirement prior to age 60. Under the RTN Retirement Plan, early benefits are unreduced if commencing when age and service totals at least 75. Otherwise, early retirement benefits are actuarially reduced from age 65. Both Messrs. Kennedy and O’Brien were eligible for early retirement under the plans.</w:t>
      </w:r>
    </w:p>
    <w:p>
      <w:pPr>
        <w:spacing w:after="0" w:line="135" w:lineRule="exact"/>
        <w:rPr>
          <w:sz w:val="20"/>
          <w:szCs w:val="20"/>
          <w:color w:val="auto"/>
        </w:rPr>
      </w:pPr>
    </w:p>
    <w:p>
      <w:pPr>
        <w:ind w:left="320" w:hanging="313"/>
        <w:spacing w:after="0"/>
        <w:tabs>
          <w:tab w:leader="none" w:pos="320" w:val="left"/>
        </w:tabs>
        <w:numPr>
          <w:ilvl w:val="0"/>
          <w:numId w:val="197"/>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67310</wp:posOffset>
            </wp:positionV>
            <wp:extent cx="715454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4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40" w:type="dxa"/>
            <w:vAlign w:val="bottom"/>
            <w:gridSpan w:val="3"/>
          </w:tcPr>
          <w:p>
            <w:pPr>
              <w:jc w:val="right"/>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PENSION BENEFITS</w:t>
            </w:r>
          </w:p>
        </w:tc>
      </w:tr>
      <w:tr>
        <w:trPr>
          <w:trHeight w:val="299"/>
        </w:trPr>
        <w:tc>
          <w:tcPr>
            <w:tcW w:w="34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61676D"/>
              </w:rPr>
              <w:t>Number of Years</w:t>
            </w:r>
          </w:p>
        </w:tc>
        <w:tc>
          <w:tcPr>
            <w:tcW w:w="1740" w:type="dxa"/>
            <w:vAlign w:val="bottom"/>
            <w:gridSpan w:val="2"/>
          </w:tcPr>
          <w:p>
            <w:pPr>
              <w:jc w:val="right"/>
              <w:ind w:right="160"/>
              <w:spacing w:after="0"/>
              <w:rPr>
                <w:sz w:val="20"/>
                <w:szCs w:val="20"/>
                <w:color w:val="auto"/>
              </w:rPr>
            </w:pPr>
            <w:r>
              <w:rPr>
                <w:rFonts w:ascii="Arial" w:cs="Arial" w:eastAsia="Arial" w:hAnsi="Arial"/>
                <w:sz w:val="12"/>
                <w:szCs w:val="12"/>
                <w:b w:val="1"/>
                <w:bCs w:val="1"/>
                <w:color w:val="61676D"/>
              </w:rPr>
              <w:t>Present Value of</w:t>
            </w:r>
          </w:p>
        </w:tc>
        <w:tc>
          <w:tcPr>
            <w:tcW w:w="1200" w:type="dxa"/>
            <w:vAlign w:val="bottom"/>
          </w:tcPr>
          <w:p>
            <w:pPr>
              <w:jc w:val="right"/>
              <w:spacing w:after="0"/>
              <w:rPr>
                <w:sz w:val="20"/>
                <w:szCs w:val="20"/>
                <w:color w:val="auto"/>
              </w:rPr>
            </w:pPr>
            <w:r>
              <w:rPr>
                <w:rFonts w:ascii="Arial" w:cs="Arial" w:eastAsia="Arial" w:hAnsi="Arial"/>
                <w:sz w:val="12"/>
                <w:szCs w:val="12"/>
                <w:b w:val="1"/>
                <w:bCs w:val="1"/>
                <w:color w:val="61676D"/>
              </w:rPr>
              <w:t>Payments During</w:t>
            </w:r>
          </w:p>
        </w:tc>
      </w:tr>
      <w:tr>
        <w:trPr>
          <w:trHeight w:val="181"/>
        </w:trPr>
        <w:tc>
          <w:tcPr>
            <w:tcW w:w="3400" w:type="dxa"/>
            <w:vAlign w:val="bottom"/>
            <w:tcBorders>
              <w:bottom w:val="single" w:sz="8" w:color="CE0F2C"/>
            </w:tcBorders>
          </w:tcPr>
          <w:p>
            <w:pPr>
              <w:ind w:left="40"/>
              <w:spacing w:after="0"/>
              <w:rPr>
                <w:sz w:val="20"/>
                <w:szCs w:val="20"/>
                <w:color w:val="auto"/>
              </w:rPr>
            </w:pPr>
            <w:r>
              <w:rPr>
                <w:rFonts w:ascii="Arial" w:cs="Arial" w:eastAsia="Arial" w:hAnsi="Arial"/>
                <w:sz w:val="12"/>
                <w:szCs w:val="12"/>
                <w:b w:val="1"/>
                <w:bCs w:val="1"/>
                <w:color w:val="61676D"/>
              </w:rPr>
              <w:t>Name</w:t>
            </w:r>
          </w:p>
        </w:tc>
        <w:tc>
          <w:tcPr>
            <w:tcW w:w="3220" w:type="dxa"/>
            <w:vAlign w:val="bottom"/>
            <w:tcBorders>
              <w:bottom w:val="single" w:sz="8" w:color="CE0F2C"/>
            </w:tcBorders>
          </w:tcPr>
          <w:p>
            <w:pPr>
              <w:ind w:left="40"/>
              <w:spacing w:after="0"/>
              <w:rPr>
                <w:sz w:val="20"/>
                <w:szCs w:val="20"/>
                <w:color w:val="auto"/>
              </w:rPr>
            </w:pPr>
            <w:r>
              <w:rPr>
                <w:rFonts w:ascii="Arial" w:cs="Arial" w:eastAsia="Arial" w:hAnsi="Arial"/>
                <w:sz w:val="12"/>
                <w:szCs w:val="12"/>
                <w:b w:val="1"/>
                <w:bCs w:val="1"/>
                <w:color w:val="61676D"/>
              </w:rPr>
              <w:t>Plan Name</w:t>
            </w:r>
          </w:p>
        </w:tc>
        <w:tc>
          <w:tcPr>
            <w:tcW w:w="180" w:type="dxa"/>
            <w:vAlign w:val="bottom"/>
            <w:tcBorders>
              <w:bottom w:val="single" w:sz="8" w:color="CE0F2C"/>
            </w:tcBorders>
          </w:tcPr>
          <w:p>
            <w:pPr>
              <w:spacing w:after="0"/>
              <w:rPr>
                <w:sz w:val="15"/>
                <w:szCs w:val="15"/>
                <w:color w:val="auto"/>
              </w:rPr>
            </w:pPr>
          </w:p>
        </w:tc>
        <w:tc>
          <w:tcPr>
            <w:tcW w:w="1500" w:type="dxa"/>
            <w:vAlign w:val="bottom"/>
            <w:tcBorders>
              <w:bottom w:val="single" w:sz="8" w:color="CE0F2C"/>
            </w:tcBorders>
            <w:gridSpan w:val="2"/>
          </w:tcPr>
          <w:p>
            <w:pPr>
              <w:jc w:val="right"/>
              <w:ind w:right="160"/>
              <w:spacing w:after="0"/>
              <w:rPr>
                <w:sz w:val="20"/>
                <w:szCs w:val="20"/>
                <w:color w:val="auto"/>
              </w:rPr>
            </w:pPr>
            <w:r>
              <w:rPr>
                <w:rFonts w:ascii="Arial" w:cs="Arial" w:eastAsia="Arial" w:hAnsi="Arial"/>
                <w:sz w:val="12"/>
                <w:szCs w:val="12"/>
                <w:b w:val="1"/>
                <w:bCs w:val="1"/>
                <w:color w:val="61676D"/>
              </w:rPr>
              <w:t>of Credited Service (#)</w:t>
            </w:r>
          </w:p>
        </w:tc>
        <w:tc>
          <w:tcPr>
            <w:tcW w:w="1740" w:type="dxa"/>
            <w:vAlign w:val="bottom"/>
            <w:tcBorders>
              <w:bottom w:val="single" w:sz="8" w:color="CE0F2C"/>
            </w:tcBorders>
            <w:gridSpan w:val="2"/>
          </w:tcPr>
          <w:p>
            <w:pPr>
              <w:jc w:val="right"/>
              <w:ind w:right="160"/>
              <w:spacing w:after="0" w:line="161" w:lineRule="exact"/>
              <w:rPr>
                <w:sz w:val="20"/>
                <w:szCs w:val="20"/>
                <w:color w:val="auto"/>
              </w:rPr>
            </w:pPr>
            <w:r>
              <w:rPr>
                <w:rFonts w:ascii="Arial" w:cs="Arial" w:eastAsia="Arial" w:hAnsi="Arial"/>
                <w:sz w:val="11"/>
                <w:szCs w:val="11"/>
                <w:b w:val="1"/>
                <w:bCs w:val="1"/>
                <w:color w:val="61676D"/>
              </w:rPr>
              <w:t>Accumulated Benefit ($)</w:t>
            </w:r>
            <w:r>
              <w:rPr>
                <w:rFonts w:ascii="Arial" w:cs="Arial" w:eastAsia="Arial" w:hAnsi="Arial"/>
                <w:sz w:val="18"/>
                <w:szCs w:val="18"/>
                <w:b w:val="1"/>
                <w:bCs w:val="1"/>
                <w:color w:val="61676D"/>
                <w:vertAlign w:val="superscript"/>
              </w:rPr>
              <w:t>(1)</w:t>
            </w:r>
          </w:p>
        </w:tc>
        <w:tc>
          <w:tcPr>
            <w:tcW w:w="1200" w:type="dxa"/>
            <w:vAlign w:val="bottom"/>
            <w:tcBorders>
              <w:bottom w:val="single" w:sz="8" w:color="CE0F2C"/>
            </w:tcBorders>
          </w:tcPr>
          <w:p>
            <w:pPr>
              <w:jc w:val="right"/>
              <w:spacing w:after="0"/>
              <w:rPr>
                <w:sz w:val="20"/>
                <w:szCs w:val="20"/>
                <w:color w:val="auto"/>
              </w:rPr>
            </w:pPr>
            <w:r>
              <w:rPr>
                <w:rFonts w:ascii="Arial" w:cs="Arial" w:eastAsia="Arial" w:hAnsi="Arial"/>
                <w:sz w:val="12"/>
                <w:szCs w:val="12"/>
                <w:b w:val="1"/>
                <w:bCs w:val="1"/>
                <w:color w:val="61676D"/>
              </w:rPr>
              <w:t>Last Fiscal Year ($)</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G. Hayes</w:t>
            </w:r>
            <w:r>
              <w:rPr>
                <w:rFonts w:ascii="Arial" w:cs="Arial" w:eastAsia="Arial" w:hAnsi="Arial"/>
                <w:sz w:val="23"/>
                <w:szCs w:val="23"/>
                <w:color w:val="auto"/>
                <w:vertAlign w:val="superscript"/>
              </w:rPr>
              <w:t>(2)</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30</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$1,859,291</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Preservation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30</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$15,159,655</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$17,018,946</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N. Mitchill, Jr.</w:t>
            </w:r>
            <w:r>
              <w:rPr>
                <w:rFonts w:ascii="Arial" w:cs="Arial" w:eastAsia="Arial" w:hAnsi="Arial"/>
                <w:sz w:val="23"/>
                <w:szCs w:val="23"/>
                <w:color w:val="auto"/>
                <w:vertAlign w:val="superscript"/>
              </w:rPr>
              <w:t>(3)</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Preservation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$0</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M. Dumais</w:t>
            </w:r>
            <w:r>
              <w:rPr>
                <w:rFonts w:ascii="Arial" w:cs="Arial" w:eastAsia="Arial" w:hAnsi="Arial"/>
                <w:sz w:val="23"/>
                <w:szCs w:val="23"/>
                <w:color w:val="auto"/>
                <w:vertAlign w:val="superscript"/>
              </w:rPr>
              <w:t>(2)</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21</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$1,109,266</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Preservation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21</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$3,052,390</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$4,161,656</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C. Calio</w:t>
            </w:r>
            <w:r>
              <w:rPr>
                <w:rFonts w:ascii="Arial" w:cs="Arial" w:eastAsia="Arial" w:hAnsi="Arial"/>
                <w:sz w:val="23"/>
                <w:szCs w:val="23"/>
                <w:color w:val="auto"/>
                <w:vertAlign w:val="superscript"/>
              </w:rPr>
              <w:t>(2)</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14</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$316,596</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Preservation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14</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$268,545</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$585,141</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S. Timm</w:t>
            </w:r>
            <w:r>
              <w:rPr>
                <w:rFonts w:ascii="Arial" w:cs="Arial" w:eastAsia="Arial" w:hAnsi="Arial"/>
                <w:sz w:val="23"/>
                <w:szCs w:val="23"/>
                <w:color w:val="auto"/>
                <w:vertAlign w:val="superscript"/>
              </w:rPr>
              <w:t>(4)</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10</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$289,511</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UTC Pension Preservation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$0</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$289,511</w:t>
            </w:r>
          </w:p>
        </w:tc>
        <w:tc>
          <w:tcPr>
            <w:tcW w:w="120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b w:val="1"/>
                <w:bCs w:val="1"/>
                <w:color w:val="auto"/>
              </w:rPr>
              <w:t>-</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T. Kennedy</w:t>
            </w:r>
            <w:r>
              <w:rPr>
                <w:rFonts w:ascii="Arial" w:cs="Arial" w:eastAsia="Arial" w:hAnsi="Arial"/>
                <w:sz w:val="23"/>
                <w:szCs w:val="23"/>
                <w:color w:val="auto"/>
                <w:vertAlign w:val="superscript"/>
              </w:rPr>
              <w:t>(5)</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RTN Retirement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31</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$2,806,868</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-$172,801</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RTN Parity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31</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$56,019,773</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-$6,114,602</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CEDEF"/>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CEDEF"/>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740" w:type="dxa"/>
            <w:vAlign w:val="bottom"/>
            <w:tcBorders>
              <w:bottom w:val="single" w:sz="8" w:color="636466"/>
            </w:tcBorders>
            <w:gridSpan w:val="2"/>
            <w:shd w:val="clear" w:color="auto" w:fill="ECEDEF"/>
          </w:tcPr>
          <w:p>
            <w:pPr>
              <w:jc w:val="right"/>
              <w:ind w:right="160"/>
              <w:spacing w:after="0"/>
              <w:rPr>
                <w:sz w:val="20"/>
                <w:szCs w:val="20"/>
                <w:color w:val="auto"/>
              </w:rPr>
            </w:pPr>
            <w:r>
              <w:rPr>
                <w:rFonts w:ascii="Arial" w:cs="Arial" w:eastAsia="Arial" w:hAnsi="Arial"/>
                <w:sz w:val="14"/>
                <w:szCs w:val="14"/>
                <w:b w:val="1"/>
                <w:bCs w:val="1"/>
                <w:color w:val="auto"/>
              </w:rPr>
              <w:t>$58,826,641</w:t>
            </w:r>
          </w:p>
        </w:tc>
        <w:tc>
          <w:tcPr>
            <w:tcW w:w="12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-$6,287,403</w:t>
            </w:r>
          </w:p>
        </w:tc>
      </w:tr>
      <w:tr>
        <w:trPr>
          <w:trHeight w:val="241"/>
        </w:trPr>
        <w:tc>
          <w:tcPr>
            <w:tcW w:w="3400" w:type="dxa"/>
            <w:vAlign w:val="bottom"/>
          </w:tcPr>
          <w:p>
            <w:pPr>
              <w:ind w:left="40"/>
              <w:spacing w:after="0" w:line="241" w:lineRule="exact"/>
              <w:rPr>
                <w:sz w:val="20"/>
                <w:szCs w:val="20"/>
                <w:color w:val="auto"/>
              </w:rPr>
            </w:pPr>
            <w:r>
              <w:rPr>
                <w:rFonts w:ascii="Arial" w:cs="Arial" w:eastAsia="Arial" w:hAnsi="Arial"/>
                <w:sz w:val="14"/>
                <w:szCs w:val="14"/>
                <w:color w:val="auto"/>
              </w:rPr>
              <w:t>A. O’Brien III</w:t>
            </w:r>
            <w:r>
              <w:rPr>
                <w:rFonts w:ascii="Arial" w:cs="Arial" w:eastAsia="Arial" w:hAnsi="Arial"/>
                <w:sz w:val="23"/>
                <w:szCs w:val="23"/>
                <w:color w:val="auto"/>
                <w:vertAlign w:val="superscript"/>
              </w:rPr>
              <w:t>(6)</w:t>
            </w: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RTN Salaried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34</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$1,717,406</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-$55,497</w:t>
            </w:r>
          </w:p>
        </w:tc>
      </w:tr>
      <w:tr>
        <w:trPr>
          <w:trHeight w:val="202"/>
        </w:trPr>
        <w:tc>
          <w:tcPr>
            <w:tcW w:w="3400" w:type="dxa"/>
            <w:vAlign w:val="bottom"/>
          </w:tcPr>
          <w:p>
            <w:pPr>
              <w:spacing w:after="0"/>
              <w:rPr>
                <w:sz w:val="17"/>
                <w:szCs w:val="17"/>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RTN Parity Pension Plan</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34</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$11,169,294</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-$271,653</w:t>
            </w:r>
          </w:p>
        </w:tc>
      </w:tr>
      <w:tr>
        <w:trPr>
          <w:trHeight w:val="208"/>
        </w:trPr>
        <w:tc>
          <w:tcPr>
            <w:tcW w:w="3400" w:type="dxa"/>
            <w:vAlign w:val="bottom"/>
          </w:tcPr>
          <w:p>
            <w:pPr>
              <w:spacing w:after="0"/>
              <w:rPr>
                <w:sz w:val="18"/>
                <w:szCs w:val="18"/>
                <w:color w:val="auto"/>
              </w:rPr>
            </w:pPr>
          </w:p>
        </w:tc>
        <w:tc>
          <w:tcPr>
            <w:tcW w:w="3220" w:type="dxa"/>
            <w:vAlign w:val="bottom"/>
            <w:tcBorders>
              <w:bottom w:val="single" w:sz="8" w:color="636466"/>
            </w:tcBorders>
          </w:tcPr>
          <w:p>
            <w:pPr>
              <w:ind w:left="40"/>
              <w:spacing w:after="0"/>
              <w:rPr>
                <w:sz w:val="20"/>
                <w:szCs w:val="20"/>
                <w:color w:val="auto"/>
              </w:rPr>
            </w:pPr>
            <w:r>
              <w:rPr>
                <w:rFonts w:ascii="Arial" w:cs="Arial" w:eastAsia="Arial" w:hAnsi="Arial"/>
                <w:sz w:val="14"/>
                <w:szCs w:val="14"/>
                <w:color w:val="auto"/>
              </w:rPr>
              <w:t>RTN SERP</w:t>
            </w:r>
          </w:p>
        </w:tc>
        <w:tc>
          <w:tcPr>
            <w:tcW w:w="1680" w:type="dxa"/>
            <w:vAlign w:val="bottom"/>
            <w:tcBorders>
              <w:bottom w:val="single" w:sz="8" w:color="636466"/>
            </w:tcBorders>
            <w:gridSpan w:val="3"/>
          </w:tcPr>
          <w:p>
            <w:pPr>
              <w:jc w:val="right"/>
              <w:ind w:right="160"/>
              <w:spacing w:after="0"/>
              <w:rPr>
                <w:sz w:val="20"/>
                <w:szCs w:val="20"/>
                <w:color w:val="auto"/>
              </w:rPr>
            </w:pPr>
            <w:r>
              <w:rPr>
                <w:rFonts w:ascii="Arial" w:cs="Arial" w:eastAsia="Arial" w:hAnsi="Arial"/>
                <w:sz w:val="14"/>
                <w:szCs w:val="14"/>
                <w:color w:val="auto"/>
              </w:rPr>
              <w:t>35</w:t>
            </w:r>
          </w:p>
        </w:tc>
        <w:tc>
          <w:tcPr>
            <w:tcW w:w="1740" w:type="dxa"/>
            <w:vAlign w:val="bottom"/>
            <w:tcBorders>
              <w:bottom w:val="single" w:sz="8" w:color="636466"/>
            </w:tcBorders>
            <w:gridSpan w:val="2"/>
          </w:tcPr>
          <w:p>
            <w:pPr>
              <w:jc w:val="right"/>
              <w:ind w:right="160"/>
              <w:spacing w:after="0"/>
              <w:rPr>
                <w:sz w:val="20"/>
                <w:szCs w:val="20"/>
                <w:color w:val="auto"/>
              </w:rPr>
            </w:pPr>
            <w:r>
              <w:rPr>
                <w:rFonts w:ascii="Arial" w:cs="Arial" w:eastAsia="Arial" w:hAnsi="Arial"/>
                <w:sz w:val="14"/>
                <w:szCs w:val="14"/>
                <w:color w:val="auto"/>
              </w:rPr>
              <w:t>$1,694,367</w:t>
            </w:r>
          </w:p>
        </w:tc>
        <w:tc>
          <w:tcPr>
            <w:tcW w:w="12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-$53,672</w:t>
            </w:r>
          </w:p>
        </w:tc>
      </w:tr>
      <w:tr>
        <w:trPr>
          <w:trHeight w:val="220"/>
        </w:trPr>
        <w:tc>
          <w:tcPr>
            <w:tcW w:w="3400" w:type="dxa"/>
            <w:vAlign w:val="bottom"/>
            <w:tcBorders>
              <w:bottom w:val="single" w:sz="8" w:color="636466"/>
            </w:tcBorders>
          </w:tcPr>
          <w:p>
            <w:pPr>
              <w:spacing w:after="0"/>
              <w:rPr>
                <w:sz w:val="19"/>
                <w:szCs w:val="19"/>
                <w:color w:val="auto"/>
              </w:rPr>
            </w:pPr>
          </w:p>
        </w:tc>
        <w:tc>
          <w:tcPr>
            <w:tcW w:w="3220" w:type="dxa"/>
            <w:vAlign w:val="bottom"/>
            <w:tcBorders>
              <w:bottom w:val="single" w:sz="8" w:color="636466"/>
            </w:tcBorders>
            <w:shd w:val="clear" w:color="auto" w:fill="EDEDED"/>
          </w:tcPr>
          <w:p>
            <w:pPr>
              <w:ind w:left="4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636466"/>
            </w:tcBorders>
            <w:shd w:val="clear" w:color="auto" w:fill="ECEDEF"/>
          </w:tcPr>
          <w:p>
            <w:pPr>
              <w:spacing w:after="0"/>
              <w:rPr>
                <w:sz w:val="19"/>
                <w:szCs w:val="19"/>
                <w:color w:val="auto"/>
              </w:rPr>
            </w:pPr>
          </w:p>
        </w:tc>
        <w:tc>
          <w:tcPr>
            <w:tcW w:w="1340" w:type="dxa"/>
            <w:vAlign w:val="bottom"/>
            <w:tcBorders>
              <w:bottom w:val="single" w:sz="8" w:color="636466"/>
            </w:tcBorders>
            <w:shd w:val="clear" w:color="auto" w:fill="EDEDED"/>
          </w:tcPr>
          <w:p>
            <w:pPr>
              <w:spacing w:after="0"/>
              <w:rPr>
                <w:sz w:val="19"/>
                <w:szCs w:val="19"/>
                <w:color w:val="auto"/>
              </w:rPr>
            </w:pPr>
          </w:p>
        </w:tc>
        <w:tc>
          <w:tcPr>
            <w:tcW w:w="160" w:type="dxa"/>
            <w:vAlign w:val="bottom"/>
            <w:tcBorders>
              <w:bottom w:val="single" w:sz="8" w:color="636466"/>
            </w:tcBorders>
            <w:shd w:val="clear" w:color="auto" w:fill="ECEDEF"/>
          </w:tcPr>
          <w:p>
            <w:pPr>
              <w:spacing w:after="0"/>
              <w:rPr>
                <w:sz w:val="19"/>
                <w:szCs w:val="19"/>
                <w:color w:val="auto"/>
              </w:rPr>
            </w:pPr>
          </w:p>
        </w:tc>
        <w:tc>
          <w:tcPr>
            <w:tcW w:w="158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b w:val="1"/>
                <w:bCs w:val="1"/>
                <w:color w:val="auto"/>
              </w:rPr>
              <w:t>$14,581,067</w:t>
            </w:r>
          </w:p>
        </w:tc>
        <w:tc>
          <w:tcPr>
            <w:tcW w:w="160" w:type="dxa"/>
            <w:vAlign w:val="bottom"/>
            <w:tcBorders>
              <w:bottom w:val="single" w:sz="8" w:color="636466"/>
            </w:tcBorders>
            <w:shd w:val="clear" w:color="auto" w:fill="ECEDEF"/>
          </w:tcPr>
          <w:p>
            <w:pPr>
              <w:spacing w:after="0"/>
              <w:rPr>
                <w:sz w:val="19"/>
                <w:szCs w:val="19"/>
                <w:color w:val="auto"/>
              </w:rPr>
            </w:pPr>
          </w:p>
        </w:tc>
        <w:tc>
          <w:tcPr>
            <w:tcW w:w="1200" w:type="dxa"/>
            <w:vAlign w:val="bottom"/>
            <w:tcBorders>
              <w:bottom w:val="single" w:sz="8" w:color="636466"/>
            </w:tcBorders>
            <w:shd w:val="clear" w:color="auto" w:fill="EDEDED"/>
          </w:tcPr>
          <w:p>
            <w:pPr>
              <w:jc w:val="right"/>
              <w:spacing w:after="0"/>
              <w:rPr>
                <w:sz w:val="20"/>
                <w:szCs w:val="20"/>
                <w:color w:val="auto"/>
              </w:rPr>
            </w:pPr>
            <w:r>
              <w:rPr>
                <w:rFonts w:ascii="Arial" w:cs="Arial" w:eastAsia="Arial" w:hAnsi="Arial"/>
                <w:sz w:val="14"/>
                <w:szCs w:val="14"/>
                <w:b w:val="1"/>
                <w:bCs w:val="1"/>
                <w:color w:val="auto"/>
              </w:rPr>
              <w:t>-$380,822</w:t>
            </w:r>
          </w:p>
        </w:tc>
      </w:tr>
    </w:tbl>
    <w:p>
      <w:pPr>
        <w:spacing w:after="0" w:line="48" w:lineRule="exact"/>
        <w:rPr>
          <w:sz w:val="20"/>
          <w:szCs w:val="20"/>
          <w:color w:val="auto"/>
        </w:rPr>
      </w:pPr>
    </w:p>
    <w:p>
      <w:pPr>
        <w:ind w:left="240" w:right="80" w:hanging="233"/>
        <w:spacing w:after="0" w:line="242" w:lineRule="auto"/>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assumptions used to determine the present value of the accumulated pension benefit under pension plans are described in the pension assumptions section of Note 11: Employee Benefit Plans, to the Consolidated Financial Statements in RTX’s 2021 Form 10-K, including discount rates ranging from 2.72% to 3.00% for the various pension plans and mortality table of Pri-2012 with a plan specific adjustment and MP-2021 to project future improvements.</w:t>
      </w:r>
    </w:p>
    <w:p>
      <w:pPr>
        <w:spacing w:after="0" w:line="64" w:lineRule="exact"/>
        <w:rPr>
          <w:rFonts w:ascii="Arial" w:cs="Arial" w:eastAsia="Arial" w:hAnsi="Arial"/>
          <w:sz w:val="12"/>
          <w:szCs w:val="12"/>
          <w:color w:val="auto"/>
        </w:rPr>
      </w:pPr>
    </w:p>
    <w:p>
      <w:pPr>
        <w:ind w:left="240" w:right="80" w:hanging="233"/>
        <w:spacing w:after="0" w:line="237" w:lineRule="auto"/>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following additional assumptions are also used to determine the present value of the accumulated pension benefit under the legacy UTC pension plans: (i) the NEOs are assumed to retire at age 62 for FAE benefits, the earliest date they can retire without a reduction of benefits due to age, and age 65 for Cash Balance benefits; (ii) projected lump-sum payments under the PPP are calculated using a lump-sum interest rate of 1.7% for Mr. Hayes (age 62 in 2022), and 4.0% for Mr. Dumais; (iii) unless an NEO elected another form of benefit payment, the amounts shown assume the following form of payment: (a) 70% in a monthly annuity and 30% in a lump-sum payment for benefits accrued under the FAE formula of the UTC Pension Plan; (b) a lump-sum payment for benefits accrued under the Cash Balance formula of the UTC Pension Plan; and (c) a lump-sum payment for benefits accrued under the PPP. With respect to (ii) above, the PPP lump-sum interest rate used for Mr. Hayes differs from the rate used for other participants because the current low-interest rate environment will still have an influence on his rate.</w:t>
      </w:r>
    </w:p>
    <w:p>
      <w:pPr>
        <w:spacing w:after="0" w:line="66" w:lineRule="exact"/>
        <w:rPr>
          <w:rFonts w:ascii="Arial" w:cs="Arial" w:eastAsia="Arial" w:hAnsi="Arial"/>
          <w:sz w:val="12"/>
          <w:szCs w:val="12"/>
          <w:color w:val="auto"/>
        </w:rPr>
      </w:pPr>
    </w:p>
    <w:p>
      <w:pPr>
        <w:ind w:left="240" w:hanging="233"/>
        <w:spacing w:after="0"/>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Mr. Mitchill was hired after January 1, 2010, and therefore, does not participate in the legacy UTC pension plans.</w:t>
      </w:r>
    </w:p>
    <w:p>
      <w:pPr>
        <w:spacing w:after="0" w:line="76" w:lineRule="exact"/>
        <w:rPr>
          <w:rFonts w:ascii="Arial" w:cs="Arial" w:eastAsia="Arial" w:hAnsi="Arial"/>
          <w:sz w:val="12"/>
          <w:szCs w:val="12"/>
          <w:color w:val="auto"/>
        </w:rPr>
      </w:pPr>
    </w:p>
    <w:p>
      <w:pPr>
        <w:ind w:left="240" w:right="20" w:hanging="233"/>
        <w:spacing w:after="0" w:line="238" w:lineRule="auto"/>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The present value of the accumulated benefits shown for Mr. Timm is based on benefits earned under the legacy Rockwell Collins qualified defined benefit pension plan, which was frozen in 2006 and has since merged into the equivalent UTC Pension Plan. The number of years of credited service reflects the years of service he had when the plan was frozen. Benefit calculations are based on age, years of service, and average annual base salary and annual incentives. All of Mr. Timm’s nonqualified pension benefits were previously distributed to him upon UTC’s acquisition of Rockwell Collins in a lump-sum payment in accordance with the change-in-control provisions in that plan. The following additional assumptions are also used: (i) retirement at age 62, the earliest date Mr. Timm can retire without a reduction of benefits due to age; and (ii) 100% life annuity for benefits under the plan.</w:t>
      </w:r>
    </w:p>
    <w:p>
      <w:pPr>
        <w:spacing w:after="0" w:line="65" w:lineRule="exact"/>
        <w:rPr>
          <w:rFonts w:ascii="Arial" w:cs="Arial" w:eastAsia="Arial" w:hAnsi="Arial"/>
          <w:sz w:val="12"/>
          <w:szCs w:val="12"/>
          <w:color w:val="auto"/>
        </w:rPr>
      </w:pPr>
    </w:p>
    <w:p>
      <w:pPr>
        <w:ind w:left="240" w:hanging="233"/>
        <w:spacing w:after="0"/>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Following Mr. Kennedy’s June 1, 2021 retirement from the Company, he began to receive benefit payments under the RTN Retirement Plan and the RTN Parity Pension Plan.</w:t>
      </w:r>
    </w:p>
    <w:p>
      <w:pPr>
        <w:spacing w:after="0" w:line="76" w:lineRule="exact"/>
        <w:rPr>
          <w:rFonts w:ascii="Arial" w:cs="Arial" w:eastAsia="Arial" w:hAnsi="Arial"/>
          <w:sz w:val="12"/>
          <w:szCs w:val="12"/>
          <w:color w:val="auto"/>
        </w:rPr>
      </w:pPr>
    </w:p>
    <w:p>
      <w:pPr>
        <w:ind w:left="240" w:hanging="233"/>
        <w:spacing w:after="0"/>
        <w:tabs>
          <w:tab w:leader="none" w:pos="240" w:val="left"/>
        </w:tabs>
        <w:numPr>
          <w:ilvl w:val="0"/>
          <w:numId w:val="198"/>
        </w:numPr>
        <w:rPr>
          <w:rFonts w:ascii="Arial" w:cs="Arial" w:eastAsia="Arial" w:hAnsi="Arial"/>
          <w:sz w:val="12"/>
          <w:szCs w:val="12"/>
          <w:color w:val="auto"/>
        </w:rPr>
      </w:pPr>
      <w:r>
        <w:rPr>
          <w:rFonts w:ascii="Arial" w:cs="Arial" w:eastAsia="Arial" w:hAnsi="Arial"/>
          <w:sz w:val="12"/>
          <w:szCs w:val="12"/>
          <w:color w:val="auto"/>
        </w:rPr>
        <w:t>Following Mr. O’Brien’s April 7, 2021 separation from the Company, he began to receive benefit payments under the RTN Salaried Pension Plan, the RTN Parity Pension Plan and the RTN SERP.</w:t>
      </w:r>
    </w:p>
    <w:p>
      <w:pPr>
        <w:spacing w:after="0" w:line="183" w:lineRule="exact"/>
        <w:rPr>
          <w:sz w:val="20"/>
          <w:szCs w:val="20"/>
          <w:color w:val="auto"/>
        </w:rPr>
      </w:pPr>
    </w:p>
    <w:p>
      <w:pPr>
        <w:ind w:left="7700"/>
        <w:spacing w:after="0"/>
        <w:tabs>
          <w:tab w:leader="none" w:pos="1108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2"/>
          <w:szCs w:val="12"/>
          <w:b w:val="1"/>
          <w:bCs w:val="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715454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NONQUALIFIED DEFERRED COMPENSATION</w:t>
      </w:r>
    </w:p>
    <w:p>
      <w:pPr>
        <w:spacing w:after="0" w:line="292"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Nonqualified Deferred Compensation</w:t>
      </w:r>
    </w:p>
    <w:p>
      <w:pPr>
        <w:spacing w:after="0" w:line="210"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RTX offers various nonqualified deferred compensation plans, as shown below. Eligibility to participate in these plans depends on the NEO’s legacy company. Further, some of our NEOs have account balances in plans from companies previously acquired by our legacy companies; these plans have since been closed to future contributions. The below table provides a description of the plans that are currently active: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60" w:type="dxa"/>
            <w:vAlign w:val="bottom"/>
            <w:tcBorders>
              <w:bottom w:val="single" w:sz="8" w:color="CE0F2C"/>
            </w:tcBorders>
          </w:tcPr>
          <w:p>
            <w:pPr>
              <w:ind w:left="40"/>
              <w:spacing w:after="0"/>
              <w:rPr>
                <w:sz w:val="20"/>
                <w:szCs w:val="20"/>
                <w:color w:val="auto"/>
              </w:rPr>
            </w:pPr>
            <w:r>
              <w:rPr>
                <w:rFonts w:ascii="Arial" w:cs="Arial" w:eastAsia="Arial" w:hAnsi="Arial"/>
                <w:sz w:val="14"/>
                <w:szCs w:val="14"/>
                <w:color w:val="61676D"/>
              </w:rPr>
              <w:t>Plan Name</w:t>
            </w:r>
          </w:p>
        </w:tc>
        <w:tc>
          <w:tcPr>
            <w:tcW w:w="8980" w:type="dxa"/>
            <w:vAlign w:val="bottom"/>
            <w:tcBorders>
              <w:bottom w:val="single" w:sz="8" w:color="CE0F2C"/>
            </w:tcBorders>
          </w:tcPr>
          <w:p>
            <w:pPr>
              <w:ind w:left="160"/>
              <w:spacing w:after="0"/>
              <w:rPr>
                <w:sz w:val="20"/>
                <w:szCs w:val="20"/>
                <w:color w:val="auto"/>
              </w:rPr>
            </w:pPr>
            <w:r>
              <w:rPr>
                <w:rFonts w:ascii="Arial" w:cs="Arial" w:eastAsia="Arial" w:hAnsi="Arial"/>
                <w:sz w:val="14"/>
                <w:szCs w:val="14"/>
                <w:color w:val="61676D"/>
              </w:rPr>
              <w:t>Description</w:t>
            </w:r>
          </w:p>
        </w:tc>
      </w:tr>
      <w:tr>
        <w:trPr>
          <w:trHeight w:val="174"/>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UTC Savings Restoration Plan</w:t>
            </w:r>
          </w:p>
        </w:tc>
        <w:tc>
          <w:tcPr>
            <w:tcW w:w="8980" w:type="dxa"/>
            <w:vAlign w:val="bottom"/>
          </w:tcPr>
          <w:p>
            <w:pPr>
              <w:ind w:left="160"/>
              <w:spacing w:after="0"/>
              <w:rPr>
                <w:sz w:val="20"/>
                <w:szCs w:val="20"/>
                <w:color w:val="auto"/>
              </w:rPr>
            </w:pPr>
            <w:r>
              <w:rPr>
                <w:rFonts w:ascii="Arial" w:cs="Arial" w:eastAsia="Arial" w:hAnsi="Arial"/>
                <w:sz w:val="14"/>
                <w:szCs w:val="14"/>
                <w:color w:val="auto"/>
              </w:rPr>
              <w:t>An unfunded, nonqualified deferred compensation arrangement that offers legacy UTC participants the opportunity to defer up to 6% of pay</w:t>
            </w:r>
          </w:p>
        </w:tc>
      </w:tr>
      <w:tr>
        <w:trPr>
          <w:trHeight w:val="179"/>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(“SRP”)</w:t>
            </w:r>
          </w:p>
        </w:tc>
        <w:tc>
          <w:tcPr>
            <w:tcW w:w="8980" w:type="dxa"/>
            <w:vAlign w:val="bottom"/>
          </w:tcPr>
          <w:p>
            <w:pPr>
              <w:ind w:left="160"/>
              <w:spacing w:after="0"/>
              <w:rPr>
                <w:sz w:val="20"/>
                <w:szCs w:val="20"/>
                <w:color w:val="auto"/>
              </w:rPr>
            </w:pPr>
            <w:r>
              <w:rPr>
                <w:rFonts w:ascii="Arial" w:cs="Arial" w:eastAsia="Arial" w:hAnsi="Arial"/>
                <w:sz w:val="14"/>
                <w:szCs w:val="14"/>
                <w:color w:val="auto"/>
              </w:rPr>
              <w:t>(base salary and annual incentives) above the annual IRC compensation limit ($290,000 in 2021) applicable to the tax-qualified UTC</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Employee Savings Plan. Using the UTC Employee Savings Plan’s matching contribution formula, the SRP credits matching contributions</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equal to 60% of the amount deferred by the executive in the form of RTX deferred stock units. Participants are vested in their own deferrals</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and vest in the Company match upon the earlier of three years of service or two years in the Plan. SRP balances may be distributed at the</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election of the participant in a lump-sum payment or in annual installments over periods ranging from two to 15 years. Employee deferrals</w:t>
            </w:r>
          </w:p>
        </w:tc>
      </w:tr>
      <w:tr>
        <w:trPr>
          <w:trHeight w:val="177"/>
        </w:trPr>
        <w:tc>
          <w:tcPr>
            <w:tcW w:w="2260" w:type="dxa"/>
            <w:vAlign w:val="bottom"/>
            <w:tcBorders>
              <w:bottom w:val="single" w:sz="8" w:color="61676D"/>
            </w:tcBorders>
          </w:tcPr>
          <w:p>
            <w:pPr>
              <w:spacing w:after="0"/>
              <w:rPr>
                <w:sz w:val="15"/>
                <w:szCs w:val="15"/>
                <w:color w:val="auto"/>
              </w:rPr>
            </w:pPr>
          </w:p>
        </w:tc>
        <w:tc>
          <w:tcPr>
            <w:tcW w:w="8980" w:type="dxa"/>
            <w:vAlign w:val="bottom"/>
            <w:tcBorders>
              <w:bottom w:val="single" w:sz="8" w:color="61676D"/>
            </w:tcBorders>
          </w:tcPr>
          <w:p>
            <w:pPr>
              <w:ind w:left="160"/>
              <w:spacing w:after="0"/>
              <w:rPr>
                <w:sz w:val="20"/>
                <w:szCs w:val="20"/>
                <w:color w:val="auto"/>
              </w:rPr>
            </w:pPr>
            <w:r>
              <w:rPr>
                <w:rFonts w:ascii="Arial" w:cs="Arial" w:eastAsia="Arial" w:hAnsi="Arial"/>
                <w:sz w:val="14"/>
                <w:szCs w:val="14"/>
                <w:color w:val="auto"/>
              </w:rPr>
              <w:t>are distributed in cash and the Company match is distributed in shares of RTX Common Stock.</w:t>
            </w:r>
          </w:p>
        </w:tc>
      </w:tr>
      <w:tr>
        <w:trPr>
          <w:trHeight w:val="173"/>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UTC Company Automatic</w:t>
            </w:r>
          </w:p>
        </w:tc>
        <w:tc>
          <w:tcPr>
            <w:tcW w:w="8980" w:type="dxa"/>
            <w:vAlign w:val="bottom"/>
          </w:tcPr>
          <w:p>
            <w:pPr>
              <w:ind w:left="160"/>
              <w:spacing w:after="0"/>
              <w:rPr>
                <w:sz w:val="20"/>
                <w:szCs w:val="20"/>
                <w:color w:val="auto"/>
              </w:rPr>
            </w:pPr>
            <w:r>
              <w:rPr>
                <w:rFonts w:ascii="Arial" w:cs="Arial" w:eastAsia="Arial" w:hAnsi="Arial"/>
                <w:sz w:val="14"/>
                <w:szCs w:val="14"/>
                <w:color w:val="auto"/>
              </w:rPr>
              <w:t>An unfunded, nonqualified deferred compensation arrangement that provides legacy UTC participants with age- based Company automatic</w:t>
            </w:r>
          </w:p>
        </w:tc>
      </w:tr>
      <w:tr>
        <w:trPr>
          <w:trHeight w:val="161"/>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Contribution Excess Plan</w:t>
            </w:r>
          </w:p>
        </w:tc>
        <w:tc>
          <w:tcPr>
            <w:tcW w:w="8980" w:type="dxa"/>
            <w:vAlign w:val="bottom"/>
          </w:tcPr>
          <w:p>
            <w:pPr>
              <w:ind w:left="160"/>
              <w:spacing w:after="0"/>
              <w:rPr>
                <w:sz w:val="20"/>
                <w:szCs w:val="20"/>
                <w:color w:val="auto"/>
              </w:rPr>
            </w:pPr>
            <w:r>
              <w:rPr>
                <w:rFonts w:ascii="Arial" w:cs="Arial" w:eastAsia="Arial" w:hAnsi="Arial"/>
                <w:sz w:val="14"/>
                <w:szCs w:val="14"/>
                <w:color w:val="auto"/>
              </w:rPr>
              <w:t>contributions (ranging from 3% to 5.5% of salary and annual incentives for those hired on or after January 1, 2010) on compensation that</w:t>
            </w:r>
          </w:p>
        </w:tc>
      </w:tr>
      <w:tr>
        <w:trPr>
          <w:trHeight w:val="179"/>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(“CACEP”)</w:t>
            </w:r>
          </w:p>
        </w:tc>
        <w:tc>
          <w:tcPr>
            <w:tcW w:w="8980" w:type="dxa"/>
            <w:vAlign w:val="bottom"/>
          </w:tcPr>
          <w:p>
            <w:pPr>
              <w:ind w:left="160"/>
              <w:spacing w:after="0"/>
              <w:rPr>
                <w:sz w:val="20"/>
                <w:szCs w:val="20"/>
                <w:color w:val="auto"/>
              </w:rPr>
            </w:pPr>
            <w:r>
              <w:rPr>
                <w:rFonts w:ascii="Arial" w:cs="Arial" w:eastAsia="Arial" w:hAnsi="Arial"/>
                <w:sz w:val="14"/>
                <w:szCs w:val="14"/>
                <w:color w:val="auto"/>
              </w:rPr>
              <w:t>exceeds the IRC limits applicable to the tax-qualified UTC Employee Savings Plan. Participants are vested in Company contributions upon</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the earlier of three years of service or two years in the Plan. CACEP balances are distributed in cash, in a lump-sum payment or in annual</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installments over periods ranging from two to 15 years per the participant’s election. The Plan also provides missed matching contributions</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for employees whose compensation has not reached the annual IRC compensation limit, but whose contributions to the UTC Employee</w:t>
            </w:r>
          </w:p>
        </w:tc>
      </w:tr>
      <w:tr>
        <w:trPr>
          <w:trHeight w:val="171"/>
        </w:trPr>
        <w:tc>
          <w:tcPr>
            <w:tcW w:w="2260" w:type="dxa"/>
            <w:vAlign w:val="bottom"/>
          </w:tcPr>
          <w:p>
            <w:pPr>
              <w:spacing w:after="0"/>
              <w:rPr>
                <w:sz w:val="14"/>
                <w:szCs w:val="14"/>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Savings Plan are limited by the IRC’s annual contributions limit ($58,000 in 2021).</w:t>
            </w:r>
          </w:p>
        </w:tc>
      </w:tr>
      <w:tr>
        <w:trPr>
          <w:trHeight w:val="204"/>
        </w:trPr>
        <w:tc>
          <w:tcPr>
            <w:tcW w:w="2260" w:type="dxa"/>
            <w:vAlign w:val="bottom"/>
          </w:tcPr>
          <w:p>
            <w:pPr>
              <w:spacing w:after="0"/>
              <w:rPr>
                <w:sz w:val="17"/>
                <w:szCs w:val="17"/>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Effective January 1, 2020, employees hired prior to January 1, 2010, stopped accruing pay credits into legacy UTC pension plans and</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instead began to receive an age-based Company automatic contribution (ranging from 3% to 8% of salary and annual incentives) into the</w:t>
            </w:r>
          </w:p>
        </w:tc>
      </w:tr>
      <w:tr>
        <w:trPr>
          <w:trHeight w:val="177"/>
        </w:trPr>
        <w:tc>
          <w:tcPr>
            <w:tcW w:w="2260" w:type="dxa"/>
            <w:vAlign w:val="bottom"/>
            <w:tcBorders>
              <w:bottom w:val="single" w:sz="8" w:color="61676D"/>
            </w:tcBorders>
          </w:tcPr>
          <w:p>
            <w:pPr>
              <w:spacing w:after="0"/>
              <w:rPr>
                <w:sz w:val="15"/>
                <w:szCs w:val="15"/>
                <w:color w:val="auto"/>
              </w:rPr>
            </w:pPr>
          </w:p>
        </w:tc>
        <w:tc>
          <w:tcPr>
            <w:tcW w:w="8980" w:type="dxa"/>
            <w:vAlign w:val="bottom"/>
            <w:tcBorders>
              <w:bottom w:val="single" w:sz="8" w:color="61676D"/>
            </w:tcBorders>
          </w:tcPr>
          <w:p>
            <w:pPr>
              <w:ind w:left="160"/>
              <w:spacing w:after="0"/>
              <w:rPr>
                <w:sz w:val="20"/>
                <w:szCs w:val="20"/>
                <w:color w:val="auto"/>
              </w:rPr>
            </w:pPr>
            <w:r>
              <w:rPr>
                <w:rFonts w:ascii="Arial" w:cs="Arial" w:eastAsia="Arial" w:hAnsi="Arial"/>
                <w:sz w:val="14"/>
                <w:szCs w:val="14"/>
                <w:color w:val="auto"/>
              </w:rPr>
              <w:t>CACEP for amounts above the IRC limits applicable to the qualified UTC Employee Savings Plan.</w:t>
            </w:r>
          </w:p>
        </w:tc>
      </w:tr>
      <w:tr>
        <w:trPr>
          <w:trHeight w:val="173"/>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UTC Deferred Compensation</w:t>
            </w:r>
          </w:p>
        </w:tc>
        <w:tc>
          <w:tcPr>
            <w:tcW w:w="8980" w:type="dxa"/>
            <w:vAlign w:val="bottom"/>
          </w:tcPr>
          <w:p>
            <w:pPr>
              <w:ind w:left="160"/>
              <w:spacing w:after="0"/>
              <w:rPr>
                <w:sz w:val="20"/>
                <w:szCs w:val="20"/>
                <w:color w:val="auto"/>
              </w:rPr>
            </w:pPr>
            <w:r>
              <w:rPr>
                <w:rFonts w:ascii="Arial" w:cs="Arial" w:eastAsia="Arial" w:hAnsi="Arial"/>
                <w:sz w:val="14"/>
                <w:szCs w:val="14"/>
                <w:color w:val="auto"/>
              </w:rPr>
              <w:t>An unfunded, nonqualified deferred compensation arrangement that offers legacy UTC participants the opportunity to defer up to 50% of</w:t>
            </w:r>
          </w:p>
        </w:tc>
      </w:tr>
      <w:tr>
        <w:trPr>
          <w:trHeight w:val="179"/>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Plan (“UTC DCP”)</w:t>
            </w:r>
          </w:p>
        </w:tc>
        <w:tc>
          <w:tcPr>
            <w:tcW w:w="8980" w:type="dxa"/>
            <w:vAlign w:val="bottom"/>
          </w:tcPr>
          <w:p>
            <w:pPr>
              <w:ind w:left="160"/>
              <w:spacing w:after="0"/>
              <w:rPr>
                <w:sz w:val="20"/>
                <w:szCs w:val="20"/>
                <w:color w:val="auto"/>
              </w:rPr>
            </w:pPr>
            <w:r>
              <w:rPr>
                <w:rFonts w:ascii="Arial" w:cs="Arial" w:eastAsia="Arial" w:hAnsi="Arial"/>
                <w:sz w:val="14"/>
                <w:szCs w:val="14"/>
                <w:color w:val="auto"/>
              </w:rPr>
              <w:t>base salary and up to 70% of annual incentives until retirement or a future date selected by the executive (which may be no earlier than five</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years from the date the election was made). All distributions are made in cash, either in a lump-sum or in two to 15 annual installments per</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the participant’s election. If a participant’s employment terminates before they attain age 50, all balances are paid as a lump-sum in the April</w:t>
            </w:r>
          </w:p>
        </w:tc>
      </w:tr>
      <w:tr>
        <w:trPr>
          <w:trHeight w:val="177"/>
        </w:trPr>
        <w:tc>
          <w:tcPr>
            <w:tcW w:w="2260" w:type="dxa"/>
            <w:vAlign w:val="bottom"/>
            <w:tcBorders>
              <w:bottom w:val="single" w:sz="8" w:color="61676D"/>
            </w:tcBorders>
          </w:tcPr>
          <w:p>
            <w:pPr>
              <w:spacing w:after="0"/>
              <w:rPr>
                <w:sz w:val="15"/>
                <w:szCs w:val="15"/>
                <w:color w:val="auto"/>
              </w:rPr>
            </w:pPr>
          </w:p>
        </w:tc>
        <w:tc>
          <w:tcPr>
            <w:tcW w:w="8980" w:type="dxa"/>
            <w:vAlign w:val="bottom"/>
            <w:tcBorders>
              <w:bottom w:val="single" w:sz="8" w:color="61676D"/>
            </w:tcBorders>
          </w:tcPr>
          <w:p>
            <w:pPr>
              <w:ind w:left="160"/>
              <w:spacing w:after="0"/>
              <w:rPr>
                <w:sz w:val="20"/>
                <w:szCs w:val="20"/>
                <w:color w:val="auto"/>
              </w:rPr>
            </w:pPr>
            <w:r>
              <w:rPr>
                <w:rFonts w:ascii="Arial" w:cs="Arial" w:eastAsia="Arial" w:hAnsi="Arial"/>
                <w:sz w:val="14"/>
                <w:szCs w:val="14"/>
                <w:color w:val="auto"/>
              </w:rPr>
              <w:t>following separation.</w:t>
            </w:r>
          </w:p>
        </w:tc>
      </w:tr>
      <w:tr>
        <w:trPr>
          <w:trHeight w:val="191"/>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UTC LTIP PSU Deferral Plan</w:t>
            </w:r>
          </w:p>
        </w:tc>
        <w:tc>
          <w:tcPr>
            <w:tcW w:w="8980" w:type="dxa"/>
            <w:vAlign w:val="bottom"/>
          </w:tcPr>
          <w:p>
            <w:pPr>
              <w:ind w:left="160"/>
              <w:spacing w:after="0"/>
              <w:rPr>
                <w:sz w:val="20"/>
                <w:szCs w:val="20"/>
                <w:color w:val="auto"/>
              </w:rPr>
            </w:pPr>
            <w:r>
              <w:rPr>
                <w:rFonts w:ascii="Arial" w:cs="Arial" w:eastAsia="Arial" w:hAnsi="Arial"/>
                <w:sz w:val="14"/>
                <w:szCs w:val="14"/>
                <w:color w:val="auto"/>
              </w:rPr>
              <w:t>An unfunded, nonqualified deferred compensation arrangement that offers legacy UTC participants the ability to defer between 10% and</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100% of their vested PSU awards that would otherwise be settled in unrestricted shares of RTX Common Stock. The deferred portion of the</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PSU award is converted into deferred stock units that accrue dividend equivalents. Distributions from the plan are made in a lump-sum or in</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two to 15 annual installments, either upon retirement or at a future date selected by the participant (which may be no earlier than five years</w:t>
            </w:r>
          </w:p>
        </w:tc>
      </w:tr>
      <w:tr>
        <w:trPr>
          <w:trHeight w:val="177"/>
        </w:trPr>
        <w:tc>
          <w:tcPr>
            <w:tcW w:w="2260" w:type="dxa"/>
            <w:vAlign w:val="bottom"/>
            <w:tcBorders>
              <w:bottom w:val="single" w:sz="8" w:color="61676D"/>
            </w:tcBorders>
          </w:tcPr>
          <w:p>
            <w:pPr>
              <w:spacing w:after="0"/>
              <w:rPr>
                <w:sz w:val="15"/>
                <w:szCs w:val="15"/>
                <w:color w:val="auto"/>
              </w:rPr>
            </w:pPr>
          </w:p>
        </w:tc>
        <w:tc>
          <w:tcPr>
            <w:tcW w:w="8980" w:type="dxa"/>
            <w:vAlign w:val="bottom"/>
            <w:tcBorders>
              <w:bottom w:val="single" w:sz="8" w:color="61676D"/>
            </w:tcBorders>
          </w:tcPr>
          <w:p>
            <w:pPr>
              <w:ind w:left="160"/>
              <w:spacing w:after="0"/>
              <w:rPr>
                <w:sz w:val="20"/>
                <w:szCs w:val="20"/>
                <w:color w:val="auto"/>
              </w:rPr>
            </w:pPr>
            <w:r>
              <w:rPr>
                <w:rFonts w:ascii="Arial" w:cs="Arial" w:eastAsia="Arial" w:hAnsi="Arial"/>
                <w:sz w:val="14"/>
                <w:szCs w:val="14"/>
                <w:color w:val="auto"/>
              </w:rPr>
              <w:t>from the year the PSUs are deferred). Distributions are made in whole shares of RTX Common Stock with any fractional units paid in cash.</w:t>
            </w:r>
          </w:p>
        </w:tc>
      </w:tr>
      <w:tr>
        <w:trPr>
          <w:trHeight w:val="173"/>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Raytheon Company Deferred</w:t>
            </w:r>
          </w:p>
        </w:tc>
        <w:tc>
          <w:tcPr>
            <w:tcW w:w="8980" w:type="dxa"/>
            <w:vAlign w:val="bottom"/>
          </w:tcPr>
          <w:p>
            <w:pPr>
              <w:ind w:left="160"/>
              <w:spacing w:after="0"/>
              <w:rPr>
                <w:sz w:val="20"/>
                <w:szCs w:val="20"/>
                <w:color w:val="auto"/>
              </w:rPr>
            </w:pPr>
            <w:r>
              <w:rPr>
                <w:rFonts w:ascii="Arial" w:cs="Arial" w:eastAsia="Arial" w:hAnsi="Arial"/>
                <w:sz w:val="14"/>
                <w:szCs w:val="14"/>
                <w:color w:val="auto"/>
              </w:rPr>
              <w:t>An unfunded, nonqualified deferred compensation arrangement that that allows legacy RTN employees, who are projected to reach the IRC</w:t>
            </w:r>
          </w:p>
        </w:tc>
      </w:tr>
      <w:tr>
        <w:trPr>
          <w:trHeight w:val="161"/>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Compensation Plan (“RTN</w:t>
            </w:r>
          </w:p>
        </w:tc>
        <w:tc>
          <w:tcPr>
            <w:tcW w:w="8980" w:type="dxa"/>
            <w:vAlign w:val="bottom"/>
          </w:tcPr>
          <w:p>
            <w:pPr>
              <w:ind w:left="160"/>
              <w:spacing w:after="0"/>
              <w:rPr>
                <w:sz w:val="20"/>
                <w:szCs w:val="20"/>
                <w:color w:val="auto"/>
              </w:rPr>
            </w:pPr>
            <w:r>
              <w:rPr>
                <w:rFonts w:ascii="Arial" w:cs="Arial" w:eastAsia="Arial" w:hAnsi="Arial"/>
                <w:sz w:val="14"/>
                <w:szCs w:val="14"/>
                <w:color w:val="auto"/>
              </w:rPr>
              <w:t>compensation limit, the ability to defer between 3% and 50% of their base salary in excess of the IRC compensation limit, and between 3%</w:t>
            </w:r>
          </w:p>
        </w:tc>
      </w:tr>
      <w:tr>
        <w:trPr>
          <w:trHeight w:val="179"/>
        </w:trPr>
        <w:tc>
          <w:tcPr>
            <w:tcW w:w="2260" w:type="dxa"/>
            <w:vAlign w:val="bottom"/>
          </w:tcPr>
          <w:p>
            <w:pPr>
              <w:ind w:left="40"/>
              <w:spacing w:after="0"/>
              <w:rPr>
                <w:sz w:val="20"/>
                <w:szCs w:val="20"/>
                <w:color w:val="auto"/>
              </w:rPr>
            </w:pPr>
            <w:r>
              <w:rPr>
                <w:rFonts w:ascii="Arial" w:cs="Arial" w:eastAsia="Arial" w:hAnsi="Arial"/>
                <w:sz w:val="14"/>
                <w:szCs w:val="14"/>
                <w:b w:val="1"/>
                <w:bCs w:val="1"/>
                <w:color w:val="auto"/>
              </w:rPr>
              <w:t>DCP”)</w:t>
            </w:r>
          </w:p>
        </w:tc>
        <w:tc>
          <w:tcPr>
            <w:tcW w:w="8980" w:type="dxa"/>
            <w:vAlign w:val="bottom"/>
          </w:tcPr>
          <w:p>
            <w:pPr>
              <w:ind w:left="160"/>
              <w:spacing w:after="0"/>
              <w:rPr>
                <w:sz w:val="20"/>
                <w:szCs w:val="20"/>
                <w:color w:val="auto"/>
              </w:rPr>
            </w:pPr>
            <w:r>
              <w:rPr>
                <w:rFonts w:ascii="Arial" w:cs="Arial" w:eastAsia="Arial" w:hAnsi="Arial"/>
                <w:sz w:val="14"/>
                <w:szCs w:val="14"/>
                <w:color w:val="auto"/>
              </w:rPr>
              <w:t>and 90% of their annual incentive awards, and receive tax- deferred returns on those deferrals. The Company also matches up to 4% of</w:t>
            </w:r>
          </w:p>
        </w:tc>
      </w:tr>
      <w:tr>
        <w:trPr>
          <w:trHeight w:val="161"/>
        </w:trPr>
        <w:tc>
          <w:tcPr>
            <w:tcW w:w="2260" w:type="dxa"/>
            <w:vAlign w:val="bottom"/>
          </w:tcPr>
          <w:p>
            <w:pPr>
              <w:spacing w:after="0"/>
              <w:rPr>
                <w:sz w:val="13"/>
                <w:szCs w:val="13"/>
                <w:color w:val="auto"/>
              </w:rPr>
            </w:pPr>
          </w:p>
        </w:tc>
        <w:tc>
          <w:tcPr>
            <w:tcW w:w="8980" w:type="dxa"/>
            <w:vAlign w:val="bottom"/>
          </w:tcPr>
          <w:p>
            <w:pPr>
              <w:ind w:left="160"/>
              <w:spacing w:after="0"/>
              <w:rPr>
                <w:sz w:val="20"/>
                <w:szCs w:val="20"/>
                <w:color w:val="auto"/>
              </w:rPr>
            </w:pPr>
            <w:r>
              <w:rPr>
                <w:rFonts w:ascii="Arial" w:cs="Arial" w:eastAsia="Arial" w:hAnsi="Arial"/>
                <w:sz w:val="14"/>
                <w:szCs w:val="14"/>
                <w:color w:val="auto"/>
              </w:rPr>
              <w:t>deferrable compensation once the IRC compensation limit is exceeded. All distributions are made in cash, either in a lump-sum, or in 5, 10</w:t>
            </w:r>
          </w:p>
        </w:tc>
      </w:tr>
      <w:tr>
        <w:trPr>
          <w:trHeight w:val="190"/>
        </w:trPr>
        <w:tc>
          <w:tcPr>
            <w:tcW w:w="2260" w:type="dxa"/>
            <w:vAlign w:val="bottom"/>
            <w:tcBorders>
              <w:bottom w:val="single" w:sz="8" w:color="636466"/>
            </w:tcBorders>
          </w:tcPr>
          <w:p>
            <w:pPr>
              <w:spacing w:after="0"/>
              <w:rPr>
                <w:sz w:val="16"/>
                <w:szCs w:val="16"/>
                <w:color w:val="auto"/>
              </w:rPr>
            </w:pPr>
          </w:p>
        </w:tc>
        <w:tc>
          <w:tcPr>
            <w:tcW w:w="8980" w:type="dxa"/>
            <w:vAlign w:val="bottom"/>
            <w:tcBorders>
              <w:bottom w:val="single" w:sz="8" w:color="636466"/>
            </w:tcBorders>
          </w:tcPr>
          <w:p>
            <w:pPr>
              <w:ind w:left="160"/>
              <w:spacing w:after="0"/>
              <w:rPr>
                <w:sz w:val="20"/>
                <w:szCs w:val="20"/>
                <w:color w:val="auto"/>
              </w:rPr>
            </w:pPr>
            <w:r>
              <w:rPr>
                <w:rFonts w:ascii="Arial" w:cs="Arial" w:eastAsia="Arial" w:hAnsi="Arial"/>
                <w:sz w:val="14"/>
                <w:szCs w:val="14"/>
                <w:color w:val="auto"/>
              </w:rPr>
              <w:t>or 15 annual installments per the participant’s election.</w:t>
            </w:r>
          </w:p>
        </w:tc>
      </w:tr>
    </w:tbl>
    <w:p>
      <w:pPr>
        <w:spacing w:after="0" w:line="115" w:lineRule="exact"/>
        <w:rPr>
          <w:sz w:val="20"/>
          <w:szCs w:val="20"/>
          <w:color w:val="auto"/>
        </w:rPr>
      </w:pPr>
    </w:p>
    <w:p>
      <w:pPr>
        <w:ind w:left="280" w:hanging="273"/>
        <w:spacing w:after="0"/>
        <w:tabs>
          <w:tab w:leader="none" w:pos="280" w:val="left"/>
        </w:tabs>
        <w:numPr>
          <w:ilvl w:val="0"/>
          <w:numId w:val="199"/>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83820</wp:posOffset>
            </wp:positionV>
            <wp:extent cx="715454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6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320" w:type="dxa"/>
            <w:vAlign w:val="bottom"/>
            <w:gridSpan w:val="5"/>
          </w:tcPr>
          <w:p>
            <w:pPr>
              <w:jc w:val="right"/>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NONQUALIFIED DEFERRED COMPENSATION</w:t>
            </w:r>
          </w:p>
        </w:tc>
      </w:tr>
      <w:tr>
        <w:trPr>
          <w:trHeight w:val="299"/>
        </w:trPr>
        <w:tc>
          <w:tcPr>
            <w:tcW w:w="26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0" w:type="dxa"/>
            <w:vAlign w:val="bottom"/>
          </w:tcPr>
          <w:p>
            <w:pPr>
              <w:jc w:val="right"/>
              <w:ind w:right="11"/>
              <w:spacing w:after="0"/>
              <w:rPr>
                <w:sz w:val="20"/>
                <w:szCs w:val="20"/>
                <w:color w:val="auto"/>
              </w:rPr>
            </w:pPr>
            <w:r>
              <w:rPr>
                <w:rFonts w:ascii="Arial" w:cs="Arial" w:eastAsia="Arial" w:hAnsi="Arial"/>
                <w:sz w:val="12"/>
                <w:szCs w:val="12"/>
                <w:b w:val="1"/>
                <w:bCs w:val="1"/>
                <w:color w:val="61676D"/>
              </w:rPr>
              <w:t>Executive</w:t>
            </w:r>
          </w:p>
        </w:tc>
        <w:tc>
          <w:tcPr>
            <w:tcW w:w="1100" w:type="dxa"/>
            <w:vAlign w:val="bottom"/>
          </w:tcPr>
          <w:p>
            <w:pPr>
              <w:jc w:val="right"/>
              <w:ind w:right="30"/>
              <w:spacing w:after="0"/>
              <w:rPr>
                <w:sz w:val="20"/>
                <w:szCs w:val="20"/>
                <w:color w:val="auto"/>
              </w:rPr>
            </w:pPr>
            <w:r>
              <w:rPr>
                <w:rFonts w:ascii="Arial" w:cs="Arial" w:eastAsia="Arial" w:hAnsi="Arial"/>
                <w:sz w:val="12"/>
                <w:szCs w:val="12"/>
                <w:b w:val="1"/>
                <w:bCs w:val="1"/>
                <w:color w:val="61676D"/>
              </w:rPr>
              <w:t>Registrant</w:t>
            </w:r>
          </w:p>
        </w:tc>
        <w:tc>
          <w:tcPr>
            <w:tcW w:w="940" w:type="dxa"/>
            <w:vAlign w:val="bottom"/>
          </w:tcPr>
          <w:p>
            <w:pPr>
              <w:jc w:val="right"/>
              <w:ind w:right="10"/>
              <w:spacing w:after="0"/>
              <w:rPr>
                <w:sz w:val="20"/>
                <w:szCs w:val="20"/>
                <w:color w:val="auto"/>
              </w:rPr>
            </w:pPr>
            <w:r>
              <w:rPr>
                <w:rFonts w:ascii="Arial" w:cs="Arial" w:eastAsia="Arial" w:hAnsi="Arial"/>
                <w:sz w:val="12"/>
                <w:szCs w:val="12"/>
                <w:b w:val="1"/>
                <w:bCs w:val="1"/>
                <w:color w:val="61676D"/>
              </w:rPr>
              <w:t>Aggregate</w:t>
            </w:r>
          </w:p>
        </w:tc>
        <w:tc>
          <w:tcPr>
            <w:tcW w:w="1100" w:type="dxa"/>
            <w:vAlign w:val="bottom"/>
          </w:tcPr>
          <w:p>
            <w:pPr>
              <w:jc w:val="right"/>
              <w:ind w:right="30"/>
              <w:spacing w:after="0"/>
              <w:rPr>
                <w:sz w:val="20"/>
                <w:szCs w:val="20"/>
                <w:color w:val="auto"/>
              </w:rPr>
            </w:pPr>
            <w:r>
              <w:rPr>
                <w:rFonts w:ascii="Arial" w:cs="Arial" w:eastAsia="Arial" w:hAnsi="Arial"/>
                <w:sz w:val="12"/>
                <w:szCs w:val="12"/>
                <w:b w:val="1"/>
                <w:bCs w:val="1"/>
                <w:color w:val="61676D"/>
              </w:rPr>
              <w:t>Aggregate</w:t>
            </w:r>
          </w:p>
        </w:tc>
        <w:tc>
          <w:tcPr>
            <w:tcW w:w="980" w:type="dxa"/>
            <w:vAlign w:val="bottom"/>
          </w:tcPr>
          <w:p>
            <w:pPr>
              <w:jc w:val="right"/>
              <w:spacing w:after="0"/>
              <w:rPr>
                <w:sz w:val="20"/>
                <w:szCs w:val="20"/>
                <w:color w:val="auto"/>
              </w:rPr>
            </w:pPr>
            <w:r>
              <w:rPr>
                <w:rFonts w:ascii="Arial" w:cs="Arial" w:eastAsia="Arial" w:hAnsi="Arial"/>
                <w:sz w:val="12"/>
                <w:szCs w:val="12"/>
                <w:b w:val="1"/>
                <w:bCs w:val="1"/>
                <w:color w:val="61676D"/>
              </w:rPr>
              <w:t>Aggregate</w:t>
            </w:r>
          </w:p>
        </w:tc>
      </w:tr>
      <w:tr>
        <w:trPr>
          <w:trHeight w:val="134"/>
        </w:trPr>
        <w:tc>
          <w:tcPr>
            <w:tcW w:w="26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200" w:type="dxa"/>
            <w:vAlign w:val="bottom"/>
          </w:tcPr>
          <w:p>
            <w:pPr>
              <w:jc w:val="right"/>
              <w:ind w:right="11"/>
              <w:spacing w:after="0" w:line="134" w:lineRule="exact"/>
              <w:rPr>
                <w:sz w:val="20"/>
                <w:szCs w:val="20"/>
                <w:color w:val="auto"/>
              </w:rPr>
            </w:pPr>
            <w:r>
              <w:rPr>
                <w:rFonts w:ascii="Arial" w:cs="Arial" w:eastAsia="Arial" w:hAnsi="Arial"/>
                <w:sz w:val="12"/>
                <w:szCs w:val="12"/>
                <w:b w:val="1"/>
                <w:bCs w:val="1"/>
                <w:color w:val="61676D"/>
              </w:rPr>
              <w:t>Contributions</w:t>
            </w:r>
          </w:p>
        </w:tc>
        <w:tc>
          <w:tcPr>
            <w:tcW w:w="1100" w:type="dxa"/>
            <w:vAlign w:val="bottom"/>
          </w:tcPr>
          <w:p>
            <w:pPr>
              <w:jc w:val="right"/>
              <w:ind w:right="30"/>
              <w:spacing w:after="0" w:line="134" w:lineRule="exact"/>
              <w:rPr>
                <w:sz w:val="20"/>
                <w:szCs w:val="20"/>
                <w:color w:val="auto"/>
              </w:rPr>
            </w:pPr>
            <w:r>
              <w:rPr>
                <w:rFonts w:ascii="Arial" w:cs="Arial" w:eastAsia="Arial" w:hAnsi="Arial"/>
                <w:sz w:val="12"/>
                <w:szCs w:val="12"/>
                <w:b w:val="1"/>
                <w:bCs w:val="1"/>
                <w:color w:val="61676D"/>
              </w:rPr>
              <w:t>Contributions</w:t>
            </w:r>
          </w:p>
        </w:tc>
        <w:tc>
          <w:tcPr>
            <w:tcW w:w="94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1676D"/>
              </w:rPr>
              <w:t>Earnings in</w:t>
            </w:r>
          </w:p>
        </w:tc>
        <w:tc>
          <w:tcPr>
            <w:tcW w:w="1100" w:type="dxa"/>
            <w:vAlign w:val="bottom"/>
          </w:tcPr>
          <w:p>
            <w:pPr>
              <w:jc w:val="right"/>
              <w:ind w:right="10"/>
              <w:spacing w:after="0" w:line="134" w:lineRule="exact"/>
              <w:rPr>
                <w:sz w:val="20"/>
                <w:szCs w:val="20"/>
                <w:color w:val="auto"/>
              </w:rPr>
            </w:pPr>
            <w:r>
              <w:rPr>
                <w:rFonts w:ascii="Arial" w:cs="Arial" w:eastAsia="Arial" w:hAnsi="Arial"/>
                <w:sz w:val="12"/>
                <w:szCs w:val="12"/>
                <w:b w:val="1"/>
                <w:bCs w:val="1"/>
                <w:color w:val="61676D"/>
              </w:rPr>
              <w:t>Withdrawals/</w:t>
            </w:r>
          </w:p>
        </w:tc>
        <w:tc>
          <w:tcPr>
            <w:tcW w:w="980" w:type="dxa"/>
            <w:vAlign w:val="bottom"/>
          </w:tcPr>
          <w:p>
            <w:pPr>
              <w:jc w:val="right"/>
              <w:spacing w:after="0" w:line="134" w:lineRule="exact"/>
              <w:rPr>
                <w:sz w:val="20"/>
                <w:szCs w:val="20"/>
                <w:color w:val="auto"/>
              </w:rPr>
            </w:pPr>
            <w:r>
              <w:rPr>
                <w:rFonts w:ascii="Arial" w:cs="Arial" w:eastAsia="Arial" w:hAnsi="Arial"/>
                <w:sz w:val="12"/>
                <w:szCs w:val="12"/>
                <w:b w:val="1"/>
                <w:bCs w:val="1"/>
                <w:color w:val="61676D"/>
              </w:rPr>
              <w:t>Balance at</w:t>
            </w:r>
          </w:p>
        </w:tc>
      </w:tr>
      <w:tr>
        <w:trPr>
          <w:trHeight w:val="181"/>
        </w:trPr>
        <w:tc>
          <w:tcPr>
            <w:tcW w:w="2600" w:type="dxa"/>
            <w:vAlign w:val="bottom"/>
            <w:tcBorders>
              <w:bottom w:val="single" w:sz="8" w:color="CE0F2C"/>
            </w:tcBorders>
          </w:tcPr>
          <w:p>
            <w:pPr>
              <w:ind w:left="40"/>
              <w:spacing w:after="0"/>
              <w:rPr>
                <w:sz w:val="20"/>
                <w:szCs w:val="20"/>
                <w:color w:val="auto"/>
              </w:rPr>
            </w:pPr>
            <w:r>
              <w:rPr>
                <w:rFonts w:ascii="Arial" w:cs="Arial" w:eastAsia="Arial" w:hAnsi="Arial"/>
                <w:sz w:val="12"/>
                <w:szCs w:val="12"/>
                <w:b w:val="1"/>
                <w:bCs w:val="1"/>
                <w:color w:val="61676D"/>
              </w:rPr>
              <w:t>Name</w:t>
            </w:r>
          </w:p>
        </w:tc>
        <w:tc>
          <w:tcPr>
            <w:tcW w:w="3320" w:type="dxa"/>
            <w:vAlign w:val="bottom"/>
            <w:tcBorders>
              <w:bottom w:val="single" w:sz="8" w:color="CE0F2C"/>
            </w:tcBorders>
          </w:tcPr>
          <w:p>
            <w:pPr>
              <w:ind w:left="20"/>
              <w:spacing w:after="0"/>
              <w:rPr>
                <w:sz w:val="20"/>
                <w:szCs w:val="20"/>
                <w:color w:val="auto"/>
              </w:rPr>
            </w:pPr>
            <w:r>
              <w:rPr>
                <w:rFonts w:ascii="Arial" w:cs="Arial" w:eastAsia="Arial" w:hAnsi="Arial"/>
                <w:sz w:val="12"/>
                <w:szCs w:val="12"/>
                <w:b w:val="1"/>
                <w:bCs w:val="1"/>
                <w:color w:val="61676D"/>
              </w:rPr>
              <w:t>Plan</w:t>
            </w:r>
          </w:p>
        </w:tc>
        <w:tc>
          <w:tcPr>
            <w:tcW w:w="1200" w:type="dxa"/>
            <w:vAlign w:val="bottom"/>
            <w:tcBorders>
              <w:bottom w:val="single" w:sz="8" w:color="CE0F2C"/>
            </w:tcBorders>
          </w:tcPr>
          <w:p>
            <w:pPr>
              <w:jc w:val="right"/>
              <w:ind w:right="11"/>
              <w:spacing w:after="0" w:line="161" w:lineRule="exact"/>
              <w:rPr>
                <w:sz w:val="20"/>
                <w:szCs w:val="20"/>
                <w:color w:val="auto"/>
              </w:rPr>
            </w:pPr>
            <w:r>
              <w:rPr>
                <w:rFonts w:ascii="Arial" w:cs="Arial" w:eastAsia="Arial" w:hAnsi="Arial"/>
                <w:sz w:val="11"/>
                <w:szCs w:val="11"/>
                <w:b w:val="1"/>
                <w:bCs w:val="1"/>
                <w:color w:val="61676D"/>
              </w:rPr>
              <w:t>in Last FY ($)</w:t>
            </w:r>
            <w:r>
              <w:rPr>
                <w:rFonts w:ascii="Arial" w:cs="Arial" w:eastAsia="Arial" w:hAnsi="Arial"/>
                <w:sz w:val="18"/>
                <w:szCs w:val="18"/>
                <w:b w:val="1"/>
                <w:bCs w:val="1"/>
                <w:color w:val="61676D"/>
                <w:vertAlign w:val="superscript"/>
              </w:rPr>
              <w:t>(1)</w:t>
            </w:r>
          </w:p>
        </w:tc>
        <w:tc>
          <w:tcPr>
            <w:tcW w:w="1100" w:type="dxa"/>
            <w:vAlign w:val="bottom"/>
            <w:tcBorders>
              <w:bottom w:val="single" w:sz="8" w:color="CE0F2C"/>
            </w:tcBorders>
          </w:tcPr>
          <w:p>
            <w:pPr>
              <w:jc w:val="right"/>
              <w:ind w:right="30"/>
              <w:spacing w:after="0" w:line="161" w:lineRule="exact"/>
              <w:rPr>
                <w:sz w:val="20"/>
                <w:szCs w:val="20"/>
                <w:color w:val="auto"/>
              </w:rPr>
            </w:pPr>
            <w:r>
              <w:rPr>
                <w:rFonts w:ascii="Arial" w:cs="Arial" w:eastAsia="Arial" w:hAnsi="Arial"/>
                <w:sz w:val="11"/>
                <w:szCs w:val="11"/>
                <w:b w:val="1"/>
                <w:bCs w:val="1"/>
                <w:color w:val="61676D"/>
              </w:rPr>
              <w:t>in Last FY ($)</w:t>
            </w:r>
            <w:r>
              <w:rPr>
                <w:rFonts w:ascii="Arial" w:cs="Arial" w:eastAsia="Arial" w:hAnsi="Arial"/>
                <w:sz w:val="18"/>
                <w:szCs w:val="18"/>
                <w:b w:val="1"/>
                <w:bCs w:val="1"/>
                <w:color w:val="61676D"/>
                <w:vertAlign w:val="superscript"/>
              </w:rPr>
              <w:t>(2)</w:t>
            </w:r>
          </w:p>
        </w:tc>
        <w:tc>
          <w:tcPr>
            <w:tcW w:w="940" w:type="dxa"/>
            <w:vAlign w:val="bottom"/>
            <w:tcBorders>
              <w:bottom w:val="single" w:sz="8" w:color="CE0F2C"/>
            </w:tcBorders>
          </w:tcPr>
          <w:p>
            <w:pPr>
              <w:jc w:val="right"/>
              <w:ind w:right="10"/>
              <w:spacing w:after="0" w:line="161" w:lineRule="exact"/>
              <w:rPr>
                <w:sz w:val="20"/>
                <w:szCs w:val="20"/>
                <w:color w:val="auto"/>
              </w:rPr>
            </w:pPr>
            <w:r>
              <w:rPr>
                <w:rFonts w:ascii="Arial" w:cs="Arial" w:eastAsia="Arial" w:hAnsi="Arial"/>
                <w:sz w:val="11"/>
                <w:szCs w:val="11"/>
                <w:b w:val="1"/>
                <w:bCs w:val="1"/>
                <w:color w:val="61676D"/>
              </w:rPr>
              <w:t>Last FY ($)</w:t>
            </w:r>
            <w:r>
              <w:rPr>
                <w:rFonts w:ascii="Arial" w:cs="Arial" w:eastAsia="Arial" w:hAnsi="Arial"/>
                <w:sz w:val="18"/>
                <w:szCs w:val="18"/>
                <w:b w:val="1"/>
                <w:bCs w:val="1"/>
                <w:color w:val="61676D"/>
                <w:vertAlign w:val="superscript"/>
              </w:rPr>
              <w:t>(3)</w:t>
            </w:r>
          </w:p>
        </w:tc>
        <w:tc>
          <w:tcPr>
            <w:tcW w:w="1100" w:type="dxa"/>
            <w:vAlign w:val="bottom"/>
            <w:tcBorders>
              <w:bottom w:val="single" w:sz="8" w:color="CE0F2C"/>
            </w:tcBorders>
          </w:tcPr>
          <w:p>
            <w:pPr>
              <w:jc w:val="right"/>
              <w:ind w:right="30"/>
              <w:spacing w:after="0"/>
              <w:rPr>
                <w:sz w:val="20"/>
                <w:szCs w:val="20"/>
                <w:color w:val="auto"/>
              </w:rPr>
            </w:pPr>
            <w:r>
              <w:rPr>
                <w:rFonts w:ascii="Arial" w:cs="Arial" w:eastAsia="Arial" w:hAnsi="Arial"/>
                <w:sz w:val="12"/>
                <w:szCs w:val="12"/>
                <w:b w:val="1"/>
                <w:bCs w:val="1"/>
                <w:color w:val="61676D"/>
              </w:rPr>
              <w:t>Distributions($)</w:t>
            </w:r>
          </w:p>
        </w:tc>
        <w:tc>
          <w:tcPr>
            <w:tcW w:w="980" w:type="dxa"/>
            <w:vAlign w:val="bottom"/>
            <w:tcBorders>
              <w:bottom w:val="single" w:sz="8" w:color="CE0F2C"/>
            </w:tcBorders>
          </w:tcPr>
          <w:p>
            <w:pPr>
              <w:jc w:val="right"/>
              <w:spacing w:after="0" w:line="161" w:lineRule="exact"/>
              <w:rPr>
                <w:sz w:val="20"/>
                <w:szCs w:val="20"/>
                <w:color w:val="auto"/>
              </w:rPr>
            </w:pPr>
            <w:r>
              <w:rPr>
                <w:rFonts w:ascii="Arial" w:cs="Arial" w:eastAsia="Arial" w:hAnsi="Arial"/>
                <w:sz w:val="11"/>
                <w:szCs w:val="11"/>
                <w:b w:val="1"/>
                <w:bCs w:val="1"/>
                <w:color w:val="61676D"/>
              </w:rPr>
              <w:t>Last FYE ($)</w:t>
            </w:r>
            <w:r>
              <w:rPr>
                <w:rFonts w:ascii="Arial" w:cs="Arial" w:eastAsia="Arial" w:hAnsi="Arial"/>
                <w:sz w:val="18"/>
                <w:szCs w:val="18"/>
                <w:b w:val="1"/>
                <w:bCs w:val="1"/>
                <w:color w:val="61676D"/>
                <w:vertAlign w:val="superscript"/>
              </w:rPr>
              <w:t>(4)</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G. Hayes</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CACEP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$304,800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$92,279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$889,090</w:t>
            </w:r>
          </w:p>
        </w:tc>
      </w:tr>
      <w:tr>
        <w:trPr>
          <w:trHeight w:val="240"/>
        </w:trPr>
        <w:tc>
          <w:tcPr>
            <w:tcW w:w="2600" w:type="dxa"/>
            <w:vAlign w:val="bottom"/>
          </w:tcPr>
          <w:p>
            <w:pPr>
              <w:spacing w:after="0"/>
              <w:rPr>
                <w:sz w:val="20"/>
                <w:szCs w:val="20"/>
                <w:color w:val="auto"/>
              </w:rPr>
            </w:pPr>
          </w:p>
        </w:tc>
        <w:tc>
          <w:tcPr>
            <w:tcW w:w="3320" w:type="dxa"/>
            <w:vAlign w:val="bottom"/>
            <w:tcBorders>
              <w:bottom w:val="single" w:sz="8" w:color="auto"/>
            </w:tcBorders>
          </w:tcPr>
          <w:p>
            <w:pPr>
              <w:ind w:left="20"/>
              <w:spacing w:after="0" w:line="240" w:lineRule="exact"/>
              <w:rPr>
                <w:sz w:val="20"/>
                <w:szCs w:val="20"/>
                <w:color w:val="auto"/>
              </w:rPr>
            </w:pPr>
            <w:r>
              <w:rPr>
                <w:rFonts w:ascii="Arial" w:cs="Arial" w:eastAsia="Arial" w:hAnsi="Arial"/>
                <w:sz w:val="14"/>
                <w:szCs w:val="14"/>
                <w:color w:val="auto"/>
              </w:rPr>
              <w:t>UTC DCP</w:t>
            </w:r>
            <w:r>
              <w:rPr>
                <w:rFonts w:ascii="Arial" w:cs="Arial" w:eastAsia="Arial" w:hAnsi="Arial"/>
                <w:sz w:val="23"/>
                <w:szCs w:val="23"/>
                <w:color w:val="auto"/>
                <w:vertAlign w:val="superscript"/>
              </w:rPr>
              <w:t>(5)</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$148,668</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-$504,962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$572,655</w:t>
            </w:r>
          </w:p>
        </w:tc>
      </w:tr>
      <w:tr>
        <w:trPr>
          <w:trHeight w:val="202"/>
        </w:trPr>
        <w:tc>
          <w:tcPr>
            <w:tcW w:w="2600" w:type="dxa"/>
            <w:vAlign w:val="bottom"/>
          </w:tcPr>
          <w:p>
            <w:pPr>
              <w:spacing w:after="0"/>
              <w:rPr>
                <w:sz w:val="17"/>
                <w:szCs w:val="17"/>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SRP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$80,000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$137,160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$1,349,363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$6,451,924</w:t>
            </w:r>
          </w:p>
        </w:tc>
      </w:tr>
      <w:tr>
        <w:trPr>
          <w:trHeight w:val="186"/>
        </w:trPr>
        <w:tc>
          <w:tcPr>
            <w:tcW w:w="2600" w:type="dxa"/>
            <w:vAlign w:val="bottom"/>
          </w:tcPr>
          <w:p>
            <w:pPr>
              <w:spacing w:after="0"/>
              <w:rPr>
                <w:sz w:val="16"/>
                <w:szCs w:val="16"/>
                <w:color w:val="auto"/>
              </w:rPr>
            </w:pPr>
          </w:p>
        </w:tc>
        <w:tc>
          <w:tcPr>
            <w:tcW w:w="3320" w:type="dxa"/>
            <w:vAlign w:val="bottom"/>
          </w:tcPr>
          <w:p>
            <w:pPr>
              <w:ind w:left="20"/>
              <w:spacing w:after="0"/>
              <w:rPr>
                <w:sz w:val="20"/>
                <w:szCs w:val="20"/>
                <w:color w:val="auto"/>
              </w:rPr>
            </w:pPr>
            <w:r>
              <w:rPr>
                <w:rFonts w:ascii="Arial" w:cs="Arial" w:eastAsia="Arial" w:hAnsi="Arial"/>
                <w:sz w:val="14"/>
                <w:szCs w:val="14"/>
                <w:color w:val="auto"/>
              </w:rPr>
              <w:t>Sundstrand Corporation Deferred Compensation</w:t>
            </w:r>
          </w:p>
        </w:tc>
        <w:tc>
          <w:tcPr>
            <w:tcW w:w="1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1"/>
        </w:trPr>
        <w:tc>
          <w:tcPr>
            <w:tcW w:w="2600" w:type="dxa"/>
            <w:vAlign w:val="bottom"/>
            <w:tcBorders>
              <w:bottom w:val="single" w:sz="8" w:color="636466"/>
            </w:tcBorders>
          </w:tcPr>
          <w:p>
            <w:pPr>
              <w:spacing w:after="0"/>
              <w:rPr>
                <w:sz w:val="19"/>
                <w:szCs w:val="19"/>
                <w:color w:val="auto"/>
              </w:rPr>
            </w:pPr>
          </w:p>
        </w:tc>
        <w:tc>
          <w:tcPr>
            <w:tcW w:w="3320" w:type="dxa"/>
            <w:vAlign w:val="bottom"/>
            <w:tcBorders>
              <w:bottom w:val="single" w:sz="8" w:color="636466"/>
            </w:tcBorders>
          </w:tcPr>
          <w:p>
            <w:pPr>
              <w:ind w:left="20"/>
              <w:spacing w:after="0" w:line="214" w:lineRule="exact"/>
              <w:rPr>
                <w:sz w:val="20"/>
                <w:szCs w:val="20"/>
                <w:color w:val="auto"/>
              </w:rPr>
            </w:pPr>
            <w:r>
              <w:rPr>
                <w:rFonts w:ascii="Arial" w:cs="Arial" w:eastAsia="Arial" w:hAnsi="Arial"/>
                <w:sz w:val="14"/>
                <w:szCs w:val="14"/>
                <w:color w:val="auto"/>
              </w:rPr>
              <w:t>Plan</w:t>
            </w:r>
            <w:r>
              <w:rPr>
                <w:rFonts w:ascii="Arial" w:cs="Arial" w:eastAsia="Arial" w:hAnsi="Arial"/>
                <w:sz w:val="23"/>
                <w:szCs w:val="23"/>
                <w:color w:val="auto"/>
                <w:vertAlign w:val="superscript"/>
              </w:rPr>
              <w:t>(6)</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$24,663</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$663,937</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N. Mitchill, Jr.</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CACEP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$48,530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$7,347</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$251,457</w:t>
            </w:r>
          </w:p>
        </w:tc>
      </w:tr>
      <w:tr>
        <w:trPr>
          <w:trHeight w:val="220"/>
        </w:trPr>
        <w:tc>
          <w:tcPr>
            <w:tcW w:w="2600" w:type="dxa"/>
            <w:vAlign w:val="bottom"/>
            <w:tcBorders>
              <w:bottom w:val="single" w:sz="8" w:color="636466"/>
            </w:tcBorders>
          </w:tcPr>
          <w:p>
            <w:pPr>
              <w:spacing w:after="0"/>
              <w:rPr>
                <w:sz w:val="19"/>
                <w:szCs w:val="19"/>
                <w:color w:val="auto"/>
              </w:rPr>
            </w:pPr>
          </w:p>
        </w:tc>
        <w:tc>
          <w:tcPr>
            <w:tcW w:w="332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UTC SRP</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$39,136</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$34,942</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$86,796</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$614,973</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M. Dumais</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CACEP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$122,365</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$11,892</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$289,774</w:t>
            </w:r>
          </w:p>
        </w:tc>
      </w:tr>
      <w:tr>
        <w:trPr>
          <w:trHeight w:val="220"/>
        </w:trPr>
        <w:tc>
          <w:tcPr>
            <w:tcW w:w="2600" w:type="dxa"/>
            <w:vAlign w:val="bottom"/>
            <w:tcBorders>
              <w:bottom w:val="single" w:sz="8" w:color="636466"/>
            </w:tcBorders>
          </w:tcPr>
          <w:p>
            <w:pPr>
              <w:spacing w:after="0"/>
              <w:rPr>
                <w:sz w:val="19"/>
                <w:szCs w:val="19"/>
                <w:color w:val="auto"/>
              </w:rPr>
            </w:pPr>
          </w:p>
        </w:tc>
        <w:tc>
          <w:tcPr>
            <w:tcW w:w="332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UTC SRP</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$43,850</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$53,370</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$144,099</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$1,596,181</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C. Calio</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CACEP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$73,325</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$4,403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$168,191</w:t>
            </w:r>
          </w:p>
        </w:tc>
      </w:tr>
      <w:tr>
        <w:trPr>
          <w:trHeight w:val="220"/>
        </w:trPr>
        <w:tc>
          <w:tcPr>
            <w:tcW w:w="2600" w:type="dxa"/>
            <w:vAlign w:val="bottom"/>
            <w:tcBorders>
              <w:bottom w:val="single" w:sz="8" w:color="636466"/>
            </w:tcBorders>
          </w:tcPr>
          <w:p>
            <w:pPr>
              <w:spacing w:after="0"/>
              <w:rPr>
                <w:sz w:val="19"/>
                <w:szCs w:val="19"/>
                <w:color w:val="auto"/>
              </w:rPr>
            </w:pPr>
          </w:p>
        </w:tc>
        <w:tc>
          <w:tcPr>
            <w:tcW w:w="332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UTC SRP</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$37,250</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$37,710</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$51,824</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$397,194</w:t>
            </w:r>
          </w:p>
        </w:tc>
      </w:tr>
      <w:tr>
        <w:trPr>
          <w:trHeight w:val="241"/>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S. Timm</w:t>
            </w:r>
          </w:p>
        </w:tc>
        <w:tc>
          <w:tcPr>
            <w:tcW w:w="3320" w:type="dxa"/>
            <w:vAlign w:val="bottom"/>
            <w:tcBorders>
              <w:bottom w:val="single" w:sz="8" w:color="auto"/>
            </w:tcBorders>
          </w:tcPr>
          <w:p>
            <w:pPr>
              <w:ind w:left="20"/>
              <w:spacing w:after="0" w:line="241" w:lineRule="exact"/>
              <w:rPr>
                <w:sz w:val="20"/>
                <w:szCs w:val="20"/>
                <w:color w:val="auto"/>
              </w:rPr>
            </w:pPr>
            <w:r>
              <w:rPr>
                <w:rFonts w:ascii="Arial" w:cs="Arial" w:eastAsia="Arial" w:hAnsi="Arial"/>
                <w:sz w:val="14"/>
                <w:szCs w:val="14"/>
                <w:color w:val="auto"/>
              </w:rPr>
              <w:t>Rockwell Collins Non-Qualified Savings Plan</w:t>
            </w:r>
            <w:r>
              <w:rPr>
                <w:rFonts w:ascii="Arial" w:cs="Arial" w:eastAsia="Arial" w:hAnsi="Arial"/>
                <w:sz w:val="23"/>
                <w:szCs w:val="23"/>
                <w:color w:val="auto"/>
                <w:vertAlign w:val="superscript"/>
              </w:rPr>
              <w:t>(7)</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$7,649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$47,427</w:t>
            </w:r>
          </w:p>
        </w:tc>
      </w:tr>
      <w:tr>
        <w:trPr>
          <w:trHeight w:val="202"/>
        </w:trPr>
        <w:tc>
          <w:tcPr>
            <w:tcW w:w="2600" w:type="dxa"/>
            <w:vAlign w:val="bottom"/>
          </w:tcPr>
          <w:p>
            <w:pPr>
              <w:spacing w:after="0"/>
              <w:rPr>
                <w:sz w:val="17"/>
                <w:szCs w:val="17"/>
                <w:color w:val="auto"/>
              </w:rPr>
            </w:pP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UTC CACEP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$57,348</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$11,211</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$113,149</w:t>
            </w:r>
          </w:p>
        </w:tc>
      </w:tr>
      <w:tr>
        <w:trPr>
          <w:trHeight w:val="220"/>
        </w:trPr>
        <w:tc>
          <w:tcPr>
            <w:tcW w:w="2600" w:type="dxa"/>
            <w:vAlign w:val="bottom"/>
            <w:tcBorders>
              <w:bottom w:val="single" w:sz="8" w:color="636466"/>
            </w:tcBorders>
          </w:tcPr>
          <w:p>
            <w:pPr>
              <w:spacing w:after="0"/>
              <w:rPr>
                <w:sz w:val="19"/>
                <w:szCs w:val="19"/>
                <w:color w:val="auto"/>
              </w:rPr>
            </w:pPr>
          </w:p>
        </w:tc>
        <w:tc>
          <w:tcPr>
            <w:tcW w:w="3320" w:type="dxa"/>
            <w:vAlign w:val="bottom"/>
            <w:tcBorders>
              <w:bottom w:val="single" w:sz="8" w:color="636466"/>
            </w:tcBorders>
          </w:tcPr>
          <w:p>
            <w:pPr>
              <w:ind w:left="20"/>
              <w:spacing w:after="0"/>
              <w:rPr>
                <w:sz w:val="20"/>
                <w:szCs w:val="20"/>
                <w:color w:val="auto"/>
              </w:rPr>
            </w:pPr>
            <w:r>
              <w:rPr>
                <w:rFonts w:ascii="Arial" w:cs="Arial" w:eastAsia="Arial" w:hAnsi="Arial"/>
                <w:sz w:val="14"/>
                <w:szCs w:val="14"/>
                <w:color w:val="auto"/>
              </w:rPr>
              <w:t>UTC SRP</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$37,731</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$37,537</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$6,029</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$81,297</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T. Kennedy</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RTN DCP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$359,179</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$143,672</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$1,865,096</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$10,525,729</w:t>
            </w:r>
          </w:p>
        </w:tc>
      </w:tr>
      <w:tr>
        <w:trPr>
          <w:trHeight w:val="247"/>
        </w:trPr>
        <w:tc>
          <w:tcPr>
            <w:tcW w:w="2600" w:type="dxa"/>
            <w:vAlign w:val="bottom"/>
            <w:tcBorders>
              <w:bottom w:val="single" w:sz="8" w:color="636466"/>
            </w:tcBorders>
          </w:tcPr>
          <w:p>
            <w:pPr>
              <w:spacing w:after="0"/>
              <w:rPr>
                <w:sz w:val="21"/>
                <w:szCs w:val="21"/>
                <w:color w:val="auto"/>
              </w:rPr>
            </w:pPr>
          </w:p>
        </w:tc>
        <w:tc>
          <w:tcPr>
            <w:tcW w:w="3320" w:type="dxa"/>
            <w:vAlign w:val="bottom"/>
            <w:tcBorders>
              <w:bottom w:val="single" w:sz="8" w:color="636466"/>
            </w:tcBorders>
          </w:tcPr>
          <w:p>
            <w:pPr>
              <w:ind w:left="20"/>
              <w:spacing w:after="0" w:line="240" w:lineRule="exact"/>
              <w:rPr>
                <w:sz w:val="20"/>
                <w:szCs w:val="20"/>
                <w:color w:val="auto"/>
              </w:rPr>
            </w:pPr>
            <w:r>
              <w:rPr>
                <w:rFonts w:ascii="Arial" w:cs="Arial" w:eastAsia="Arial" w:hAnsi="Arial"/>
                <w:sz w:val="14"/>
                <w:szCs w:val="14"/>
                <w:color w:val="auto"/>
              </w:rPr>
              <w:t>RTN Excess Savings Plan</w:t>
            </w:r>
            <w:r>
              <w:rPr>
                <w:rFonts w:ascii="Arial" w:cs="Arial" w:eastAsia="Arial" w:hAnsi="Arial"/>
                <w:sz w:val="23"/>
                <w:szCs w:val="23"/>
                <w:color w:val="auto"/>
                <w:vertAlign w:val="superscript"/>
              </w:rPr>
              <w:t>(8)</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$62,929</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$290,602</w:t>
            </w:r>
          </w:p>
        </w:tc>
      </w:tr>
      <w:tr>
        <w:trPr>
          <w:trHeight w:val="208"/>
        </w:trPr>
        <w:tc>
          <w:tcPr>
            <w:tcW w:w="2600" w:type="dxa"/>
            <w:vAlign w:val="bottom"/>
          </w:tcPr>
          <w:p>
            <w:pPr>
              <w:ind w:left="40"/>
              <w:spacing w:after="0"/>
              <w:rPr>
                <w:sz w:val="20"/>
                <w:szCs w:val="20"/>
                <w:color w:val="auto"/>
              </w:rPr>
            </w:pPr>
            <w:r>
              <w:rPr>
                <w:rFonts w:ascii="Arial" w:cs="Arial" w:eastAsia="Arial" w:hAnsi="Arial"/>
                <w:sz w:val="14"/>
                <w:szCs w:val="14"/>
                <w:b w:val="1"/>
                <w:bCs w:val="1"/>
                <w:color w:val="auto"/>
              </w:rPr>
              <w:t>A. O’Brien III</w:t>
            </w:r>
          </w:p>
        </w:tc>
        <w:tc>
          <w:tcPr>
            <w:tcW w:w="3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RTN DCP</w:t>
            </w:r>
          </w:p>
        </w:tc>
        <w:tc>
          <w:tcPr>
            <w:tcW w:w="12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$46,473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$41,797</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$35,003</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$1,126,122</w:t>
            </w:r>
          </w:p>
        </w:tc>
      </w:tr>
      <w:tr>
        <w:trPr>
          <w:trHeight w:val="247"/>
        </w:trPr>
        <w:tc>
          <w:tcPr>
            <w:tcW w:w="2600" w:type="dxa"/>
            <w:vAlign w:val="bottom"/>
            <w:tcBorders>
              <w:bottom w:val="single" w:sz="8" w:color="636466"/>
            </w:tcBorders>
          </w:tcPr>
          <w:p>
            <w:pPr>
              <w:spacing w:after="0"/>
              <w:rPr>
                <w:sz w:val="21"/>
                <w:szCs w:val="21"/>
                <w:color w:val="auto"/>
              </w:rPr>
            </w:pPr>
          </w:p>
        </w:tc>
        <w:tc>
          <w:tcPr>
            <w:tcW w:w="3320" w:type="dxa"/>
            <w:vAlign w:val="bottom"/>
            <w:tcBorders>
              <w:bottom w:val="single" w:sz="8" w:color="636466"/>
            </w:tcBorders>
          </w:tcPr>
          <w:p>
            <w:pPr>
              <w:ind w:left="20"/>
              <w:spacing w:after="0" w:line="240" w:lineRule="exact"/>
              <w:rPr>
                <w:sz w:val="20"/>
                <w:szCs w:val="20"/>
                <w:color w:val="auto"/>
              </w:rPr>
            </w:pPr>
            <w:r>
              <w:rPr>
                <w:rFonts w:ascii="Arial" w:cs="Arial" w:eastAsia="Arial" w:hAnsi="Arial"/>
                <w:sz w:val="14"/>
                <w:szCs w:val="14"/>
                <w:color w:val="auto"/>
              </w:rPr>
              <w:t>RTN Excess Savings Plan</w:t>
            </w:r>
            <w:r>
              <w:rPr>
                <w:rFonts w:ascii="Arial" w:cs="Arial" w:eastAsia="Arial" w:hAnsi="Arial"/>
                <w:sz w:val="23"/>
                <w:szCs w:val="23"/>
                <w:color w:val="auto"/>
                <w:vertAlign w:val="superscript"/>
              </w:rPr>
              <w:t>(8)</w:t>
            </w:r>
          </w:p>
        </w:tc>
        <w:tc>
          <w:tcPr>
            <w:tcW w:w="1200" w:type="dxa"/>
            <w:vAlign w:val="bottom"/>
            <w:tcBorders>
              <w:bottom w:val="single" w:sz="8" w:color="636466"/>
            </w:tcBorders>
          </w:tcPr>
          <w:p>
            <w:pPr>
              <w:jc w:val="right"/>
              <w:ind w:right="11"/>
              <w:spacing w:after="0"/>
              <w:rPr>
                <w:sz w:val="20"/>
                <w:szCs w:val="20"/>
                <w:color w:val="auto"/>
              </w:rPr>
            </w:pPr>
            <w:r>
              <w:rPr>
                <w:rFonts w:ascii="Arial" w:cs="Arial" w:eastAsia="Arial" w:hAnsi="Arial"/>
                <w:sz w:val="14"/>
                <w:szCs w:val="14"/>
                <w:color w:val="auto"/>
              </w:rPr>
              <w:t>$0</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4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$79,502</w:t>
            </w:r>
          </w:p>
        </w:tc>
        <w:tc>
          <w:tcPr>
            <w:tcW w:w="110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9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$644,121</w:t>
            </w:r>
          </w:p>
        </w:tc>
      </w:tr>
    </w:tbl>
    <w:p>
      <w:pPr>
        <w:spacing w:after="0" w:line="74" w:lineRule="exact"/>
        <w:rPr>
          <w:sz w:val="20"/>
          <w:szCs w:val="20"/>
          <w:color w:val="auto"/>
        </w:rPr>
      </w:pPr>
    </w:p>
    <w:p>
      <w:pPr>
        <w:ind w:left="240" w:hanging="233"/>
        <w:spacing w:after="0"/>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Amounts shown are included in the Salary and Bonus columns of the Summary Compensation Table on page 66.</w:t>
      </w:r>
    </w:p>
    <w:p>
      <w:pPr>
        <w:spacing w:after="0" w:line="76" w:lineRule="exact"/>
        <w:rPr>
          <w:rFonts w:ascii="Arial" w:cs="Arial" w:eastAsia="Arial" w:hAnsi="Arial"/>
          <w:sz w:val="12"/>
          <w:szCs w:val="12"/>
          <w:color w:val="auto"/>
        </w:rPr>
      </w:pPr>
    </w:p>
    <w:p>
      <w:pPr>
        <w:ind w:left="240" w:hanging="233"/>
        <w:spacing w:after="0"/>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Amounts shown are included in the All Other Compensation column of the Summary Compensation Table on page 66.</w:t>
      </w:r>
    </w:p>
    <w:p>
      <w:pPr>
        <w:spacing w:after="0" w:line="76" w:lineRule="exact"/>
        <w:rPr>
          <w:rFonts w:ascii="Arial" w:cs="Arial" w:eastAsia="Arial" w:hAnsi="Arial"/>
          <w:sz w:val="12"/>
          <w:szCs w:val="12"/>
          <w:color w:val="auto"/>
        </w:rPr>
      </w:pPr>
    </w:p>
    <w:p>
      <w:pPr>
        <w:ind w:left="240" w:right="40" w:hanging="233"/>
        <w:spacing w:after="0" w:line="239" w:lineRule="auto"/>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Amounts shown reflect hypothetical investment returns (less fees, if applicable) to accounts based on fixed income, bond and equity indices selected by the participant. Participants also may elect RTX stock units with dividend reinvestments (except for the CACEP and the Sundstrand Corporation Deferred Compensation Plan). These returns do not constitute above-market earnings, except for $9,751 credited to Mr. Hayes under the frozen Sundstrand Corporation Deferred Compensation Plan. This amount is included in the Change in Pension Value and Nonqualified Deferred Compensation Earnings column of the Summary Compensation Table on page 66.</w:t>
      </w:r>
    </w:p>
    <w:p>
      <w:pPr>
        <w:spacing w:after="0" w:line="66" w:lineRule="exact"/>
        <w:rPr>
          <w:rFonts w:ascii="Arial" w:cs="Arial" w:eastAsia="Arial" w:hAnsi="Arial"/>
          <w:sz w:val="12"/>
          <w:szCs w:val="12"/>
          <w:color w:val="auto"/>
        </w:rPr>
      </w:pPr>
    </w:p>
    <w:p>
      <w:pPr>
        <w:ind w:left="240" w:right="380" w:hanging="233"/>
        <w:spacing w:after="0" w:line="252" w:lineRule="auto"/>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The sum of contributions (by both the executive and RTX) and credited earnings on those deferrals, less withdrawals. Of these totals, the following amounts have been included in the Summary Compensation Table in prior years: $3,791,337 (Mr. Hayes); $269,935 (Mr. Mitchill); $314,450 (Mr. Dumais); $41,535 (Mr. Timm), and $55,304 (Mr. O’Brien).</w:t>
      </w:r>
    </w:p>
    <w:p>
      <w:pPr>
        <w:spacing w:after="0" w:line="58" w:lineRule="exact"/>
        <w:rPr>
          <w:rFonts w:ascii="Arial" w:cs="Arial" w:eastAsia="Arial" w:hAnsi="Arial"/>
          <w:sz w:val="12"/>
          <w:szCs w:val="12"/>
          <w:color w:val="auto"/>
        </w:rPr>
      </w:pPr>
    </w:p>
    <w:p>
      <w:pPr>
        <w:ind w:left="240" w:hanging="233"/>
        <w:spacing w:after="0"/>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Mr. Hayes received an in-service distribution during the year on amounts previously deferred into the legacy UTC Deferred Compensation Plan, per his distribution elections.</w:t>
      </w:r>
    </w:p>
    <w:p>
      <w:pPr>
        <w:spacing w:after="0" w:line="76" w:lineRule="exact"/>
        <w:rPr>
          <w:rFonts w:ascii="Arial" w:cs="Arial" w:eastAsia="Arial" w:hAnsi="Arial"/>
          <w:sz w:val="12"/>
          <w:szCs w:val="12"/>
          <w:color w:val="auto"/>
        </w:rPr>
      </w:pPr>
    </w:p>
    <w:p>
      <w:pPr>
        <w:ind w:left="240" w:right="120" w:hanging="233"/>
        <w:spacing w:after="0" w:line="246" w:lineRule="auto"/>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Mr. Hayes maintains an account balance in the frozen Sundstrand Corporation Deferred Compensation Plan, which was assumed by the Company upon the acquisition of Sundstrand Corporation in 1999.</w:t>
      </w:r>
    </w:p>
    <w:p>
      <w:pPr>
        <w:spacing w:after="0" w:line="206" w:lineRule="exact"/>
        <w:rPr>
          <w:rFonts w:ascii="Arial" w:cs="Arial" w:eastAsia="Arial" w:hAnsi="Arial"/>
          <w:sz w:val="12"/>
          <w:szCs w:val="12"/>
          <w:color w:val="auto"/>
        </w:rPr>
      </w:pPr>
    </w:p>
    <w:p>
      <w:pPr>
        <w:ind w:left="240" w:hanging="233"/>
        <w:spacing w:after="0"/>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Mr. Timm maintains an account balance in the frozen Rockwell Collins Non-Qualified Savings Plan, which was assumed by the Company upon the acquisition of Rockwell Collins in 2018.</w:t>
      </w:r>
    </w:p>
    <w:p>
      <w:pPr>
        <w:spacing w:after="0" w:line="76" w:lineRule="exact"/>
        <w:rPr>
          <w:rFonts w:ascii="Arial" w:cs="Arial" w:eastAsia="Arial" w:hAnsi="Arial"/>
          <w:sz w:val="12"/>
          <w:szCs w:val="12"/>
          <w:color w:val="auto"/>
        </w:rPr>
      </w:pPr>
    </w:p>
    <w:p>
      <w:pPr>
        <w:ind w:left="240" w:hanging="233"/>
        <w:spacing w:after="0"/>
        <w:tabs>
          <w:tab w:leader="none" w:pos="240" w:val="left"/>
        </w:tabs>
        <w:numPr>
          <w:ilvl w:val="0"/>
          <w:numId w:val="200"/>
        </w:numPr>
        <w:rPr>
          <w:rFonts w:ascii="Arial" w:cs="Arial" w:eastAsia="Arial" w:hAnsi="Arial"/>
          <w:sz w:val="12"/>
          <w:szCs w:val="12"/>
          <w:color w:val="auto"/>
        </w:rPr>
      </w:pPr>
      <w:r>
        <w:rPr>
          <w:rFonts w:ascii="Arial" w:cs="Arial" w:eastAsia="Arial" w:hAnsi="Arial"/>
          <w:sz w:val="12"/>
          <w:szCs w:val="12"/>
          <w:color w:val="auto"/>
        </w:rPr>
        <w:t>Messrs. Kennedy and O’Brien maintain an account balance in the legacy Raytheon Company Excess Savings Plan, which was frozen effective March 15, 2008.</w:t>
      </w:r>
    </w:p>
    <w:p>
      <w:pPr>
        <w:spacing w:after="0" w:line="102" w:lineRule="exact"/>
        <w:rPr>
          <w:sz w:val="20"/>
          <w:szCs w:val="20"/>
          <w:color w:val="auto"/>
        </w:rPr>
      </w:pPr>
    </w:p>
    <w:p>
      <w:pPr>
        <w:ind w:left="7660"/>
        <w:spacing w:after="0"/>
        <w:tabs>
          <w:tab w:leader="none" w:pos="1108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2"/>
          <w:szCs w:val="12"/>
          <w:b w:val="1"/>
          <w:bCs w:val="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84455</wp:posOffset>
            </wp:positionV>
            <wp:extent cx="715454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Potential Payments upon Termination or Change-in-Control</w:t>
      </w:r>
    </w:p>
    <w:p>
      <w:pPr>
        <w:spacing w:after="0" w:line="210"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As a result of the Merger of UTC and RTN that closed on April 3, 2020, benefits provided to most of our NEOs upon separation from the Company vary depending upon each NEO’s legacy company. The table below outlines the plans and/or agreements that apply to each NEO as of year-end and the periods for which they are in effect.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Borders>
              <w:bottom w:val="single" w:sz="8" w:color="CE0F2D"/>
            </w:tcBorders>
          </w:tcPr>
          <w:p>
            <w:pPr>
              <w:ind w:left="40"/>
              <w:spacing w:after="0"/>
              <w:rPr>
                <w:sz w:val="20"/>
                <w:szCs w:val="20"/>
                <w:color w:val="auto"/>
              </w:rPr>
            </w:pPr>
            <w:r>
              <w:rPr>
                <w:rFonts w:ascii="Arial" w:cs="Arial" w:eastAsia="Arial" w:hAnsi="Arial"/>
                <w:sz w:val="14"/>
                <w:szCs w:val="14"/>
                <w:color w:val="61676D"/>
              </w:rPr>
              <w:t>NEO</w:t>
            </w:r>
          </w:p>
        </w:tc>
        <w:tc>
          <w:tcPr>
            <w:tcW w:w="7280" w:type="dxa"/>
            <w:vAlign w:val="bottom"/>
            <w:tcBorders>
              <w:bottom w:val="single" w:sz="8" w:color="CE0F2D"/>
            </w:tcBorders>
          </w:tcPr>
          <w:p>
            <w:pPr>
              <w:ind w:left="220"/>
              <w:spacing w:after="0"/>
              <w:rPr>
                <w:sz w:val="20"/>
                <w:szCs w:val="20"/>
                <w:color w:val="auto"/>
              </w:rPr>
            </w:pPr>
            <w:r>
              <w:rPr>
                <w:rFonts w:ascii="Arial" w:cs="Arial" w:eastAsia="Arial" w:hAnsi="Arial"/>
                <w:sz w:val="14"/>
                <w:szCs w:val="14"/>
                <w:color w:val="61676D"/>
              </w:rPr>
              <w:t>Plan or Agreement</w:t>
            </w:r>
          </w:p>
        </w:tc>
        <w:tc>
          <w:tcPr>
            <w:tcW w:w="2660" w:type="dxa"/>
            <w:vAlign w:val="bottom"/>
            <w:tcBorders>
              <w:bottom w:val="single" w:sz="8" w:color="CE0F2D"/>
            </w:tcBorders>
          </w:tcPr>
          <w:p>
            <w:pPr>
              <w:ind w:left="100"/>
              <w:spacing w:after="0"/>
              <w:rPr>
                <w:sz w:val="20"/>
                <w:szCs w:val="20"/>
                <w:color w:val="auto"/>
              </w:rPr>
            </w:pPr>
            <w:r>
              <w:rPr>
                <w:rFonts w:ascii="Arial" w:cs="Arial" w:eastAsia="Arial" w:hAnsi="Arial"/>
                <w:sz w:val="14"/>
                <w:szCs w:val="14"/>
                <w:color w:val="61676D"/>
              </w:rPr>
              <w:t>Expiration Date</w:t>
            </w:r>
          </w:p>
        </w:tc>
      </w:tr>
      <w:tr>
        <w:trPr>
          <w:trHeight w:val="216"/>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G. Hayes</w:t>
            </w:r>
          </w:p>
        </w:tc>
        <w:tc>
          <w:tcPr>
            <w:tcW w:w="7280" w:type="dxa"/>
            <w:vAlign w:val="bottom"/>
          </w:tcPr>
          <w:p>
            <w:pPr>
              <w:ind w:left="220"/>
              <w:spacing w:after="0"/>
              <w:rPr>
                <w:sz w:val="20"/>
                <w:szCs w:val="20"/>
                <w:color w:val="auto"/>
              </w:rPr>
            </w:pPr>
            <w:r>
              <w:rPr>
                <w:rFonts w:ascii="Arial" w:cs="Arial" w:eastAsia="Arial" w:hAnsi="Arial"/>
                <w:sz w:val="16"/>
                <w:szCs w:val="16"/>
                <w:color w:val="auto"/>
              </w:rPr>
              <w:t>Employment agreement (as amended) between the Company and Mr. Hayes</w:t>
            </w:r>
          </w:p>
        </w:tc>
        <w:tc>
          <w:tcPr>
            <w:tcW w:w="2660" w:type="dxa"/>
            <w:vAlign w:val="bottom"/>
          </w:tcPr>
          <w:p>
            <w:pPr>
              <w:ind w:left="100"/>
              <w:spacing w:after="0"/>
              <w:rPr>
                <w:sz w:val="20"/>
                <w:szCs w:val="20"/>
                <w:color w:val="auto"/>
              </w:rPr>
            </w:pPr>
            <w:r>
              <w:rPr>
                <w:rFonts w:ascii="Arial" w:cs="Arial" w:eastAsia="Arial" w:hAnsi="Arial"/>
                <w:sz w:val="16"/>
                <w:szCs w:val="16"/>
                <w:color w:val="auto"/>
              </w:rPr>
              <w:t>April 3, 2023</w:t>
            </w:r>
          </w:p>
        </w:tc>
      </w:tr>
      <w:tr>
        <w:trPr>
          <w:trHeight w:val="206"/>
        </w:trPr>
        <w:tc>
          <w:tcPr>
            <w:tcW w:w="1300" w:type="dxa"/>
            <w:vAlign w:val="bottom"/>
            <w:tcBorders>
              <w:bottom w:val="single" w:sz="8" w:color="auto"/>
            </w:tcBorders>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(3 years from the Merger)</w:t>
            </w:r>
          </w:p>
        </w:tc>
      </w:tr>
      <w:tr>
        <w:trPr>
          <w:trHeight w:val="216"/>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N. Mitchill, Jr.</w:t>
            </w:r>
          </w:p>
        </w:tc>
        <w:tc>
          <w:tcPr>
            <w:tcW w:w="7280" w:type="dxa"/>
            <w:vAlign w:val="bottom"/>
          </w:tcPr>
          <w:p>
            <w:pPr>
              <w:ind w:left="220"/>
              <w:spacing w:after="0"/>
              <w:rPr>
                <w:sz w:val="20"/>
                <w:szCs w:val="20"/>
                <w:color w:val="auto"/>
              </w:rPr>
            </w:pPr>
            <w:r>
              <w:rPr>
                <w:rFonts w:ascii="Arial" w:cs="Arial" w:eastAsia="Arial" w:hAnsi="Arial"/>
                <w:sz w:val="16"/>
                <w:szCs w:val="16"/>
                <w:color w:val="auto"/>
              </w:rPr>
              <w:t>UTC Merger Severance Plan for Corporate Office Executives and Other Key Employees</w:t>
            </w:r>
          </w:p>
        </w:tc>
        <w:tc>
          <w:tcPr>
            <w:tcW w:w="2660" w:type="dxa"/>
            <w:vAlign w:val="bottom"/>
          </w:tcPr>
          <w:p>
            <w:pPr>
              <w:ind w:left="100"/>
              <w:spacing w:after="0"/>
              <w:rPr>
                <w:sz w:val="20"/>
                <w:szCs w:val="20"/>
                <w:color w:val="auto"/>
              </w:rPr>
            </w:pPr>
            <w:r>
              <w:rPr>
                <w:rFonts w:ascii="Arial" w:cs="Arial" w:eastAsia="Arial" w:hAnsi="Arial"/>
                <w:sz w:val="16"/>
                <w:szCs w:val="16"/>
                <w:color w:val="auto"/>
              </w:rPr>
              <w:t>April 3, 2022</w:t>
            </w:r>
          </w:p>
        </w:tc>
      </w:tr>
      <w:tr>
        <w:trPr>
          <w:trHeight w:val="206"/>
        </w:trPr>
        <w:tc>
          <w:tcPr>
            <w:tcW w:w="1300" w:type="dxa"/>
            <w:vAlign w:val="bottom"/>
            <w:tcBorders>
              <w:bottom w:val="single" w:sz="8" w:color="auto"/>
            </w:tcBorders>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 years from the Merger)</w:t>
            </w:r>
          </w:p>
        </w:tc>
      </w:tr>
      <w:tr>
        <w:trPr>
          <w:trHeight w:val="216"/>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M. Dumais</w:t>
            </w:r>
          </w:p>
        </w:tc>
        <w:tc>
          <w:tcPr>
            <w:tcW w:w="7280" w:type="dxa"/>
            <w:vAlign w:val="bottom"/>
          </w:tcPr>
          <w:p>
            <w:pPr>
              <w:ind w:left="220"/>
              <w:spacing w:after="0"/>
              <w:rPr>
                <w:sz w:val="20"/>
                <w:szCs w:val="20"/>
                <w:color w:val="auto"/>
              </w:rPr>
            </w:pPr>
            <w:r>
              <w:rPr>
                <w:rFonts w:ascii="Arial" w:cs="Arial" w:eastAsia="Arial" w:hAnsi="Arial"/>
                <w:sz w:val="16"/>
                <w:szCs w:val="16"/>
                <w:color w:val="auto"/>
              </w:rPr>
              <w:t>UTC Merger Severance Plan for Corporate Office Executives and Other Key Employees</w:t>
            </w:r>
          </w:p>
        </w:tc>
        <w:tc>
          <w:tcPr>
            <w:tcW w:w="2660" w:type="dxa"/>
            <w:vAlign w:val="bottom"/>
          </w:tcPr>
          <w:p>
            <w:pPr>
              <w:ind w:left="100"/>
              <w:spacing w:after="0"/>
              <w:rPr>
                <w:sz w:val="20"/>
                <w:szCs w:val="20"/>
                <w:color w:val="auto"/>
              </w:rPr>
            </w:pPr>
            <w:r>
              <w:rPr>
                <w:rFonts w:ascii="Arial" w:cs="Arial" w:eastAsia="Arial" w:hAnsi="Arial"/>
                <w:sz w:val="16"/>
                <w:szCs w:val="16"/>
                <w:color w:val="auto"/>
              </w:rPr>
              <w:t>April 3, 2022</w:t>
            </w:r>
          </w:p>
        </w:tc>
      </w:tr>
      <w:tr>
        <w:trPr>
          <w:trHeight w:val="206"/>
        </w:trPr>
        <w:tc>
          <w:tcPr>
            <w:tcW w:w="1300" w:type="dxa"/>
            <w:vAlign w:val="bottom"/>
            <w:tcBorders>
              <w:bottom w:val="single" w:sz="8" w:color="auto"/>
            </w:tcBorders>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 years from the Merger)</w:t>
            </w:r>
          </w:p>
        </w:tc>
      </w:tr>
      <w:tr>
        <w:trPr>
          <w:trHeight w:val="222"/>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C. Calio</w:t>
            </w:r>
          </w:p>
        </w:tc>
        <w:tc>
          <w:tcPr>
            <w:tcW w:w="7280" w:type="dxa"/>
            <w:vAlign w:val="bottom"/>
          </w:tcPr>
          <w:p>
            <w:pPr>
              <w:ind w:left="220"/>
              <w:spacing w:after="0"/>
              <w:rPr>
                <w:sz w:val="20"/>
                <w:szCs w:val="20"/>
                <w:color w:val="auto"/>
              </w:rPr>
            </w:pPr>
            <w:r>
              <w:rPr>
                <w:rFonts w:ascii="Arial" w:cs="Arial" w:eastAsia="Arial" w:hAnsi="Arial"/>
                <w:sz w:val="16"/>
                <w:szCs w:val="16"/>
                <w:color w:val="auto"/>
              </w:rPr>
              <w:t>Standard RTX Executive Leadership Group agreement</w:t>
            </w:r>
          </w:p>
        </w:tc>
        <w:tc>
          <w:tcPr>
            <w:tcW w:w="2660" w:type="dxa"/>
            <w:vAlign w:val="bottom"/>
          </w:tcPr>
          <w:p>
            <w:pPr>
              <w:ind w:left="100"/>
              <w:spacing w:after="0"/>
              <w:rPr>
                <w:sz w:val="20"/>
                <w:szCs w:val="20"/>
                <w:color w:val="auto"/>
              </w:rPr>
            </w:pPr>
            <w:r>
              <w:rPr>
                <w:rFonts w:ascii="Arial" w:cs="Arial" w:eastAsia="Arial" w:hAnsi="Arial"/>
                <w:sz w:val="16"/>
                <w:szCs w:val="16"/>
                <w:color w:val="auto"/>
              </w:rPr>
              <w:t>No expiration date</w:t>
            </w:r>
          </w:p>
        </w:tc>
      </w:tr>
      <w:tr>
        <w:trPr>
          <w:trHeight w:val="32"/>
        </w:trPr>
        <w:tc>
          <w:tcPr>
            <w:tcW w:w="13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15"/>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S. Timm</w:t>
            </w:r>
          </w:p>
        </w:tc>
        <w:tc>
          <w:tcPr>
            <w:tcW w:w="7280" w:type="dxa"/>
            <w:vAlign w:val="bottom"/>
          </w:tcPr>
          <w:p>
            <w:pPr>
              <w:ind w:left="220"/>
              <w:spacing w:after="0"/>
              <w:rPr>
                <w:sz w:val="20"/>
                <w:szCs w:val="20"/>
                <w:color w:val="auto"/>
              </w:rPr>
            </w:pPr>
            <w:r>
              <w:rPr>
                <w:rFonts w:ascii="Arial" w:cs="Arial" w:eastAsia="Arial" w:hAnsi="Arial"/>
                <w:sz w:val="16"/>
                <w:szCs w:val="16"/>
                <w:color w:val="auto"/>
              </w:rPr>
              <w:t>Standard RTX Executive Leadership Group agreement</w:t>
            </w:r>
          </w:p>
        </w:tc>
        <w:tc>
          <w:tcPr>
            <w:tcW w:w="2660" w:type="dxa"/>
            <w:vAlign w:val="bottom"/>
          </w:tcPr>
          <w:p>
            <w:pPr>
              <w:ind w:left="100"/>
              <w:spacing w:after="0"/>
              <w:rPr>
                <w:sz w:val="20"/>
                <w:szCs w:val="20"/>
                <w:color w:val="auto"/>
              </w:rPr>
            </w:pPr>
            <w:r>
              <w:rPr>
                <w:rFonts w:ascii="Arial" w:cs="Arial" w:eastAsia="Arial" w:hAnsi="Arial"/>
                <w:sz w:val="16"/>
                <w:szCs w:val="16"/>
                <w:color w:val="auto"/>
              </w:rPr>
              <w:t>No expiration date</w:t>
            </w:r>
          </w:p>
        </w:tc>
      </w:tr>
      <w:tr>
        <w:trPr>
          <w:trHeight w:val="32"/>
        </w:trPr>
        <w:tc>
          <w:tcPr>
            <w:tcW w:w="1300" w:type="dxa"/>
            <w:vAlign w:val="bottom"/>
            <w:tcBorders>
              <w:bottom w:val="single" w:sz="8" w:color="auto"/>
            </w:tcBorders>
          </w:tcPr>
          <w:p>
            <w:pPr>
              <w:spacing w:after="0"/>
              <w:rPr>
                <w:sz w:val="2"/>
                <w:szCs w:val="2"/>
                <w:color w:val="auto"/>
              </w:rPr>
            </w:pPr>
          </w:p>
        </w:tc>
        <w:tc>
          <w:tcPr>
            <w:tcW w:w="728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r>
      <w:tr>
        <w:trPr>
          <w:trHeight w:val="209"/>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T. Kennedy</w:t>
            </w:r>
          </w:p>
        </w:tc>
        <w:tc>
          <w:tcPr>
            <w:tcW w:w="7280" w:type="dxa"/>
            <w:vAlign w:val="bottom"/>
          </w:tcPr>
          <w:p>
            <w:pPr>
              <w:ind w:left="220"/>
              <w:spacing w:after="0"/>
              <w:rPr>
                <w:sz w:val="20"/>
                <w:szCs w:val="20"/>
                <w:color w:val="auto"/>
              </w:rPr>
            </w:pPr>
            <w:r>
              <w:rPr>
                <w:rFonts w:ascii="Arial" w:cs="Arial" w:eastAsia="Arial" w:hAnsi="Arial"/>
                <w:sz w:val="16"/>
                <w:szCs w:val="16"/>
                <w:color w:val="auto"/>
              </w:rPr>
              <w:t>Employment agreement (as amended) between the Company and Mr. Kennedy</w:t>
            </w:r>
          </w:p>
        </w:tc>
        <w:tc>
          <w:tcPr>
            <w:tcW w:w="2660" w:type="dxa"/>
            <w:vAlign w:val="bottom"/>
          </w:tcPr>
          <w:p>
            <w:pPr>
              <w:ind w:left="100"/>
              <w:spacing w:after="0"/>
              <w:rPr>
                <w:sz w:val="20"/>
                <w:szCs w:val="20"/>
                <w:color w:val="auto"/>
              </w:rPr>
            </w:pPr>
            <w:r>
              <w:rPr>
                <w:rFonts w:ascii="Arial" w:cs="Arial" w:eastAsia="Arial" w:hAnsi="Arial"/>
                <w:sz w:val="16"/>
                <w:szCs w:val="16"/>
                <w:color w:val="auto"/>
              </w:rPr>
              <w:t>April 3, 2022</w:t>
            </w:r>
          </w:p>
        </w:tc>
      </w:tr>
      <w:tr>
        <w:trPr>
          <w:trHeight w:val="206"/>
        </w:trPr>
        <w:tc>
          <w:tcPr>
            <w:tcW w:w="1300" w:type="dxa"/>
            <w:vAlign w:val="bottom"/>
            <w:tcBorders>
              <w:bottom w:val="single" w:sz="8" w:color="auto"/>
            </w:tcBorders>
          </w:tcPr>
          <w:p>
            <w:pPr>
              <w:spacing w:after="0"/>
              <w:rPr>
                <w:sz w:val="17"/>
                <w:szCs w:val="17"/>
                <w:color w:val="auto"/>
              </w:rPr>
            </w:pPr>
          </w:p>
        </w:tc>
        <w:tc>
          <w:tcPr>
            <w:tcW w:w="728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(2 years from the Merger)</w:t>
            </w:r>
          </w:p>
        </w:tc>
      </w:tr>
      <w:tr>
        <w:trPr>
          <w:trHeight w:val="216"/>
        </w:trPr>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A. O’Brien III</w:t>
            </w:r>
          </w:p>
        </w:tc>
        <w:tc>
          <w:tcPr>
            <w:tcW w:w="7280" w:type="dxa"/>
            <w:vAlign w:val="bottom"/>
          </w:tcPr>
          <w:p>
            <w:pPr>
              <w:ind w:left="220"/>
              <w:spacing w:after="0"/>
              <w:rPr>
                <w:sz w:val="20"/>
                <w:szCs w:val="20"/>
                <w:color w:val="auto"/>
              </w:rPr>
            </w:pPr>
            <w:r>
              <w:rPr>
                <w:rFonts w:ascii="Arial" w:cs="Arial" w:eastAsia="Arial" w:hAnsi="Arial"/>
                <w:sz w:val="16"/>
                <w:szCs w:val="16"/>
                <w:color w:val="auto"/>
              </w:rPr>
              <w:t>Raytheon Company Change-in-Control Agreement and Raytheon Company Enhanced Severance</w:t>
            </w:r>
          </w:p>
        </w:tc>
        <w:tc>
          <w:tcPr>
            <w:tcW w:w="2660" w:type="dxa"/>
            <w:vAlign w:val="bottom"/>
          </w:tcPr>
          <w:p>
            <w:pPr>
              <w:ind w:left="100"/>
              <w:spacing w:after="0"/>
              <w:rPr>
                <w:sz w:val="20"/>
                <w:szCs w:val="20"/>
                <w:color w:val="auto"/>
              </w:rPr>
            </w:pPr>
            <w:r>
              <w:rPr>
                <w:rFonts w:ascii="Arial" w:cs="Arial" w:eastAsia="Arial" w:hAnsi="Arial"/>
                <w:sz w:val="16"/>
                <w:szCs w:val="16"/>
                <w:color w:val="auto"/>
              </w:rPr>
              <w:t>April 3, 2022</w:t>
            </w:r>
          </w:p>
        </w:tc>
      </w:tr>
      <w:tr>
        <w:trPr>
          <w:trHeight w:val="219"/>
        </w:trPr>
        <w:tc>
          <w:tcPr>
            <w:tcW w:w="1300" w:type="dxa"/>
            <w:vAlign w:val="bottom"/>
            <w:tcBorders>
              <w:bottom w:val="single" w:sz="8" w:color="636466"/>
            </w:tcBorders>
          </w:tcPr>
          <w:p>
            <w:pPr>
              <w:spacing w:after="0"/>
              <w:rPr>
                <w:sz w:val="19"/>
                <w:szCs w:val="19"/>
                <w:color w:val="auto"/>
              </w:rPr>
            </w:pPr>
          </w:p>
        </w:tc>
        <w:tc>
          <w:tcPr>
            <w:tcW w:w="7280" w:type="dxa"/>
            <w:vAlign w:val="bottom"/>
            <w:tcBorders>
              <w:bottom w:val="single" w:sz="8" w:color="636466"/>
            </w:tcBorders>
          </w:tcPr>
          <w:p>
            <w:pPr>
              <w:ind w:left="220"/>
              <w:spacing w:after="0"/>
              <w:rPr>
                <w:sz w:val="20"/>
                <w:szCs w:val="20"/>
                <w:color w:val="auto"/>
              </w:rPr>
            </w:pPr>
            <w:r>
              <w:rPr>
                <w:rFonts w:ascii="Arial" w:cs="Arial" w:eastAsia="Arial" w:hAnsi="Arial"/>
                <w:sz w:val="16"/>
                <w:szCs w:val="16"/>
                <w:color w:val="auto"/>
              </w:rPr>
              <w:t>Plan for Senior Leadership Team Members</w:t>
            </w:r>
          </w:p>
        </w:tc>
        <w:tc>
          <w:tcPr>
            <w:tcW w:w="2660" w:type="dxa"/>
            <w:vAlign w:val="bottom"/>
            <w:tcBorders>
              <w:bottom w:val="single" w:sz="8" w:color="636466"/>
            </w:tcBorders>
          </w:tcPr>
          <w:p>
            <w:pPr>
              <w:ind w:left="100"/>
              <w:spacing w:after="0"/>
              <w:rPr>
                <w:sz w:val="20"/>
                <w:szCs w:val="20"/>
                <w:color w:val="auto"/>
              </w:rPr>
            </w:pPr>
            <w:r>
              <w:rPr>
                <w:rFonts w:ascii="Arial" w:cs="Arial" w:eastAsia="Arial" w:hAnsi="Arial"/>
                <w:sz w:val="16"/>
                <w:szCs w:val="16"/>
                <w:color w:val="auto"/>
              </w:rPr>
              <w:t>(2 years from the Merger)</w:t>
            </w:r>
          </w:p>
        </w:tc>
      </w:tr>
    </w:tbl>
    <w:p>
      <w:pPr>
        <w:spacing w:after="0" w:line="163" w:lineRule="exact"/>
        <w:rPr>
          <w:sz w:val="20"/>
          <w:szCs w:val="20"/>
          <w:color w:val="auto"/>
        </w:rPr>
      </w:pPr>
    </w:p>
    <w:p>
      <w:pPr>
        <w:jc w:val="both"/>
        <w:ind w:right="320"/>
        <w:spacing w:after="0" w:line="250" w:lineRule="auto"/>
        <w:rPr>
          <w:sz w:val="20"/>
          <w:szCs w:val="20"/>
          <w:color w:val="auto"/>
        </w:rPr>
      </w:pPr>
      <w:r>
        <w:rPr>
          <w:rFonts w:ascii="Arial" w:cs="Arial" w:eastAsia="Arial" w:hAnsi="Arial"/>
          <w:sz w:val="16"/>
          <w:szCs w:val="16"/>
          <w:color w:val="auto"/>
        </w:rPr>
        <w:t>Following the expiration of the agreements and plans applicable to them, Messrs. Hayes, Mitchill, and Dumais will resume coverage under the Company’s standard ELG separation benefits and in the case of Mr. Hayes, the legacy UTC Senior Executive Severance Plan would also apply in the case of a future change-in-control event. These programs are described in detail on pages 62-63.</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E0F2D"/>
        </w:rPr>
        <w:t>GREGORY J. HAYES</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CE0F2D"/>
        </w:rPr>
        <w:t xml:space="preserve">Employment Agreement. </w:t>
      </w:r>
      <w:r>
        <w:rPr>
          <w:rFonts w:ascii="Arial" w:cs="Arial" w:eastAsia="Arial" w:hAnsi="Arial"/>
          <w:sz w:val="16"/>
          <w:szCs w:val="16"/>
          <w:color w:val="000000"/>
        </w:rPr>
        <w:t>When UTC and RTN agreed to an all-stock “merger of equals” (with UTC as the surviving company for legal purposes), UTC entered</w:t>
      </w:r>
      <w:r>
        <w:rPr>
          <w:rFonts w:ascii="Arial" w:cs="Arial" w:eastAsia="Arial" w:hAnsi="Arial"/>
          <w:sz w:val="16"/>
          <w:szCs w:val="16"/>
          <w:color w:val="CE0F2D"/>
        </w:rPr>
        <w:t xml:space="preserve"> </w:t>
      </w:r>
      <w:r>
        <w:rPr>
          <w:rFonts w:ascii="Arial" w:cs="Arial" w:eastAsia="Arial" w:hAnsi="Arial"/>
          <w:sz w:val="16"/>
          <w:szCs w:val="16"/>
          <w:color w:val="000000"/>
        </w:rPr>
        <w:t>into an employment agreement with Mr. Hayes. This agreement became effective upon the Merger and will expire on its third anniversary or an earlier termination of employment.</w:t>
      </w:r>
    </w:p>
    <w:p>
      <w:pPr>
        <w:spacing w:after="0" w:line="148" w:lineRule="exact"/>
        <w:rPr>
          <w:sz w:val="20"/>
          <w:szCs w:val="20"/>
          <w:color w:val="auto"/>
        </w:rPr>
      </w:pPr>
    </w:p>
    <w:p>
      <w:pPr>
        <w:ind w:right="360"/>
        <w:spacing w:after="0" w:line="256" w:lineRule="auto"/>
        <w:rPr>
          <w:sz w:val="20"/>
          <w:szCs w:val="20"/>
          <w:color w:val="auto"/>
        </w:rPr>
      </w:pPr>
      <w:r>
        <w:rPr>
          <w:rFonts w:ascii="Arial" w:cs="Arial" w:eastAsia="Arial" w:hAnsi="Arial"/>
          <w:sz w:val="16"/>
          <w:szCs w:val="16"/>
          <w:color w:val="auto"/>
        </w:rPr>
        <w:t>During the term of the agreement, Mr. Hayes will receive an annual base salary of no less than $1.6 million (which may be increased from time to time for merit adjustments), and a target annual incentive opportunity of 200% of base salary (equal to Mr. Kennedy’s target prior to the Merger).</w:t>
      </w:r>
    </w:p>
    <w:p>
      <w:pPr>
        <w:spacing w:after="0" w:line="143"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Under the agreement, Mr. Hayes also is subject to a permanent confidentiality covenant, a one-year non-competition covenant, and a two-year customer and employee non-solicitation covenant. In the event of Mr. Hayes’ termination of employment during the term of the agreement by the Company without cause or by Mr. Hayes for good reason (both terms are defined in the agreement, as amended), he will be entitled to receive (subject to execution of a release of claims in favor of the Company):</w:t>
      </w:r>
    </w:p>
    <w:p>
      <w:pPr>
        <w:spacing w:after="0" w:line="150" w:lineRule="exact"/>
        <w:rPr>
          <w:sz w:val="20"/>
          <w:szCs w:val="20"/>
          <w:color w:val="auto"/>
        </w:rPr>
      </w:pPr>
    </w:p>
    <w:p>
      <w:pPr>
        <w:ind w:left="240" w:right="60" w:hanging="233"/>
        <w:spacing w:after="0" w:line="256" w:lineRule="auto"/>
        <w:tabs>
          <w:tab w:leader="none" w:pos="240" w:val="left"/>
        </w:tabs>
        <w:numPr>
          <w:ilvl w:val="0"/>
          <w:numId w:val="201"/>
        </w:numPr>
        <w:rPr>
          <w:rFonts w:ascii="Arial" w:cs="Arial" w:eastAsia="Arial" w:hAnsi="Arial"/>
          <w:sz w:val="16"/>
          <w:szCs w:val="16"/>
          <w:color w:val="CE0F2D"/>
        </w:rPr>
      </w:pPr>
      <w:r>
        <w:rPr>
          <w:rFonts w:ascii="Arial" w:cs="Arial" w:eastAsia="Arial" w:hAnsi="Arial"/>
          <w:sz w:val="16"/>
          <w:szCs w:val="16"/>
          <w:color w:val="auto"/>
        </w:rPr>
        <w:t>A lump-sum cash severance payment equal to three times the sum of (a) his annual base salary, and (b) the greater of his 2019 annual incentive award or his target annual incentive award for the year of termination;</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201"/>
        </w:numPr>
        <w:rPr>
          <w:rFonts w:ascii="Arial" w:cs="Arial" w:eastAsia="Arial" w:hAnsi="Arial"/>
          <w:sz w:val="16"/>
          <w:szCs w:val="16"/>
          <w:color w:val="CE0F2D"/>
        </w:rPr>
      </w:pPr>
      <w:r>
        <w:rPr>
          <w:rFonts w:ascii="Arial" w:cs="Arial" w:eastAsia="Arial" w:hAnsi="Arial"/>
          <w:sz w:val="16"/>
          <w:szCs w:val="16"/>
          <w:color w:val="auto"/>
        </w:rPr>
        <w:t>A pro-rated target annual incentive award for the year of termination;</w:t>
      </w:r>
    </w:p>
    <w:p>
      <w:pPr>
        <w:spacing w:after="0" w:line="83" w:lineRule="exact"/>
        <w:rPr>
          <w:rFonts w:ascii="Arial" w:cs="Arial" w:eastAsia="Arial" w:hAnsi="Arial"/>
          <w:sz w:val="16"/>
          <w:szCs w:val="16"/>
          <w:color w:val="CE0F2D"/>
        </w:rPr>
      </w:pPr>
    </w:p>
    <w:p>
      <w:pPr>
        <w:ind w:left="240" w:right="80" w:hanging="233"/>
        <w:spacing w:after="0" w:line="256" w:lineRule="auto"/>
        <w:tabs>
          <w:tab w:leader="none" w:pos="240" w:val="left"/>
        </w:tabs>
        <w:numPr>
          <w:ilvl w:val="0"/>
          <w:numId w:val="201"/>
        </w:numPr>
        <w:rPr>
          <w:rFonts w:ascii="Arial" w:cs="Arial" w:eastAsia="Arial" w:hAnsi="Arial"/>
          <w:sz w:val="16"/>
          <w:szCs w:val="16"/>
          <w:color w:val="CE0F2D"/>
        </w:rPr>
      </w:pPr>
      <w:r>
        <w:rPr>
          <w:rFonts w:ascii="Arial" w:cs="Arial" w:eastAsia="Arial" w:hAnsi="Arial"/>
          <w:sz w:val="16"/>
          <w:szCs w:val="16"/>
          <w:color w:val="auto"/>
        </w:rPr>
        <w:t>Treatment of his termination as a retirement for purposes of his outstanding LTI awards, and a waiver of any minimum holding period that would otherwise be a condition to vest upon retirement; and</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201"/>
        </w:numPr>
        <w:rPr>
          <w:rFonts w:ascii="Arial" w:cs="Arial" w:eastAsia="Arial" w:hAnsi="Arial"/>
          <w:sz w:val="16"/>
          <w:szCs w:val="16"/>
          <w:color w:val="CE0F2D"/>
        </w:rPr>
      </w:pPr>
      <w:r>
        <w:rPr>
          <w:rFonts w:ascii="Arial" w:cs="Arial" w:eastAsia="Arial" w:hAnsi="Arial"/>
          <w:sz w:val="16"/>
          <w:szCs w:val="16"/>
          <w:color w:val="auto"/>
        </w:rPr>
        <w:t>Up to one year of health and welfare benefit coverage continuation, with premiums paid by the Company.</w:t>
      </w:r>
    </w:p>
    <w:p>
      <w:pPr>
        <w:spacing w:after="0" w:line="164" w:lineRule="exact"/>
        <w:rPr>
          <w:sz w:val="20"/>
          <w:szCs w:val="20"/>
          <w:color w:val="auto"/>
        </w:rPr>
      </w:pPr>
    </w:p>
    <w:p>
      <w:pPr>
        <w:ind w:left="260" w:hanging="253"/>
        <w:spacing w:after="0"/>
        <w:tabs>
          <w:tab w:leader="none" w:pos="260" w:val="left"/>
        </w:tabs>
        <w:numPr>
          <w:ilvl w:val="0"/>
          <w:numId w:val="202"/>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7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If Mr. Hayes separates from the Company during the three-year term of this agreement, he will receive severance benefits under this agreement but no severance benefits under his ELG agreement or under the legacy UTC Senior Executive Severance Plan (applicable only in the event of a “change-in-control” of RTX). If he separates after this agreement has expired, he will be eligible for severance benefits under his ELG agreement (as detailed on page 62) or his legacy UTC Senior Executive Severance Plan (in the case of an RTX change-in-control, as detailed on page 63).</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E0F2D"/>
        </w:rPr>
        <w:t>Mr. Hayes</w:t>
      </w:r>
      <w:r>
        <w:rPr>
          <w:rFonts w:ascii="Arial" w:cs="Arial" w:eastAsia="Arial" w:hAnsi="Arial"/>
          <w:sz w:val="16"/>
          <w:szCs w:val="16"/>
          <w:color w:val="auto"/>
        </w:rPr>
        <w:t xml:space="preserve"> would have been entitled to receive had his employment terminated on December 31, 2021, under various hypothetical circumstances.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920" w:type="dxa"/>
            <w:vAlign w:val="bottom"/>
          </w:tcPr>
          <w:p>
            <w:pPr>
              <w:spacing w:after="0"/>
              <w:rPr>
                <w:sz w:val="12"/>
                <w:szCs w:val="12"/>
                <w:color w:val="auto"/>
              </w:rPr>
            </w:pPr>
          </w:p>
        </w:tc>
        <w:tc>
          <w:tcPr>
            <w:tcW w:w="218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52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68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80" w:type="dxa"/>
            <w:vAlign w:val="bottom"/>
          </w:tcPr>
          <w:p>
            <w:pPr>
              <w:jc w:val="right"/>
              <w:ind w:right="30"/>
              <w:spacing w:after="0"/>
              <w:rPr>
                <w:sz w:val="20"/>
                <w:szCs w:val="20"/>
                <w:color w:val="auto"/>
              </w:rPr>
            </w:pPr>
            <w:r>
              <w:rPr>
                <w:rFonts w:ascii="Arial" w:cs="Arial" w:eastAsia="Arial" w:hAnsi="Arial"/>
                <w:sz w:val="12"/>
                <w:szCs w:val="12"/>
                <w:b w:val="1"/>
                <w:bCs w:val="1"/>
                <w:color w:val="61676D"/>
              </w:rPr>
              <w:t>Voluntary Separation</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61676D"/>
              </w:rPr>
              <w:t>Separation following a</w:t>
            </w:r>
          </w:p>
        </w:tc>
      </w:tr>
      <w:tr>
        <w:trPr>
          <w:trHeight w:val="233"/>
        </w:trPr>
        <w:tc>
          <w:tcPr>
            <w:tcW w:w="2920" w:type="dxa"/>
            <w:vAlign w:val="bottom"/>
            <w:tcBorders>
              <w:bottom w:val="single" w:sz="8" w:color="CE0F2D"/>
            </w:tcBorders>
          </w:tcPr>
          <w:p>
            <w:pPr>
              <w:spacing w:after="0"/>
              <w:rPr>
                <w:sz w:val="20"/>
                <w:szCs w:val="20"/>
                <w:color w:val="auto"/>
              </w:rPr>
            </w:pPr>
          </w:p>
        </w:tc>
        <w:tc>
          <w:tcPr>
            <w:tcW w:w="21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(for Cause)</w:t>
            </w:r>
            <w:r>
              <w:rPr>
                <w:rFonts w:ascii="Arial" w:cs="Arial" w:eastAsia="Arial" w:hAnsi="Arial"/>
                <w:sz w:val="20"/>
                <w:szCs w:val="20"/>
                <w:b w:val="1"/>
                <w:bCs w:val="1"/>
                <w:color w:val="61676D"/>
                <w:vertAlign w:val="superscript"/>
              </w:rPr>
              <w:t>(1)</w:t>
            </w:r>
          </w:p>
        </w:tc>
        <w:tc>
          <w:tcPr>
            <w:tcW w:w="152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Cause)</w:t>
            </w:r>
            <w:r>
              <w:rPr>
                <w:rFonts w:ascii="Arial" w:cs="Arial" w:eastAsia="Arial" w:hAnsi="Arial"/>
                <w:sz w:val="20"/>
                <w:szCs w:val="20"/>
                <w:b w:val="1"/>
                <w:bCs w:val="1"/>
                <w:color w:val="61676D"/>
                <w:vertAlign w:val="superscript"/>
              </w:rPr>
              <w:t>(2)</w:t>
            </w:r>
          </w:p>
        </w:tc>
        <w:tc>
          <w:tcPr>
            <w:tcW w:w="16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Good Reason)</w:t>
            </w:r>
            <w:r>
              <w:rPr>
                <w:rFonts w:ascii="Arial" w:cs="Arial" w:eastAsia="Arial" w:hAnsi="Arial"/>
                <w:sz w:val="20"/>
                <w:szCs w:val="20"/>
                <w:b w:val="1"/>
                <w:bCs w:val="1"/>
                <w:color w:val="61676D"/>
                <w:vertAlign w:val="superscript"/>
              </w:rPr>
              <w:t>(3)</w:t>
            </w:r>
          </w:p>
        </w:tc>
        <w:tc>
          <w:tcPr>
            <w:tcW w:w="1480" w:type="dxa"/>
            <w:vAlign w:val="bottom"/>
            <w:tcBorders>
              <w:bottom w:val="single" w:sz="8" w:color="CE0F2D"/>
            </w:tcBorders>
          </w:tcPr>
          <w:p>
            <w:pPr>
              <w:jc w:val="right"/>
              <w:ind w:right="30"/>
              <w:spacing w:after="0" w:line="213" w:lineRule="exact"/>
              <w:rPr>
                <w:sz w:val="20"/>
                <w:szCs w:val="20"/>
                <w:color w:val="auto"/>
              </w:rPr>
            </w:pPr>
            <w:r>
              <w:rPr>
                <w:rFonts w:ascii="Arial" w:cs="Arial" w:eastAsia="Arial" w:hAnsi="Arial"/>
                <w:sz w:val="12"/>
                <w:szCs w:val="12"/>
                <w:b w:val="1"/>
                <w:bCs w:val="1"/>
                <w:color w:val="61676D"/>
              </w:rPr>
              <w:t>(with Good Reason)</w:t>
            </w:r>
            <w:r>
              <w:rPr>
                <w:rFonts w:ascii="Arial" w:cs="Arial" w:eastAsia="Arial" w:hAnsi="Arial"/>
                <w:sz w:val="20"/>
                <w:szCs w:val="20"/>
                <w:b w:val="1"/>
                <w:bCs w:val="1"/>
                <w:color w:val="61676D"/>
                <w:vertAlign w:val="superscript"/>
              </w:rPr>
              <w:t>(2)</w:t>
            </w:r>
          </w:p>
        </w:tc>
        <w:tc>
          <w:tcPr>
            <w:tcW w:w="1460" w:type="dxa"/>
            <w:vAlign w:val="bottom"/>
            <w:tcBorders>
              <w:bottom w:val="single" w:sz="8" w:color="CE0F2D"/>
            </w:tcBorders>
          </w:tcPr>
          <w:p>
            <w:pPr>
              <w:jc w:val="right"/>
              <w:spacing w:after="0" w:line="213" w:lineRule="exact"/>
              <w:rPr>
                <w:sz w:val="20"/>
                <w:szCs w:val="20"/>
                <w:color w:val="auto"/>
              </w:rPr>
            </w:pPr>
            <w:r>
              <w:rPr>
                <w:rFonts w:ascii="Arial" w:cs="Arial" w:eastAsia="Arial" w:hAnsi="Arial"/>
                <w:sz w:val="12"/>
                <w:szCs w:val="12"/>
                <w:b w:val="1"/>
                <w:bCs w:val="1"/>
                <w:color w:val="61676D"/>
              </w:rPr>
              <w:t>Change-in-Control</w:t>
            </w:r>
            <w:r>
              <w:rPr>
                <w:rFonts w:ascii="Arial" w:cs="Arial" w:eastAsia="Arial" w:hAnsi="Arial"/>
                <w:sz w:val="20"/>
                <w:szCs w:val="20"/>
                <w:b w:val="1"/>
                <w:bCs w:val="1"/>
                <w:color w:val="61676D"/>
                <w:vertAlign w:val="superscript"/>
              </w:rPr>
              <w:t>(4)</w:t>
            </w:r>
          </w:p>
        </w:tc>
      </w:tr>
      <w:tr>
        <w:trPr>
          <w:trHeight w:val="241"/>
        </w:trPr>
        <w:tc>
          <w:tcPr>
            <w:tcW w:w="2920" w:type="dxa"/>
            <w:vAlign w:val="bottom"/>
            <w:tcBorders>
              <w:bottom w:val="single" w:sz="8" w:color="auto"/>
            </w:tcBorders>
          </w:tcPr>
          <w:p>
            <w:pPr>
              <w:ind w:left="60"/>
              <w:spacing w:after="0" w:line="241" w:lineRule="exact"/>
              <w:rPr>
                <w:sz w:val="20"/>
                <w:szCs w:val="20"/>
                <w:color w:val="auto"/>
              </w:rPr>
            </w:pPr>
            <w:r>
              <w:rPr>
                <w:rFonts w:ascii="Arial" w:cs="Arial" w:eastAsia="Arial" w:hAnsi="Arial"/>
                <w:sz w:val="14"/>
                <w:szCs w:val="14"/>
                <w:color w:val="auto"/>
              </w:rPr>
              <w:t>Cash Payment</w:t>
            </w:r>
            <w:r>
              <w:rPr>
                <w:rFonts w:ascii="Arial" w:cs="Arial" w:eastAsia="Arial" w:hAnsi="Arial"/>
                <w:sz w:val="23"/>
                <w:szCs w:val="23"/>
                <w:color w:val="auto"/>
                <w:vertAlign w:val="superscript"/>
              </w:rPr>
              <w:t>(5)</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$17,400,000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$17,400,000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$17,400,000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(6)</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(7)</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$33,724</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$33,724</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$33,724</w:t>
            </w:r>
          </w:p>
        </w:tc>
      </w:tr>
      <w:tr>
        <w:trPr>
          <w:trHeight w:val="202"/>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Financial Planning</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92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Outplacement</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40"/>
        </w:trPr>
        <w:tc>
          <w:tcPr>
            <w:tcW w:w="292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(8)</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$10,285,578</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$7,817,195</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$10,285,578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$10,285,578</w:t>
            </w:r>
          </w:p>
        </w:tc>
      </w:tr>
      <w:tr>
        <w:trPr>
          <w:trHeight w:val="241"/>
        </w:trPr>
        <w:tc>
          <w:tcPr>
            <w:tcW w:w="292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(8)</w:t>
            </w:r>
          </w:p>
        </w:tc>
        <w:tc>
          <w:tcPr>
            <w:tcW w:w="21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$40,771,441</w:t>
            </w:r>
          </w:p>
        </w:tc>
        <w:tc>
          <w:tcPr>
            <w:tcW w:w="16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$16,586,172</w:t>
            </w:r>
          </w:p>
        </w:tc>
        <w:tc>
          <w:tcPr>
            <w:tcW w:w="148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$40,771,441</w:t>
            </w:r>
          </w:p>
        </w:tc>
        <w:tc>
          <w:tcPr>
            <w:tcW w:w="14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$40,771,441</w:t>
            </w:r>
          </w:p>
        </w:tc>
      </w:tr>
      <w:tr>
        <w:trPr>
          <w:trHeight w:val="221"/>
        </w:trPr>
        <w:tc>
          <w:tcPr>
            <w:tcW w:w="292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1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52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$68,490,743</w:t>
            </w:r>
          </w:p>
        </w:tc>
        <w:tc>
          <w:tcPr>
            <w:tcW w:w="16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$24,403,367</w:t>
            </w:r>
          </w:p>
        </w:tc>
        <w:tc>
          <w:tcPr>
            <w:tcW w:w="14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b w:val="1"/>
                <w:bCs w:val="1"/>
                <w:color w:val="auto"/>
              </w:rPr>
              <w:t>$68,490,743</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$68,490,743</w:t>
            </w:r>
          </w:p>
        </w:tc>
      </w:tr>
    </w:tbl>
    <w:p>
      <w:pPr>
        <w:spacing w:after="0" w:line="115" w:lineRule="exact"/>
        <w:rPr>
          <w:sz w:val="20"/>
          <w:szCs w:val="20"/>
          <w:color w:val="auto"/>
        </w:rPr>
      </w:pPr>
    </w:p>
    <w:p>
      <w:pPr>
        <w:ind w:left="320" w:hanging="313"/>
        <w:spacing w:after="0"/>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All outstanding LTI awards would forfeit and no severance would be payable upon involuntary termination for cause.</w:t>
      </w:r>
    </w:p>
    <w:p>
      <w:pPr>
        <w:spacing w:after="0" w:line="49" w:lineRule="exact"/>
        <w:rPr>
          <w:rFonts w:ascii="Arial" w:cs="Arial" w:eastAsia="Arial" w:hAnsi="Arial"/>
          <w:sz w:val="12"/>
          <w:szCs w:val="12"/>
          <w:color w:val="auto"/>
        </w:rPr>
      </w:pPr>
    </w:p>
    <w:p>
      <w:pPr>
        <w:ind w:left="320" w:right="240" w:hanging="313"/>
        <w:spacing w:after="0" w:line="25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During the three-year term of Mr. Hayes’ employment agreement (as amended), all outstanding LTI awards as of the date of separation would vest (or in the case of PSUs, remain eligible to vest subject to Company performance through the end of the performance period) upon involuntary termination (without cause) or voluntary separation (with good reason).</w:t>
      </w:r>
    </w:p>
    <w:p>
      <w:pPr>
        <w:spacing w:after="0" w:line="31" w:lineRule="exact"/>
        <w:rPr>
          <w:rFonts w:ascii="Arial" w:cs="Arial" w:eastAsia="Arial" w:hAnsi="Arial"/>
          <w:sz w:val="12"/>
          <w:szCs w:val="12"/>
          <w:color w:val="auto"/>
        </w:rPr>
      </w:pPr>
    </w:p>
    <w:p>
      <w:pPr>
        <w:ind w:left="320" w:right="160" w:hanging="313"/>
        <w:spacing w:after="0" w:line="23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As of December 31, 2021, Mr. Hayes had attained retirement eligibility status under the terms of the RTX LTIP. As a result, in the event of a voluntary separation (without good reason) from the Company, his annual LTIP awards would receive beneficial treatment reserved for retirement-eligible employees. These awards, if outstanding for more than one year, would be treated as follows:</w:t>
      </w:r>
    </w:p>
    <w:p>
      <w:pPr>
        <w:spacing w:after="0" w:line="1" w:lineRule="exact"/>
        <w:rPr>
          <w:rFonts w:ascii="Arial" w:cs="Arial" w:eastAsia="Arial" w:hAnsi="Arial"/>
          <w:sz w:val="12"/>
          <w:szCs w:val="12"/>
          <w:color w:val="auto"/>
        </w:rPr>
      </w:pPr>
    </w:p>
    <w:p>
      <w:pPr>
        <w:ind w:left="320" w:right="440"/>
        <w:spacing w:after="0" w:line="252" w:lineRule="auto"/>
        <w:rPr>
          <w:rFonts w:ascii="Arial" w:cs="Arial" w:eastAsia="Arial" w:hAnsi="Arial"/>
          <w:sz w:val="12"/>
          <w:szCs w:val="12"/>
          <w:color w:val="auto"/>
        </w:rPr>
      </w:pPr>
      <w:r>
        <w:rPr>
          <w:rFonts w:ascii="Arial" w:cs="Arial" w:eastAsia="Arial" w:hAnsi="Arial"/>
          <w:sz w:val="12"/>
          <w:szCs w:val="12"/>
          <w:color w:val="auto"/>
        </w:rPr>
        <w:t>(1) unvested SAR and RSU awards would vest; and (2) PSUs (that converted to RSUs upon the spinoffs of Carrier and Otis) would remain eligible to vest on the original vesting date. Awards outstanding for less than one year would forfeit in the case of a voluntary separation (without good reason) from the Company.</w:t>
      </w:r>
    </w:p>
    <w:p>
      <w:pPr>
        <w:spacing w:after="0" w:line="31" w:lineRule="exact"/>
        <w:rPr>
          <w:rFonts w:ascii="Arial" w:cs="Arial" w:eastAsia="Arial" w:hAnsi="Arial"/>
          <w:sz w:val="12"/>
          <w:szCs w:val="12"/>
          <w:color w:val="auto"/>
        </w:rPr>
      </w:pPr>
    </w:p>
    <w:p>
      <w:pPr>
        <w:ind w:left="320" w:right="160" w:hanging="313"/>
        <w:spacing w:after="0" w:line="24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During the term of Mr. Hayes’ employment agreement (as amended), in the event of a qualifying termination following an RTX change-in-control, Mr. Hayes would receive the same severance, benefits and LTI treatment that he would receive upon an involuntary separation (without cause) or a voluntary separation (with good reason), except that the 2021 PSUs would vest in accordance with the RTX LTIP, at the greater of actual or target performance.</w:t>
      </w:r>
    </w:p>
    <w:p>
      <w:pPr>
        <w:spacing w:after="0" w:line="37"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accordance with Mr. Hayes’ employment agreement (as amended), amounts shown reflect cash severance that would be paid in the case of an involuntary (without cause) separation, a voluntary (with good reason) separation, or a qualifying separation within two years of an RTX change-in-control event.</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An estimated lump-sum present value of the qualified and nonqualified pension benefits payable upon a separation from the Company can be found in the Pension Benefits table on page 75.</w:t>
      </w:r>
    </w:p>
    <w:p>
      <w:pPr>
        <w:spacing w:after="0" w:line="49" w:lineRule="exact"/>
        <w:rPr>
          <w:rFonts w:ascii="Arial" w:cs="Arial" w:eastAsia="Arial" w:hAnsi="Arial"/>
          <w:sz w:val="12"/>
          <w:szCs w:val="12"/>
          <w:color w:val="auto"/>
        </w:rPr>
      </w:pPr>
    </w:p>
    <w:p>
      <w:pPr>
        <w:ind w:left="320" w:right="20" w:hanging="313"/>
        <w:spacing w:after="0" w:line="25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In accordance with Mr. Hayes’ employment agreement (as amended), amounts shown reflect the estimated cost of one year of health and welfare benefit continuation based on his current elections, in addition to the estimated cost for an executive physical.</w:t>
      </w:r>
    </w:p>
    <w:p>
      <w:pPr>
        <w:spacing w:after="0" w:line="31"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03"/>
        </w:numPr>
        <w:rPr>
          <w:rFonts w:ascii="Arial" w:cs="Arial" w:eastAsia="Arial" w:hAnsi="Arial"/>
          <w:sz w:val="12"/>
          <w:szCs w:val="12"/>
          <w:color w:val="auto"/>
        </w:rPr>
      </w:pPr>
      <w:r>
        <w:rPr>
          <w:rFonts w:ascii="Arial" w:cs="Arial" w:eastAsia="Arial" w:hAnsi="Arial"/>
          <w:sz w:val="12"/>
          <w:szCs w:val="12"/>
          <w:color w:val="auto"/>
        </w:rPr>
        <w:t>Reflects the value of unvested LTI awards that would vest (or remain eligible to vest) following a separation from the Company, calculated using the closing stock price of RTX on the last trading day of 2021 ($86.06). Where included, the 2021 PSUs assume maximum-level performance based on estimated performance as of December 31, 2021.</w:t>
      </w:r>
    </w:p>
    <w:p>
      <w:pPr>
        <w:spacing w:after="0" w:line="133"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E0F2D"/>
        </w:rPr>
        <w:t>NEIL G. MITCHILL, JR., AND MICHAEL R. DUMAIS</w:t>
      </w:r>
    </w:p>
    <w:p>
      <w:pPr>
        <w:spacing w:after="0" w:line="215"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CE0F2D"/>
        </w:rPr>
        <w:t xml:space="preserve">UTC Merger Severance Plan for Corporate Office Executives and Other Key Employees. </w:t>
      </w:r>
      <w:r>
        <w:rPr>
          <w:rFonts w:ascii="Arial" w:cs="Arial" w:eastAsia="Arial" w:hAnsi="Arial"/>
          <w:sz w:val="16"/>
          <w:szCs w:val="16"/>
          <w:color w:val="000000"/>
        </w:rPr>
        <w:t>While the Merger was implemented as a “merger of equals,” as a</w:t>
      </w:r>
      <w:r>
        <w:rPr>
          <w:rFonts w:ascii="Arial" w:cs="Arial" w:eastAsia="Arial" w:hAnsi="Arial"/>
          <w:sz w:val="16"/>
          <w:szCs w:val="16"/>
          <w:color w:val="CE0F2D"/>
        </w:rPr>
        <w:t xml:space="preserve"> </w:t>
      </w:r>
      <w:r>
        <w:rPr>
          <w:rFonts w:ascii="Arial" w:cs="Arial" w:eastAsia="Arial" w:hAnsi="Arial"/>
          <w:sz w:val="16"/>
          <w:szCs w:val="16"/>
          <w:color w:val="000000"/>
        </w:rPr>
        <w:t>legal matter, it did not constitute a change-in-control event under legacy UTC’s severance and long-term incentive plans. However, prior to the execution of the Merger Agreement, the legacy UTC Compensation Committee determined that continuity of management and continued focus on business performance would be imperative to ensure the successful execution of the Carrier and Otis spinoffs and the Merger transaction, as well as the post-Merger integration work. To help ensure that Corporate executives remained with the Company and retained this focus, the Committee adopted the United Technologies Corporation Merger Severance Plan for Corporate Office Executives and Other Key Employees (the “UTC Merger Severance Plan”). This plan became effective on April 3, 2020 (the Merger close date) and will expire on the second anniversary of the Merger. It provides severance protections for Corporate executives who may be impacted by job loss, diminution of duty or reduction in compensation as a result of the Merger.</w:t>
      </w:r>
    </w:p>
    <w:p>
      <w:pPr>
        <w:spacing w:after="0" w:line="152"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Messrs. Mitchill and Dumais both participate in this plan. Under the terms of the plan, eligible executives whose employment is terminated without “cause” or who resign for “good reason” (both terms are defined in the plan) within two years of the Merger will be entitled to receive:</w:t>
      </w:r>
    </w:p>
    <w:p>
      <w:pPr>
        <w:spacing w:after="0" w:line="143" w:lineRule="exact"/>
        <w:rPr>
          <w:sz w:val="20"/>
          <w:szCs w:val="20"/>
          <w:color w:val="auto"/>
        </w:rPr>
      </w:pPr>
    </w:p>
    <w:p>
      <w:pPr>
        <w:ind w:left="200" w:right="440" w:hanging="193"/>
        <w:spacing w:after="0" w:line="256" w:lineRule="auto"/>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A lump-sum cash severance payment equal to two times the sum of the Officer’s annual base salary and target annual incentive award for the year of termination;</w:t>
      </w:r>
    </w:p>
    <w:p>
      <w:pPr>
        <w:spacing w:after="0" w:line="62" w:lineRule="exact"/>
        <w:rPr>
          <w:rFonts w:ascii="Arial" w:cs="Arial" w:eastAsia="Arial" w:hAnsi="Arial"/>
          <w:sz w:val="16"/>
          <w:szCs w:val="16"/>
          <w:color w:val="CE0F2D"/>
        </w:rPr>
      </w:pPr>
    </w:p>
    <w:p>
      <w:pPr>
        <w:ind w:left="200" w:hanging="193"/>
        <w:spacing w:after="0"/>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A pro-rated target annual incentive award for the year of termination;</w:t>
      </w:r>
    </w:p>
    <w:p>
      <w:pPr>
        <w:spacing w:after="0" w:line="83" w:lineRule="exact"/>
        <w:rPr>
          <w:rFonts w:ascii="Arial" w:cs="Arial" w:eastAsia="Arial" w:hAnsi="Arial"/>
          <w:sz w:val="16"/>
          <w:szCs w:val="16"/>
          <w:color w:val="CE0F2D"/>
        </w:rPr>
      </w:pPr>
    </w:p>
    <w:p>
      <w:pPr>
        <w:ind w:left="200" w:right="100" w:hanging="193"/>
        <w:spacing w:after="0" w:line="256" w:lineRule="auto"/>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Full vesting of all outstanding LTI awards as of the date of termination (with PSUs remaining eligible to vest, subject to performance results) and continued exercisability for vested SARs;</w:t>
      </w:r>
    </w:p>
    <w:p>
      <w:pPr>
        <w:spacing w:after="0" w:line="62" w:lineRule="exact"/>
        <w:rPr>
          <w:rFonts w:ascii="Arial" w:cs="Arial" w:eastAsia="Arial" w:hAnsi="Arial"/>
          <w:sz w:val="16"/>
          <w:szCs w:val="16"/>
          <w:color w:val="CE0F2D"/>
        </w:rPr>
      </w:pPr>
    </w:p>
    <w:p>
      <w:pPr>
        <w:ind w:left="200" w:hanging="193"/>
        <w:spacing w:after="0"/>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One year of health and welfare benefit coverage continuation, with premiums paid by the Company;</w:t>
      </w:r>
    </w:p>
    <w:p>
      <w:pPr>
        <w:spacing w:after="0" w:line="83" w:lineRule="exact"/>
        <w:rPr>
          <w:rFonts w:ascii="Arial" w:cs="Arial" w:eastAsia="Arial" w:hAnsi="Arial"/>
          <w:sz w:val="16"/>
          <w:szCs w:val="16"/>
          <w:color w:val="CE0F2D"/>
        </w:rPr>
      </w:pPr>
    </w:p>
    <w:p>
      <w:pPr>
        <w:ind w:left="200" w:hanging="193"/>
        <w:spacing w:after="0"/>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One year of outplacement services; and</w:t>
      </w:r>
    </w:p>
    <w:p>
      <w:pPr>
        <w:spacing w:after="0" w:line="83" w:lineRule="exact"/>
        <w:rPr>
          <w:rFonts w:ascii="Arial" w:cs="Arial" w:eastAsia="Arial" w:hAnsi="Arial"/>
          <w:sz w:val="16"/>
          <w:szCs w:val="16"/>
          <w:color w:val="CE0F2D"/>
        </w:rPr>
      </w:pPr>
    </w:p>
    <w:p>
      <w:pPr>
        <w:ind w:left="200" w:hanging="193"/>
        <w:spacing w:after="0"/>
        <w:tabs>
          <w:tab w:leader="none" w:pos="200" w:val="left"/>
        </w:tabs>
        <w:numPr>
          <w:ilvl w:val="0"/>
          <w:numId w:val="204"/>
        </w:numPr>
        <w:rPr>
          <w:rFonts w:ascii="Arial" w:cs="Arial" w:eastAsia="Arial" w:hAnsi="Arial"/>
          <w:sz w:val="16"/>
          <w:szCs w:val="16"/>
          <w:color w:val="CE0F2D"/>
        </w:rPr>
      </w:pPr>
      <w:r>
        <w:rPr>
          <w:rFonts w:ascii="Arial" w:cs="Arial" w:eastAsia="Arial" w:hAnsi="Arial"/>
          <w:sz w:val="16"/>
          <w:szCs w:val="16"/>
          <w:color w:val="auto"/>
        </w:rPr>
        <w:t>One-year continuation of financial planning services.</w:t>
      </w:r>
    </w:p>
    <w:p>
      <w:pPr>
        <w:spacing w:after="0" w:line="164" w:lineRule="exact"/>
        <w:rPr>
          <w:sz w:val="20"/>
          <w:szCs w:val="20"/>
          <w:color w:val="auto"/>
        </w:rPr>
      </w:pPr>
    </w:p>
    <w:p>
      <w:pPr>
        <w:ind w:right="600"/>
        <w:spacing w:after="0" w:line="256" w:lineRule="auto"/>
        <w:rPr>
          <w:sz w:val="20"/>
          <w:szCs w:val="20"/>
          <w:color w:val="auto"/>
        </w:rPr>
      </w:pPr>
      <w:r>
        <w:rPr>
          <w:rFonts w:ascii="Arial" w:cs="Arial" w:eastAsia="Arial" w:hAnsi="Arial"/>
          <w:sz w:val="16"/>
          <w:szCs w:val="16"/>
          <w:color w:val="auto"/>
        </w:rPr>
        <w:t>To receive benefits under this plan, executives must execute a release of claims in favor of RTX, a one-year non-competition covenant and a two-year employee and customer non-solicitation covenant.</w:t>
      </w:r>
    </w:p>
    <w:p>
      <w:pPr>
        <w:spacing w:after="0" w:line="14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E0F2D"/>
        </w:rPr>
        <w:t>Mr. Mitchill</w:t>
      </w:r>
      <w:r>
        <w:rPr>
          <w:rFonts w:ascii="Arial" w:cs="Arial" w:eastAsia="Arial" w:hAnsi="Arial"/>
          <w:sz w:val="16"/>
          <w:szCs w:val="16"/>
          <w:color w:val="auto"/>
        </w:rPr>
        <w:t xml:space="preserve"> would have been entitled to receive had his employment terminated on December 31, 2021, under various hypothetical circumstances.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920" w:type="dxa"/>
            <w:vAlign w:val="bottom"/>
          </w:tcPr>
          <w:p>
            <w:pPr>
              <w:spacing w:after="0"/>
              <w:rPr>
                <w:sz w:val="12"/>
                <w:szCs w:val="12"/>
                <w:color w:val="auto"/>
              </w:rPr>
            </w:pPr>
          </w:p>
        </w:tc>
        <w:tc>
          <w:tcPr>
            <w:tcW w:w="218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52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68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80" w:type="dxa"/>
            <w:vAlign w:val="bottom"/>
          </w:tcPr>
          <w:p>
            <w:pPr>
              <w:jc w:val="right"/>
              <w:ind w:right="30"/>
              <w:spacing w:after="0"/>
              <w:rPr>
                <w:sz w:val="20"/>
                <w:szCs w:val="20"/>
                <w:color w:val="auto"/>
              </w:rPr>
            </w:pPr>
            <w:r>
              <w:rPr>
                <w:rFonts w:ascii="Arial" w:cs="Arial" w:eastAsia="Arial" w:hAnsi="Arial"/>
                <w:sz w:val="12"/>
                <w:szCs w:val="12"/>
                <w:b w:val="1"/>
                <w:bCs w:val="1"/>
                <w:color w:val="61676D"/>
              </w:rPr>
              <w:t>Voluntary Separation</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61676D"/>
              </w:rPr>
              <w:t>Separation following</w:t>
            </w:r>
          </w:p>
        </w:tc>
      </w:tr>
      <w:tr>
        <w:trPr>
          <w:trHeight w:val="233"/>
        </w:trPr>
        <w:tc>
          <w:tcPr>
            <w:tcW w:w="2920" w:type="dxa"/>
            <w:vAlign w:val="bottom"/>
            <w:tcBorders>
              <w:bottom w:val="single" w:sz="8" w:color="CE0F2D"/>
            </w:tcBorders>
          </w:tcPr>
          <w:p>
            <w:pPr>
              <w:spacing w:after="0"/>
              <w:rPr>
                <w:sz w:val="20"/>
                <w:szCs w:val="20"/>
                <w:color w:val="auto"/>
              </w:rPr>
            </w:pPr>
          </w:p>
        </w:tc>
        <w:tc>
          <w:tcPr>
            <w:tcW w:w="21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(for Cause)</w:t>
            </w:r>
            <w:r>
              <w:rPr>
                <w:rFonts w:ascii="Arial" w:cs="Arial" w:eastAsia="Arial" w:hAnsi="Arial"/>
                <w:sz w:val="20"/>
                <w:szCs w:val="20"/>
                <w:b w:val="1"/>
                <w:bCs w:val="1"/>
                <w:color w:val="61676D"/>
                <w:vertAlign w:val="superscript"/>
              </w:rPr>
              <w:t>(1)</w:t>
            </w:r>
          </w:p>
        </w:tc>
        <w:tc>
          <w:tcPr>
            <w:tcW w:w="152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Cause)</w:t>
            </w:r>
            <w:r>
              <w:rPr>
                <w:rFonts w:ascii="Arial" w:cs="Arial" w:eastAsia="Arial" w:hAnsi="Arial"/>
                <w:sz w:val="20"/>
                <w:szCs w:val="20"/>
                <w:b w:val="1"/>
                <w:bCs w:val="1"/>
                <w:color w:val="61676D"/>
                <w:vertAlign w:val="superscript"/>
              </w:rPr>
              <w:t>(2)</w:t>
            </w:r>
          </w:p>
        </w:tc>
        <w:tc>
          <w:tcPr>
            <w:tcW w:w="16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Good Reason)</w:t>
            </w:r>
            <w:r>
              <w:rPr>
                <w:rFonts w:ascii="Arial" w:cs="Arial" w:eastAsia="Arial" w:hAnsi="Arial"/>
                <w:sz w:val="20"/>
                <w:szCs w:val="20"/>
                <w:b w:val="1"/>
                <w:bCs w:val="1"/>
                <w:color w:val="61676D"/>
                <w:vertAlign w:val="superscript"/>
              </w:rPr>
              <w:t>(3)</w:t>
            </w:r>
          </w:p>
        </w:tc>
        <w:tc>
          <w:tcPr>
            <w:tcW w:w="1480" w:type="dxa"/>
            <w:vAlign w:val="bottom"/>
            <w:tcBorders>
              <w:bottom w:val="single" w:sz="8" w:color="CE0F2D"/>
            </w:tcBorders>
          </w:tcPr>
          <w:p>
            <w:pPr>
              <w:jc w:val="right"/>
              <w:ind w:right="30"/>
              <w:spacing w:after="0" w:line="213" w:lineRule="exact"/>
              <w:rPr>
                <w:sz w:val="20"/>
                <w:szCs w:val="20"/>
                <w:color w:val="auto"/>
              </w:rPr>
            </w:pPr>
            <w:r>
              <w:rPr>
                <w:rFonts w:ascii="Arial" w:cs="Arial" w:eastAsia="Arial" w:hAnsi="Arial"/>
                <w:sz w:val="12"/>
                <w:szCs w:val="12"/>
                <w:b w:val="1"/>
                <w:bCs w:val="1"/>
                <w:color w:val="61676D"/>
              </w:rPr>
              <w:t>(with Good Reason)</w:t>
            </w:r>
            <w:r>
              <w:rPr>
                <w:rFonts w:ascii="Arial" w:cs="Arial" w:eastAsia="Arial" w:hAnsi="Arial"/>
                <w:sz w:val="20"/>
                <w:szCs w:val="20"/>
                <w:b w:val="1"/>
                <w:bCs w:val="1"/>
                <w:color w:val="61676D"/>
                <w:vertAlign w:val="superscript"/>
              </w:rPr>
              <w:t>(2)</w:t>
            </w:r>
          </w:p>
        </w:tc>
        <w:tc>
          <w:tcPr>
            <w:tcW w:w="1460" w:type="dxa"/>
            <w:vAlign w:val="bottom"/>
            <w:tcBorders>
              <w:bottom w:val="single" w:sz="8" w:color="CE0F2D"/>
            </w:tcBorders>
          </w:tcPr>
          <w:p>
            <w:pPr>
              <w:jc w:val="right"/>
              <w:spacing w:after="0" w:line="213" w:lineRule="exact"/>
              <w:rPr>
                <w:sz w:val="20"/>
                <w:szCs w:val="20"/>
                <w:color w:val="auto"/>
              </w:rPr>
            </w:pPr>
            <w:r>
              <w:rPr>
                <w:rFonts w:ascii="Arial" w:cs="Arial" w:eastAsia="Arial" w:hAnsi="Arial"/>
                <w:sz w:val="12"/>
                <w:szCs w:val="12"/>
                <w:b w:val="1"/>
                <w:bCs w:val="1"/>
                <w:color w:val="61676D"/>
              </w:rPr>
              <w:t>a Change-in-Control</w:t>
            </w:r>
            <w:r>
              <w:rPr>
                <w:rFonts w:ascii="Arial" w:cs="Arial" w:eastAsia="Arial" w:hAnsi="Arial"/>
                <w:sz w:val="20"/>
                <w:szCs w:val="20"/>
                <w:b w:val="1"/>
                <w:bCs w:val="1"/>
                <w:color w:val="61676D"/>
                <w:vertAlign w:val="superscript"/>
              </w:rPr>
              <w:t>(4)</w:t>
            </w:r>
          </w:p>
        </w:tc>
      </w:tr>
      <w:tr>
        <w:trPr>
          <w:trHeight w:val="241"/>
        </w:trPr>
        <w:tc>
          <w:tcPr>
            <w:tcW w:w="2920" w:type="dxa"/>
            <w:vAlign w:val="bottom"/>
            <w:tcBorders>
              <w:bottom w:val="single" w:sz="8" w:color="auto"/>
            </w:tcBorders>
          </w:tcPr>
          <w:p>
            <w:pPr>
              <w:ind w:left="60"/>
              <w:spacing w:after="0" w:line="241" w:lineRule="exact"/>
              <w:rPr>
                <w:sz w:val="20"/>
                <w:szCs w:val="20"/>
                <w:color w:val="auto"/>
              </w:rPr>
            </w:pPr>
            <w:r>
              <w:rPr>
                <w:rFonts w:ascii="Arial" w:cs="Arial" w:eastAsia="Arial" w:hAnsi="Arial"/>
                <w:sz w:val="14"/>
                <w:szCs w:val="14"/>
                <w:color w:val="auto"/>
              </w:rPr>
              <w:t>Cash Payment</w:t>
            </w:r>
            <w:r>
              <w:rPr>
                <w:rFonts w:ascii="Arial" w:cs="Arial" w:eastAsia="Arial" w:hAnsi="Arial"/>
                <w:sz w:val="23"/>
                <w:szCs w:val="23"/>
                <w:color w:val="auto"/>
                <w:vertAlign w:val="superscript"/>
              </w:rPr>
              <w:t>(5)</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$3,360,000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$3,360,000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$3,360,000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(6)</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(7)</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$31,863</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$31,863</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$31,863</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Financial Planning</w:t>
            </w:r>
            <w:r>
              <w:rPr>
                <w:rFonts w:ascii="Arial" w:cs="Arial" w:eastAsia="Arial" w:hAnsi="Arial"/>
                <w:sz w:val="23"/>
                <w:szCs w:val="23"/>
                <w:color w:val="auto"/>
                <w:vertAlign w:val="superscript"/>
              </w:rPr>
              <w:t>(7)</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$13,500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$13,500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Outplacement</w:t>
            </w:r>
            <w:r>
              <w:rPr>
                <w:rFonts w:ascii="Arial" w:cs="Arial" w:eastAsia="Arial" w:hAnsi="Arial"/>
                <w:sz w:val="23"/>
                <w:szCs w:val="23"/>
                <w:color w:val="auto"/>
                <w:vertAlign w:val="superscript"/>
              </w:rPr>
              <w:t>(7)</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$4,300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$4,300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w:t>
            </w:r>
          </w:p>
        </w:tc>
      </w:tr>
      <w:tr>
        <w:trPr>
          <w:trHeight w:val="234"/>
        </w:trPr>
        <w:tc>
          <w:tcPr>
            <w:tcW w:w="292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(8)</w:t>
            </w:r>
          </w:p>
        </w:tc>
        <w:tc>
          <w:tcPr>
            <w:tcW w:w="21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$1,011,671</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$1,011,671</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$1,011,671</w:t>
            </w:r>
          </w:p>
        </w:tc>
      </w:tr>
      <w:tr>
        <w:trPr>
          <w:trHeight w:val="241"/>
        </w:trPr>
        <w:tc>
          <w:tcPr>
            <w:tcW w:w="292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(8)</w:t>
            </w:r>
          </w:p>
        </w:tc>
        <w:tc>
          <w:tcPr>
            <w:tcW w:w="21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$8,905,919</w:t>
            </w:r>
          </w:p>
        </w:tc>
        <w:tc>
          <w:tcPr>
            <w:tcW w:w="16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$8,905,919</w:t>
            </w:r>
          </w:p>
        </w:tc>
        <w:tc>
          <w:tcPr>
            <w:tcW w:w="14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$8,905,919</w:t>
            </w:r>
          </w:p>
        </w:tc>
      </w:tr>
      <w:tr>
        <w:trPr>
          <w:trHeight w:val="221"/>
        </w:trPr>
        <w:tc>
          <w:tcPr>
            <w:tcW w:w="292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1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52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$13,327,253</w:t>
            </w:r>
          </w:p>
        </w:tc>
        <w:tc>
          <w:tcPr>
            <w:tcW w:w="16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4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b w:val="1"/>
                <w:bCs w:val="1"/>
                <w:color w:val="auto"/>
              </w:rPr>
              <w:t>$13,327,253</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$13,327,253</w:t>
            </w:r>
          </w:p>
        </w:tc>
      </w:tr>
    </w:tbl>
    <w:p>
      <w:pPr>
        <w:spacing w:after="0" w:line="128" w:lineRule="exact"/>
        <w:rPr>
          <w:sz w:val="20"/>
          <w:szCs w:val="20"/>
          <w:color w:val="auto"/>
        </w:rPr>
      </w:pPr>
    </w:p>
    <w:p>
      <w:pPr>
        <w:ind w:left="320" w:hanging="313"/>
        <w:spacing w:after="0"/>
        <w:tabs>
          <w:tab w:leader="none" w:pos="3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All outstanding LTI awards would forfeit and no severance would be payable upon involuntary termination for cause.</w:t>
      </w:r>
    </w:p>
    <w:p>
      <w:pPr>
        <w:spacing w:after="0" w:line="49" w:lineRule="exact"/>
        <w:rPr>
          <w:rFonts w:ascii="Arial" w:cs="Arial" w:eastAsia="Arial" w:hAnsi="Arial"/>
          <w:sz w:val="12"/>
          <w:szCs w:val="12"/>
          <w:color w:val="auto"/>
        </w:rPr>
      </w:pPr>
    </w:p>
    <w:p>
      <w:pPr>
        <w:ind w:left="320" w:right="120" w:hanging="313"/>
        <w:spacing w:after="0" w:line="252" w:lineRule="auto"/>
        <w:tabs>
          <w:tab w:leader="none" w:pos="3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During the two-year term of the UTC Merger Severance Plan, all outstanding LTI awards as of the date of separation would vest (or in the case of PSUs, remain eligible to vest subject to Company performance through the end of the performance period) upon involuntary termination (without cause) or voluntary separation (with good reason).</w:t>
      </w:r>
    </w:p>
    <w:p>
      <w:pPr>
        <w:spacing w:after="0" w:line="31" w:lineRule="exact"/>
        <w:rPr>
          <w:rFonts w:ascii="Arial" w:cs="Arial" w:eastAsia="Arial" w:hAnsi="Arial"/>
          <w:sz w:val="12"/>
          <w:szCs w:val="12"/>
          <w:color w:val="auto"/>
        </w:rPr>
      </w:pPr>
    </w:p>
    <w:p>
      <w:pPr>
        <w:ind w:left="320" w:right="100" w:hanging="313"/>
        <w:spacing w:after="0" w:line="252" w:lineRule="auto"/>
        <w:tabs>
          <w:tab w:leader="none" w:pos="3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As of December 31, 2021, Mr. Mitchill had not attained retirement eligibility status under the terms of the RTX LTIP. As a result, in the event of a voluntary separation (without good reason) from the Company, all unvested awards would forfeit.</w:t>
      </w:r>
    </w:p>
    <w:p>
      <w:pPr>
        <w:spacing w:after="0" w:line="31" w:lineRule="exact"/>
        <w:rPr>
          <w:rFonts w:ascii="Arial" w:cs="Arial" w:eastAsia="Arial" w:hAnsi="Arial"/>
          <w:sz w:val="12"/>
          <w:szCs w:val="12"/>
          <w:color w:val="auto"/>
        </w:rPr>
      </w:pPr>
    </w:p>
    <w:p>
      <w:pPr>
        <w:ind w:left="320" w:right="120" w:hanging="313"/>
        <w:spacing w:after="0" w:line="242" w:lineRule="auto"/>
        <w:tabs>
          <w:tab w:leader="none" w:pos="320" w:val="left"/>
        </w:tabs>
        <w:numPr>
          <w:ilvl w:val="0"/>
          <w:numId w:val="205"/>
        </w:numPr>
        <w:rPr>
          <w:rFonts w:ascii="Arial" w:cs="Arial" w:eastAsia="Arial" w:hAnsi="Arial"/>
          <w:sz w:val="12"/>
          <w:szCs w:val="12"/>
          <w:color w:val="auto"/>
        </w:rPr>
      </w:pPr>
      <w:r>
        <w:rPr>
          <w:rFonts w:ascii="Arial" w:cs="Arial" w:eastAsia="Arial" w:hAnsi="Arial"/>
          <w:sz w:val="12"/>
          <w:szCs w:val="12"/>
          <w:color w:val="auto"/>
        </w:rPr>
        <w:t>During the term of the UTC Merger Severance Plan, in the event of a qualifying termination following an RTX change-in-control, Mr. Mitchill would receive the same severance, benefits and LTI treatment he would receive upon an involuntary separation (without cause) or a voluntary separation (with good reason), except that the 2021 PSUs would vest in accordance with the RTX LTIP, at the greater of actual or target performance.</w:t>
      </w:r>
    </w:p>
    <w:p>
      <w:pPr>
        <w:spacing w:after="0" w:line="153" w:lineRule="exact"/>
        <w:rPr>
          <w:sz w:val="20"/>
          <w:szCs w:val="20"/>
          <w:color w:val="auto"/>
        </w:rPr>
      </w:pPr>
    </w:p>
    <w:p>
      <w:pPr>
        <w:ind w:left="260" w:hanging="253"/>
        <w:spacing w:after="0"/>
        <w:tabs>
          <w:tab w:leader="none" w:pos="260" w:val="left"/>
        </w:tabs>
        <w:numPr>
          <w:ilvl w:val="0"/>
          <w:numId w:val="20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5320"/>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44" w:lineRule="exact"/>
        <w:rPr>
          <w:sz w:val="20"/>
          <w:szCs w:val="20"/>
          <w:color w:val="auto"/>
        </w:rPr>
      </w:pPr>
    </w:p>
    <w:p>
      <w:pPr>
        <w:ind w:left="320" w:right="360" w:hanging="313"/>
        <w:spacing w:after="0" w:line="252" w:lineRule="auto"/>
        <w:tabs>
          <w:tab w:leader="none" w:pos="3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In accordance with the UTC Merger Severance Plan, amounts shown reflect cash severance that would be paid in the case of an involuntary (without cause) separation, a voluntary (with good reason) separation, or a qualifying separation within two years of an RTX change-in-control event.</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Mr. Mitchill does not participate in the Company’s pension plans.</w:t>
      </w:r>
    </w:p>
    <w:p>
      <w:pPr>
        <w:spacing w:after="0" w:line="49" w:lineRule="exact"/>
        <w:rPr>
          <w:rFonts w:ascii="Arial" w:cs="Arial" w:eastAsia="Arial" w:hAnsi="Arial"/>
          <w:sz w:val="12"/>
          <w:szCs w:val="12"/>
          <w:color w:val="auto"/>
        </w:rPr>
      </w:pPr>
    </w:p>
    <w:p>
      <w:pPr>
        <w:ind w:left="320" w:right="380" w:hanging="313"/>
        <w:spacing w:after="0" w:line="252" w:lineRule="auto"/>
        <w:tabs>
          <w:tab w:leader="none" w:pos="3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In accordance with the UTC Merger Severance Plan, amounts shown reflect the estimated cost for one-year continuation of health and welfare benefits (based on current elections), an annual executive physical, financial planning and outplacement services.</w:t>
      </w:r>
    </w:p>
    <w:p>
      <w:pPr>
        <w:spacing w:after="0" w:line="31"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07"/>
        </w:numPr>
        <w:rPr>
          <w:rFonts w:ascii="Arial" w:cs="Arial" w:eastAsia="Arial" w:hAnsi="Arial"/>
          <w:sz w:val="12"/>
          <w:szCs w:val="12"/>
          <w:color w:val="auto"/>
        </w:rPr>
      </w:pPr>
      <w:r>
        <w:rPr>
          <w:rFonts w:ascii="Arial" w:cs="Arial" w:eastAsia="Arial" w:hAnsi="Arial"/>
          <w:sz w:val="12"/>
          <w:szCs w:val="12"/>
          <w:color w:val="auto"/>
        </w:rPr>
        <w:t>Reflects the value of unvested LTI awards that would vest (or remain eligible to vest) following a separation from the Company, calculated using the closing stock price of RTX on the last trading day of 2021 ($86.06). Where included, the 2021 PSUs assume maximum-level performance based on estimated performance as of December 31, 2021.</w:t>
      </w:r>
    </w:p>
    <w:p>
      <w:pPr>
        <w:spacing w:after="0" w:line="146"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E0F2D"/>
        </w:rPr>
        <w:t>Mr. Dumais</w:t>
      </w:r>
      <w:r>
        <w:rPr>
          <w:rFonts w:ascii="Arial" w:cs="Arial" w:eastAsia="Arial" w:hAnsi="Arial"/>
          <w:sz w:val="16"/>
          <w:szCs w:val="16"/>
          <w:color w:val="auto"/>
        </w:rPr>
        <w:t xml:space="preserve"> would have been entitled to receive had his employment terminated on December 31, 2021, under various hypothetical circumstances.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900" w:type="dxa"/>
            <w:vAlign w:val="bottom"/>
          </w:tcPr>
          <w:p>
            <w:pPr>
              <w:spacing w:after="0"/>
              <w:rPr>
                <w:sz w:val="12"/>
                <w:szCs w:val="12"/>
                <w:color w:val="auto"/>
              </w:rPr>
            </w:pPr>
          </w:p>
        </w:tc>
        <w:tc>
          <w:tcPr>
            <w:tcW w:w="222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540" w:type="dxa"/>
            <w:vAlign w:val="bottom"/>
          </w:tcPr>
          <w:p>
            <w:pPr>
              <w:jc w:val="right"/>
              <w:ind w:right="30"/>
              <w:spacing w:after="0"/>
              <w:rPr>
                <w:sz w:val="20"/>
                <w:szCs w:val="20"/>
                <w:color w:val="auto"/>
              </w:rPr>
            </w:pPr>
            <w:r>
              <w:rPr>
                <w:rFonts w:ascii="Arial" w:cs="Arial" w:eastAsia="Arial" w:hAnsi="Arial"/>
                <w:sz w:val="12"/>
                <w:szCs w:val="12"/>
                <w:b w:val="1"/>
                <w:bCs w:val="1"/>
                <w:color w:val="61676D"/>
              </w:rPr>
              <w:t>Involuntary Separation</w:t>
            </w:r>
          </w:p>
        </w:tc>
        <w:tc>
          <w:tcPr>
            <w:tcW w:w="166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8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40" w:type="dxa"/>
            <w:vAlign w:val="bottom"/>
          </w:tcPr>
          <w:p>
            <w:pPr>
              <w:jc w:val="right"/>
              <w:spacing w:after="0"/>
              <w:rPr>
                <w:sz w:val="20"/>
                <w:szCs w:val="20"/>
                <w:color w:val="auto"/>
              </w:rPr>
            </w:pPr>
            <w:r>
              <w:rPr>
                <w:rFonts w:ascii="Arial" w:cs="Arial" w:eastAsia="Arial" w:hAnsi="Arial"/>
                <w:sz w:val="12"/>
                <w:szCs w:val="12"/>
                <w:b w:val="1"/>
                <w:bCs w:val="1"/>
                <w:color w:val="61676D"/>
              </w:rPr>
              <w:t>Separation following</w:t>
            </w:r>
          </w:p>
        </w:tc>
      </w:tr>
      <w:tr>
        <w:trPr>
          <w:trHeight w:val="233"/>
        </w:trPr>
        <w:tc>
          <w:tcPr>
            <w:tcW w:w="2900" w:type="dxa"/>
            <w:vAlign w:val="bottom"/>
            <w:tcBorders>
              <w:bottom w:val="single" w:sz="8" w:color="CE0F2D"/>
            </w:tcBorders>
          </w:tcPr>
          <w:p>
            <w:pPr>
              <w:spacing w:after="0"/>
              <w:rPr>
                <w:sz w:val="20"/>
                <w:szCs w:val="20"/>
                <w:color w:val="auto"/>
              </w:rPr>
            </w:pPr>
          </w:p>
        </w:tc>
        <w:tc>
          <w:tcPr>
            <w:tcW w:w="222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(for Cause)</w:t>
            </w:r>
            <w:r>
              <w:rPr>
                <w:rFonts w:ascii="Arial" w:cs="Arial" w:eastAsia="Arial" w:hAnsi="Arial"/>
                <w:sz w:val="20"/>
                <w:szCs w:val="20"/>
                <w:b w:val="1"/>
                <w:bCs w:val="1"/>
                <w:color w:val="61676D"/>
                <w:vertAlign w:val="superscript"/>
              </w:rPr>
              <w:t>(1)</w:t>
            </w:r>
          </w:p>
        </w:tc>
        <w:tc>
          <w:tcPr>
            <w:tcW w:w="1540" w:type="dxa"/>
            <w:vAlign w:val="bottom"/>
            <w:tcBorders>
              <w:bottom w:val="single" w:sz="8" w:color="CE0F2D"/>
            </w:tcBorders>
          </w:tcPr>
          <w:p>
            <w:pPr>
              <w:jc w:val="right"/>
              <w:ind w:right="30"/>
              <w:spacing w:after="0" w:line="213" w:lineRule="exact"/>
              <w:rPr>
                <w:sz w:val="20"/>
                <w:szCs w:val="20"/>
                <w:color w:val="auto"/>
              </w:rPr>
            </w:pPr>
            <w:r>
              <w:rPr>
                <w:rFonts w:ascii="Arial" w:cs="Arial" w:eastAsia="Arial" w:hAnsi="Arial"/>
                <w:sz w:val="12"/>
                <w:szCs w:val="12"/>
                <w:b w:val="1"/>
                <w:bCs w:val="1"/>
                <w:color w:val="61676D"/>
              </w:rPr>
              <w:t>(without Cause)</w:t>
            </w:r>
            <w:r>
              <w:rPr>
                <w:rFonts w:ascii="Arial" w:cs="Arial" w:eastAsia="Arial" w:hAnsi="Arial"/>
                <w:sz w:val="20"/>
                <w:szCs w:val="20"/>
                <w:b w:val="1"/>
                <w:bCs w:val="1"/>
                <w:color w:val="61676D"/>
                <w:vertAlign w:val="superscript"/>
              </w:rPr>
              <w:t>(2)</w:t>
            </w:r>
          </w:p>
        </w:tc>
        <w:tc>
          <w:tcPr>
            <w:tcW w:w="166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Good Reason)</w:t>
            </w:r>
            <w:r>
              <w:rPr>
                <w:rFonts w:ascii="Arial" w:cs="Arial" w:eastAsia="Arial" w:hAnsi="Arial"/>
                <w:sz w:val="20"/>
                <w:szCs w:val="20"/>
                <w:b w:val="1"/>
                <w:bCs w:val="1"/>
                <w:color w:val="61676D"/>
                <w:vertAlign w:val="superscript"/>
              </w:rPr>
              <w:t>(3)</w:t>
            </w:r>
          </w:p>
        </w:tc>
        <w:tc>
          <w:tcPr>
            <w:tcW w:w="14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 Good Reason)</w:t>
            </w:r>
            <w:r>
              <w:rPr>
                <w:rFonts w:ascii="Arial" w:cs="Arial" w:eastAsia="Arial" w:hAnsi="Arial"/>
                <w:sz w:val="20"/>
                <w:szCs w:val="20"/>
                <w:b w:val="1"/>
                <w:bCs w:val="1"/>
                <w:color w:val="61676D"/>
                <w:vertAlign w:val="superscript"/>
              </w:rPr>
              <w:t>(2)</w:t>
            </w:r>
          </w:p>
        </w:tc>
        <w:tc>
          <w:tcPr>
            <w:tcW w:w="1440" w:type="dxa"/>
            <w:vAlign w:val="bottom"/>
            <w:tcBorders>
              <w:bottom w:val="single" w:sz="8" w:color="CE0F2D"/>
            </w:tcBorders>
          </w:tcPr>
          <w:p>
            <w:pPr>
              <w:jc w:val="right"/>
              <w:spacing w:after="0" w:line="213" w:lineRule="exact"/>
              <w:rPr>
                <w:sz w:val="20"/>
                <w:szCs w:val="20"/>
                <w:color w:val="auto"/>
              </w:rPr>
            </w:pPr>
            <w:r>
              <w:rPr>
                <w:rFonts w:ascii="Arial" w:cs="Arial" w:eastAsia="Arial" w:hAnsi="Arial"/>
                <w:sz w:val="12"/>
                <w:szCs w:val="12"/>
                <w:b w:val="1"/>
                <w:bCs w:val="1"/>
                <w:color w:val="61676D"/>
              </w:rPr>
              <w:t>a Change-in-Control</w:t>
            </w:r>
            <w:r>
              <w:rPr>
                <w:rFonts w:ascii="Arial" w:cs="Arial" w:eastAsia="Arial" w:hAnsi="Arial"/>
                <w:sz w:val="20"/>
                <w:szCs w:val="20"/>
                <w:b w:val="1"/>
                <w:bCs w:val="1"/>
                <w:color w:val="61676D"/>
                <w:vertAlign w:val="superscript"/>
              </w:rPr>
              <w:t>(4)</w:t>
            </w:r>
          </w:p>
        </w:tc>
      </w:tr>
      <w:tr>
        <w:trPr>
          <w:trHeight w:val="241"/>
        </w:trPr>
        <w:tc>
          <w:tcPr>
            <w:tcW w:w="2900" w:type="dxa"/>
            <w:vAlign w:val="bottom"/>
            <w:tcBorders>
              <w:bottom w:val="single" w:sz="8" w:color="auto"/>
            </w:tcBorders>
          </w:tcPr>
          <w:p>
            <w:pPr>
              <w:ind w:left="60"/>
              <w:spacing w:after="0" w:line="241" w:lineRule="exact"/>
              <w:rPr>
                <w:sz w:val="20"/>
                <w:szCs w:val="20"/>
                <w:color w:val="auto"/>
              </w:rPr>
            </w:pPr>
            <w:r>
              <w:rPr>
                <w:rFonts w:ascii="Arial" w:cs="Arial" w:eastAsia="Arial" w:hAnsi="Arial"/>
                <w:sz w:val="14"/>
                <w:szCs w:val="14"/>
                <w:color w:val="auto"/>
              </w:rPr>
              <w:t>Cash Payment</w:t>
            </w:r>
            <w:r>
              <w:rPr>
                <w:rFonts w:ascii="Arial" w:cs="Arial" w:eastAsia="Arial" w:hAnsi="Arial"/>
                <w:sz w:val="23"/>
                <w:szCs w:val="23"/>
                <w:color w:val="auto"/>
                <w:vertAlign w:val="superscript"/>
              </w:rPr>
              <w:t>(5)</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$3,344,000</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$3,344,000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$3,344,000</w:t>
            </w:r>
          </w:p>
        </w:tc>
      </w:tr>
      <w:tr>
        <w:trPr>
          <w:trHeight w:val="234"/>
        </w:trPr>
        <w:tc>
          <w:tcPr>
            <w:tcW w:w="290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(6)</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34"/>
        </w:trPr>
        <w:tc>
          <w:tcPr>
            <w:tcW w:w="290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(7)</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$32,233</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$32,233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$32,233</w:t>
            </w:r>
          </w:p>
        </w:tc>
      </w:tr>
      <w:tr>
        <w:trPr>
          <w:trHeight w:val="234"/>
        </w:trPr>
        <w:tc>
          <w:tcPr>
            <w:tcW w:w="290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Financial Planning</w:t>
            </w:r>
            <w:r>
              <w:rPr>
                <w:rFonts w:ascii="Arial" w:cs="Arial" w:eastAsia="Arial" w:hAnsi="Arial"/>
                <w:sz w:val="23"/>
                <w:szCs w:val="23"/>
                <w:color w:val="auto"/>
                <w:vertAlign w:val="superscript"/>
              </w:rPr>
              <w:t>(7)</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$13,500</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$13,500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$13,500</w:t>
            </w:r>
          </w:p>
        </w:tc>
      </w:tr>
      <w:tr>
        <w:trPr>
          <w:trHeight w:val="234"/>
        </w:trPr>
        <w:tc>
          <w:tcPr>
            <w:tcW w:w="290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Outplacement</w:t>
            </w:r>
            <w:r>
              <w:rPr>
                <w:rFonts w:ascii="Arial" w:cs="Arial" w:eastAsia="Arial" w:hAnsi="Arial"/>
                <w:sz w:val="23"/>
                <w:szCs w:val="23"/>
                <w:color w:val="auto"/>
                <w:vertAlign w:val="superscript"/>
              </w:rPr>
              <w:t>(7)</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$4,300</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$4,300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$4,300</w:t>
            </w:r>
          </w:p>
        </w:tc>
      </w:tr>
      <w:tr>
        <w:trPr>
          <w:trHeight w:val="234"/>
        </w:trPr>
        <w:tc>
          <w:tcPr>
            <w:tcW w:w="290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(8)</w:t>
            </w:r>
          </w:p>
        </w:tc>
        <w:tc>
          <w:tcPr>
            <w:tcW w:w="22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$2,397,806</w:t>
            </w:r>
          </w:p>
        </w:tc>
        <w:tc>
          <w:tcPr>
            <w:tcW w:w="16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$1,802,083</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$2,397,806</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$2,397,806</w:t>
            </w:r>
          </w:p>
        </w:tc>
      </w:tr>
      <w:tr>
        <w:trPr>
          <w:trHeight w:val="241"/>
        </w:trPr>
        <w:tc>
          <w:tcPr>
            <w:tcW w:w="290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 xml:space="preserve">Stock Awards </w:t>
            </w:r>
            <w:r>
              <w:rPr>
                <w:rFonts w:ascii="Arial" w:cs="Arial" w:eastAsia="Arial" w:hAnsi="Arial"/>
                <w:sz w:val="23"/>
                <w:szCs w:val="23"/>
                <w:color w:val="auto"/>
                <w:vertAlign w:val="superscript"/>
              </w:rPr>
              <w:t>(8)</w:t>
            </w:r>
          </w:p>
        </w:tc>
        <w:tc>
          <w:tcPr>
            <w:tcW w:w="222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54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$13,382,846</w:t>
            </w:r>
          </w:p>
        </w:tc>
        <w:tc>
          <w:tcPr>
            <w:tcW w:w="16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$3,827,346</w:t>
            </w:r>
          </w:p>
        </w:tc>
        <w:tc>
          <w:tcPr>
            <w:tcW w:w="14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$13,382,846</w:t>
            </w:r>
          </w:p>
        </w:tc>
        <w:tc>
          <w:tcPr>
            <w:tcW w:w="144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$13,382,846</w:t>
            </w:r>
          </w:p>
        </w:tc>
      </w:tr>
      <w:tr>
        <w:trPr>
          <w:trHeight w:val="221"/>
        </w:trPr>
        <w:tc>
          <w:tcPr>
            <w:tcW w:w="290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22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54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b w:val="1"/>
                <w:bCs w:val="1"/>
                <w:color w:val="auto"/>
              </w:rPr>
              <w:t>$19,174,685</w:t>
            </w:r>
          </w:p>
        </w:tc>
        <w:tc>
          <w:tcPr>
            <w:tcW w:w="166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$5,629,430</w:t>
            </w:r>
          </w:p>
        </w:tc>
        <w:tc>
          <w:tcPr>
            <w:tcW w:w="14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$19,174,685</w:t>
            </w:r>
          </w:p>
        </w:tc>
        <w:tc>
          <w:tcPr>
            <w:tcW w:w="144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$19,174,685</w:t>
            </w:r>
          </w:p>
        </w:tc>
      </w:tr>
    </w:tbl>
    <w:p>
      <w:pPr>
        <w:spacing w:after="0" w:line="128" w:lineRule="exact"/>
        <w:rPr>
          <w:sz w:val="20"/>
          <w:szCs w:val="20"/>
          <w:color w:val="auto"/>
        </w:rPr>
      </w:pPr>
    </w:p>
    <w:p>
      <w:pPr>
        <w:ind w:left="320" w:hanging="313"/>
        <w:spacing w:after="0"/>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All outstanding LTI awards would forfeit and no severance would be payable upon involuntary termination for cause.</w:t>
      </w:r>
    </w:p>
    <w:p>
      <w:pPr>
        <w:spacing w:after="0" w:line="49" w:lineRule="exact"/>
        <w:rPr>
          <w:rFonts w:ascii="Arial" w:cs="Arial" w:eastAsia="Arial" w:hAnsi="Arial"/>
          <w:sz w:val="12"/>
          <w:szCs w:val="12"/>
          <w:color w:val="auto"/>
        </w:rPr>
      </w:pPr>
    </w:p>
    <w:p>
      <w:pPr>
        <w:ind w:left="320" w:right="120" w:hanging="313"/>
        <w:spacing w:after="0" w:line="25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During the two-year term of the UTC Merger Severance Plan, all outstanding LTI awards as of the date of separation would vest (or in the case of PSUs, remain eligible to vest subject to Company performance through the end of the performance period) upon involuntary termination (without cause) or voluntary separation (with good reason).</w:t>
      </w:r>
    </w:p>
    <w:p>
      <w:pPr>
        <w:spacing w:after="0" w:line="31" w:lineRule="exact"/>
        <w:rPr>
          <w:rFonts w:ascii="Arial" w:cs="Arial" w:eastAsia="Arial" w:hAnsi="Arial"/>
          <w:sz w:val="12"/>
          <w:szCs w:val="12"/>
          <w:color w:val="auto"/>
        </w:rPr>
      </w:pPr>
    </w:p>
    <w:p>
      <w:pPr>
        <w:ind w:left="320" w:right="40" w:hanging="313"/>
        <w:spacing w:after="0" w:line="23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As of December 31, 2021, Mr. Dumais had attained retirement eligibility status under the terms of the RTX LTIP. As a result, in the event of a voluntary separation (without good reason) from the Company, his annual LTI awards would receive the beneficial treatment reserved for retirement-eligible employees. These awards, if outstanding for more than one year, would be treated as follows:</w:t>
      </w:r>
    </w:p>
    <w:p>
      <w:pPr>
        <w:spacing w:after="0" w:line="1" w:lineRule="exact"/>
        <w:rPr>
          <w:rFonts w:ascii="Arial" w:cs="Arial" w:eastAsia="Arial" w:hAnsi="Arial"/>
          <w:sz w:val="12"/>
          <w:szCs w:val="12"/>
          <w:color w:val="auto"/>
        </w:rPr>
      </w:pPr>
    </w:p>
    <w:p>
      <w:pPr>
        <w:ind w:left="320" w:right="40"/>
        <w:spacing w:after="0" w:line="242" w:lineRule="auto"/>
        <w:rPr>
          <w:rFonts w:ascii="Arial" w:cs="Arial" w:eastAsia="Arial" w:hAnsi="Arial"/>
          <w:sz w:val="12"/>
          <w:szCs w:val="12"/>
          <w:color w:val="auto"/>
        </w:rPr>
      </w:pPr>
      <w:r>
        <w:rPr>
          <w:rFonts w:ascii="Arial" w:cs="Arial" w:eastAsia="Arial" w:hAnsi="Arial"/>
          <w:sz w:val="12"/>
          <w:szCs w:val="12"/>
          <w:color w:val="auto"/>
        </w:rPr>
        <w:t>(1) SAR and RSU awards outstanding would vest; and (2) PSUs (that converted to RSUs upon the spinoffs of Carrier and Otis) would remain eligible to vest on the original vest date. Awards outstanding for less than one year, ELG RSUs and the retention RSUs granted to Mr. Dumais on February 5, 2019, which does not carry beneficial retirement treatment, would forfeit in the case of a voluntary separation (without good reason) from the Company.</w:t>
      </w:r>
    </w:p>
    <w:p>
      <w:pPr>
        <w:spacing w:after="0" w:line="37" w:lineRule="exact"/>
        <w:rPr>
          <w:rFonts w:ascii="Arial" w:cs="Arial" w:eastAsia="Arial" w:hAnsi="Arial"/>
          <w:sz w:val="12"/>
          <w:szCs w:val="12"/>
          <w:color w:val="auto"/>
        </w:rPr>
      </w:pPr>
    </w:p>
    <w:p>
      <w:pPr>
        <w:ind w:left="320" w:right="120" w:hanging="313"/>
        <w:spacing w:after="0" w:line="24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During the term of the UTC Merger Severance Plan, in the event of a qualifying termination within two years of an RTX change-in-control, Mr. Dumais would receive the same severance, benefits and LTI treatment he would receive upon an involuntary separation (without cause) or a voluntary separation (with good reason), except that the 2021 PSUs would vest in accordance with the RTX LTIP, at the greater of actual or target performance.</w:t>
      </w:r>
    </w:p>
    <w:p>
      <w:pPr>
        <w:spacing w:after="0" w:line="37" w:lineRule="exact"/>
        <w:rPr>
          <w:rFonts w:ascii="Arial" w:cs="Arial" w:eastAsia="Arial" w:hAnsi="Arial"/>
          <w:sz w:val="12"/>
          <w:szCs w:val="12"/>
          <w:color w:val="auto"/>
        </w:rPr>
      </w:pPr>
    </w:p>
    <w:p>
      <w:pPr>
        <w:ind w:left="320" w:right="360" w:hanging="313"/>
        <w:spacing w:after="0" w:line="25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accordance with the UTC Merger Severance Plan, amounts shown reflect cash severance that would be paid in the case of an involuntary (without cause) separation, a voluntary (with good reason) separation, or a qualifying separation within two years of an RTX change-in-control event.</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An estimated lump-sum present value of the qualified and nonqualified pension benefits payable upon a separation from the Company can be found in the Pension Benefits table on page 75.</w:t>
      </w:r>
    </w:p>
    <w:p>
      <w:pPr>
        <w:spacing w:after="0" w:line="49" w:lineRule="exact"/>
        <w:rPr>
          <w:rFonts w:ascii="Arial" w:cs="Arial" w:eastAsia="Arial" w:hAnsi="Arial"/>
          <w:sz w:val="12"/>
          <w:szCs w:val="12"/>
          <w:color w:val="auto"/>
        </w:rPr>
      </w:pPr>
    </w:p>
    <w:p>
      <w:pPr>
        <w:ind w:left="320" w:right="460" w:hanging="313"/>
        <w:spacing w:after="0" w:line="25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In accordance with the UTC Merger Severance Plan, amounts shown reflect the estimated cost for one-year continuation of health and welfare benefits based on current elections, an annual executive physical, financial planning and outplacement services.</w:t>
      </w:r>
    </w:p>
    <w:p>
      <w:pPr>
        <w:spacing w:after="0" w:line="31"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08"/>
        </w:numPr>
        <w:rPr>
          <w:rFonts w:ascii="Arial" w:cs="Arial" w:eastAsia="Arial" w:hAnsi="Arial"/>
          <w:sz w:val="12"/>
          <w:szCs w:val="12"/>
          <w:color w:val="auto"/>
        </w:rPr>
      </w:pPr>
      <w:r>
        <w:rPr>
          <w:rFonts w:ascii="Arial" w:cs="Arial" w:eastAsia="Arial" w:hAnsi="Arial"/>
          <w:sz w:val="12"/>
          <w:szCs w:val="12"/>
          <w:color w:val="auto"/>
        </w:rPr>
        <w:t>Reflects the value of unvested LTI awards that would vest (or remain eligible to vest) following a separation from the Company, calculated using the closing stock price of RTX on the last trading day of 2021 ($86.06). Where included, the 2021 PSUs assume maximum-level performance based on estimated performance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E0F2D"/>
        </w:rPr>
        <w:t>CHRISTOPHER T. CALIO AND STEPHEN J. TIMM</w:t>
      </w:r>
    </w:p>
    <w:p>
      <w:pPr>
        <w:spacing w:after="0" w:line="20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CE0F2D"/>
        </w:rPr>
        <w:t xml:space="preserve">ELG RSU Award. </w:t>
      </w:r>
      <w:r>
        <w:rPr>
          <w:rFonts w:ascii="Arial" w:cs="Arial" w:eastAsia="Arial" w:hAnsi="Arial"/>
          <w:sz w:val="16"/>
          <w:szCs w:val="16"/>
          <w:color w:val="000000"/>
        </w:rPr>
        <w:t>Upon Messrs. Calio’s and Timm’s appointment to the Executive Leadership Group (“ELG”), they were granted an ELG RSU award that will</w:t>
      </w:r>
      <w:r>
        <w:rPr>
          <w:rFonts w:ascii="Arial" w:cs="Arial" w:eastAsia="Arial" w:hAnsi="Arial"/>
          <w:sz w:val="16"/>
          <w:szCs w:val="16"/>
          <w:color w:val="CE0F2D"/>
        </w:rPr>
        <w:t xml:space="preserve"> </w:t>
      </w:r>
      <w:r>
        <w:rPr>
          <w:rFonts w:ascii="Arial" w:cs="Arial" w:eastAsia="Arial" w:hAnsi="Arial"/>
          <w:sz w:val="16"/>
          <w:szCs w:val="16"/>
          <w:color w:val="000000"/>
        </w:rPr>
        <w:t>vest only upon a qualifying separation (as defined under the ELG program and detailed on pages 62-63), and upon the execution of an agreement containing post-employment restrictive covenants designed to protect the Company’s interests, including (i) non-competition; (ii) employee non-solicitation; (iii) non-disparagement; (iv) protection of confidential, sensitive, and proprietary information; and (v) post-termination cooperation.</w:t>
      </w:r>
    </w:p>
    <w:p>
      <w:pPr>
        <w:spacing w:after="0" w:line="150" w:lineRule="exact"/>
        <w:rPr>
          <w:sz w:val="20"/>
          <w:szCs w:val="20"/>
          <w:color w:val="auto"/>
        </w:rPr>
      </w:pPr>
    </w:p>
    <w:p>
      <w:pPr>
        <w:jc w:val="both"/>
        <w:ind w:right="280"/>
        <w:spacing w:after="0" w:line="250" w:lineRule="auto"/>
        <w:rPr>
          <w:sz w:val="20"/>
          <w:szCs w:val="20"/>
          <w:color w:val="auto"/>
        </w:rPr>
      </w:pPr>
      <w:r>
        <w:rPr>
          <w:rFonts w:ascii="Arial" w:cs="Arial" w:eastAsia="Arial" w:hAnsi="Arial"/>
          <w:sz w:val="16"/>
          <w:szCs w:val="16"/>
          <w:color w:val="CE0F2D"/>
        </w:rPr>
        <w:t xml:space="preserve">RTX 2018 Long-Term Incentive Plan. </w:t>
      </w:r>
      <w:r>
        <w:rPr>
          <w:rFonts w:ascii="Arial" w:cs="Arial" w:eastAsia="Arial" w:hAnsi="Arial"/>
          <w:sz w:val="16"/>
          <w:szCs w:val="16"/>
          <w:color w:val="000000"/>
        </w:rPr>
        <w:t>Under the RTX LTIP, in the case of a qualifying termination (as defined in the plan) within two years following an RTX</w:t>
      </w:r>
      <w:r>
        <w:rPr>
          <w:rFonts w:ascii="Arial" w:cs="Arial" w:eastAsia="Arial" w:hAnsi="Arial"/>
          <w:sz w:val="16"/>
          <w:szCs w:val="16"/>
          <w:color w:val="CE0F2D"/>
        </w:rPr>
        <w:t xml:space="preserve"> </w:t>
      </w:r>
      <w:r>
        <w:rPr>
          <w:rFonts w:ascii="Arial" w:cs="Arial" w:eastAsia="Arial" w:hAnsi="Arial"/>
          <w:sz w:val="16"/>
          <w:szCs w:val="16"/>
          <w:color w:val="000000"/>
        </w:rPr>
        <w:t>change-in-control event (as defined in the plan), all outstanding LTI awards (including ELG RSUs) would vest, with PSUs vesting at the greater of actual or target performance.</w:t>
      </w:r>
    </w:p>
    <w:p>
      <w:pPr>
        <w:spacing w:after="0" w:line="13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78"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E0F2D"/>
        </w:rPr>
        <w:t>Mr. Calio</w:t>
      </w:r>
      <w:r>
        <w:rPr>
          <w:rFonts w:ascii="Arial" w:cs="Arial" w:eastAsia="Arial" w:hAnsi="Arial"/>
          <w:sz w:val="16"/>
          <w:szCs w:val="16"/>
          <w:color w:val="auto"/>
        </w:rPr>
        <w:t xml:space="preserve"> would have been entitled to receive had his employment terminated on December 31, 2021, under various hypothetical circumstances.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40" w:type="dxa"/>
            <w:vAlign w:val="bottom"/>
          </w:tcPr>
          <w:p>
            <w:pPr>
              <w:spacing w:after="0"/>
              <w:rPr>
                <w:sz w:val="12"/>
                <w:szCs w:val="12"/>
                <w:color w:val="auto"/>
              </w:rPr>
            </w:pPr>
          </w:p>
        </w:tc>
        <w:tc>
          <w:tcPr>
            <w:tcW w:w="226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52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68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80" w:type="dxa"/>
            <w:vAlign w:val="bottom"/>
          </w:tcPr>
          <w:p>
            <w:pPr>
              <w:jc w:val="right"/>
              <w:ind w:right="30"/>
              <w:spacing w:after="0"/>
              <w:rPr>
                <w:sz w:val="20"/>
                <w:szCs w:val="20"/>
                <w:color w:val="auto"/>
              </w:rPr>
            </w:pPr>
            <w:r>
              <w:rPr>
                <w:rFonts w:ascii="Arial" w:cs="Arial" w:eastAsia="Arial" w:hAnsi="Arial"/>
                <w:sz w:val="12"/>
                <w:szCs w:val="12"/>
                <w:b w:val="1"/>
                <w:bCs w:val="1"/>
                <w:color w:val="61676D"/>
              </w:rPr>
              <w:t>Voluntary Separation</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61676D"/>
              </w:rPr>
              <w:t>Separation following</w:t>
            </w:r>
          </w:p>
        </w:tc>
      </w:tr>
      <w:tr>
        <w:trPr>
          <w:trHeight w:val="233"/>
        </w:trPr>
        <w:tc>
          <w:tcPr>
            <w:tcW w:w="2840" w:type="dxa"/>
            <w:vAlign w:val="bottom"/>
            <w:tcBorders>
              <w:bottom w:val="single" w:sz="8" w:color="CE0F2D"/>
            </w:tcBorders>
          </w:tcPr>
          <w:p>
            <w:pPr>
              <w:spacing w:after="0"/>
              <w:rPr>
                <w:sz w:val="20"/>
                <w:szCs w:val="20"/>
                <w:color w:val="auto"/>
              </w:rPr>
            </w:pPr>
          </w:p>
        </w:tc>
        <w:tc>
          <w:tcPr>
            <w:tcW w:w="226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(for Cause)</w:t>
            </w:r>
            <w:r>
              <w:rPr>
                <w:rFonts w:ascii="Arial" w:cs="Arial" w:eastAsia="Arial" w:hAnsi="Arial"/>
                <w:sz w:val="20"/>
                <w:szCs w:val="20"/>
                <w:b w:val="1"/>
                <w:bCs w:val="1"/>
                <w:color w:val="61676D"/>
                <w:vertAlign w:val="superscript"/>
              </w:rPr>
              <w:t>(1)</w:t>
            </w:r>
          </w:p>
        </w:tc>
        <w:tc>
          <w:tcPr>
            <w:tcW w:w="152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Cause)</w:t>
            </w:r>
            <w:r>
              <w:rPr>
                <w:rFonts w:ascii="Arial" w:cs="Arial" w:eastAsia="Arial" w:hAnsi="Arial"/>
                <w:sz w:val="20"/>
                <w:szCs w:val="20"/>
                <w:b w:val="1"/>
                <w:bCs w:val="1"/>
                <w:color w:val="61676D"/>
                <w:vertAlign w:val="superscript"/>
              </w:rPr>
              <w:t>(2)</w:t>
            </w:r>
          </w:p>
        </w:tc>
        <w:tc>
          <w:tcPr>
            <w:tcW w:w="16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Good Reason)</w:t>
            </w:r>
            <w:r>
              <w:rPr>
                <w:rFonts w:ascii="Arial" w:cs="Arial" w:eastAsia="Arial" w:hAnsi="Arial"/>
                <w:sz w:val="20"/>
                <w:szCs w:val="20"/>
                <w:b w:val="1"/>
                <w:bCs w:val="1"/>
                <w:color w:val="61676D"/>
                <w:vertAlign w:val="superscript"/>
              </w:rPr>
              <w:t>(3)</w:t>
            </w:r>
          </w:p>
        </w:tc>
        <w:tc>
          <w:tcPr>
            <w:tcW w:w="1480" w:type="dxa"/>
            <w:vAlign w:val="bottom"/>
            <w:tcBorders>
              <w:bottom w:val="single" w:sz="8" w:color="CE0F2D"/>
            </w:tcBorders>
          </w:tcPr>
          <w:p>
            <w:pPr>
              <w:jc w:val="right"/>
              <w:ind w:right="30"/>
              <w:spacing w:after="0" w:line="213" w:lineRule="exact"/>
              <w:rPr>
                <w:sz w:val="20"/>
                <w:szCs w:val="20"/>
                <w:color w:val="auto"/>
              </w:rPr>
            </w:pPr>
            <w:r>
              <w:rPr>
                <w:rFonts w:ascii="Arial" w:cs="Arial" w:eastAsia="Arial" w:hAnsi="Arial"/>
                <w:sz w:val="12"/>
                <w:szCs w:val="12"/>
                <w:b w:val="1"/>
                <w:bCs w:val="1"/>
                <w:color w:val="61676D"/>
              </w:rPr>
              <w:t>(with Good Reason)</w:t>
            </w:r>
            <w:r>
              <w:rPr>
                <w:rFonts w:ascii="Arial" w:cs="Arial" w:eastAsia="Arial" w:hAnsi="Arial"/>
                <w:sz w:val="20"/>
                <w:szCs w:val="20"/>
                <w:b w:val="1"/>
                <w:bCs w:val="1"/>
                <w:color w:val="61676D"/>
                <w:vertAlign w:val="superscript"/>
              </w:rPr>
              <w:t>(3)</w:t>
            </w:r>
          </w:p>
        </w:tc>
        <w:tc>
          <w:tcPr>
            <w:tcW w:w="1460" w:type="dxa"/>
            <w:vAlign w:val="bottom"/>
            <w:tcBorders>
              <w:bottom w:val="single" w:sz="8" w:color="CE0F2D"/>
            </w:tcBorders>
          </w:tcPr>
          <w:p>
            <w:pPr>
              <w:jc w:val="right"/>
              <w:spacing w:after="0" w:line="213" w:lineRule="exact"/>
              <w:rPr>
                <w:sz w:val="20"/>
                <w:szCs w:val="20"/>
                <w:color w:val="auto"/>
              </w:rPr>
            </w:pPr>
            <w:r>
              <w:rPr>
                <w:rFonts w:ascii="Arial" w:cs="Arial" w:eastAsia="Arial" w:hAnsi="Arial"/>
                <w:sz w:val="12"/>
                <w:szCs w:val="12"/>
                <w:b w:val="1"/>
                <w:bCs w:val="1"/>
                <w:color w:val="61676D"/>
              </w:rPr>
              <w:t>a Change-in-Control</w:t>
            </w:r>
            <w:r>
              <w:rPr>
                <w:rFonts w:ascii="Arial" w:cs="Arial" w:eastAsia="Arial" w:hAnsi="Arial"/>
                <w:sz w:val="20"/>
                <w:szCs w:val="20"/>
                <w:b w:val="1"/>
                <w:bCs w:val="1"/>
                <w:color w:val="61676D"/>
                <w:vertAlign w:val="superscript"/>
              </w:rPr>
              <w:t>(4)</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Cash Payment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40"/>
        </w:trPr>
        <w:tc>
          <w:tcPr>
            <w:tcW w:w="284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(5)</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2"/>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Health &amp; Welfare Continuation</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Financial Planning</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Outplacement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40"/>
        </w:trPr>
        <w:tc>
          <w:tcPr>
            <w:tcW w:w="284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(6)</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$769,472</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$1,387,179</w:t>
            </w:r>
          </w:p>
        </w:tc>
      </w:tr>
      <w:tr>
        <w:trPr>
          <w:trHeight w:val="241"/>
        </w:trPr>
        <w:tc>
          <w:tcPr>
            <w:tcW w:w="284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(6)</w:t>
            </w:r>
          </w:p>
        </w:tc>
        <w:tc>
          <w:tcPr>
            <w:tcW w:w="22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$3,442,175</w:t>
            </w:r>
          </w:p>
        </w:tc>
        <w:tc>
          <w:tcPr>
            <w:tcW w:w="16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$12,444,104</w:t>
            </w:r>
          </w:p>
        </w:tc>
      </w:tr>
      <w:tr>
        <w:trPr>
          <w:trHeight w:val="221"/>
        </w:trPr>
        <w:tc>
          <w:tcPr>
            <w:tcW w:w="284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26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52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$4,211,647</w:t>
            </w:r>
          </w:p>
        </w:tc>
        <w:tc>
          <w:tcPr>
            <w:tcW w:w="16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4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b w:val="1"/>
                <w:bCs w:val="1"/>
                <w:color w:val="auto"/>
              </w:rPr>
              <w:t>$0</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$13,831,283</w:t>
            </w:r>
          </w:p>
        </w:tc>
      </w:tr>
    </w:tbl>
    <w:p>
      <w:pPr>
        <w:spacing w:after="0" w:line="128" w:lineRule="exact"/>
        <w:rPr>
          <w:sz w:val="20"/>
          <w:szCs w:val="20"/>
          <w:color w:val="auto"/>
        </w:rPr>
      </w:pPr>
    </w:p>
    <w:p>
      <w:pPr>
        <w:ind w:left="320" w:hanging="313"/>
        <w:spacing w:after="0"/>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Outstanding LTI awards would forfeit upon involuntary termination for cause.</w:t>
      </w:r>
    </w:p>
    <w:p>
      <w:pPr>
        <w:spacing w:after="0" w:line="49" w:lineRule="exact"/>
        <w:rPr>
          <w:rFonts w:ascii="Arial" w:cs="Arial" w:eastAsia="Arial" w:hAnsi="Arial"/>
          <w:sz w:val="12"/>
          <w:szCs w:val="12"/>
          <w:color w:val="auto"/>
        </w:rPr>
      </w:pPr>
    </w:p>
    <w:p>
      <w:pPr>
        <w:ind w:left="320" w:right="80" w:hanging="313"/>
        <w:spacing w:after="0"/>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In the event of an involuntary separation (without cause), ELG RSUs would vest and outstanding awards held for at least one year, would be treated as follows: (1) SARs and RSUs would vest on a pro-rata basis; and (2) a pro-rata portion of PSUs (that converted to RSUs upon the spinoffs of Carrier and Otis) would remain eligible to vest on the original vesting date. Annual LTI awards outstanding for less than one year and the retention RSUs granted to Mr. Calio on February 5, 2019, which does not carry retirement treatment, would forfeit in the case of involuntary separation (without cause).</w:t>
      </w:r>
    </w:p>
    <w:p>
      <w:pPr>
        <w:spacing w:after="0" w:line="175" w:lineRule="exact"/>
        <w:rPr>
          <w:rFonts w:ascii="Arial" w:cs="Arial" w:eastAsia="Arial" w:hAnsi="Arial"/>
          <w:sz w:val="12"/>
          <w:szCs w:val="12"/>
          <w:color w:val="auto"/>
        </w:rPr>
      </w:pPr>
    </w:p>
    <w:p>
      <w:pPr>
        <w:ind w:left="320" w:right="20" w:hanging="313"/>
        <w:spacing w:after="0" w:line="252" w:lineRule="auto"/>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As of December 31, 2021, Mr. Calio had not attained retirement eligibility status under the terms of the RTX LTIP. As a result, in the event of a voluntary separation (with or without good reason) from the Company, all unvested awards would forfeit following separation.</w:t>
      </w:r>
    </w:p>
    <w:p>
      <w:pPr>
        <w:spacing w:after="0" w:line="31" w:lineRule="exact"/>
        <w:rPr>
          <w:rFonts w:ascii="Arial" w:cs="Arial" w:eastAsia="Arial" w:hAnsi="Arial"/>
          <w:sz w:val="12"/>
          <w:szCs w:val="12"/>
          <w:color w:val="auto"/>
        </w:rPr>
      </w:pPr>
    </w:p>
    <w:p>
      <w:pPr>
        <w:ind w:left="320" w:right="60" w:hanging="313"/>
        <w:spacing w:after="0" w:line="252" w:lineRule="auto"/>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In the event of a qualifying termination within two years of an RTX change-in-control, all outstanding awards would vest in accordance with the RTX LTIP, including the 2021 PSUs, which would vest at the greater of actual or target performance.</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An estimated lump-sum present value of the qualified and nonqualified pension benefits payable upon a separation from the Company can be found in the Pension Benefits table on page 75.</w:t>
      </w:r>
    </w:p>
    <w:p>
      <w:pPr>
        <w:spacing w:after="0" w:line="49"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09"/>
        </w:numPr>
        <w:rPr>
          <w:rFonts w:ascii="Arial" w:cs="Arial" w:eastAsia="Arial" w:hAnsi="Arial"/>
          <w:sz w:val="12"/>
          <w:szCs w:val="12"/>
          <w:color w:val="auto"/>
        </w:rPr>
      </w:pPr>
      <w:r>
        <w:rPr>
          <w:rFonts w:ascii="Arial" w:cs="Arial" w:eastAsia="Arial" w:hAnsi="Arial"/>
          <w:sz w:val="12"/>
          <w:szCs w:val="12"/>
          <w:color w:val="auto"/>
        </w:rPr>
        <w:t>Reflects the value of unvested LTI awards that would vest (or remain eligible to vest) following a separation from the Company, calculated using the closing stock price of RTX on the last trading day of 2021 ($86.06). Where included, the 2021 PSUs assume maximum-level performance based on estimated performance as of December 31, 2021.</w:t>
      </w:r>
    </w:p>
    <w:p>
      <w:pPr>
        <w:spacing w:after="0" w:line="146"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 xml:space="preserve">The table below shows the estimated value of payments and benefits that </w:t>
      </w:r>
      <w:r>
        <w:rPr>
          <w:rFonts w:ascii="Arial" w:cs="Arial" w:eastAsia="Arial" w:hAnsi="Arial"/>
          <w:sz w:val="16"/>
          <w:szCs w:val="16"/>
          <w:color w:val="CE0F2D"/>
        </w:rPr>
        <w:t>Mr. Timm</w:t>
      </w:r>
      <w:r>
        <w:rPr>
          <w:rFonts w:ascii="Arial" w:cs="Arial" w:eastAsia="Arial" w:hAnsi="Arial"/>
          <w:sz w:val="16"/>
          <w:szCs w:val="16"/>
          <w:color w:val="auto"/>
        </w:rPr>
        <w:t xml:space="preserve"> would have been entitled to receive had his employment terminated on December 31, 2021, under various hypothetical circumstances.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840" w:type="dxa"/>
            <w:vAlign w:val="bottom"/>
          </w:tcPr>
          <w:p>
            <w:pPr>
              <w:spacing w:after="0"/>
              <w:rPr>
                <w:sz w:val="12"/>
                <w:szCs w:val="12"/>
                <w:color w:val="auto"/>
              </w:rPr>
            </w:pPr>
          </w:p>
        </w:tc>
        <w:tc>
          <w:tcPr>
            <w:tcW w:w="226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520" w:type="dxa"/>
            <w:vAlign w:val="bottom"/>
          </w:tcPr>
          <w:p>
            <w:pPr>
              <w:jc w:val="right"/>
              <w:ind w:right="10"/>
              <w:spacing w:after="0"/>
              <w:rPr>
                <w:sz w:val="20"/>
                <w:szCs w:val="20"/>
                <w:color w:val="auto"/>
              </w:rPr>
            </w:pPr>
            <w:r>
              <w:rPr>
                <w:rFonts w:ascii="Arial" w:cs="Arial" w:eastAsia="Arial" w:hAnsi="Arial"/>
                <w:sz w:val="12"/>
                <w:szCs w:val="12"/>
                <w:b w:val="1"/>
                <w:bCs w:val="1"/>
                <w:color w:val="61676D"/>
              </w:rPr>
              <w:t>Involuntary Separation</w:t>
            </w:r>
          </w:p>
        </w:tc>
        <w:tc>
          <w:tcPr>
            <w:tcW w:w="1680" w:type="dxa"/>
            <w:vAlign w:val="bottom"/>
          </w:tcPr>
          <w:p>
            <w:pPr>
              <w:jc w:val="right"/>
              <w:ind w:right="10"/>
              <w:spacing w:after="0"/>
              <w:rPr>
                <w:sz w:val="20"/>
                <w:szCs w:val="20"/>
                <w:color w:val="auto"/>
              </w:rPr>
            </w:pPr>
            <w:r>
              <w:rPr>
                <w:rFonts w:ascii="Arial" w:cs="Arial" w:eastAsia="Arial" w:hAnsi="Arial"/>
                <w:sz w:val="12"/>
                <w:szCs w:val="12"/>
                <w:b w:val="1"/>
                <w:bCs w:val="1"/>
                <w:color w:val="61676D"/>
              </w:rPr>
              <w:t>Voluntary Separation</w:t>
            </w:r>
          </w:p>
        </w:tc>
        <w:tc>
          <w:tcPr>
            <w:tcW w:w="1480" w:type="dxa"/>
            <w:vAlign w:val="bottom"/>
          </w:tcPr>
          <w:p>
            <w:pPr>
              <w:jc w:val="right"/>
              <w:ind w:right="30"/>
              <w:spacing w:after="0"/>
              <w:rPr>
                <w:sz w:val="20"/>
                <w:szCs w:val="20"/>
                <w:color w:val="auto"/>
              </w:rPr>
            </w:pPr>
            <w:r>
              <w:rPr>
                <w:rFonts w:ascii="Arial" w:cs="Arial" w:eastAsia="Arial" w:hAnsi="Arial"/>
                <w:sz w:val="12"/>
                <w:szCs w:val="12"/>
                <w:b w:val="1"/>
                <w:bCs w:val="1"/>
                <w:color w:val="61676D"/>
              </w:rPr>
              <w:t>Voluntary Separation</w:t>
            </w:r>
          </w:p>
        </w:tc>
        <w:tc>
          <w:tcPr>
            <w:tcW w:w="1460" w:type="dxa"/>
            <w:vAlign w:val="bottom"/>
          </w:tcPr>
          <w:p>
            <w:pPr>
              <w:jc w:val="right"/>
              <w:spacing w:after="0"/>
              <w:rPr>
                <w:sz w:val="20"/>
                <w:szCs w:val="20"/>
                <w:color w:val="auto"/>
              </w:rPr>
            </w:pPr>
            <w:r>
              <w:rPr>
                <w:rFonts w:ascii="Arial" w:cs="Arial" w:eastAsia="Arial" w:hAnsi="Arial"/>
                <w:sz w:val="12"/>
                <w:szCs w:val="12"/>
                <w:b w:val="1"/>
                <w:bCs w:val="1"/>
                <w:color w:val="61676D"/>
              </w:rPr>
              <w:t>Separation following</w:t>
            </w:r>
          </w:p>
        </w:tc>
      </w:tr>
      <w:tr>
        <w:trPr>
          <w:trHeight w:val="233"/>
        </w:trPr>
        <w:tc>
          <w:tcPr>
            <w:tcW w:w="2840" w:type="dxa"/>
            <w:vAlign w:val="bottom"/>
            <w:tcBorders>
              <w:bottom w:val="single" w:sz="8" w:color="CE0F2D"/>
            </w:tcBorders>
          </w:tcPr>
          <w:p>
            <w:pPr>
              <w:spacing w:after="0"/>
              <w:rPr>
                <w:sz w:val="20"/>
                <w:szCs w:val="20"/>
                <w:color w:val="auto"/>
              </w:rPr>
            </w:pPr>
          </w:p>
        </w:tc>
        <w:tc>
          <w:tcPr>
            <w:tcW w:w="226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(for Cause)</w:t>
            </w:r>
            <w:r>
              <w:rPr>
                <w:rFonts w:ascii="Arial" w:cs="Arial" w:eastAsia="Arial" w:hAnsi="Arial"/>
                <w:sz w:val="20"/>
                <w:szCs w:val="20"/>
                <w:b w:val="1"/>
                <w:bCs w:val="1"/>
                <w:color w:val="61676D"/>
                <w:vertAlign w:val="superscript"/>
              </w:rPr>
              <w:t>(1)</w:t>
            </w:r>
          </w:p>
        </w:tc>
        <w:tc>
          <w:tcPr>
            <w:tcW w:w="152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Cause)</w:t>
            </w:r>
            <w:r>
              <w:rPr>
                <w:rFonts w:ascii="Arial" w:cs="Arial" w:eastAsia="Arial" w:hAnsi="Arial"/>
                <w:sz w:val="20"/>
                <w:szCs w:val="20"/>
                <w:b w:val="1"/>
                <w:bCs w:val="1"/>
                <w:color w:val="61676D"/>
                <w:vertAlign w:val="superscript"/>
              </w:rPr>
              <w:t>(2)</w:t>
            </w:r>
          </w:p>
        </w:tc>
        <w:tc>
          <w:tcPr>
            <w:tcW w:w="1680" w:type="dxa"/>
            <w:vAlign w:val="bottom"/>
            <w:tcBorders>
              <w:bottom w:val="single" w:sz="8" w:color="CE0F2D"/>
            </w:tcBorders>
          </w:tcPr>
          <w:p>
            <w:pPr>
              <w:jc w:val="right"/>
              <w:ind w:right="10"/>
              <w:spacing w:after="0" w:line="213" w:lineRule="exact"/>
              <w:rPr>
                <w:sz w:val="20"/>
                <w:szCs w:val="20"/>
                <w:color w:val="auto"/>
              </w:rPr>
            </w:pPr>
            <w:r>
              <w:rPr>
                <w:rFonts w:ascii="Arial" w:cs="Arial" w:eastAsia="Arial" w:hAnsi="Arial"/>
                <w:sz w:val="12"/>
                <w:szCs w:val="12"/>
                <w:b w:val="1"/>
                <w:bCs w:val="1"/>
                <w:color w:val="61676D"/>
              </w:rPr>
              <w:t>(without Good Reason)</w:t>
            </w:r>
            <w:r>
              <w:rPr>
                <w:rFonts w:ascii="Arial" w:cs="Arial" w:eastAsia="Arial" w:hAnsi="Arial"/>
                <w:sz w:val="20"/>
                <w:szCs w:val="20"/>
                <w:b w:val="1"/>
                <w:bCs w:val="1"/>
                <w:color w:val="61676D"/>
                <w:vertAlign w:val="superscript"/>
              </w:rPr>
              <w:t>(2)</w:t>
            </w:r>
          </w:p>
        </w:tc>
        <w:tc>
          <w:tcPr>
            <w:tcW w:w="1480" w:type="dxa"/>
            <w:vAlign w:val="bottom"/>
            <w:tcBorders>
              <w:bottom w:val="single" w:sz="8" w:color="CE0F2D"/>
            </w:tcBorders>
          </w:tcPr>
          <w:p>
            <w:pPr>
              <w:jc w:val="right"/>
              <w:ind w:right="30"/>
              <w:spacing w:after="0" w:line="213" w:lineRule="exact"/>
              <w:rPr>
                <w:sz w:val="20"/>
                <w:szCs w:val="20"/>
                <w:color w:val="auto"/>
              </w:rPr>
            </w:pPr>
            <w:r>
              <w:rPr>
                <w:rFonts w:ascii="Arial" w:cs="Arial" w:eastAsia="Arial" w:hAnsi="Arial"/>
                <w:sz w:val="12"/>
                <w:szCs w:val="12"/>
                <w:b w:val="1"/>
                <w:bCs w:val="1"/>
                <w:color w:val="61676D"/>
              </w:rPr>
              <w:t>(with Good Reason)</w:t>
            </w:r>
            <w:r>
              <w:rPr>
                <w:rFonts w:ascii="Arial" w:cs="Arial" w:eastAsia="Arial" w:hAnsi="Arial"/>
                <w:sz w:val="20"/>
                <w:szCs w:val="20"/>
                <w:b w:val="1"/>
                <w:bCs w:val="1"/>
                <w:color w:val="61676D"/>
                <w:vertAlign w:val="superscript"/>
              </w:rPr>
              <w:t>(2)</w:t>
            </w:r>
          </w:p>
        </w:tc>
        <w:tc>
          <w:tcPr>
            <w:tcW w:w="1460" w:type="dxa"/>
            <w:vAlign w:val="bottom"/>
            <w:tcBorders>
              <w:bottom w:val="single" w:sz="8" w:color="CE0F2D"/>
            </w:tcBorders>
          </w:tcPr>
          <w:p>
            <w:pPr>
              <w:jc w:val="right"/>
              <w:spacing w:after="0" w:line="213" w:lineRule="exact"/>
              <w:rPr>
                <w:sz w:val="20"/>
                <w:szCs w:val="20"/>
                <w:color w:val="auto"/>
              </w:rPr>
            </w:pPr>
            <w:r>
              <w:rPr>
                <w:rFonts w:ascii="Arial" w:cs="Arial" w:eastAsia="Arial" w:hAnsi="Arial"/>
                <w:sz w:val="12"/>
                <w:szCs w:val="12"/>
                <w:b w:val="1"/>
                <w:bCs w:val="1"/>
                <w:color w:val="61676D"/>
              </w:rPr>
              <w:t>a Change-in-Control</w:t>
            </w:r>
            <w:r>
              <w:rPr>
                <w:rFonts w:ascii="Arial" w:cs="Arial" w:eastAsia="Arial" w:hAnsi="Arial"/>
                <w:sz w:val="20"/>
                <w:szCs w:val="20"/>
                <w:b w:val="1"/>
                <w:bCs w:val="1"/>
                <w:color w:val="61676D"/>
                <w:vertAlign w:val="superscript"/>
              </w:rPr>
              <w:t>(3)</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Cash Payment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40"/>
        </w:trPr>
        <w:tc>
          <w:tcPr>
            <w:tcW w:w="284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(4)</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2"/>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Health &amp; Welfare Continuation</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Financial Planning</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08"/>
        </w:trPr>
        <w:tc>
          <w:tcPr>
            <w:tcW w:w="28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Outplacement</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40"/>
        </w:trPr>
        <w:tc>
          <w:tcPr>
            <w:tcW w:w="284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(5)</w:t>
            </w:r>
          </w:p>
        </w:tc>
        <w:tc>
          <w:tcPr>
            <w:tcW w:w="22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$107,145</w:t>
            </w:r>
          </w:p>
        </w:tc>
        <w:tc>
          <w:tcPr>
            <w:tcW w:w="16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$107,145</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$107,145</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$868,822</w:t>
            </w:r>
          </w:p>
        </w:tc>
      </w:tr>
      <w:tr>
        <w:trPr>
          <w:trHeight w:val="241"/>
        </w:trPr>
        <w:tc>
          <w:tcPr>
            <w:tcW w:w="284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(5)</w:t>
            </w:r>
          </w:p>
        </w:tc>
        <w:tc>
          <w:tcPr>
            <w:tcW w:w="226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$0</w:t>
            </w:r>
          </w:p>
        </w:tc>
        <w:tc>
          <w:tcPr>
            <w:tcW w:w="152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$1,762,681</w:t>
            </w:r>
          </w:p>
        </w:tc>
        <w:tc>
          <w:tcPr>
            <w:tcW w:w="1680" w:type="dxa"/>
            <w:vAlign w:val="bottom"/>
            <w:tcBorders>
              <w:bottom w:val="single" w:sz="8" w:color="636466"/>
            </w:tcBorders>
          </w:tcPr>
          <w:p>
            <w:pPr>
              <w:jc w:val="right"/>
              <w:ind w:right="10"/>
              <w:spacing w:after="0"/>
              <w:rPr>
                <w:sz w:val="20"/>
                <w:szCs w:val="20"/>
                <w:color w:val="auto"/>
              </w:rPr>
            </w:pPr>
            <w:r>
              <w:rPr>
                <w:rFonts w:ascii="Arial" w:cs="Arial" w:eastAsia="Arial" w:hAnsi="Arial"/>
                <w:sz w:val="14"/>
                <w:szCs w:val="14"/>
                <w:color w:val="auto"/>
              </w:rPr>
              <w:t>$1,762,681</w:t>
            </w:r>
          </w:p>
        </w:tc>
        <w:tc>
          <w:tcPr>
            <w:tcW w:w="1480" w:type="dxa"/>
            <w:vAlign w:val="bottom"/>
            <w:tcBorders>
              <w:bottom w:val="single" w:sz="8" w:color="636466"/>
            </w:tcBorders>
          </w:tcPr>
          <w:p>
            <w:pPr>
              <w:jc w:val="right"/>
              <w:ind w:right="30"/>
              <w:spacing w:after="0"/>
              <w:rPr>
                <w:sz w:val="20"/>
                <w:szCs w:val="20"/>
                <w:color w:val="auto"/>
              </w:rPr>
            </w:pPr>
            <w:r>
              <w:rPr>
                <w:rFonts w:ascii="Arial" w:cs="Arial" w:eastAsia="Arial" w:hAnsi="Arial"/>
                <w:sz w:val="14"/>
                <w:szCs w:val="14"/>
                <w:color w:val="auto"/>
              </w:rPr>
              <w:t>$1,762,681</w:t>
            </w:r>
          </w:p>
        </w:tc>
        <w:tc>
          <w:tcPr>
            <w:tcW w:w="146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$8,592,747</w:t>
            </w:r>
          </w:p>
        </w:tc>
      </w:tr>
      <w:tr>
        <w:trPr>
          <w:trHeight w:val="221"/>
        </w:trPr>
        <w:tc>
          <w:tcPr>
            <w:tcW w:w="284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26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$0</w:t>
            </w:r>
          </w:p>
        </w:tc>
        <w:tc>
          <w:tcPr>
            <w:tcW w:w="152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$1,869,826</w:t>
            </w:r>
          </w:p>
        </w:tc>
        <w:tc>
          <w:tcPr>
            <w:tcW w:w="1680" w:type="dxa"/>
            <w:vAlign w:val="bottom"/>
            <w:tcBorders>
              <w:bottom w:val="single" w:sz="8" w:color="636466"/>
            </w:tcBorders>
            <w:shd w:val="clear" w:color="auto" w:fill="ECEDEF"/>
          </w:tcPr>
          <w:p>
            <w:pPr>
              <w:jc w:val="right"/>
              <w:ind w:right="10"/>
              <w:spacing w:after="0"/>
              <w:rPr>
                <w:sz w:val="20"/>
                <w:szCs w:val="20"/>
                <w:color w:val="auto"/>
              </w:rPr>
            </w:pPr>
            <w:r>
              <w:rPr>
                <w:rFonts w:ascii="Arial" w:cs="Arial" w:eastAsia="Arial" w:hAnsi="Arial"/>
                <w:sz w:val="14"/>
                <w:szCs w:val="14"/>
                <w:b w:val="1"/>
                <w:bCs w:val="1"/>
                <w:color w:val="auto"/>
              </w:rPr>
              <w:t>$1,869,826</w:t>
            </w:r>
          </w:p>
        </w:tc>
        <w:tc>
          <w:tcPr>
            <w:tcW w:w="1480" w:type="dxa"/>
            <w:vAlign w:val="bottom"/>
            <w:tcBorders>
              <w:bottom w:val="single" w:sz="8" w:color="636466"/>
            </w:tcBorders>
            <w:shd w:val="clear" w:color="auto" w:fill="ECEDEF"/>
          </w:tcPr>
          <w:p>
            <w:pPr>
              <w:jc w:val="right"/>
              <w:ind w:right="30"/>
              <w:spacing w:after="0"/>
              <w:rPr>
                <w:sz w:val="20"/>
                <w:szCs w:val="20"/>
                <w:color w:val="auto"/>
              </w:rPr>
            </w:pPr>
            <w:r>
              <w:rPr>
                <w:rFonts w:ascii="Arial" w:cs="Arial" w:eastAsia="Arial" w:hAnsi="Arial"/>
                <w:sz w:val="14"/>
                <w:szCs w:val="14"/>
                <w:b w:val="1"/>
                <w:bCs w:val="1"/>
                <w:color w:val="auto"/>
              </w:rPr>
              <w:t>$1,869,826</w:t>
            </w:r>
          </w:p>
        </w:tc>
        <w:tc>
          <w:tcPr>
            <w:tcW w:w="146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$9,461,569</w:t>
            </w:r>
          </w:p>
        </w:tc>
      </w:tr>
    </w:tbl>
    <w:p>
      <w:pPr>
        <w:spacing w:after="0" w:line="128" w:lineRule="exact"/>
        <w:rPr>
          <w:sz w:val="20"/>
          <w:szCs w:val="20"/>
          <w:color w:val="auto"/>
        </w:rPr>
      </w:pPr>
    </w:p>
    <w:p>
      <w:pPr>
        <w:ind w:left="320" w:hanging="313"/>
        <w:spacing w:after="0"/>
        <w:tabs>
          <w:tab w:leader="none" w:pos="3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Outstanding LTI awards would forfeit upon involuntary termination for cause.</w:t>
      </w:r>
    </w:p>
    <w:p>
      <w:pPr>
        <w:spacing w:after="0" w:line="49" w:lineRule="exact"/>
        <w:rPr>
          <w:rFonts w:ascii="Arial" w:cs="Arial" w:eastAsia="Arial" w:hAnsi="Arial"/>
          <w:sz w:val="12"/>
          <w:szCs w:val="12"/>
          <w:color w:val="auto"/>
        </w:rPr>
      </w:pPr>
    </w:p>
    <w:p>
      <w:pPr>
        <w:ind w:left="320" w:hanging="313"/>
        <w:spacing w:after="0" w:line="238" w:lineRule="auto"/>
        <w:tabs>
          <w:tab w:leader="none" w:pos="3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As of December 31, 2021, Mr. Timm had attained retirement eligibility status under the terms of the RTX LTIP. As a result, in the event of an involuntary separation (without cause) or voluntary separation (with or without good reason), his annual LTIP awards would have received the beneficial treatment reserved for retirement-eligible employees. These awards, if outstanding for more than one year, would be treated as follows: (1) SARs and RSUs would vest; and (2) PSUs (that converted to RSUs upon the spinoffs of Carrier and Otis) would remain eligible to vest on the original vesting date. Annual LTIP awards outstanding for less than one year, the ELG RSU award, and the retention SAR award granted to Mr. Timm on July 2, 2019, which does not carry beneficial retirement treatment, would forfeit in the case of involuntary (without cause) or voluntary (with or without good reason) separation from the Company.</w:t>
      </w:r>
    </w:p>
    <w:p>
      <w:pPr>
        <w:spacing w:after="0" w:line="38" w:lineRule="exact"/>
        <w:rPr>
          <w:rFonts w:ascii="Arial" w:cs="Arial" w:eastAsia="Arial" w:hAnsi="Arial"/>
          <w:sz w:val="12"/>
          <w:szCs w:val="12"/>
          <w:color w:val="auto"/>
        </w:rPr>
      </w:pPr>
    </w:p>
    <w:p>
      <w:pPr>
        <w:ind w:left="320" w:right="100" w:hanging="313"/>
        <w:spacing w:after="0" w:line="252" w:lineRule="auto"/>
        <w:tabs>
          <w:tab w:leader="none" w:pos="3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In the event of a qualifying termination within two years of an RTX change-in-control, all outstanding awards would vest in accordance with the RTX LTIP, including the 2021 PSUs which would vest at the greater of actual or target performance.</w:t>
      </w:r>
    </w:p>
    <w:p>
      <w:pPr>
        <w:spacing w:after="0" w:line="31" w:lineRule="exact"/>
        <w:rPr>
          <w:rFonts w:ascii="Arial" w:cs="Arial" w:eastAsia="Arial" w:hAnsi="Arial"/>
          <w:sz w:val="12"/>
          <w:szCs w:val="12"/>
          <w:color w:val="auto"/>
        </w:rPr>
      </w:pPr>
    </w:p>
    <w:p>
      <w:pPr>
        <w:ind w:left="320" w:hanging="313"/>
        <w:spacing w:after="0"/>
        <w:tabs>
          <w:tab w:leader="none" w:pos="3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An estimated lump-sum present value of the qualified pension benefits payable upon a separation from the Company can be found in the Pension Benefits table on page 75.</w:t>
      </w:r>
    </w:p>
    <w:p>
      <w:pPr>
        <w:spacing w:after="0" w:line="49" w:lineRule="exact"/>
        <w:rPr>
          <w:rFonts w:ascii="Arial" w:cs="Arial" w:eastAsia="Arial" w:hAnsi="Arial"/>
          <w:sz w:val="12"/>
          <w:szCs w:val="12"/>
          <w:color w:val="auto"/>
        </w:rPr>
      </w:pPr>
    </w:p>
    <w:p>
      <w:pPr>
        <w:ind w:left="320" w:right="40" w:hanging="313"/>
        <w:spacing w:after="0" w:line="252" w:lineRule="auto"/>
        <w:tabs>
          <w:tab w:leader="none" w:pos="32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Reflects the value of unvested LTI awards that would vest (or remain eligible to vest) following a separation from the Company, calculated using the closing stock price of RTX on the last trading day of 2021 ($86.06). Where included, the 2021 PSUs assume maximum-level performance based on estimated performance as of December 31, 2021.</w:t>
      </w:r>
    </w:p>
    <w:p>
      <w:pPr>
        <w:spacing w:after="0" w:line="147" w:lineRule="exact"/>
        <w:rPr>
          <w:sz w:val="20"/>
          <w:szCs w:val="20"/>
          <w:color w:val="auto"/>
        </w:rPr>
      </w:pPr>
    </w:p>
    <w:p>
      <w:pPr>
        <w:ind w:left="260" w:hanging="253"/>
        <w:spacing w:after="0"/>
        <w:tabs>
          <w:tab w:leader="none" w:pos="260" w:val="left"/>
        </w:tabs>
        <w:numPr>
          <w:ilvl w:val="0"/>
          <w:numId w:val="211"/>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E0F2D"/>
        </w:rPr>
        <w:t>THOMAS A. KENNEDY</w:t>
      </w:r>
    </w:p>
    <w:p>
      <w:pPr>
        <w:spacing w:after="0" w:line="215"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In connection with the signing of the Merger agreement, the Company entered into employment agreements with Thomas A. Kennedy, the former CEO of Raytheon Company, and Gregory J. Hayes, the former CEO of United Technologies Corporation. These agreements outlined the leadership transition plan following the Merger and provided that, for the first two years after the Merger, Mr. Kennedy would serve as Executive Chairman of RTX and a member of the RTX board and Mr. Hayes would serve as President &amp; CEO of RTX and a member of the RTX board. The agreements contemplated that, on the second anniversary of the Merger, Mr. Kennedy would retire and Mr. Hayes would succeed him as Chairman of the RTX board, in addition to his role of CEO.</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Following the one-year anniversary of the Merger, given that key integration activities and the leadership transition had progressed ahead of schedule, Mr.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Kennedy announced he would accelerate his retirement to June 1, 2021, 10 months earlier than contemplated in his employment agreement.</w:t>
      </w:r>
    </w:p>
    <w:p>
      <w:pPr>
        <w:spacing w:after="0" w:line="164"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Under the terms of Mr. Kennedy’s employment agreement, Mr. Kennedy is subject to a perpetual confidentiality covenant, a one-year post-employment noncompetition covenant, and a two-year post-employment employee and customer non-solicitation covenant. Upon Mr. Kennedy’s retirement, the majority of his legacy Raytheon Company equity awards that were assumed by RTX in connection with the Merger were eligible to vest or continue vesting by their terms in accordance with retirement vesting provisions that pre-dated the Merger. In recognition of a release of claims agreed to by Mr. Kennedy at the time of his retirement, and in order to provide Mr. Kennedy with the benefit of the equity award vesting that he generally would have received had there been a need for him to continue service with RTX through the second anniversary of the Merger as originally contemplated, the Committee agreed to give Mr. Kennedy retirement vesting treatment for the remainder of his legacy Raytheon Company equity awards and for his 2021 RTX LTI awards.</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values of payments and benefits that Mr. Kennedy received in connection with his retirement from the Company on June 1, 2021.</w:t>
      </w:r>
    </w:p>
    <w:p>
      <w:pPr>
        <w:sectPr>
          <w:pgSz w:w="11900" w:h="16838" w:orient="portrait"/>
          <w:cols w:equalWidth="0" w:num="1">
            <w:col w:w="11240"/>
          </w:cols>
          <w:pgMar w:left="320" w:top="118" w:right="339" w:bottom="1440" w:gutter="0" w:footer="0" w:header="0"/>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780" w:type="dxa"/>
            <w:vAlign w:val="bottom"/>
          </w:tcPr>
          <w:p>
            <w:pPr>
              <w:spacing w:after="0"/>
              <w:rPr>
                <w:sz w:val="12"/>
                <w:szCs w:val="12"/>
                <w:color w:val="auto"/>
              </w:rPr>
            </w:pPr>
          </w:p>
        </w:tc>
        <w:tc>
          <w:tcPr>
            <w:tcW w:w="2380" w:type="dxa"/>
            <w:vAlign w:val="bottom"/>
          </w:tcPr>
          <w:p>
            <w:pPr>
              <w:jc w:val="right"/>
              <w:spacing w:after="0"/>
              <w:rPr>
                <w:sz w:val="20"/>
                <w:szCs w:val="20"/>
                <w:color w:val="auto"/>
              </w:rPr>
            </w:pPr>
            <w:r>
              <w:rPr>
                <w:rFonts w:ascii="Arial" w:cs="Arial" w:eastAsia="Arial" w:hAnsi="Arial"/>
                <w:sz w:val="12"/>
                <w:szCs w:val="12"/>
                <w:b w:val="1"/>
                <w:bCs w:val="1"/>
                <w:color w:val="61676D"/>
              </w:rPr>
              <w:t>Payments and Benefits</w:t>
            </w:r>
          </w:p>
        </w:tc>
      </w:tr>
      <w:tr>
        <w:trPr>
          <w:trHeight w:val="201"/>
        </w:trPr>
        <w:tc>
          <w:tcPr>
            <w:tcW w:w="2780" w:type="dxa"/>
            <w:vAlign w:val="bottom"/>
            <w:tcBorders>
              <w:bottom w:val="single" w:sz="8" w:color="CE0F2D"/>
            </w:tcBorders>
          </w:tcPr>
          <w:p>
            <w:pPr>
              <w:spacing w:after="0"/>
              <w:rPr>
                <w:sz w:val="17"/>
                <w:szCs w:val="17"/>
                <w:color w:val="auto"/>
              </w:rPr>
            </w:pPr>
          </w:p>
        </w:tc>
        <w:tc>
          <w:tcPr>
            <w:tcW w:w="2380" w:type="dxa"/>
            <w:vAlign w:val="bottom"/>
            <w:tcBorders>
              <w:bottom w:val="single" w:sz="8" w:color="CE0F2D"/>
            </w:tcBorders>
          </w:tcPr>
          <w:p>
            <w:pPr>
              <w:jc w:val="right"/>
              <w:spacing w:after="0"/>
              <w:rPr>
                <w:sz w:val="20"/>
                <w:szCs w:val="20"/>
                <w:color w:val="auto"/>
              </w:rPr>
            </w:pPr>
            <w:r>
              <w:rPr>
                <w:rFonts w:ascii="Arial" w:cs="Arial" w:eastAsia="Arial" w:hAnsi="Arial"/>
                <w:sz w:val="12"/>
                <w:szCs w:val="12"/>
                <w:b w:val="1"/>
                <w:bCs w:val="1"/>
                <w:color w:val="61676D"/>
              </w:rPr>
              <w:t>Provided Upon Separation</w:t>
            </w:r>
          </w:p>
        </w:tc>
      </w:tr>
      <w:tr>
        <w:trPr>
          <w:trHeight w:val="241"/>
        </w:trPr>
        <w:tc>
          <w:tcPr>
            <w:tcW w:w="2780" w:type="dxa"/>
            <w:vAlign w:val="bottom"/>
            <w:tcBorders>
              <w:bottom w:val="single" w:sz="8" w:color="auto"/>
            </w:tcBorders>
          </w:tcPr>
          <w:p>
            <w:pPr>
              <w:ind w:left="60"/>
              <w:spacing w:after="0" w:line="241" w:lineRule="exact"/>
              <w:rPr>
                <w:sz w:val="20"/>
                <w:szCs w:val="20"/>
                <w:color w:val="auto"/>
              </w:rPr>
            </w:pPr>
            <w:r>
              <w:rPr>
                <w:rFonts w:ascii="Arial" w:cs="Arial" w:eastAsia="Arial" w:hAnsi="Arial"/>
                <w:sz w:val="14"/>
                <w:szCs w:val="14"/>
                <w:color w:val="auto"/>
              </w:rPr>
              <w:t>Cash Payment</w:t>
            </w:r>
            <w:r>
              <w:rPr>
                <w:rFonts w:ascii="Arial" w:cs="Arial" w:eastAsia="Arial" w:hAnsi="Arial"/>
                <w:sz w:val="23"/>
                <w:szCs w:val="23"/>
                <w:color w:val="auto"/>
                <w:vertAlign w:val="superscript"/>
              </w:rPr>
              <w:t>(1)</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$1,283,350</w:t>
            </w:r>
          </w:p>
        </w:tc>
      </w:tr>
      <w:tr>
        <w:trPr>
          <w:trHeight w:val="234"/>
        </w:trPr>
        <w:tc>
          <w:tcPr>
            <w:tcW w:w="278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(2)</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w:t>
            </w:r>
          </w:p>
        </w:tc>
      </w:tr>
      <w:tr>
        <w:trPr>
          <w:trHeight w:val="234"/>
        </w:trPr>
        <w:tc>
          <w:tcPr>
            <w:tcW w:w="278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Accrued Paid Time Off</w:t>
            </w:r>
            <w:r>
              <w:rPr>
                <w:rFonts w:ascii="Arial" w:cs="Arial" w:eastAsia="Arial" w:hAnsi="Arial"/>
                <w:sz w:val="23"/>
                <w:szCs w:val="23"/>
                <w:color w:val="auto"/>
                <w:vertAlign w:val="superscript"/>
              </w:rPr>
              <w:t>(3)</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$136,307</w:t>
            </w:r>
          </w:p>
        </w:tc>
      </w:tr>
      <w:tr>
        <w:trPr>
          <w:trHeight w:val="202"/>
        </w:trPr>
        <w:tc>
          <w:tcPr>
            <w:tcW w:w="278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Health &amp; Welfare Continuation</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$7,477</w:t>
            </w:r>
          </w:p>
        </w:tc>
      </w:tr>
      <w:tr>
        <w:trPr>
          <w:trHeight w:val="240"/>
        </w:trPr>
        <w:tc>
          <w:tcPr>
            <w:tcW w:w="2780" w:type="dxa"/>
            <w:vAlign w:val="bottom"/>
            <w:tcBorders>
              <w:bottom w:val="single" w:sz="8" w:color="auto"/>
            </w:tcBorders>
          </w:tcPr>
          <w:p>
            <w:pPr>
              <w:ind w:left="60"/>
              <w:spacing w:after="0" w:line="240" w:lineRule="exact"/>
              <w:rPr>
                <w:sz w:val="20"/>
                <w:szCs w:val="20"/>
                <w:color w:val="auto"/>
              </w:rPr>
            </w:pPr>
            <w:r>
              <w:rPr>
                <w:rFonts w:ascii="Arial" w:cs="Arial" w:eastAsia="Arial" w:hAnsi="Arial"/>
                <w:sz w:val="14"/>
                <w:szCs w:val="14"/>
                <w:color w:val="auto"/>
              </w:rPr>
              <w:t>Option Awards</w:t>
            </w:r>
            <w:r>
              <w:rPr>
                <w:rFonts w:ascii="Arial" w:cs="Arial" w:eastAsia="Arial" w:hAnsi="Arial"/>
                <w:sz w:val="23"/>
                <w:szCs w:val="23"/>
                <w:color w:val="auto"/>
                <w:vertAlign w:val="superscript"/>
              </w:rPr>
              <w:t>(4)</w:t>
            </w:r>
          </w:p>
        </w:tc>
        <w:tc>
          <w:tcPr>
            <w:tcW w:w="2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$2,173,050</w:t>
            </w:r>
          </w:p>
        </w:tc>
      </w:tr>
      <w:tr>
        <w:trPr>
          <w:trHeight w:val="241"/>
        </w:trPr>
        <w:tc>
          <w:tcPr>
            <w:tcW w:w="278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(4)</w:t>
            </w:r>
          </w:p>
        </w:tc>
        <w:tc>
          <w:tcPr>
            <w:tcW w:w="23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$42,341,175</w:t>
            </w:r>
          </w:p>
        </w:tc>
      </w:tr>
      <w:tr>
        <w:trPr>
          <w:trHeight w:val="221"/>
        </w:trPr>
        <w:tc>
          <w:tcPr>
            <w:tcW w:w="278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3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$45,941,359</w:t>
            </w:r>
          </w:p>
        </w:tc>
      </w:tr>
    </w:tbl>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both"/>
        <w:ind w:left="331" w:right="80" w:hanging="331"/>
        <w:spacing w:after="0" w:line="242" w:lineRule="auto"/>
        <w:tabs>
          <w:tab w:leader="none" w:pos="331" w:val="left"/>
        </w:tabs>
        <w:numPr>
          <w:ilvl w:val="0"/>
          <w:numId w:val="212"/>
        </w:numPr>
        <w:rPr>
          <w:rFonts w:ascii="Arial" w:cs="Arial" w:eastAsia="Arial" w:hAnsi="Arial"/>
          <w:sz w:val="12"/>
          <w:szCs w:val="12"/>
          <w:color w:val="auto"/>
        </w:rPr>
      </w:pPr>
      <w:r>
        <w:rPr>
          <w:rFonts w:ascii="Arial" w:cs="Arial" w:eastAsia="Arial" w:hAnsi="Arial"/>
          <w:sz w:val="12"/>
          <w:szCs w:val="12"/>
          <w:color w:val="auto"/>
        </w:rPr>
        <w:t>Represents the payment of Mr. Kennedy’s 2021 target annual incentive award prorated for the portion of the year in which Mr. Kennedy was employed by the Company. Mr. Kennedy was not eligible for, and did not receive, cash severance in connection with his retirement.</w:t>
      </w:r>
    </w:p>
    <w:p>
      <w:pPr>
        <w:spacing w:after="0" w:line="37" w:lineRule="exact"/>
        <w:rPr>
          <w:rFonts w:ascii="Arial" w:cs="Arial" w:eastAsia="Arial" w:hAnsi="Arial"/>
          <w:sz w:val="12"/>
          <w:szCs w:val="12"/>
          <w:color w:val="auto"/>
        </w:rPr>
      </w:pPr>
    </w:p>
    <w:p>
      <w:pPr>
        <w:ind w:left="331" w:right="20" w:hanging="331"/>
        <w:spacing w:after="0" w:line="242" w:lineRule="auto"/>
        <w:tabs>
          <w:tab w:leader="none" w:pos="331" w:val="left"/>
        </w:tabs>
        <w:numPr>
          <w:ilvl w:val="0"/>
          <w:numId w:val="212"/>
        </w:numPr>
        <w:rPr>
          <w:rFonts w:ascii="Arial" w:cs="Arial" w:eastAsia="Arial" w:hAnsi="Arial"/>
          <w:sz w:val="12"/>
          <w:szCs w:val="12"/>
          <w:color w:val="auto"/>
        </w:rPr>
      </w:pPr>
      <w:r>
        <w:rPr>
          <w:rFonts w:ascii="Arial" w:cs="Arial" w:eastAsia="Arial" w:hAnsi="Arial"/>
          <w:sz w:val="12"/>
          <w:szCs w:val="12"/>
          <w:color w:val="auto"/>
        </w:rPr>
        <w:t>Estimated lump-sum present value of the qualified and nonqualified pension benefits that will be distributed, or were distributed during the year, to Mr. Kennedy in connection with his retirement from the Company, can be found in the Pension Benefits table on page 75.</w:t>
      </w:r>
    </w:p>
    <w:p>
      <w:pPr>
        <w:spacing w:after="0" w:line="37" w:lineRule="exact"/>
        <w:rPr>
          <w:rFonts w:ascii="Arial" w:cs="Arial" w:eastAsia="Arial" w:hAnsi="Arial"/>
          <w:sz w:val="12"/>
          <w:szCs w:val="12"/>
          <w:color w:val="auto"/>
        </w:rPr>
      </w:pPr>
    </w:p>
    <w:p>
      <w:pPr>
        <w:ind w:left="331" w:right="160" w:hanging="331"/>
        <w:spacing w:after="0" w:line="252" w:lineRule="auto"/>
        <w:tabs>
          <w:tab w:leader="none" w:pos="331" w:val="left"/>
        </w:tabs>
        <w:numPr>
          <w:ilvl w:val="0"/>
          <w:numId w:val="212"/>
        </w:numPr>
        <w:rPr>
          <w:rFonts w:ascii="Arial" w:cs="Arial" w:eastAsia="Arial" w:hAnsi="Arial"/>
          <w:sz w:val="12"/>
          <w:szCs w:val="12"/>
          <w:color w:val="auto"/>
        </w:rPr>
      </w:pPr>
      <w:r>
        <w:rPr>
          <w:rFonts w:ascii="Arial" w:cs="Arial" w:eastAsia="Arial" w:hAnsi="Arial"/>
          <w:sz w:val="12"/>
          <w:szCs w:val="12"/>
          <w:color w:val="auto"/>
        </w:rPr>
        <w:t>Reflects the value of accrued (and unused) paid time off that Mr. Kennedy was paid upon his separation from the Company.</w:t>
      </w:r>
    </w:p>
    <w:p>
      <w:pPr>
        <w:spacing w:after="0" w:line="31" w:lineRule="exact"/>
        <w:rPr>
          <w:rFonts w:ascii="Arial" w:cs="Arial" w:eastAsia="Arial" w:hAnsi="Arial"/>
          <w:sz w:val="12"/>
          <w:szCs w:val="12"/>
          <w:color w:val="auto"/>
        </w:rPr>
      </w:pPr>
    </w:p>
    <w:p>
      <w:pPr>
        <w:ind w:left="331" w:right="60" w:hanging="331"/>
        <w:spacing w:after="0" w:line="235" w:lineRule="auto"/>
        <w:tabs>
          <w:tab w:leader="none" w:pos="331" w:val="left"/>
        </w:tabs>
        <w:numPr>
          <w:ilvl w:val="0"/>
          <w:numId w:val="212"/>
        </w:numPr>
        <w:rPr>
          <w:rFonts w:ascii="Arial" w:cs="Arial" w:eastAsia="Arial" w:hAnsi="Arial"/>
          <w:sz w:val="12"/>
          <w:szCs w:val="12"/>
          <w:color w:val="auto"/>
        </w:rPr>
      </w:pPr>
      <w:r>
        <w:rPr>
          <w:rFonts w:ascii="Arial" w:cs="Arial" w:eastAsia="Arial" w:hAnsi="Arial"/>
          <w:sz w:val="12"/>
          <w:szCs w:val="12"/>
          <w:color w:val="auto"/>
        </w:rPr>
        <w:t>Reflects the value of unvested LTI awards that vested (or remain eligible to vest) following Mr. Kennedy’s June 1, 2021 retirement from the Company, calculated using the June 1, 2021 closing RTX stock price of $88.99 and assuming the maximum level of performance for 2021 PSUs based on estimated performance as of December 31, 2021. The 2021 RSUs and legacy RTN PSUs (which converted to RTX RSUs upon the Merger) are subject to a 6-month delay in settlement required under IRC Section 409A. The legacy RTN RSUs granted to Mr. Kennedy prior to the Merger continue to vest following retirement per the terms of the awards, subject to Mr. Kennedy’s adherence to certain restrictive covenants (including a non-competition agreement), and the 2021 PSUs will be settled based on actual Company performance results through December 31, 2023.</w:t>
      </w:r>
    </w:p>
    <w:p>
      <w:pPr>
        <w:spacing w:after="0" w:line="14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71120</wp:posOffset>
            </wp:positionV>
            <wp:extent cx="715454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160" w:space="689"/>
            <w:col w:w="5391"/>
          </w:cols>
          <w:pgMar w:left="320" w:top="118" w:right="33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COMPENSATION TABLES </w:t>
      </w:r>
      <w:r>
        <w:rPr>
          <w:rFonts w:ascii="Arial" w:cs="Arial" w:eastAsia="Arial" w:hAnsi="Arial"/>
          <w:sz w:val="12"/>
          <w:szCs w:val="12"/>
          <w:color w:val="000000"/>
        </w:rPr>
        <w:t>| POTENTIAL PAYMENTS UPON TERMINATION OR CHANGE-IN-CONTROL</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CE0F2D"/>
        </w:rPr>
        <w:t>ANTHONY F. O’BRIEN III</w:t>
      </w:r>
    </w:p>
    <w:p>
      <w:pPr>
        <w:spacing w:after="0" w:line="215"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Pursuant to the terms of Mr. O’Brien’s legacy RTN change-in-control agreement, following his qualifying separation from the Company on April 7, 2021, he received:</w:t>
      </w:r>
    </w:p>
    <w:p>
      <w:pPr>
        <w:spacing w:after="0" w:line="143" w:lineRule="exact"/>
        <w:rPr>
          <w:sz w:val="20"/>
          <w:szCs w:val="20"/>
          <w:color w:val="auto"/>
        </w:rPr>
      </w:pPr>
    </w:p>
    <w:p>
      <w:pPr>
        <w:ind w:left="240" w:right="560" w:hanging="233"/>
        <w:spacing w:after="0" w:line="256" w:lineRule="auto"/>
        <w:tabs>
          <w:tab w:leader="none" w:pos="240" w:val="left"/>
        </w:tabs>
        <w:numPr>
          <w:ilvl w:val="0"/>
          <w:numId w:val="213"/>
        </w:numPr>
        <w:rPr>
          <w:rFonts w:ascii="Arial" w:cs="Arial" w:eastAsia="Arial" w:hAnsi="Arial"/>
          <w:sz w:val="16"/>
          <w:szCs w:val="16"/>
          <w:color w:val="CE0F2D"/>
        </w:rPr>
      </w:pPr>
      <w:r>
        <w:rPr>
          <w:rFonts w:ascii="Arial" w:cs="Arial" w:eastAsia="Arial" w:hAnsi="Arial"/>
          <w:sz w:val="16"/>
          <w:szCs w:val="16"/>
          <w:color w:val="auto"/>
        </w:rPr>
        <w:t>A lump-sum cash severance payment equal to the sum of: (i) base salary; and (ii) the greater of Mr. O’Brien’s annual incentive target for the year of separation or his 2019 annual incentive award;</w:t>
      </w:r>
    </w:p>
    <w:p>
      <w:pPr>
        <w:spacing w:after="0" w:line="62" w:lineRule="exact"/>
        <w:rPr>
          <w:rFonts w:ascii="Arial" w:cs="Arial" w:eastAsia="Arial" w:hAnsi="Arial"/>
          <w:sz w:val="16"/>
          <w:szCs w:val="16"/>
          <w:color w:val="CE0F2D"/>
        </w:rPr>
      </w:pPr>
    </w:p>
    <w:p>
      <w:pPr>
        <w:ind w:left="240" w:hanging="233"/>
        <w:spacing w:after="0"/>
        <w:tabs>
          <w:tab w:leader="none" w:pos="240" w:val="left"/>
        </w:tabs>
        <w:numPr>
          <w:ilvl w:val="0"/>
          <w:numId w:val="213"/>
        </w:numPr>
        <w:rPr>
          <w:rFonts w:ascii="Arial" w:cs="Arial" w:eastAsia="Arial" w:hAnsi="Arial"/>
          <w:sz w:val="16"/>
          <w:szCs w:val="16"/>
          <w:color w:val="CE0F2D"/>
        </w:rPr>
      </w:pPr>
      <w:r>
        <w:rPr>
          <w:rFonts w:ascii="Arial" w:cs="Arial" w:eastAsia="Arial" w:hAnsi="Arial"/>
          <w:sz w:val="16"/>
          <w:szCs w:val="16"/>
          <w:color w:val="auto"/>
        </w:rPr>
        <w:t>A pro-rated target annual incentive award for the year of separation;</w:t>
      </w:r>
    </w:p>
    <w:p>
      <w:pPr>
        <w:spacing w:after="0" w:line="83" w:lineRule="exact"/>
        <w:rPr>
          <w:rFonts w:ascii="Arial" w:cs="Arial" w:eastAsia="Arial" w:hAnsi="Arial"/>
          <w:sz w:val="16"/>
          <w:szCs w:val="16"/>
          <w:color w:val="CE0F2D"/>
        </w:rPr>
      </w:pPr>
    </w:p>
    <w:p>
      <w:pPr>
        <w:ind w:left="240" w:hanging="233"/>
        <w:spacing w:after="0"/>
        <w:tabs>
          <w:tab w:leader="none" w:pos="240" w:val="left"/>
        </w:tabs>
        <w:numPr>
          <w:ilvl w:val="0"/>
          <w:numId w:val="213"/>
        </w:numPr>
        <w:rPr>
          <w:rFonts w:ascii="Arial" w:cs="Arial" w:eastAsia="Arial" w:hAnsi="Arial"/>
          <w:sz w:val="16"/>
          <w:szCs w:val="16"/>
          <w:color w:val="CE0F2D"/>
        </w:rPr>
      </w:pPr>
      <w:r>
        <w:rPr>
          <w:rFonts w:ascii="Arial" w:cs="Arial" w:eastAsia="Arial" w:hAnsi="Arial"/>
          <w:sz w:val="16"/>
          <w:szCs w:val="16"/>
          <w:color w:val="auto"/>
        </w:rPr>
        <w:t>One year of additional credited service under the Company’s supplemental retirement plans; and</w:t>
      </w:r>
    </w:p>
    <w:p>
      <w:pPr>
        <w:spacing w:after="0" w:line="83" w:lineRule="exact"/>
        <w:rPr>
          <w:rFonts w:ascii="Arial" w:cs="Arial" w:eastAsia="Arial" w:hAnsi="Arial"/>
          <w:sz w:val="16"/>
          <w:szCs w:val="16"/>
          <w:color w:val="CE0F2D"/>
        </w:rPr>
      </w:pPr>
    </w:p>
    <w:p>
      <w:pPr>
        <w:ind w:left="240" w:hanging="233"/>
        <w:spacing w:after="0"/>
        <w:tabs>
          <w:tab w:leader="none" w:pos="240" w:val="left"/>
        </w:tabs>
        <w:numPr>
          <w:ilvl w:val="0"/>
          <w:numId w:val="213"/>
        </w:numPr>
        <w:rPr>
          <w:rFonts w:ascii="Arial" w:cs="Arial" w:eastAsia="Arial" w:hAnsi="Arial"/>
          <w:sz w:val="16"/>
          <w:szCs w:val="16"/>
          <w:color w:val="CE0F2D"/>
        </w:rPr>
      </w:pPr>
      <w:r>
        <w:rPr>
          <w:rFonts w:ascii="Arial" w:cs="Arial" w:eastAsia="Arial" w:hAnsi="Arial"/>
          <w:sz w:val="16"/>
          <w:szCs w:val="16"/>
          <w:color w:val="auto"/>
        </w:rPr>
        <w:t>One-year continuation of health and welfare benefits.</w:t>
      </w:r>
    </w:p>
    <w:p>
      <w:pPr>
        <w:spacing w:after="0" w:line="164" w:lineRule="exact"/>
        <w:rPr>
          <w:sz w:val="20"/>
          <w:szCs w:val="20"/>
          <w:color w:val="auto"/>
        </w:rPr>
      </w:pPr>
    </w:p>
    <w:p>
      <w:pPr>
        <w:ind w:right="700"/>
        <w:spacing w:after="0" w:line="256" w:lineRule="auto"/>
        <w:rPr>
          <w:sz w:val="20"/>
          <w:szCs w:val="20"/>
          <w:color w:val="auto"/>
        </w:rPr>
      </w:pPr>
      <w:r>
        <w:rPr>
          <w:rFonts w:ascii="Arial" w:cs="Arial" w:eastAsia="Arial" w:hAnsi="Arial"/>
          <w:sz w:val="16"/>
          <w:szCs w:val="16"/>
          <w:color w:val="auto"/>
        </w:rPr>
        <w:t>In addition, under the terms of the legacy RTN Enhanced Severance Plan for Senior Leadership Team Members, Mr. O’Brien received, subject to his execution of release of claims in favor of the Company:</w:t>
      </w:r>
    </w:p>
    <w:p>
      <w:pPr>
        <w:spacing w:after="0" w:line="143" w:lineRule="exact"/>
        <w:rPr>
          <w:sz w:val="20"/>
          <w:szCs w:val="20"/>
          <w:color w:val="auto"/>
        </w:rPr>
      </w:pPr>
    </w:p>
    <w:p>
      <w:pPr>
        <w:ind w:left="160" w:hanging="153"/>
        <w:spacing w:after="0"/>
        <w:tabs>
          <w:tab w:leader="none" w:pos="160" w:val="left"/>
        </w:tabs>
        <w:numPr>
          <w:ilvl w:val="0"/>
          <w:numId w:val="214"/>
        </w:numPr>
        <w:rPr>
          <w:rFonts w:ascii="Arial" w:cs="Arial" w:eastAsia="Arial" w:hAnsi="Arial"/>
          <w:sz w:val="16"/>
          <w:szCs w:val="16"/>
          <w:color w:val="CE0F2D"/>
        </w:rPr>
      </w:pPr>
      <w:r>
        <w:rPr>
          <w:rFonts w:ascii="Arial" w:cs="Arial" w:eastAsia="Arial" w:hAnsi="Arial"/>
          <w:sz w:val="16"/>
          <w:szCs w:val="16"/>
          <w:color w:val="auto"/>
        </w:rPr>
        <w:t>A lump-sum cash severance payment equal to the sum of base salary and annual incentive target for the year of separation; and</w:t>
      </w:r>
    </w:p>
    <w:p>
      <w:pPr>
        <w:spacing w:after="0" w:line="83" w:lineRule="exact"/>
        <w:rPr>
          <w:rFonts w:ascii="Arial" w:cs="Arial" w:eastAsia="Arial" w:hAnsi="Arial"/>
          <w:sz w:val="16"/>
          <w:szCs w:val="16"/>
          <w:color w:val="CE0F2D"/>
        </w:rPr>
      </w:pPr>
    </w:p>
    <w:p>
      <w:pPr>
        <w:ind w:left="160" w:hanging="153"/>
        <w:spacing w:after="0"/>
        <w:tabs>
          <w:tab w:leader="none" w:pos="160" w:val="left"/>
        </w:tabs>
        <w:numPr>
          <w:ilvl w:val="0"/>
          <w:numId w:val="214"/>
        </w:numPr>
        <w:rPr>
          <w:rFonts w:ascii="Arial" w:cs="Arial" w:eastAsia="Arial" w:hAnsi="Arial"/>
          <w:sz w:val="16"/>
          <w:szCs w:val="16"/>
          <w:color w:val="CE0F2D"/>
        </w:rPr>
      </w:pPr>
      <w:r>
        <w:rPr>
          <w:rFonts w:ascii="Arial" w:cs="Arial" w:eastAsia="Arial" w:hAnsi="Arial"/>
          <w:sz w:val="16"/>
          <w:szCs w:val="16"/>
          <w:color w:val="auto"/>
        </w:rPr>
        <w:t>One additional year of health and welfare benefits.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Stock awards granted to Mr. O’Brien prior to the Merger under the RTN Stock Plans vested upon his qualifying separation. However, awards granted to Mr.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O’Brien under the RTX LTIP after the Merger were forfeited upon his separation from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table below shows the values of payments and benefits that </w:t>
      </w:r>
      <w:r>
        <w:rPr>
          <w:rFonts w:ascii="Arial" w:cs="Arial" w:eastAsia="Arial" w:hAnsi="Arial"/>
          <w:sz w:val="16"/>
          <w:szCs w:val="16"/>
          <w:color w:val="CE0F2D"/>
        </w:rPr>
        <w:t>Mr. O’Brien</w:t>
      </w:r>
      <w:r>
        <w:rPr>
          <w:rFonts w:ascii="Arial" w:cs="Arial" w:eastAsia="Arial" w:hAnsi="Arial"/>
          <w:sz w:val="16"/>
          <w:szCs w:val="16"/>
          <w:color w:val="auto"/>
        </w:rPr>
        <w:t xml:space="preserve"> received in connection with his departure from the Company on April 7, 2021.</w:t>
      </w:r>
    </w:p>
    <w:p>
      <w:pPr>
        <w:sectPr>
          <w:pgSz w:w="11900" w:h="16838" w:orient="portrait"/>
          <w:cols w:equalWidth="0" w:num="1">
            <w:col w:w="11240"/>
          </w:cols>
          <w:pgMar w:left="320" w:top="118" w:right="339" w:bottom="1440" w:gutter="0" w:footer="0" w:header="0"/>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60" w:type="dxa"/>
            <w:vAlign w:val="bottom"/>
          </w:tcPr>
          <w:p>
            <w:pPr>
              <w:spacing w:after="0"/>
              <w:rPr>
                <w:sz w:val="12"/>
                <w:szCs w:val="12"/>
                <w:color w:val="auto"/>
              </w:rPr>
            </w:pPr>
          </w:p>
        </w:tc>
        <w:tc>
          <w:tcPr>
            <w:tcW w:w="2300" w:type="dxa"/>
            <w:vAlign w:val="bottom"/>
          </w:tcPr>
          <w:p>
            <w:pPr>
              <w:jc w:val="right"/>
              <w:spacing w:after="0"/>
              <w:rPr>
                <w:sz w:val="20"/>
                <w:szCs w:val="20"/>
                <w:color w:val="auto"/>
              </w:rPr>
            </w:pPr>
            <w:r>
              <w:rPr>
                <w:rFonts w:ascii="Arial" w:cs="Arial" w:eastAsia="Arial" w:hAnsi="Arial"/>
                <w:sz w:val="12"/>
                <w:szCs w:val="12"/>
                <w:b w:val="1"/>
                <w:bCs w:val="1"/>
                <w:color w:val="61676D"/>
              </w:rPr>
              <w:t>Payments and Benefits</w:t>
            </w:r>
          </w:p>
        </w:tc>
      </w:tr>
      <w:tr>
        <w:trPr>
          <w:trHeight w:val="201"/>
        </w:trPr>
        <w:tc>
          <w:tcPr>
            <w:tcW w:w="2860" w:type="dxa"/>
            <w:vAlign w:val="bottom"/>
            <w:tcBorders>
              <w:bottom w:val="single" w:sz="8" w:color="CE0F2D"/>
            </w:tcBorders>
          </w:tcPr>
          <w:p>
            <w:pPr>
              <w:spacing w:after="0"/>
              <w:rPr>
                <w:sz w:val="17"/>
                <w:szCs w:val="17"/>
                <w:color w:val="auto"/>
              </w:rPr>
            </w:pPr>
          </w:p>
        </w:tc>
        <w:tc>
          <w:tcPr>
            <w:tcW w:w="2300" w:type="dxa"/>
            <w:vAlign w:val="bottom"/>
            <w:tcBorders>
              <w:bottom w:val="single" w:sz="8" w:color="CE0F2D"/>
            </w:tcBorders>
          </w:tcPr>
          <w:p>
            <w:pPr>
              <w:jc w:val="right"/>
              <w:spacing w:after="0"/>
              <w:rPr>
                <w:sz w:val="20"/>
                <w:szCs w:val="20"/>
                <w:color w:val="auto"/>
              </w:rPr>
            </w:pPr>
            <w:r>
              <w:rPr>
                <w:rFonts w:ascii="Arial" w:cs="Arial" w:eastAsia="Arial" w:hAnsi="Arial"/>
                <w:sz w:val="12"/>
                <w:szCs w:val="12"/>
                <w:b w:val="1"/>
                <w:bCs w:val="1"/>
                <w:color w:val="61676D"/>
              </w:rPr>
              <w:t>Provided Upon Separation</w:t>
            </w:r>
          </w:p>
        </w:tc>
      </w:tr>
      <w:tr>
        <w:trPr>
          <w:trHeight w:val="241"/>
        </w:trPr>
        <w:tc>
          <w:tcPr>
            <w:tcW w:w="2860" w:type="dxa"/>
            <w:vAlign w:val="bottom"/>
            <w:tcBorders>
              <w:bottom w:val="single" w:sz="8" w:color="auto"/>
            </w:tcBorders>
          </w:tcPr>
          <w:p>
            <w:pPr>
              <w:ind w:left="60"/>
              <w:spacing w:after="0" w:line="241" w:lineRule="exact"/>
              <w:rPr>
                <w:sz w:val="20"/>
                <w:szCs w:val="20"/>
                <w:color w:val="auto"/>
              </w:rPr>
            </w:pPr>
            <w:r>
              <w:rPr>
                <w:rFonts w:ascii="Arial" w:cs="Arial" w:eastAsia="Arial" w:hAnsi="Arial"/>
                <w:sz w:val="14"/>
                <w:szCs w:val="14"/>
                <w:color w:val="auto"/>
              </w:rPr>
              <w:t>Cash Payment</w:t>
            </w:r>
            <w:r>
              <w:rPr>
                <w:rFonts w:ascii="Arial" w:cs="Arial" w:eastAsia="Arial" w:hAnsi="Arial"/>
                <w:sz w:val="23"/>
                <w:szCs w:val="23"/>
                <w:color w:val="auto"/>
                <w:vertAlign w:val="superscript"/>
              </w:rPr>
              <w:t>(1)</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$4,551,932</w:t>
            </w:r>
          </w:p>
        </w:tc>
      </w:tr>
      <w:tr>
        <w:trPr>
          <w:trHeight w:val="234"/>
        </w:trPr>
        <w:tc>
          <w:tcPr>
            <w:tcW w:w="286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Pension</w:t>
            </w:r>
            <w:r>
              <w:rPr>
                <w:rFonts w:ascii="Arial" w:cs="Arial" w:eastAsia="Arial" w:hAnsi="Arial"/>
                <w:sz w:val="23"/>
                <w:szCs w:val="23"/>
                <w:color w:val="auto"/>
                <w:vertAlign w:val="superscript"/>
              </w:rPr>
              <w:t>(2)</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$1,057,741</w:t>
            </w:r>
          </w:p>
        </w:tc>
      </w:tr>
      <w:tr>
        <w:trPr>
          <w:trHeight w:val="234"/>
        </w:trPr>
        <w:tc>
          <w:tcPr>
            <w:tcW w:w="286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Accrued Paid Time Off</w:t>
            </w:r>
            <w:r>
              <w:rPr>
                <w:rFonts w:ascii="Arial" w:cs="Arial" w:eastAsia="Arial" w:hAnsi="Arial"/>
                <w:sz w:val="23"/>
                <w:szCs w:val="23"/>
                <w:color w:val="auto"/>
                <w:vertAlign w:val="superscript"/>
              </w:rPr>
              <w:t>(3)</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$80,464</w:t>
            </w:r>
          </w:p>
        </w:tc>
      </w:tr>
      <w:tr>
        <w:trPr>
          <w:trHeight w:val="234"/>
        </w:trPr>
        <w:tc>
          <w:tcPr>
            <w:tcW w:w="2860" w:type="dxa"/>
            <w:vAlign w:val="bottom"/>
            <w:tcBorders>
              <w:bottom w:val="single" w:sz="8" w:color="auto"/>
            </w:tcBorders>
          </w:tcPr>
          <w:p>
            <w:pPr>
              <w:ind w:left="60"/>
              <w:spacing w:after="0" w:line="234" w:lineRule="exact"/>
              <w:rPr>
                <w:sz w:val="20"/>
                <w:szCs w:val="20"/>
                <w:color w:val="auto"/>
              </w:rPr>
            </w:pPr>
            <w:r>
              <w:rPr>
                <w:rFonts w:ascii="Arial" w:cs="Arial" w:eastAsia="Arial" w:hAnsi="Arial"/>
                <w:sz w:val="14"/>
                <w:szCs w:val="14"/>
                <w:color w:val="auto"/>
              </w:rPr>
              <w:t>Health &amp; Welfare Continuation</w:t>
            </w:r>
            <w:r>
              <w:rPr>
                <w:rFonts w:ascii="Arial" w:cs="Arial" w:eastAsia="Arial" w:hAnsi="Arial"/>
                <w:sz w:val="23"/>
                <w:szCs w:val="23"/>
                <w:color w:val="auto"/>
                <w:vertAlign w:val="superscript"/>
              </w:rPr>
              <w:t>(4)</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$12,356</w:t>
            </w:r>
          </w:p>
        </w:tc>
      </w:tr>
      <w:tr>
        <w:trPr>
          <w:trHeight w:val="241"/>
        </w:trPr>
        <w:tc>
          <w:tcPr>
            <w:tcW w:w="2860" w:type="dxa"/>
            <w:vAlign w:val="bottom"/>
            <w:tcBorders>
              <w:bottom w:val="single" w:sz="8" w:color="636466"/>
            </w:tcBorders>
          </w:tcPr>
          <w:p>
            <w:pPr>
              <w:ind w:left="60"/>
              <w:spacing w:after="0" w:line="234" w:lineRule="exact"/>
              <w:rPr>
                <w:sz w:val="20"/>
                <w:szCs w:val="20"/>
                <w:color w:val="auto"/>
              </w:rPr>
            </w:pPr>
            <w:r>
              <w:rPr>
                <w:rFonts w:ascii="Arial" w:cs="Arial" w:eastAsia="Arial" w:hAnsi="Arial"/>
                <w:sz w:val="14"/>
                <w:szCs w:val="14"/>
                <w:color w:val="auto"/>
              </w:rPr>
              <w:t>Stock Awards</w:t>
            </w:r>
            <w:r>
              <w:rPr>
                <w:rFonts w:ascii="Arial" w:cs="Arial" w:eastAsia="Arial" w:hAnsi="Arial"/>
                <w:sz w:val="23"/>
                <w:szCs w:val="23"/>
                <w:color w:val="auto"/>
                <w:vertAlign w:val="superscript"/>
              </w:rPr>
              <w:t>(5)</w:t>
            </w:r>
          </w:p>
        </w:tc>
        <w:tc>
          <w:tcPr>
            <w:tcW w:w="230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$6,717,987</w:t>
            </w:r>
          </w:p>
        </w:tc>
      </w:tr>
      <w:tr>
        <w:trPr>
          <w:trHeight w:val="221"/>
        </w:trPr>
        <w:tc>
          <w:tcPr>
            <w:tcW w:w="286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b w:val="1"/>
                <w:bCs w:val="1"/>
                <w:color w:val="auto"/>
              </w:rPr>
              <w:t>Total</w:t>
            </w:r>
          </w:p>
        </w:tc>
        <w:tc>
          <w:tcPr>
            <w:tcW w:w="230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b w:val="1"/>
                <w:bCs w:val="1"/>
                <w:color w:val="auto"/>
              </w:rPr>
              <w:t>$12,420,480</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0" w:hanging="253"/>
        <w:spacing w:after="0"/>
        <w:tabs>
          <w:tab w:leader="none" w:pos="260" w:val="left"/>
        </w:tabs>
        <w:numPr>
          <w:ilvl w:val="0"/>
          <w:numId w:val="215"/>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331" w:right="80" w:hanging="331"/>
        <w:spacing w:after="0" w:line="242" w:lineRule="auto"/>
        <w:tabs>
          <w:tab w:leader="none" w:pos="33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Reflects cash payments made in connection with the terms of Mr. O’Brien’s qualifying separation under the terms of his legacy RTN change-in-control agreement and the legacy RTN Enhanced Severance Plan for Senior Leadership Team Members.</w:t>
      </w:r>
    </w:p>
    <w:p>
      <w:pPr>
        <w:spacing w:after="0" w:line="37" w:lineRule="exact"/>
        <w:rPr>
          <w:rFonts w:ascii="Arial" w:cs="Arial" w:eastAsia="Arial" w:hAnsi="Arial"/>
          <w:sz w:val="12"/>
          <w:szCs w:val="12"/>
          <w:color w:val="auto"/>
        </w:rPr>
      </w:pPr>
    </w:p>
    <w:p>
      <w:pPr>
        <w:ind w:left="331" w:right="60" w:hanging="331"/>
        <w:spacing w:after="0"/>
        <w:tabs>
          <w:tab w:leader="none" w:pos="33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Estimated lump-sum present value of the incremental one additional year of credited service under the RTN SERP pursuant to the terms of Mr. O’Brien’s RTN change-in-control agreement. An estimated lump-sum present value of Mr. O’Brien’s qualified and nonqualified pension benefits that will be distributed, or were distributed during the year in connection with his separation from the Company, can be found in the Pension Benefits table on page 75.</w:t>
      </w:r>
    </w:p>
    <w:p>
      <w:pPr>
        <w:spacing w:after="0" w:line="166" w:lineRule="exact"/>
        <w:rPr>
          <w:rFonts w:ascii="Arial" w:cs="Arial" w:eastAsia="Arial" w:hAnsi="Arial"/>
          <w:sz w:val="12"/>
          <w:szCs w:val="12"/>
          <w:color w:val="auto"/>
        </w:rPr>
      </w:pPr>
    </w:p>
    <w:p>
      <w:pPr>
        <w:ind w:left="331" w:right="40" w:hanging="331"/>
        <w:spacing w:after="0" w:line="252" w:lineRule="auto"/>
        <w:tabs>
          <w:tab w:leader="none" w:pos="33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Reflects the value of accrued (and unused) paid time off that Mr. O’Brien was paid upon his separation from the Company.</w:t>
      </w:r>
    </w:p>
    <w:p>
      <w:pPr>
        <w:spacing w:after="0" w:line="31" w:lineRule="exact"/>
        <w:rPr>
          <w:rFonts w:ascii="Arial" w:cs="Arial" w:eastAsia="Arial" w:hAnsi="Arial"/>
          <w:sz w:val="12"/>
          <w:szCs w:val="12"/>
          <w:color w:val="auto"/>
        </w:rPr>
      </w:pPr>
    </w:p>
    <w:p>
      <w:pPr>
        <w:ind w:left="331" w:hanging="331"/>
        <w:spacing w:after="0" w:line="252" w:lineRule="auto"/>
        <w:tabs>
          <w:tab w:leader="none" w:pos="33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Amounts shown reflect the estimated cost of two years of continuation of health and welfare benefits based on Mr. O’Brien’s current elections.</w:t>
      </w:r>
    </w:p>
    <w:p>
      <w:pPr>
        <w:spacing w:after="0" w:line="31" w:lineRule="exact"/>
        <w:rPr>
          <w:rFonts w:ascii="Arial" w:cs="Arial" w:eastAsia="Arial" w:hAnsi="Arial"/>
          <w:sz w:val="12"/>
          <w:szCs w:val="12"/>
          <w:color w:val="auto"/>
        </w:rPr>
      </w:pPr>
    </w:p>
    <w:p>
      <w:pPr>
        <w:ind w:left="331" w:right="140" w:hanging="331"/>
        <w:spacing w:after="0" w:line="239" w:lineRule="auto"/>
        <w:tabs>
          <w:tab w:leader="none" w:pos="331" w:val="left"/>
        </w:tabs>
        <w:numPr>
          <w:ilvl w:val="0"/>
          <w:numId w:val="216"/>
        </w:numPr>
        <w:rPr>
          <w:rFonts w:ascii="Arial" w:cs="Arial" w:eastAsia="Arial" w:hAnsi="Arial"/>
          <w:sz w:val="12"/>
          <w:szCs w:val="12"/>
          <w:color w:val="auto"/>
        </w:rPr>
      </w:pPr>
      <w:r>
        <w:rPr>
          <w:rFonts w:ascii="Arial" w:cs="Arial" w:eastAsia="Arial" w:hAnsi="Arial"/>
          <w:sz w:val="12"/>
          <w:szCs w:val="12"/>
          <w:color w:val="auto"/>
        </w:rPr>
        <w:t>Reflects the value of LTI awards that vested as a result of Mr. O’Brien’s April 7, 2021 separation. Values shown are calculated based on the closing stock price of RTX on April 7, 2021 of $77.60. Mr. O’Brien’s RSUs were subject to a 6-month delay in settlement required under IRC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247650</wp:posOffset>
            </wp:positionV>
            <wp:extent cx="715454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160" w:space="689"/>
            <w:col w:w="5391"/>
          </w:cols>
          <w:pgMar w:left="320" w:top="118" w:right="339" w:bottom="1440" w:gutter="0" w:footer="0" w:header="0"/>
          <w:type w:val="continuous"/>
        </w:sectPr>
      </w:pPr>
    </w:p>
    <w:bookmarkStart w:id="89" w:name="page90"/>
    <w:bookmarkEnd w:id="8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2227580" cy="508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227580" cy="50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208280</wp:posOffset>
            </wp:positionV>
            <wp:extent cx="7133590" cy="7308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33590" cy="73088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30"/>
          <w:szCs w:val="30"/>
          <w:b w:val="1"/>
          <w:bCs w:val="1"/>
          <w:color w:val="CE0F2D"/>
        </w:rPr>
        <w:t>Background</w:t>
      </w:r>
    </w:p>
    <w:p>
      <w:pPr>
        <w:spacing w:after="0" w:line="103" w:lineRule="exact"/>
        <w:rPr>
          <w:sz w:val="20"/>
          <w:szCs w:val="20"/>
          <w:color w:val="auto"/>
        </w:rPr>
      </w:pPr>
    </w:p>
    <w:p>
      <w:pPr>
        <w:ind w:left="180" w:right="440"/>
        <w:spacing w:after="0" w:line="256" w:lineRule="auto"/>
        <w:rPr>
          <w:sz w:val="20"/>
          <w:szCs w:val="20"/>
          <w:color w:val="auto"/>
        </w:rPr>
      </w:pPr>
      <w:r>
        <w:rPr>
          <w:rFonts w:ascii="Arial" w:cs="Arial" w:eastAsia="Arial" w:hAnsi="Arial"/>
          <w:sz w:val="16"/>
          <w:szCs w:val="16"/>
          <w:color w:val="auto"/>
        </w:rPr>
        <w:t>The following section discloses the ratio of our median employee’s total annual compensation to the total annual compensation of the CEO. Below we explain the methodology that we used, in accordance with the SEC rules, to identify the median employee and to calculate the 2021 ratio.</w:t>
      </w:r>
    </w:p>
    <w:p>
      <w:pPr>
        <w:spacing w:after="0" w:line="284"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Identifying the Median Employee</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The Company used the following parameters to identify the employee whose pay was at the median of all RTX employees globally.</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MEASURE</w:t>
      </w:r>
    </w:p>
    <w:p>
      <w:pPr>
        <w:spacing w:after="0" w:line="215"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The compensation measure we used to identify the median employee was gross cash compensation paid to employees from October 1, 2020 to September 30, 2021. Gross cash compensation varies by country and is based on local pay practices, but generally includes:</w:t>
      </w:r>
    </w:p>
    <w:p>
      <w:pPr>
        <w:spacing w:after="0" w:line="143" w:lineRule="exact"/>
        <w:rPr>
          <w:sz w:val="20"/>
          <w:szCs w:val="20"/>
          <w:color w:val="auto"/>
        </w:rPr>
      </w:pPr>
    </w:p>
    <w:p>
      <w:pPr>
        <w:ind w:left="240" w:hanging="233"/>
        <w:spacing w:after="0"/>
        <w:tabs>
          <w:tab w:leader="none" w:pos="240" w:val="left"/>
        </w:tabs>
        <w:numPr>
          <w:ilvl w:val="0"/>
          <w:numId w:val="217"/>
        </w:numPr>
        <w:rPr>
          <w:rFonts w:ascii="Arial" w:cs="Arial" w:eastAsia="Arial" w:hAnsi="Arial"/>
          <w:sz w:val="16"/>
          <w:szCs w:val="16"/>
          <w:color w:val="CE0F2D"/>
        </w:rPr>
      </w:pPr>
      <w:r>
        <w:rPr>
          <w:rFonts w:ascii="Arial" w:cs="Arial" w:eastAsia="Arial" w:hAnsi="Arial"/>
          <w:sz w:val="16"/>
          <w:szCs w:val="16"/>
          <w:color w:val="auto"/>
        </w:rPr>
        <w:t>Base salary (including any local allowances)</w:t>
      </w:r>
    </w:p>
    <w:p>
      <w:pPr>
        <w:spacing w:after="0" w:line="97" w:lineRule="exact"/>
        <w:rPr>
          <w:rFonts w:ascii="Arial" w:cs="Arial" w:eastAsia="Arial" w:hAnsi="Arial"/>
          <w:sz w:val="16"/>
          <w:szCs w:val="16"/>
          <w:color w:val="CE0F2D"/>
        </w:rPr>
      </w:pPr>
    </w:p>
    <w:p>
      <w:pPr>
        <w:ind w:left="240" w:hanging="233"/>
        <w:spacing w:after="0"/>
        <w:tabs>
          <w:tab w:leader="none" w:pos="240" w:val="left"/>
        </w:tabs>
        <w:numPr>
          <w:ilvl w:val="0"/>
          <w:numId w:val="217"/>
        </w:numPr>
        <w:rPr>
          <w:rFonts w:ascii="Arial" w:cs="Arial" w:eastAsia="Arial" w:hAnsi="Arial"/>
          <w:sz w:val="16"/>
          <w:szCs w:val="16"/>
          <w:color w:val="CE0F2D"/>
        </w:rPr>
      </w:pPr>
      <w:r>
        <w:rPr>
          <w:rFonts w:ascii="Arial" w:cs="Arial" w:eastAsia="Arial" w:hAnsi="Arial"/>
          <w:sz w:val="16"/>
          <w:szCs w:val="16"/>
          <w:color w:val="auto"/>
        </w:rPr>
        <w:t>Incentive pay (including cash bonuses, sales incentives and other variable pay programs)</w:t>
      </w:r>
    </w:p>
    <w:p>
      <w:pPr>
        <w:spacing w:after="0" w:line="69" w:lineRule="exact"/>
        <w:rPr>
          <w:rFonts w:ascii="Arial" w:cs="Arial" w:eastAsia="Arial" w:hAnsi="Arial"/>
          <w:sz w:val="16"/>
          <w:szCs w:val="16"/>
          <w:color w:val="CE0F2D"/>
        </w:rPr>
      </w:pPr>
    </w:p>
    <w:p>
      <w:pPr>
        <w:ind w:left="240" w:hanging="233"/>
        <w:spacing w:after="0"/>
        <w:tabs>
          <w:tab w:leader="none" w:pos="240" w:val="left"/>
        </w:tabs>
        <w:numPr>
          <w:ilvl w:val="0"/>
          <w:numId w:val="217"/>
        </w:numPr>
        <w:rPr>
          <w:rFonts w:ascii="Arial" w:cs="Arial" w:eastAsia="Arial" w:hAnsi="Arial"/>
          <w:sz w:val="32"/>
          <w:szCs w:val="32"/>
          <w:color w:val="CE0F2D"/>
          <w:vertAlign w:val="superscript"/>
        </w:rPr>
      </w:pPr>
      <w:r>
        <w:rPr>
          <w:rFonts w:ascii="Arial" w:cs="Arial" w:eastAsia="Arial" w:hAnsi="Arial"/>
          <w:sz w:val="16"/>
          <w:szCs w:val="16"/>
          <w:color w:val="auto"/>
        </w:rPr>
        <w:t>Any other cash awards or payments</w:t>
      </w:r>
      <w:r>
        <w:rPr>
          <w:rFonts w:ascii="Arial" w:cs="Arial" w:eastAsia="Arial" w:hAnsi="Arial"/>
          <w:sz w:val="26"/>
          <w:szCs w:val="26"/>
          <w:color w:val="auto"/>
          <w:vertAlign w:val="superscript"/>
        </w:rPr>
        <w:t>(1)</w:t>
      </w:r>
    </w:p>
    <w:p>
      <w:pPr>
        <w:spacing w:after="0" w:line="48"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CE0F2D"/>
        </w:rPr>
        <w:t xml:space="preserve">Annualized pay. </w:t>
      </w:r>
      <w:r>
        <w:rPr>
          <w:rFonts w:ascii="Arial" w:cs="Arial" w:eastAsia="Arial" w:hAnsi="Arial"/>
          <w:sz w:val="16"/>
          <w:szCs w:val="16"/>
          <w:color w:val="000000"/>
        </w:rPr>
        <w:t>Pay was annualized for employees who worked a partial year between October 1, 2020 and September 30, 2021. Partial-year employees</w:t>
      </w:r>
      <w:r>
        <w:rPr>
          <w:rFonts w:ascii="Arial" w:cs="Arial" w:eastAsia="Arial" w:hAnsi="Arial"/>
          <w:sz w:val="16"/>
          <w:szCs w:val="16"/>
          <w:color w:val="CE0F2D"/>
        </w:rPr>
        <w:t xml:space="preserve"> </w:t>
      </w:r>
      <w:r>
        <w:rPr>
          <w:rFonts w:ascii="Arial" w:cs="Arial" w:eastAsia="Arial" w:hAnsi="Arial"/>
          <w:sz w:val="16"/>
          <w:szCs w:val="16"/>
          <w:color w:val="000000"/>
        </w:rPr>
        <w:t>may include mid-year hires, employees on paid or unpaid leave, and employees on active military duty.</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CE0F2D"/>
        </w:rPr>
        <w:t xml:space="preserve">Foreign exchange rates. </w:t>
      </w:r>
      <w:r>
        <w:rPr>
          <w:rFonts w:ascii="Arial" w:cs="Arial" w:eastAsia="Arial" w:hAnsi="Arial"/>
          <w:sz w:val="16"/>
          <w:szCs w:val="16"/>
          <w:color w:val="000000"/>
        </w:rPr>
        <w:t>Foreign currencies were converted into U.S. dollars as of October 1, 2021, based on the average daily spot rates during September</w:t>
      </w:r>
      <w:r>
        <w:rPr>
          <w:rFonts w:ascii="Arial" w:cs="Arial" w:eastAsia="Arial" w:hAnsi="Arial"/>
          <w:sz w:val="16"/>
          <w:szCs w:val="16"/>
          <w:color w:val="CE0F2D"/>
        </w:rPr>
        <w:t xml:space="preserve"> </w:t>
      </w:r>
      <w:r>
        <w:rPr>
          <w:rFonts w:ascii="Arial" w:cs="Arial" w:eastAsia="Arial" w:hAnsi="Arial"/>
          <w:sz w:val="16"/>
          <w:szCs w:val="16"/>
          <w:color w:val="000000"/>
        </w:rPr>
        <w:t>2021.</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INCLUDED AND EXCLUDED</w:t>
      </w:r>
    </w:p>
    <w:p>
      <w:pPr>
        <w:spacing w:after="0" w:line="215"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For the purposes of identifying the median employee, we included all active RTX employees (excluding the CEO) on October 1, 2021, located in 11 countries in which RTX has operations. RTX’s employee population in these 11 countries represents approximately 96% (or 167,593) of our 174,847 active employees on that date. As of October 1, 2021, our global population consisted of 124,519 U.S. employees and 50,328 non-U.S. employees.</w:t>
      </w:r>
    </w:p>
    <w:p>
      <w:pPr>
        <w:spacing w:after="0" w:line="146" w:lineRule="exact"/>
        <w:rPr>
          <w:sz w:val="20"/>
          <w:szCs w:val="20"/>
          <w:color w:val="auto"/>
        </w:rPr>
      </w:pPr>
    </w:p>
    <w:p>
      <w:pPr>
        <w:ind w:right="500"/>
        <w:spacing w:after="0" w:line="228" w:lineRule="auto"/>
        <w:rPr>
          <w:sz w:val="20"/>
          <w:szCs w:val="20"/>
          <w:color w:val="auto"/>
        </w:rPr>
      </w:pPr>
      <w:r>
        <w:rPr>
          <w:rFonts w:ascii="Arial" w:cs="Arial" w:eastAsia="Arial" w:hAnsi="Arial"/>
          <w:sz w:val="16"/>
          <w:szCs w:val="16"/>
          <w:color w:val="auto"/>
        </w:rPr>
        <w:t>We excluded 7,254 employees from 58 countries under the SEC’s de minimis exemption</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and an estimated 703 employees from three businesses we acquired during 2021.</w:t>
      </w:r>
      <w:r>
        <w:rPr>
          <w:rFonts w:ascii="Arial" w:cs="Arial" w:eastAsia="Arial" w:hAnsi="Arial"/>
          <w:sz w:val="26"/>
          <w:szCs w:val="26"/>
          <w:color w:val="auto"/>
          <w:vertAlign w:val="superscript"/>
        </w:rPr>
        <w:t>(3)</w:t>
      </w:r>
    </w:p>
    <w:p>
      <w:pPr>
        <w:spacing w:after="0" w:line="43" w:lineRule="exact"/>
        <w:rPr>
          <w:sz w:val="20"/>
          <w:szCs w:val="20"/>
          <w:color w:val="auto"/>
        </w:rPr>
      </w:pPr>
    </w:p>
    <w:p>
      <w:pPr>
        <w:ind w:left="320" w:right="580" w:hanging="313"/>
        <w:spacing w:after="0" w:line="252" w:lineRule="auto"/>
        <w:tabs>
          <w:tab w:leader="none" w:pos="32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In some countries, due to differences in payroll systems and local laws and regulations, gains realized on the vesting and/or exercise of equity awards, as well as Company contributions to government-sponsored benefit plans, may be included.</w:t>
      </w:r>
    </w:p>
    <w:p>
      <w:pPr>
        <w:spacing w:after="0" w:line="71" w:lineRule="exact"/>
        <w:rPr>
          <w:rFonts w:ascii="Arial" w:cs="Arial" w:eastAsia="Arial" w:hAnsi="Arial"/>
          <w:sz w:val="12"/>
          <w:szCs w:val="12"/>
          <w:color w:val="auto"/>
        </w:rPr>
      </w:pPr>
    </w:p>
    <w:p>
      <w:pPr>
        <w:ind w:left="320" w:hanging="313"/>
        <w:spacing w:after="0" w:line="232" w:lineRule="auto"/>
        <w:tabs>
          <w:tab w:leader="none" w:pos="32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countries and approximate number of RTX employees excluded from the calculation are as follows: Afghanistan (4), Algeria (4), Australia (1,341), Austria (1), Bahrain (2), Belgium (15), Brazil (137), Cayman Islands (1), Chile (19), Colombia (19), Costa Rica (2), Cyprus (7), Czechia (3), Denmark (3), Djibouti (11), Dominican Republic (2), Egypt (11), El Salvador (2), Finland (2), Greece (7), Hong Kong (81), Indonesia (400), Iraq (30), Ireland (177), Israel (1,226), Italy (651), Japan (213), Jordan (4), Kenya (9), Korea (98), Kuwait (48), Luxembourg (1), Malaysia (128), Marshall Islands</w:t>
      </w:r>
    </w:p>
    <w:p>
      <w:pPr>
        <w:spacing w:after="0" w:line="1" w:lineRule="exact"/>
        <w:rPr>
          <w:rFonts w:ascii="Arial" w:cs="Arial" w:eastAsia="Arial" w:hAnsi="Arial"/>
          <w:sz w:val="12"/>
          <w:szCs w:val="12"/>
          <w:color w:val="auto"/>
        </w:rPr>
      </w:pPr>
    </w:p>
    <w:p>
      <w:pPr>
        <w:ind w:left="320"/>
        <w:spacing w:after="0" w:line="232" w:lineRule="auto"/>
        <w:rPr>
          <w:rFonts w:ascii="Arial" w:cs="Arial" w:eastAsia="Arial" w:hAnsi="Arial"/>
          <w:sz w:val="12"/>
          <w:szCs w:val="12"/>
          <w:color w:val="auto"/>
        </w:rPr>
      </w:pPr>
      <w:r>
        <w:rPr>
          <w:rFonts w:ascii="Arial" w:cs="Arial" w:eastAsia="Arial" w:hAnsi="Arial"/>
          <w:sz w:val="12"/>
          <w:szCs w:val="12"/>
          <w:color w:val="auto"/>
        </w:rPr>
        <w:t>(3), Morocco (103), Netherlands (192), New Zealand (366), Norway (32), Oman (4), Panama (13), Portugal (1), Qatar (200), Romania (5), Russia (358), Saudi Arabia (267), Slovakia (5), South Africa</w:t>
      </w:r>
    </w:p>
    <w:p>
      <w:pPr>
        <w:ind w:left="320"/>
        <w:spacing w:after="0"/>
        <w:rPr>
          <w:rFonts w:ascii="Arial" w:cs="Arial" w:eastAsia="Arial" w:hAnsi="Arial"/>
          <w:sz w:val="12"/>
          <w:szCs w:val="12"/>
          <w:color w:val="auto"/>
        </w:rPr>
      </w:pPr>
      <w:r>
        <w:rPr>
          <w:rFonts w:ascii="Arial" w:cs="Arial" w:eastAsia="Arial" w:hAnsi="Arial"/>
          <w:sz w:val="12"/>
          <w:szCs w:val="12"/>
          <w:color w:val="auto"/>
        </w:rPr>
        <w:t>(5), Spain (63), Sweden (24), Switzerland (26), Taiwan (107), Tanzania (13), Thailand (4), Turkey (524), Ukraine (1), United Arab Emirates (268), Vietnam (10), and Yemen (1).</w:t>
      </w:r>
    </w:p>
    <w:p>
      <w:pPr>
        <w:spacing w:after="0" w:line="89" w:lineRule="exact"/>
        <w:rPr>
          <w:rFonts w:ascii="Arial" w:cs="Arial" w:eastAsia="Arial" w:hAnsi="Arial"/>
          <w:sz w:val="12"/>
          <w:szCs w:val="12"/>
          <w:color w:val="auto"/>
        </w:rPr>
      </w:pPr>
    </w:p>
    <w:p>
      <w:pPr>
        <w:ind w:left="320" w:right="20" w:hanging="313"/>
        <w:spacing w:after="0" w:line="252" w:lineRule="auto"/>
        <w:tabs>
          <w:tab w:leader="none" w:pos="320" w:val="left"/>
        </w:tabs>
        <w:numPr>
          <w:ilvl w:val="0"/>
          <w:numId w:val="218"/>
        </w:numPr>
        <w:rPr>
          <w:rFonts w:ascii="Arial" w:cs="Arial" w:eastAsia="Arial" w:hAnsi="Arial"/>
          <w:sz w:val="12"/>
          <w:szCs w:val="12"/>
          <w:color w:val="auto"/>
        </w:rPr>
      </w:pPr>
      <w:r>
        <w:rPr>
          <w:rFonts w:ascii="Arial" w:cs="Arial" w:eastAsia="Arial" w:hAnsi="Arial"/>
          <w:sz w:val="12"/>
          <w:szCs w:val="12"/>
          <w:color w:val="auto"/>
        </w:rPr>
        <w:t>The entities acquired in 2021 and the approximate number of employees from each entity that were excluded from the calculation are: Dutch Thermoplastic Components (42), FlightAware (121), and SEAKR Engineering (540).</w:t>
      </w:r>
    </w:p>
    <w:p>
      <w:pPr>
        <w:spacing w:after="0" w:line="9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 xml:space="preserve">CEO PAY RATIO </w:t>
      </w:r>
      <w:r>
        <w:rPr>
          <w:rFonts w:ascii="Arial" w:cs="Arial" w:eastAsia="Arial" w:hAnsi="Arial"/>
          <w:sz w:val="12"/>
          <w:szCs w:val="12"/>
          <w:color w:val="000000"/>
        </w:rPr>
        <w:t>| CALCULATING THE RATIO</w:t>
      </w:r>
    </w:p>
    <w:p>
      <w:pPr>
        <w:spacing w:after="0" w:line="14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Calculating the Ratio</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METHODOLOGY</w:t>
      </w:r>
    </w:p>
    <w:p>
      <w:pPr>
        <w:spacing w:after="0" w:line="215"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Once we identified the median employee using gross cash compensation as our compensation measure, we then calculated 2021 total compensation for our CEO and for the median employee for the full year, using the same methodology outlined by the SEC for reporting in the Summary Compensation Table (see page 66). Under this methodology, compensation includes employee fringe benefits, such as Company contributions to healthcare and retirement plans.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2021 total annual compensation value for Mr. Hayes was $23,316,063 and for RTX’s global median employee was $112,078, resulting in a ratio of 208:1.</w:t>
      </w:r>
    </w:p>
    <w:p>
      <w:pPr>
        <w:spacing w:after="0" w:line="164"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auto"/>
        </w:rPr>
        <w:t>With approximately 29% of our employees located outside the United States, RTX has operations in almost a third of the countries in the world. We believe paying competitive wages targeted at the median of local labor markets within our industry is essential to ensuring a productive, engaged workforce and a sustainable business. Consequently, a global ratio may not be particularly informative without any context for foreign labor markets and the diverse roles of RTX’s employees around the world.</w:t>
      </w:r>
    </w:p>
    <w:p>
      <w:pPr>
        <w:spacing w:after="0" w:line="117"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Comparing RTX’s Ratio to Other Companies</w:t>
      </w:r>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 number of factors unrelated to compensation significantly impact this calculation and are particularly important when comparing RTX’s ratio to ratios at other companies. These factors include industry-specific pay differentials, company and organizational structure (e.g., outsourcing versus insourcing) and the geographic location of employee populations.</w:t>
      </w:r>
    </w:p>
    <w:p>
      <w:pPr>
        <w:spacing w:after="0" w:line="148" w:lineRule="exact"/>
        <w:rPr>
          <w:sz w:val="20"/>
          <w:szCs w:val="20"/>
          <w:color w:val="auto"/>
        </w:rPr>
      </w:pPr>
    </w:p>
    <w:p>
      <w:pPr>
        <w:ind w:left="260" w:hanging="253"/>
        <w:spacing w:after="0"/>
        <w:tabs>
          <w:tab w:leader="none" w:pos="260" w:val="left"/>
        </w:tabs>
        <w:numPr>
          <w:ilvl w:val="0"/>
          <w:numId w:val="219"/>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4284980" cy="508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284980" cy="50800"/>
                    </a:xfrm>
                    <a:prstGeom prst="rect">
                      <a:avLst/>
                    </a:prstGeom>
                    <a:noFill/>
                  </pic:spPr>
                </pic:pic>
              </a:graphicData>
            </a:graphic>
          </wp:anchor>
        </w:drawing>
      </w:r>
    </w:p>
    <w:p>
      <w:pPr>
        <w:spacing w:after="0" w:line="283"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Audit Committee assists the Board of Directors in its oversight responsibilities relating to: the integrity of RTX’s financial statements; the independence, qualifications and performance of RTX’s internal and external auditors; the Company’s compliance with its policies and procedures, internal controls, Code of Conduct and applicable laws and regulations; policies and procedures with respect to risk assessment and management; and such other responsibilities as delegated by the Board from time to time. The Committee’s specific responsibilities and duties are set forth in the Audit Committee Charter adopted by the Board, which is available on the Company’s website. The Committee is composed entirely of independent directors who meet the independence and financial literacy requirements of the NYSE and the SEC.</w:t>
      </w:r>
    </w:p>
    <w:p>
      <w:pPr>
        <w:spacing w:after="0" w:line="154"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Management has the primary responsibility for the financial statements and the financial reporting processes, including the system of internal control over financial reporting. PricewaterhouseCoopers LLP (“PwC”), the Company’s independent auditor, is responsible for auditing the financial statements prepared by management and expressing an opinion on both the conformity of the Company’s audited financial statements with U.S. generally accepted accounting principles and the effectiveness of our internal control over financial reporting. PwC is also responsible for discussing any issues they believe should be raised to us.</w:t>
      </w:r>
    </w:p>
    <w:p>
      <w:pPr>
        <w:spacing w:after="0" w:line="151"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performing its oversight responsibilities, the Committee reviewed and discussed with management and PwC, RTX’s consolidated financial statements as of and for the year ended December 31, 2021 and RTX’s internal control over financial reporting as of December 31, 2021. The Committee also discussed with RTX’s internal auditors and PwC the overall scope and plans for their respective audits. The Committee also met with the internal auditors and PwC, with and without management present, to discuss the results of their examinations, the evaluation of RTX’s internal control over financial reporting, management’s representations regarding internal control over financial reporting, and the overall quality of RTX’s financial reporting.</w:t>
      </w:r>
    </w:p>
    <w:p>
      <w:pPr>
        <w:spacing w:after="0" w:line="15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 xml:space="preserve">The Committee has discussed with PwC the matters required by the Public Company Accounting and Oversight Board’s (“PCAOB”) Auditing Standard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It has also discussed with PwC its independence from RTX and its management, including communications from PwC required by the PCAOB’s Rule 3526, </w:t>
      </w:r>
      <w:r>
        <w:rPr>
          <w:rFonts w:ascii="Arial" w:cs="Arial" w:eastAsia="Arial" w:hAnsi="Arial"/>
          <w:sz w:val="16"/>
          <w:szCs w:val="16"/>
          <w:i w:val="1"/>
          <w:iCs w:val="1"/>
          <w:color w:val="auto"/>
        </w:rPr>
        <w:t>Communication with Audit Committees Concerning Independence,</w:t>
      </w:r>
      <w:r>
        <w:rPr>
          <w:rFonts w:ascii="Arial" w:cs="Arial" w:eastAsia="Arial" w:hAnsi="Arial"/>
          <w:sz w:val="16"/>
          <w:szCs w:val="16"/>
          <w:color w:val="auto"/>
        </w:rPr>
        <w:t xml:space="preserve"> Rule 3524, </w:t>
      </w:r>
      <w:r>
        <w:rPr>
          <w:rFonts w:ascii="Arial" w:cs="Arial" w:eastAsia="Arial" w:hAnsi="Arial"/>
          <w:sz w:val="16"/>
          <w:szCs w:val="16"/>
          <w:i w:val="1"/>
          <w:iCs w:val="1"/>
          <w:color w:val="auto"/>
        </w:rPr>
        <w:t>Audit Committee Pre-Approval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Certain Tax Services, </w:t>
      </w:r>
      <w:r>
        <w:rPr>
          <w:rFonts w:ascii="Arial" w:cs="Arial" w:eastAsia="Arial" w:hAnsi="Arial"/>
          <w:sz w:val="16"/>
          <w:szCs w:val="16"/>
          <w:color w:val="auto"/>
        </w:rPr>
        <w:t>and Rule 3525,</w:t>
      </w:r>
      <w:r>
        <w:rPr>
          <w:rFonts w:ascii="Arial" w:cs="Arial" w:eastAsia="Arial" w:hAnsi="Arial"/>
          <w:sz w:val="16"/>
          <w:szCs w:val="16"/>
          <w:i w:val="1"/>
          <w:iCs w:val="1"/>
          <w:color w:val="auto"/>
        </w:rPr>
        <w:t xml:space="preserve"> Audit Committee Pre-approval of Non-audit Services Related to Internal Control Over Financial Reporting</w:t>
      </w:r>
      <w:r>
        <w:rPr>
          <w:rFonts w:ascii="Arial" w:cs="Arial" w:eastAsia="Arial" w:hAnsi="Arial"/>
          <w:sz w:val="16"/>
          <w:szCs w:val="16"/>
          <w:color w:val="auto"/>
        </w:rPr>
        <w:t>.</w:t>
      </w:r>
    </w:p>
    <w:p>
      <w:pPr>
        <w:spacing w:after="0" w:line="150"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The Committee pre-approves all audit and non-audit services to be provided by PwC, and the related fees for those services. The Committee has concluded that PwC’s provision of non-audit services, as described in the table on page 88, does not impair PwC’s independence as the external auditor.</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PwC has reported to the Committee that RTX’s audited financial statements are fairly presented in accordance with U.S. generally accepted accounting principles. The Committee reviewed management’s assessment and report on the effectiveness of RTX’s internal control over financial reporting, as well as PwC’s audit report on the effectiveness of RTX’s internal control over financial reporting, which are both included in RTX’s Annual Report on Form 10-K for the fiscal year ending on December 31, 2021. Based on the reviews and discussions referred to above, the Committee has recommended to the Board of Directors that the audited financial statements be included in RTX’s Annual Report on Form 10-K for the year ending on December 31, 2021 for filing with the SEC.</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Committee has nominated PwC for appointment by the shareowners at the 2022 Annual Meeting to serve as RTX’s independent auditor for 2022.</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413"/>
        </w:trPr>
        <w:tc>
          <w:tcPr>
            <w:tcW w:w="1380" w:type="dxa"/>
            <w:vAlign w:val="bottom"/>
            <w:tcBorders>
              <w:top w:val="single" w:sz="8" w:color="CE0F2D"/>
              <w:right w:val="single" w:sz="8" w:color="CE0F2D"/>
            </w:tcBorders>
          </w:tcPr>
          <w:p>
            <w:pPr>
              <w:spacing w:after="0"/>
              <w:rPr>
                <w:sz w:val="24"/>
                <w:szCs w:val="24"/>
                <w:color w:val="auto"/>
              </w:rPr>
            </w:pPr>
          </w:p>
        </w:tc>
        <w:tc>
          <w:tcPr>
            <w:tcW w:w="3380" w:type="dxa"/>
            <w:vAlign w:val="bottom"/>
            <w:tcBorders>
              <w:top w:val="single" w:sz="8" w:color="CE0F2D"/>
              <w:right w:val="single" w:sz="8" w:color="CE0F2D"/>
            </w:tcBorders>
          </w:tcPr>
          <w:p>
            <w:pPr>
              <w:ind w:left="80"/>
              <w:spacing w:after="0"/>
              <w:rPr>
                <w:sz w:val="20"/>
                <w:szCs w:val="20"/>
                <w:color w:val="auto"/>
              </w:rPr>
            </w:pPr>
            <w:r>
              <w:rPr>
                <w:rFonts w:ascii="Arial" w:cs="Arial" w:eastAsia="Arial" w:hAnsi="Arial"/>
                <w:sz w:val="20"/>
                <w:szCs w:val="20"/>
                <w:b w:val="1"/>
                <w:bCs w:val="1"/>
                <w:color w:val="auto"/>
              </w:rPr>
              <w:t>Fredric G. Reynolds, Chair</w:t>
            </w:r>
          </w:p>
        </w:tc>
        <w:tc>
          <w:tcPr>
            <w:tcW w:w="3140" w:type="dxa"/>
            <w:vAlign w:val="bottom"/>
            <w:tcBorders>
              <w:top w:val="single" w:sz="8" w:color="CE0F2D"/>
              <w:right w:val="single" w:sz="8" w:color="CE0F2D"/>
            </w:tcBorders>
          </w:tcPr>
          <w:p>
            <w:pPr>
              <w:ind w:left="80"/>
              <w:spacing w:after="0"/>
              <w:rPr>
                <w:sz w:val="20"/>
                <w:szCs w:val="20"/>
                <w:color w:val="auto"/>
              </w:rPr>
            </w:pPr>
            <w:r>
              <w:rPr>
                <w:rFonts w:ascii="Arial" w:cs="Arial" w:eastAsia="Arial" w:hAnsi="Arial"/>
                <w:sz w:val="20"/>
                <w:szCs w:val="20"/>
                <w:b w:val="1"/>
                <w:bCs w:val="1"/>
                <w:color w:val="auto"/>
              </w:rPr>
              <w:t>Bernard A. Harris, Jr.</w:t>
            </w:r>
          </w:p>
        </w:tc>
        <w:tc>
          <w:tcPr>
            <w:tcW w:w="3340" w:type="dxa"/>
            <w:vAlign w:val="bottom"/>
            <w:tcBorders>
              <w:top w:val="single" w:sz="8" w:color="CE0F2D"/>
            </w:tcBorders>
          </w:tcPr>
          <w:p>
            <w:pPr>
              <w:ind w:left="80"/>
              <w:spacing w:after="0"/>
              <w:rPr>
                <w:sz w:val="20"/>
                <w:szCs w:val="20"/>
                <w:color w:val="auto"/>
              </w:rPr>
            </w:pPr>
            <w:r>
              <w:rPr>
                <w:rFonts w:ascii="Arial" w:cs="Arial" w:eastAsia="Arial" w:hAnsi="Arial"/>
                <w:sz w:val="20"/>
                <w:szCs w:val="20"/>
                <w:b w:val="1"/>
                <w:bCs w:val="1"/>
                <w:color w:val="auto"/>
              </w:rPr>
              <w:t>Denise L. Ramos</w:t>
            </w:r>
          </w:p>
        </w:tc>
      </w:tr>
      <w:tr>
        <w:trPr>
          <w:trHeight w:val="388"/>
        </w:trPr>
        <w:tc>
          <w:tcPr>
            <w:tcW w:w="1380" w:type="dxa"/>
            <w:vAlign w:val="bottom"/>
            <w:tcBorders>
              <w:right w:val="single" w:sz="8" w:color="CE0F2D"/>
            </w:tcBorders>
          </w:tcPr>
          <w:p>
            <w:pPr>
              <w:spacing w:after="0"/>
              <w:rPr>
                <w:sz w:val="24"/>
                <w:szCs w:val="24"/>
                <w:color w:val="auto"/>
              </w:rPr>
            </w:pPr>
          </w:p>
        </w:tc>
        <w:tc>
          <w:tcPr>
            <w:tcW w:w="3380" w:type="dxa"/>
            <w:vAlign w:val="bottom"/>
            <w:tcBorders>
              <w:right w:val="single" w:sz="8" w:color="CE0F2D"/>
            </w:tcBorders>
          </w:tcPr>
          <w:p>
            <w:pPr>
              <w:ind w:left="80"/>
              <w:spacing w:after="0"/>
              <w:rPr>
                <w:sz w:val="20"/>
                <w:szCs w:val="20"/>
                <w:color w:val="auto"/>
              </w:rPr>
            </w:pPr>
            <w:r>
              <w:rPr>
                <w:rFonts w:ascii="Arial" w:cs="Arial" w:eastAsia="Arial" w:hAnsi="Arial"/>
                <w:sz w:val="20"/>
                <w:szCs w:val="20"/>
                <w:b w:val="1"/>
                <w:bCs w:val="1"/>
                <w:color w:val="auto"/>
              </w:rPr>
              <w:t>Tracy A. Atkinson</w:t>
            </w:r>
          </w:p>
        </w:tc>
        <w:tc>
          <w:tcPr>
            <w:tcW w:w="3140" w:type="dxa"/>
            <w:vAlign w:val="bottom"/>
            <w:tcBorders>
              <w:right w:val="single" w:sz="8" w:color="CE0F2D"/>
            </w:tcBorders>
          </w:tcPr>
          <w:p>
            <w:pPr>
              <w:ind w:left="80"/>
              <w:spacing w:after="0"/>
              <w:rPr>
                <w:sz w:val="20"/>
                <w:szCs w:val="20"/>
                <w:color w:val="auto"/>
              </w:rPr>
            </w:pPr>
            <w:r>
              <w:rPr>
                <w:rFonts w:ascii="Arial" w:cs="Arial" w:eastAsia="Arial" w:hAnsi="Arial"/>
                <w:sz w:val="20"/>
                <w:szCs w:val="20"/>
                <w:b w:val="1"/>
                <w:bCs w:val="1"/>
                <w:color w:val="auto"/>
              </w:rPr>
              <w:t>Ellen M. Pawlikowski</w:t>
            </w:r>
          </w:p>
        </w:tc>
        <w:tc>
          <w:tcPr>
            <w:tcW w:w="3340" w:type="dxa"/>
            <w:vAlign w:val="bottom"/>
          </w:tcPr>
          <w:p>
            <w:pPr>
              <w:ind w:left="80"/>
              <w:spacing w:after="0"/>
              <w:rPr>
                <w:sz w:val="20"/>
                <w:szCs w:val="20"/>
                <w:color w:val="auto"/>
              </w:rPr>
            </w:pPr>
            <w:r>
              <w:rPr>
                <w:rFonts w:ascii="Arial" w:cs="Arial" w:eastAsia="Arial" w:hAnsi="Arial"/>
                <w:sz w:val="20"/>
                <w:szCs w:val="20"/>
                <w:b w:val="1"/>
                <w:bCs w:val="1"/>
                <w:color w:val="auto"/>
              </w:rPr>
              <w:t>Robert O. Work</w:t>
            </w:r>
          </w:p>
        </w:tc>
      </w:tr>
      <w:tr>
        <w:trPr>
          <w:trHeight w:val="89"/>
        </w:trPr>
        <w:tc>
          <w:tcPr>
            <w:tcW w:w="1380" w:type="dxa"/>
            <w:vAlign w:val="bottom"/>
            <w:tcBorders>
              <w:right w:val="single" w:sz="8" w:color="CE0F2D"/>
            </w:tcBorders>
          </w:tcPr>
          <w:p>
            <w:pPr>
              <w:spacing w:after="0"/>
              <w:rPr>
                <w:sz w:val="7"/>
                <w:szCs w:val="7"/>
                <w:color w:val="auto"/>
              </w:rPr>
            </w:pPr>
          </w:p>
        </w:tc>
        <w:tc>
          <w:tcPr>
            <w:tcW w:w="3380" w:type="dxa"/>
            <w:vAlign w:val="bottom"/>
            <w:tcBorders>
              <w:right w:val="single" w:sz="8" w:color="CE0F2D"/>
            </w:tcBorders>
          </w:tcPr>
          <w:p>
            <w:pPr>
              <w:spacing w:after="0"/>
              <w:rPr>
                <w:sz w:val="7"/>
                <w:szCs w:val="7"/>
                <w:color w:val="auto"/>
              </w:rPr>
            </w:pPr>
          </w:p>
        </w:tc>
        <w:tc>
          <w:tcPr>
            <w:tcW w:w="3140" w:type="dxa"/>
            <w:vAlign w:val="bottom"/>
            <w:tcBorders>
              <w:right w:val="single" w:sz="8" w:color="CE0F2D"/>
            </w:tcBorders>
          </w:tcPr>
          <w:p>
            <w:pPr>
              <w:spacing w:after="0"/>
              <w:rPr>
                <w:sz w:val="7"/>
                <w:szCs w:val="7"/>
                <w:color w:val="auto"/>
              </w:rPr>
            </w:pPr>
          </w:p>
        </w:tc>
        <w:tc>
          <w:tcPr>
            <w:tcW w:w="334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wp:posOffset>
            </wp:positionH>
            <wp:positionV relativeFrom="paragraph">
              <wp:posOffset>-483870</wp:posOffset>
            </wp:positionV>
            <wp:extent cx="288925" cy="4845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88925" cy="484505"/>
                    </a:xfrm>
                    <a:prstGeom prst="rect">
                      <a:avLst/>
                    </a:prstGeom>
                    <a:noFill/>
                  </pic:spPr>
                </pic:pic>
              </a:graphicData>
            </a:graphic>
          </wp:anchor>
        </w:drawing>
      </w:r>
    </w:p>
    <w:p>
      <w:pPr>
        <w:spacing w:after="0" w:line="8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3:</w:t>
      </w:r>
    </w:p>
    <w:p>
      <w:pPr>
        <w:spacing w:after="0" w:line="63" w:lineRule="exact"/>
        <w:rPr>
          <w:sz w:val="20"/>
          <w:szCs w:val="20"/>
          <w:color w:val="auto"/>
        </w:rPr>
      </w:pPr>
    </w:p>
    <w:p>
      <w:pPr>
        <w:ind w:right="4240"/>
        <w:spacing w:after="0" w:line="261" w:lineRule="auto"/>
        <w:rPr>
          <w:sz w:val="20"/>
          <w:szCs w:val="20"/>
          <w:color w:val="auto"/>
        </w:rPr>
      </w:pPr>
      <w:r>
        <w:rPr>
          <w:rFonts w:ascii="Arial" w:cs="Arial" w:eastAsia="Arial" w:hAnsi="Arial"/>
          <w:sz w:val="49"/>
          <w:szCs w:val="49"/>
          <w:b w:val="1"/>
          <w:bCs w:val="1"/>
          <w:color w:val="auto"/>
        </w:rPr>
        <w:t>Appoint PwC LLP to Serve as Independent Auditor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-48260</wp:posOffset>
            </wp:positionV>
            <wp:extent cx="4999355" cy="508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999355" cy="50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129540</wp:posOffset>
            </wp:positionV>
            <wp:extent cx="7133590" cy="10966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3590" cy="10966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48" w:lineRule="exact"/>
        <w:rPr>
          <w:sz w:val="20"/>
          <w:szCs w:val="20"/>
          <w:color w:val="auto"/>
        </w:rPr>
      </w:pPr>
    </w:p>
    <w:p>
      <w:pPr>
        <w:ind w:left="360"/>
        <w:spacing w:after="0"/>
        <w:rPr>
          <w:sz w:val="20"/>
          <w:szCs w:val="20"/>
          <w:color w:val="auto"/>
        </w:rPr>
      </w:pPr>
      <w:r>
        <w:rPr>
          <w:rFonts w:ascii="Arial" w:cs="Arial" w:eastAsia="Arial" w:hAnsi="Arial"/>
          <w:sz w:val="39"/>
          <w:szCs w:val="39"/>
          <w:b w:val="1"/>
          <w:bCs w:val="1"/>
          <w:color w:val="CE0F2D"/>
        </w:rPr>
        <w:t>What</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39"/>
          <w:szCs w:val="39"/>
          <w:b w:val="1"/>
          <w:bCs w:val="1"/>
          <w:color w:val="CE0F2D"/>
        </w:rPr>
        <w:t>am I</w:t>
      </w:r>
    </w:p>
    <w:p>
      <w:pPr>
        <w:spacing w:after="0" w:line="7" w:lineRule="exact"/>
        <w:rPr>
          <w:sz w:val="20"/>
          <w:szCs w:val="20"/>
          <w:color w:val="auto"/>
        </w:rPr>
      </w:pPr>
    </w:p>
    <w:p>
      <w:pPr>
        <w:ind w:left="360"/>
        <w:spacing w:after="0"/>
        <w:rPr>
          <w:sz w:val="20"/>
          <w:szCs w:val="20"/>
          <w:color w:val="auto"/>
        </w:rPr>
      </w:pPr>
      <w:r>
        <w:rPr>
          <w:rFonts w:ascii="Arial" w:cs="Arial" w:eastAsia="Arial" w:hAnsi="Arial"/>
          <w:sz w:val="39"/>
          <w:szCs w:val="39"/>
          <w:b w:val="1"/>
          <w:bCs w:val="1"/>
          <w:color w:val="CE0F2D"/>
        </w:rPr>
        <w:t>voting on?</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 xml:space="preserve">As required by our Bylaws, we are asking shareowners to vote on a proposal </w:t>
      </w:r>
      <w:r>
        <w:rPr>
          <w:rFonts w:ascii="Arial" w:cs="Arial" w:eastAsia="Arial" w:hAnsi="Arial"/>
          <w:sz w:val="16"/>
          <w:szCs w:val="16"/>
          <w:b w:val="1"/>
          <w:bCs w:val="1"/>
          <w:color w:val="CE0F2D"/>
        </w:rPr>
        <w:t>to appoint a firm of independent</w:t>
      </w:r>
      <w:r>
        <w:rPr>
          <w:rFonts w:ascii="Arial" w:cs="Arial" w:eastAsia="Arial" w:hAnsi="Arial"/>
          <w:sz w:val="16"/>
          <w:szCs w:val="16"/>
          <w:color w:val="auto"/>
        </w:rPr>
        <w:t xml:space="preserve"> </w:t>
      </w:r>
      <w:r>
        <w:rPr>
          <w:rFonts w:ascii="Arial" w:cs="Arial" w:eastAsia="Arial" w:hAnsi="Arial"/>
          <w:sz w:val="16"/>
          <w:szCs w:val="16"/>
          <w:b w:val="1"/>
          <w:bCs w:val="1"/>
          <w:color w:val="CE0F2D"/>
        </w:rPr>
        <w:t xml:space="preserve">registered public accountants to serve as the Company’s independent auditor </w:t>
      </w:r>
      <w:r>
        <w:rPr>
          <w:rFonts w:ascii="Arial" w:cs="Arial" w:eastAsia="Arial" w:hAnsi="Arial"/>
          <w:sz w:val="16"/>
          <w:szCs w:val="16"/>
          <w:color w:val="000000"/>
        </w:rPr>
        <w:t>until the next annual meeting.</w:t>
      </w:r>
      <w:r>
        <w:rPr>
          <w:rFonts w:ascii="Arial" w:cs="Arial" w:eastAsia="Arial" w:hAnsi="Arial"/>
          <w:sz w:val="16"/>
          <w:szCs w:val="16"/>
          <w:b w:val="1"/>
          <w:bCs w:val="1"/>
          <w:color w:val="CE0F2D"/>
        </w:rPr>
        <w:t xml:space="preserve"> </w:t>
      </w:r>
      <w:r>
        <w:rPr>
          <w:rFonts w:ascii="Arial" w:cs="Arial" w:eastAsia="Arial" w:hAnsi="Arial"/>
          <w:sz w:val="16"/>
          <w:szCs w:val="16"/>
          <w:color w:val="000000"/>
        </w:rPr>
        <w:t>PricewaterhouseCoopers LLP (“PwC”), an independent registered public accounting firm, served as RTX’s independent auditor in 2021. For 2022, the Audit Committee has again nominated PwC to be our independent auditor, and the Board of Directors has approved the firm for appointment by the shareowners to serve until the next Annual Meeting in 2023.</w:t>
      </w:r>
    </w:p>
    <w:p>
      <w:pPr>
        <w:spacing w:after="0" w:line="424" w:lineRule="exact"/>
        <w:rPr>
          <w:sz w:val="20"/>
          <w:szCs w:val="20"/>
          <w:color w:val="auto"/>
        </w:rPr>
      </w:pPr>
    </w:p>
    <w:p>
      <w:pPr>
        <w:sectPr>
          <w:pgSz w:w="11900" w:h="16838" w:orient="portrait"/>
          <w:cols w:equalWidth="0" w:num="2">
            <w:col w:w="2380" w:space="580"/>
            <w:col w:w="8280"/>
          </w:cols>
          <w:pgMar w:left="320" w:top="118" w:right="339" w:bottom="1440" w:gutter="0" w:footer="0" w:header="0"/>
          <w:type w:val="continuous"/>
        </w:sectPr>
      </w:pPr>
    </w:p>
    <w:p>
      <w:pPr>
        <w:spacing w:after="0" w:line="251"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Frequently Asked Questions About the Auditor</w:t>
      </w:r>
    </w:p>
    <w:p>
      <w:pPr>
        <w:spacing w:after="0" w:line="3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IS THE AUDITOR RETAINED AND REVIEWED BY THE COMPANY?</w:t>
      </w:r>
    </w:p>
    <w:p>
      <w:pPr>
        <w:spacing w:after="0" w:line="20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Audit Committee is directly responsible for the nomination, compensation, retention and oversight of the Company’s independent auditor. To fulfill this responsibility, the Committee engages in an annual evaluation of the independent auditor’s qualifications, performance and independence, and periodically considers the advisability of selecting a different independent registered public accounting firm to serve in that capacity. PwC, or one of its predecessor firms, has been retained as RTX’s independent audit firm continuously since 1947.</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LONG MAY AN AUDIT PARTNER PROVIDE SERVICES TO RTX?</w:t>
      </w:r>
    </w:p>
    <w:p>
      <w:pPr>
        <w:spacing w:after="0" w:line="21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In accordance with SEC rules and PwC policies, audit partners are subject to rotation requirements that limit the number of consecutive years an individual partner may provide service to RTX. For lead and concurring audit partners, the limit is five years. The selection process for the lead audit partner includes a meeting between the Chair of the Audit Committee and the candidate, as well as consideration of the candidate by the full Committee with input from management.</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 AUDITOR ATTEND THE ANNUAL MEETING?</w:t>
      </w:r>
    </w:p>
    <w:p>
      <w:pPr>
        <w:spacing w:after="0" w:line="215" w:lineRule="exact"/>
        <w:rPr>
          <w:sz w:val="20"/>
          <w:szCs w:val="20"/>
          <w:color w:val="auto"/>
        </w:rPr>
      </w:pPr>
    </w:p>
    <w:p>
      <w:pPr>
        <w:ind w:right="420"/>
        <w:spacing w:after="0" w:line="256" w:lineRule="auto"/>
        <w:rPr>
          <w:sz w:val="20"/>
          <w:szCs w:val="20"/>
          <w:color w:val="auto"/>
        </w:rPr>
      </w:pPr>
      <w:r>
        <w:rPr>
          <w:rFonts w:ascii="Arial" w:cs="Arial" w:eastAsia="Arial" w:hAnsi="Arial"/>
          <w:sz w:val="16"/>
          <w:szCs w:val="16"/>
          <w:color w:val="auto"/>
        </w:rPr>
        <w:t>Representatives of PwC will attend the 2022 Annual Meeting. The representatives may make a statement and will be available to respond to appropriate questions from shareowners.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WERE THE AUDITOR’S FEES IN 2021 AND 2020?</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Borders>
              <w:bottom w:val="single" w:sz="8" w:color="CE0F2C"/>
            </w:tcBorders>
          </w:tcPr>
          <w:p>
            <w:pPr>
              <w:ind w:left="40"/>
              <w:spacing w:after="0"/>
              <w:rPr>
                <w:sz w:val="20"/>
                <w:szCs w:val="20"/>
                <w:color w:val="auto"/>
              </w:rPr>
            </w:pPr>
            <w:r>
              <w:rPr>
                <w:rFonts w:ascii="Arial" w:cs="Arial" w:eastAsia="Arial" w:hAnsi="Arial"/>
                <w:sz w:val="14"/>
                <w:szCs w:val="14"/>
                <w:color w:val="404040"/>
              </w:rPr>
              <w:t>(in thousands)</w:t>
            </w:r>
          </w:p>
        </w:tc>
        <w:tc>
          <w:tcPr>
            <w:tcW w:w="2800" w:type="dxa"/>
            <w:vAlign w:val="bottom"/>
            <w:tcBorders>
              <w:bottom w:val="single" w:sz="8" w:color="CE0F2C"/>
            </w:tcBorders>
          </w:tcPr>
          <w:p>
            <w:pPr>
              <w:jc w:val="right"/>
              <w:ind w:right="303"/>
              <w:spacing w:after="0"/>
              <w:rPr>
                <w:sz w:val="20"/>
                <w:szCs w:val="20"/>
                <w:color w:val="auto"/>
              </w:rPr>
            </w:pPr>
            <w:r>
              <w:rPr>
                <w:rFonts w:ascii="Arial" w:cs="Arial" w:eastAsia="Arial" w:hAnsi="Arial"/>
                <w:sz w:val="14"/>
                <w:szCs w:val="14"/>
                <w:color w:val="404040"/>
              </w:rPr>
              <w:t>Audit</w:t>
            </w:r>
          </w:p>
        </w:tc>
        <w:tc>
          <w:tcPr>
            <w:tcW w:w="1640" w:type="dxa"/>
            <w:vAlign w:val="bottom"/>
            <w:tcBorders>
              <w:bottom w:val="single" w:sz="8" w:color="CE0F2C"/>
            </w:tcBorders>
          </w:tcPr>
          <w:p>
            <w:pPr>
              <w:jc w:val="right"/>
              <w:ind w:right="323"/>
              <w:spacing w:after="0"/>
              <w:rPr>
                <w:sz w:val="20"/>
                <w:szCs w:val="20"/>
                <w:color w:val="auto"/>
              </w:rPr>
            </w:pPr>
            <w:r>
              <w:rPr>
                <w:rFonts w:ascii="Arial" w:cs="Arial" w:eastAsia="Arial" w:hAnsi="Arial"/>
                <w:sz w:val="14"/>
                <w:szCs w:val="14"/>
                <w:color w:val="404040"/>
              </w:rPr>
              <w:t>Audit-Related</w:t>
            </w:r>
          </w:p>
        </w:tc>
        <w:tc>
          <w:tcPr>
            <w:tcW w:w="1320" w:type="dxa"/>
            <w:vAlign w:val="bottom"/>
            <w:tcBorders>
              <w:bottom w:val="single" w:sz="8" w:color="CE0F2C"/>
            </w:tcBorders>
          </w:tcPr>
          <w:p>
            <w:pPr>
              <w:jc w:val="right"/>
              <w:ind w:right="203"/>
              <w:spacing w:after="0"/>
              <w:rPr>
                <w:sz w:val="20"/>
                <w:szCs w:val="20"/>
                <w:color w:val="auto"/>
              </w:rPr>
            </w:pPr>
            <w:r>
              <w:rPr>
                <w:rFonts w:ascii="Arial" w:cs="Arial" w:eastAsia="Arial" w:hAnsi="Arial"/>
                <w:sz w:val="14"/>
                <w:szCs w:val="14"/>
                <w:color w:val="404040"/>
              </w:rPr>
              <w:t>Tax</w:t>
            </w:r>
          </w:p>
        </w:tc>
        <w:tc>
          <w:tcPr>
            <w:tcW w:w="1600" w:type="dxa"/>
            <w:vAlign w:val="bottom"/>
            <w:tcBorders>
              <w:bottom w:val="single" w:sz="8" w:color="CE0F2C"/>
            </w:tcBorders>
          </w:tcPr>
          <w:p>
            <w:pPr>
              <w:jc w:val="right"/>
              <w:ind w:right="323"/>
              <w:spacing w:after="0"/>
              <w:rPr>
                <w:sz w:val="20"/>
                <w:szCs w:val="20"/>
                <w:color w:val="auto"/>
              </w:rPr>
            </w:pPr>
            <w:r>
              <w:rPr>
                <w:rFonts w:ascii="Arial" w:cs="Arial" w:eastAsia="Arial" w:hAnsi="Arial"/>
                <w:sz w:val="14"/>
                <w:szCs w:val="14"/>
                <w:color w:val="404040"/>
              </w:rPr>
              <w:t>All Other Fees</w:t>
            </w:r>
          </w:p>
        </w:tc>
        <w:tc>
          <w:tcPr>
            <w:tcW w:w="1140" w:type="dxa"/>
            <w:vAlign w:val="bottom"/>
            <w:tcBorders>
              <w:bottom w:val="single" w:sz="8" w:color="CE0F2C"/>
            </w:tcBorders>
          </w:tcPr>
          <w:p>
            <w:pPr>
              <w:jc w:val="right"/>
              <w:ind w:right="23"/>
              <w:spacing w:after="0"/>
              <w:rPr>
                <w:sz w:val="20"/>
                <w:szCs w:val="20"/>
                <w:color w:val="auto"/>
              </w:rPr>
            </w:pPr>
            <w:r>
              <w:rPr>
                <w:rFonts w:ascii="Arial" w:cs="Arial" w:eastAsia="Arial" w:hAnsi="Arial"/>
                <w:sz w:val="14"/>
                <w:szCs w:val="14"/>
                <w:color w:val="404040"/>
              </w:rPr>
              <w:t>Total</w:t>
            </w:r>
          </w:p>
        </w:tc>
      </w:tr>
      <w:tr>
        <w:trPr>
          <w:trHeight w:val="23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2021</w:t>
            </w:r>
          </w:p>
        </w:tc>
        <w:tc>
          <w:tcPr>
            <w:tcW w:w="280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$ 31,270</w:t>
            </w:r>
          </w:p>
        </w:tc>
        <w:tc>
          <w:tcPr>
            <w:tcW w:w="164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$4,550</w:t>
            </w:r>
          </w:p>
        </w:tc>
        <w:tc>
          <w:tcPr>
            <w:tcW w:w="13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$ 13,616</w:t>
            </w:r>
          </w:p>
        </w:tc>
        <w:tc>
          <w:tcPr>
            <w:tcW w:w="1600" w:type="dxa"/>
            <w:vAlign w:val="bottom"/>
            <w:tcBorders>
              <w:bottom w:val="single" w:sz="8" w:color="auto"/>
            </w:tcBorders>
          </w:tcPr>
          <w:p>
            <w:pPr>
              <w:jc w:val="right"/>
              <w:ind w:right="323"/>
              <w:spacing w:after="0"/>
              <w:rPr>
                <w:sz w:val="20"/>
                <w:szCs w:val="20"/>
                <w:color w:val="auto"/>
              </w:rPr>
            </w:pPr>
            <w:r>
              <w:rPr>
                <w:rFonts w:ascii="Arial" w:cs="Arial" w:eastAsia="Arial" w:hAnsi="Arial"/>
                <w:sz w:val="16"/>
                <w:szCs w:val="16"/>
                <w:color w:val="auto"/>
              </w:rPr>
              <w:t>$199</w:t>
            </w:r>
          </w:p>
        </w:tc>
        <w:tc>
          <w:tcPr>
            <w:tcW w:w="114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$ 49,635</w:t>
            </w:r>
          </w:p>
        </w:tc>
      </w:tr>
      <w:tr>
        <w:trPr>
          <w:trHeight w:val="248"/>
        </w:trPr>
        <w:tc>
          <w:tcPr>
            <w:tcW w:w="2740" w:type="dxa"/>
            <w:vAlign w:val="bottom"/>
            <w:tcBorders>
              <w:bottom w:val="single" w:sz="8" w:color="636466"/>
            </w:tcBorders>
          </w:tcPr>
          <w:p>
            <w:pPr>
              <w:ind w:left="40"/>
              <w:spacing w:after="0"/>
              <w:rPr>
                <w:sz w:val="20"/>
                <w:szCs w:val="20"/>
                <w:color w:val="auto"/>
              </w:rPr>
            </w:pPr>
            <w:r>
              <w:rPr>
                <w:rFonts w:ascii="Arial" w:cs="Arial" w:eastAsia="Arial" w:hAnsi="Arial"/>
                <w:sz w:val="16"/>
                <w:szCs w:val="16"/>
                <w:b w:val="1"/>
                <w:bCs w:val="1"/>
                <w:color w:val="auto"/>
              </w:rPr>
              <w:t>2020</w:t>
            </w:r>
          </w:p>
        </w:tc>
        <w:tc>
          <w:tcPr>
            <w:tcW w:w="2800" w:type="dxa"/>
            <w:vAlign w:val="bottom"/>
            <w:tcBorders>
              <w:bottom w:val="single" w:sz="8" w:color="636466"/>
            </w:tcBorders>
          </w:tcPr>
          <w:p>
            <w:pPr>
              <w:jc w:val="right"/>
              <w:ind w:right="303"/>
              <w:spacing w:after="0"/>
              <w:rPr>
                <w:sz w:val="20"/>
                <w:szCs w:val="20"/>
                <w:color w:val="auto"/>
              </w:rPr>
            </w:pPr>
            <w:r>
              <w:rPr>
                <w:rFonts w:ascii="Arial" w:cs="Arial" w:eastAsia="Arial" w:hAnsi="Arial"/>
                <w:sz w:val="16"/>
                <w:szCs w:val="16"/>
                <w:color w:val="auto"/>
              </w:rPr>
              <w:t>$ 37,737</w:t>
            </w:r>
          </w:p>
        </w:tc>
        <w:tc>
          <w:tcPr>
            <w:tcW w:w="1640" w:type="dxa"/>
            <w:vAlign w:val="bottom"/>
            <w:tcBorders>
              <w:bottom w:val="single" w:sz="8" w:color="636466"/>
            </w:tcBorders>
          </w:tcPr>
          <w:p>
            <w:pPr>
              <w:jc w:val="right"/>
              <w:ind w:right="323"/>
              <w:spacing w:after="0"/>
              <w:rPr>
                <w:sz w:val="20"/>
                <w:szCs w:val="20"/>
                <w:color w:val="auto"/>
              </w:rPr>
            </w:pPr>
            <w:r>
              <w:rPr>
                <w:rFonts w:ascii="Arial" w:cs="Arial" w:eastAsia="Arial" w:hAnsi="Arial"/>
                <w:sz w:val="16"/>
                <w:szCs w:val="16"/>
                <w:color w:val="auto"/>
              </w:rPr>
              <w:t>$2,969</w:t>
            </w:r>
          </w:p>
        </w:tc>
        <w:tc>
          <w:tcPr>
            <w:tcW w:w="1320" w:type="dxa"/>
            <w:vAlign w:val="bottom"/>
            <w:tcBorders>
              <w:bottom w:val="single" w:sz="8" w:color="636466"/>
            </w:tcBorders>
          </w:tcPr>
          <w:p>
            <w:pPr>
              <w:jc w:val="right"/>
              <w:ind w:right="203"/>
              <w:spacing w:after="0"/>
              <w:rPr>
                <w:sz w:val="20"/>
                <w:szCs w:val="20"/>
                <w:color w:val="auto"/>
              </w:rPr>
            </w:pPr>
            <w:r>
              <w:rPr>
                <w:rFonts w:ascii="Arial" w:cs="Arial" w:eastAsia="Arial" w:hAnsi="Arial"/>
                <w:sz w:val="16"/>
                <w:szCs w:val="16"/>
                <w:color w:val="auto"/>
              </w:rPr>
              <w:t>$ 27,250</w:t>
            </w:r>
          </w:p>
        </w:tc>
        <w:tc>
          <w:tcPr>
            <w:tcW w:w="1600" w:type="dxa"/>
            <w:vAlign w:val="bottom"/>
            <w:tcBorders>
              <w:bottom w:val="single" w:sz="8" w:color="636466"/>
            </w:tcBorders>
          </w:tcPr>
          <w:p>
            <w:pPr>
              <w:jc w:val="right"/>
              <w:ind w:right="323"/>
              <w:spacing w:after="0"/>
              <w:rPr>
                <w:sz w:val="20"/>
                <w:szCs w:val="20"/>
                <w:color w:val="auto"/>
              </w:rPr>
            </w:pPr>
            <w:r>
              <w:rPr>
                <w:rFonts w:ascii="Arial" w:cs="Arial" w:eastAsia="Arial" w:hAnsi="Arial"/>
                <w:sz w:val="16"/>
                <w:szCs w:val="16"/>
                <w:color w:val="auto"/>
              </w:rPr>
              <w:t>$900</w:t>
            </w:r>
          </w:p>
        </w:tc>
        <w:tc>
          <w:tcPr>
            <w:tcW w:w="1140" w:type="dxa"/>
            <w:vAlign w:val="bottom"/>
            <w:tcBorders>
              <w:bottom w:val="single" w:sz="8" w:color="636466"/>
            </w:tcBorders>
          </w:tcPr>
          <w:p>
            <w:pPr>
              <w:jc w:val="right"/>
              <w:ind w:right="23"/>
              <w:spacing w:after="0"/>
              <w:rPr>
                <w:sz w:val="20"/>
                <w:szCs w:val="20"/>
                <w:color w:val="auto"/>
              </w:rPr>
            </w:pPr>
            <w:r>
              <w:rPr>
                <w:rFonts w:ascii="Arial" w:cs="Arial" w:eastAsia="Arial" w:hAnsi="Arial"/>
                <w:sz w:val="16"/>
                <w:szCs w:val="16"/>
                <w:b w:val="1"/>
                <w:bCs w:val="1"/>
                <w:color w:val="auto"/>
              </w:rPr>
              <w:t>$ 68,856</w:t>
            </w:r>
          </w:p>
        </w:tc>
      </w:tr>
    </w:tbl>
    <w:p>
      <w:pPr>
        <w:spacing w:after="0" w:line="123" w:lineRule="exact"/>
        <w:rPr>
          <w:sz w:val="20"/>
          <w:szCs w:val="20"/>
          <w:color w:val="auto"/>
        </w:rPr>
      </w:pPr>
    </w:p>
    <w:p>
      <w:pPr>
        <w:ind w:left="260" w:hanging="253"/>
        <w:spacing w:after="0"/>
        <w:tabs>
          <w:tab w:leader="none" w:pos="260" w:val="left"/>
        </w:tabs>
        <w:numPr>
          <w:ilvl w:val="0"/>
          <w:numId w:val="220"/>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70485</wp:posOffset>
            </wp:positionV>
            <wp:extent cx="715454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3" w:name="page94"/>
    <w:bookmarkEnd w:id="9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6200"/>
        <w:spacing w:after="0"/>
        <w:rPr>
          <w:sz w:val="20"/>
          <w:szCs w:val="20"/>
          <w:color w:val="auto"/>
        </w:rPr>
      </w:pPr>
      <w:r>
        <w:rPr>
          <w:rFonts w:ascii="Arial" w:cs="Arial" w:eastAsia="Arial" w:hAnsi="Arial"/>
          <w:sz w:val="12"/>
          <w:szCs w:val="12"/>
          <w:b w:val="1"/>
          <w:bCs w:val="1"/>
          <w:color w:val="CE0F2D"/>
        </w:rPr>
        <w:t>PROPOSAL 3: APPOINT PWC LLP TO SERVE AS INDEPENDENT AUDITOR FOR 2022</w:t>
      </w:r>
    </w:p>
    <w:p>
      <w:pPr>
        <w:spacing w:after="0" w:line="178"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CE0F2D"/>
        </w:rPr>
        <w:t xml:space="preserve">Audit Fees. </w:t>
      </w:r>
      <w:r>
        <w:rPr>
          <w:rFonts w:ascii="Arial" w:cs="Arial" w:eastAsia="Arial" w:hAnsi="Arial"/>
          <w:sz w:val="16"/>
          <w:szCs w:val="16"/>
          <w:color w:val="000000"/>
        </w:rPr>
        <w:t>Audit fees in both years consisted of fees for the audit of RTX’s consolidated annual financial statements and the effectiveness of its internal</w:t>
      </w:r>
      <w:r>
        <w:rPr>
          <w:rFonts w:ascii="Arial" w:cs="Arial" w:eastAsia="Arial" w:hAnsi="Arial"/>
          <w:sz w:val="16"/>
          <w:szCs w:val="16"/>
          <w:color w:val="CE0F2D"/>
        </w:rPr>
        <w:t xml:space="preserve"> </w:t>
      </w:r>
      <w:r>
        <w:rPr>
          <w:rFonts w:ascii="Arial" w:cs="Arial" w:eastAsia="Arial" w:hAnsi="Arial"/>
          <w:sz w:val="16"/>
          <w:szCs w:val="16"/>
          <w:color w:val="000000"/>
        </w:rPr>
        <w:t>control over financial reporting, the review of interim financial statements in RTX’s quarterly reports on Form 10-Q and the performance of audits in accordance with statutory requirements. Audit fees for statutory audits were approximately $10,050,000 in 2021 and $12,017,000 in 2020. In 2021 and 2020, audit fees also included fees associated with various SEC filings. In 2020, audit fees also included non-recurring integrated audit fees resulting from COVID-19, as well as non-recurring integrated audit fees resulting from the separations of Carrier and Otis, and the Merger.</w:t>
      </w:r>
    </w:p>
    <w:p>
      <w:pPr>
        <w:spacing w:after="0" w:line="151" w:lineRule="exact"/>
        <w:rPr>
          <w:sz w:val="20"/>
          <w:szCs w:val="20"/>
          <w:color w:val="auto"/>
        </w:rPr>
      </w:pPr>
    </w:p>
    <w:p>
      <w:pPr>
        <w:jc w:val="both"/>
        <w:ind w:right="300"/>
        <w:spacing w:after="0" w:line="250" w:lineRule="auto"/>
        <w:rPr>
          <w:sz w:val="20"/>
          <w:szCs w:val="20"/>
          <w:color w:val="auto"/>
        </w:rPr>
      </w:pPr>
      <w:r>
        <w:rPr>
          <w:rFonts w:ascii="Arial" w:cs="Arial" w:eastAsia="Arial" w:hAnsi="Arial"/>
          <w:sz w:val="16"/>
          <w:szCs w:val="16"/>
          <w:color w:val="CE0F2D"/>
        </w:rPr>
        <w:t xml:space="preserve">Audit-Related Fees. </w:t>
      </w:r>
      <w:r>
        <w:rPr>
          <w:rFonts w:ascii="Arial" w:cs="Arial" w:eastAsia="Arial" w:hAnsi="Arial"/>
          <w:sz w:val="16"/>
          <w:szCs w:val="16"/>
          <w:color w:val="000000"/>
        </w:rPr>
        <w:t>Audit-related fees in both years included fees for employee benefit plan audits, advice regarding the application of generally accepted</w:t>
      </w:r>
      <w:r>
        <w:rPr>
          <w:rFonts w:ascii="Arial" w:cs="Arial" w:eastAsia="Arial" w:hAnsi="Arial"/>
          <w:sz w:val="16"/>
          <w:szCs w:val="16"/>
          <w:color w:val="CE0F2D"/>
        </w:rPr>
        <w:t xml:space="preserve"> </w:t>
      </w:r>
      <w:r>
        <w:rPr>
          <w:rFonts w:ascii="Arial" w:cs="Arial" w:eastAsia="Arial" w:hAnsi="Arial"/>
          <w:sz w:val="16"/>
          <w:szCs w:val="16"/>
          <w:color w:val="000000"/>
        </w:rPr>
        <w:t>accounting principles for proposed transactions, special reports pursuant to contractually required attestations and compliance assessments. Audit-related fees in 2021 also included approximately $1,780,000 of fees associated with a carve-out audit related to a divestiture completed during the year.</w:t>
      </w:r>
    </w:p>
    <w:p>
      <w:pPr>
        <w:spacing w:after="0" w:line="148" w:lineRule="exact"/>
        <w:rPr>
          <w:sz w:val="20"/>
          <w:szCs w:val="20"/>
          <w:color w:val="auto"/>
        </w:rPr>
      </w:pPr>
    </w:p>
    <w:p>
      <w:pPr>
        <w:jc w:val="both"/>
        <w:ind w:right="320"/>
        <w:spacing w:after="0" w:line="250" w:lineRule="auto"/>
        <w:rPr>
          <w:sz w:val="20"/>
          <w:szCs w:val="20"/>
          <w:color w:val="auto"/>
        </w:rPr>
      </w:pPr>
      <w:r>
        <w:rPr>
          <w:rFonts w:ascii="Arial" w:cs="Arial" w:eastAsia="Arial" w:hAnsi="Arial"/>
          <w:sz w:val="16"/>
          <w:szCs w:val="16"/>
          <w:color w:val="CE0F2D"/>
        </w:rPr>
        <w:t xml:space="preserve">Tax Fees. </w:t>
      </w:r>
      <w:r>
        <w:rPr>
          <w:rFonts w:ascii="Arial" w:cs="Arial" w:eastAsia="Arial" w:hAnsi="Arial"/>
          <w:sz w:val="16"/>
          <w:szCs w:val="16"/>
          <w:color w:val="000000"/>
        </w:rPr>
        <w:t>Tax fees in 2021 and 2020 consisted of approximately $9,422,000 and $11,208,000, respectively, for U.S. and non-U.S. tax compliance, related</w:t>
      </w:r>
      <w:r>
        <w:rPr>
          <w:rFonts w:ascii="Arial" w:cs="Arial" w:eastAsia="Arial" w:hAnsi="Arial"/>
          <w:sz w:val="16"/>
          <w:szCs w:val="16"/>
          <w:color w:val="CE0F2D"/>
        </w:rPr>
        <w:t xml:space="preserve"> </w:t>
      </w:r>
      <w:r>
        <w:rPr>
          <w:rFonts w:ascii="Arial" w:cs="Arial" w:eastAsia="Arial" w:hAnsi="Arial"/>
          <w:sz w:val="16"/>
          <w:szCs w:val="16"/>
          <w:color w:val="000000"/>
        </w:rPr>
        <w:t>planning and assistance with tax refund claims and expatriate tax services, and approximately $4,194,000 and $16,042,000, respectively, for tax advisory services that included fees in 2020 associated with the separations of Carrier and Otis, and the Merger.</w:t>
      </w:r>
    </w:p>
    <w:p>
      <w:pPr>
        <w:spacing w:after="0" w:line="14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CE0F2D"/>
        </w:rPr>
        <w:t xml:space="preserve">All Other Fees. </w:t>
      </w:r>
      <w:r>
        <w:rPr>
          <w:rFonts w:ascii="Arial" w:cs="Arial" w:eastAsia="Arial" w:hAnsi="Arial"/>
          <w:sz w:val="16"/>
          <w:szCs w:val="16"/>
          <w:color w:val="000000"/>
        </w:rPr>
        <w:t>All other fees in both years included fees for cybersecurity risk assessment and proxy consulting services. All other fees in 2020 also included</w:t>
      </w:r>
      <w:r>
        <w:rPr>
          <w:rFonts w:ascii="Arial" w:cs="Arial" w:eastAsia="Arial" w:hAnsi="Arial"/>
          <w:sz w:val="16"/>
          <w:szCs w:val="16"/>
          <w:color w:val="CE0F2D"/>
        </w:rPr>
        <w:t xml:space="preserve"> </w:t>
      </w:r>
      <w:r>
        <w:rPr>
          <w:rFonts w:ascii="Arial" w:cs="Arial" w:eastAsia="Arial" w:hAnsi="Arial"/>
          <w:sz w:val="16"/>
          <w:szCs w:val="16"/>
          <w:color w:val="000000"/>
        </w:rPr>
        <w:t>fees for government compliance services and accounting research software.</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DOES THE COMMITTEE MONITOR AND CONTROL NON-AUDIT SERVICES?</w:t>
      </w:r>
    </w:p>
    <w:p>
      <w:pPr>
        <w:spacing w:after="0" w:line="21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The Audit Committee has established procedures requiring its review and advance approval of all engagements for non-audit services provided by PwC. The Committee Chair has the delegated authority to pre-approve non-audit services with certain limitations and must notify the Committee at its next meeting of each service so approved. The Committee approved all of PwC’s engagements and fees for 2021 and 2020.</w:t>
      </w:r>
    </w:p>
    <w:p>
      <w:pPr>
        <w:spacing w:after="0" w:line="148"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color w:val="auto"/>
        </w:rPr>
        <w:t>The Committee reviews with PwC whether non-audit services to be provided are compatible with maintaining the firm’s independence. In addition, the Committee monitors the fees paid to PwC to ensure that fees paid in any year to PwC for non-audit services do not exceed the fees paid for audit and audit-related services. Non-audit services consist of those described above, as included in the tax fees and all other fees categories.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SHOULD I VOTE FOR THIS PROPOSAL?</w:t>
      </w:r>
    </w:p>
    <w:p>
      <w:pPr>
        <w:spacing w:after="0" w:line="215" w:lineRule="exact"/>
        <w:rPr>
          <w:sz w:val="20"/>
          <w:szCs w:val="20"/>
          <w:color w:val="auto"/>
        </w:rPr>
      </w:pPr>
    </w:p>
    <w:p>
      <w:pPr>
        <w:jc w:val="both"/>
        <w:ind w:right="340"/>
        <w:spacing w:after="0" w:line="250" w:lineRule="auto"/>
        <w:rPr>
          <w:sz w:val="20"/>
          <w:szCs w:val="20"/>
          <w:color w:val="auto"/>
        </w:rPr>
      </w:pPr>
      <w:r>
        <w:rPr>
          <w:rFonts w:ascii="Arial" w:cs="Arial" w:eastAsia="Arial" w:hAnsi="Arial"/>
          <w:sz w:val="16"/>
          <w:szCs w:val="16"/>
          <w:color w:val="auto"/>
        </w:rPr>
        <w:t>Through its review process, the Audit Committee determined that PwC has acquired extensive knowledge of the Company’s operations, performance and development through its previous service as the independent auditor for RTX. The Audit Committee and the Board of Directors believe that the continued retention of PwC as our independent auditor is in the best interest of the Company and our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92710</wp:posOffset>
            </wp:positionV>
            <wp:extent cx="7133590" cy="6889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3590" cy="688975"/>
                    </a:xfrm>
                    <a:prstGeom prst="rect">
                      <a:avLst/>
                    </a:prstGeom>
                    <a:noFill/>
                  </pic:spPr>
                </pic:pic>
              </a:graphicData>
            </a:graphic>
          </wp:anchor>
        </w:drawing>
      </w:r>
    </w:p>
    <w:p>
      <w:pPr>
        <w:spacing w:after="0" w:line="171" w:lineRule="exact"/>
        <w:rPr>
          <w:sz w:val="20"/>
          <w:szCs w:val="20"/>
          <w:color w:val="auto"/>
        </w:rPr>
      </w:pPr>
    </w:p>
    <w:p>
      <w:pPr>
        <w:ind w:left="1220" w:right="860"/>
        <w:spacing w:after="0" w:line="255" w:lineRule="auto"/>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E0F2D"/>
        </w:rPr>
        <w:t>FOR</w:t>
      </w:r>
      <w:r>
        <w:rPr>
          <w:rFonts w:ascii="Arial" w:cs="Arial" w:eastAsia="Arial" w:hAnsi="Arial"/>
          <w:sz w:val="27"/>
          <w:szCs w:val="27"/>
          <w:b w:val="1"/>
          <w:bCs w:val="1"/>
          <w:color w:val="auto"/>
        </w:rPr>
        <w:t xml:space="preserve"> the appointment of PwC to serve as the Company’s Independent Auditor for 2022.</w:t>
      </w:r>
    </w:p>
    <w:p>
      <w:pPr>
        <w:spacing w:after="0" w:line="19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Proposal 4:</w:t>
      </w:r>
    </w:p>
    <w:p>
      <w:pPr>
        <w:spacing w:after="0" w:line="63" w:lineRule="exact"/>
        <w:rPr>
          <w:sz w:val="20"/>
          <w:szCs w:val="20"/>
          <w:color w:val="auto"/>
        </w:rPr>
      </w:pPr>
    </w:p>
    <w:p>
      <w:pPr>
        <w:ind w:right="4160"/>
        <w:spacing w:after="0" w:line="243" w:lineRule="auto"/>
        <w:rPr>
          <w:sz w:val="20"/>
          <w:szCs w:val="20"/>
          <w:color w:val="auto"/>
        </w:rPr>
      </w:pPr>
      <w:r>
        <w:rPr>
          <w:rFonts w:ascii="Arial" w:cs="Arial" w:eastAsia="Arial" w:hAnsi="Arial"/>
          <w:sz w:val="50"/>
          <w:szCs w:val="50"/>
          <w:b w:val="1"/>
          <w:bCs w:val="1"/>
          <w:color w:val="auto"/>
        </w:rPr>
        <w:t>Approve an Amendment to the Restated Certificate of Incorporation to Reduce the Voting Threshold Required to Repeal Article Ninth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4999355" cy="508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999355" cy="508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156210</wp:posOffset>
            </wp:positionV>
            <wp:extent cx="7133590" cy="8077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33590" cy="807720"/>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p>
      <w:pPr>
        <w:spacing w:after="0" w:line="390" w:lineRule="exact"/>
        <w:rPr>
          <w:sz w:val="20"/>
          <w:szCs w:val="20"/>
          <w:color w:val="auto"/>
        </w:rPr>
      </w:pPr>
    </w:p>
    <w:p>
      <w:pPr>
        <w:ind w:left="180"/>
        <w:spacing w:after="0" w:line="283" w:lineRule="auto"/>
        <w:rPr>
          <w:sz w:val="20"/>
          <w:szCs w:val="20"/>
          <w:color w:val="auto"/>
        </w:rPr>
      </w:pPr>
      <w:r>
        <w:rPr>
          <w:rFonts w:ascii="Arial" w:cs="Arial" w:eastAsia="Arial" w:hAnsi="Arial"/>
          <w:sz w:val="39"/>
          <w:szCs w:val="39"/>
          <w:b w:val="1"/>
          <w:bCs w:val="1"/>
          <w:color w:val="CE0F2D"/>
        </w:rPr>
        <w:t>What am I voting on?</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220"/>
        <w:spacing w:after="0" w:line="263" w:lineRule="auto"/>
        <w:rPr>
          <w:sz w:val="20"/>
          <w:szCs w:val="20"/>
          <w:color w:val="auto"/>
        </w:rPr>
      </w:pPr>
      <w:r>
        <w:rPr>
          <w:rFonts w:ascii="Arial" w:cs="Arial" w:eastAsia="Arial" w:hAnsi="Arial"/>
          <w:sz w:val="16"/>
          <w:szCs w:val="16"/>
          <w:color w:val="auto"/>
        </w:rPr>
        <w:t xml:space="preserve">The Board unanimously recommends that shareowners </w:t>
      </w:r>
      <w:r>
        <w:rPr>
          <w:rFonts w:ascii="Arial" w:cs="Arial" w:eastAsia="Arial" w:hAnsi="Arial"/>
          <w:sz w:val="16"/>
          <w:szCs w:val="16"/>
          <w:b w:val="1"/>
          <w:bCs w:val="1"/>
          <w:color w:val="CE0F2D"/>
        </w:rPr>
        <w:t>approve an amendment to the Company’s Restated</w:t>
      </w:r>
      <w:r>
        <w:rPr>
          <w:rFonts w:ascii="Arial" w:cs="Arial" w:eastAsia="Arial" w:hAnsi="Arial"/>
          <w:sz w:val="16"/>
          <w:szCs w:val="16"/>
          <w:color w:val="auto"/>
        </w:rPr>
        <w:t xml:space="preserve"> </w:t>
      </w:r>
      <w:r>
        <w:rPr>
          <w:rFonts w:ascii="Arial" w:cs="Arial" w:eastAsia="Arial" w:hAnsi="Arial"/>
          <w:sz w:val="16"/>
          <w:szCs w:val="16"/>
          <w:b w:val="1"/>
          <w:bCs w:val="1"/>
          <w:color w:val="CE0F2D"/>
        </w:rPr>
        <w:t>Certificate of Incorporation to reduce the voting threshold required to repeal Article Ninth</w:t>
      </w:r>
      <w:r>
        <w:rPr>
          <w:rFonts w:ascii="Arial" w:cs="Arial" w:eastAsia="Arial" w:hAnsi="Arial"/>
          <w:sz w:val="16"/>
          <w:szCs w:val="16"/>
          <w:color w:val="000000"/>
        </w:rPr>
        <w:t>, as the first step in a</w:t>
      </w:r>
      <w:r>
        <w:rPr>
          <w:rFonts w:ascii="Arial" w:cs="Arial" w:eastAsia="Arial" w:hAnsi="Arial"/>
          <w:sz w:val="16"/>
          <w:szCs w:val="16"/>
          <w:b w:val="1"/>
          <w:bCs w:val="1"/>
          <w:color w:val="CE0F2D"/>
        </w:rPr>
        <w:t xml:space="preserve"> </w:t>
      </w:r>
      <w:r>
        <w:rPr>
          <w:rFonts w:ascii="Arial" w:cs="Arial" w:eastAsia="Arial" w:hAnsi="Arial"/>
          <w:sz w:val="16"/>
          <w:szCs w:val="16"/>
          <w:color w:val="000000"/>
        </w:rPr>
        <w:t>two-step process to eliminate the supermajority voting provisions of the Restated Certificate of Incorporation.</w:t>
      </w:r>
    </w:p>
    <w:p>
      <w:pPr>
        <w:spacing w:after="0" w:line="626" w:lineRule="exact"/>
        <w:rPr>
          <w:sz w:val="20"/>
          <w:szCs w:val="20"/>
          <w:color w:val="auto"/>
        </w:rPr>
      </w:pPr>
    </w:p>
    <w:p>
      <w:pPr>
        <w:sectPr>
          <w:pgSz w:w="11900" w:h="16838" w:orient="portrait"/>
          <w:cols w:equalWidth="0" w:num="2">
            <w:col w:w="2200" w:space="440"/>
            <w:col w:w="8520"/>
          </w:cols>
          <w:pgMar w:left="320" w:top="118" w:right="41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SHOULD I VOTE FOR THIS PROPOSAL?</w:t>
      </w:r>
    </w:p>
    <w:p>
      <w:pPr>
        <w:spacing w:after="0" w:line="21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CE0F2D"/>
        </w:rPr>
        <w:t xml:space="preserve">Background on the Current Supermajority Requirement. </w:t>
      </w:r>
      <w:r>
        <w:rPr>
          <w:rFonts w:ascii="Arial" w:cs="Arial" w:eastAsia="Arial" w:hAnsi="Arial"/>
          <w:sz w:val="16"/>
          <w:szCs w:val="16"/>
          <w:color w:val="000000"/>
        </w:rPr>
        <w:t>Article Ninth of RTX’s Restated Certificate of Incorporation (“Certificate”) currently requires a vote of</w:t>
      </w:r>
      <w:r>
        <w:rPr>
          <w:rFonts w:ascii="Arial" w:cs="Arial" w:eastAsia="Arial" w:hAnsi="Arial"/>
          <w:sz w:val="16"/>
          <w:szCs w:val="16"/>
          <w:color w:val="CE0F2D"/>
        </w:rPr>
        <w:t xml:space="preserve"> </w:t>
      </w:r>
      <w:r>
        <w:rPr>
          <w:rFonts w:ascii="Arial" w:cs="Arial" w:eastAsia="Arial" w:hAnsi="Arial"/>
          <w:sz w:val="16"/>
          <w:szCs w:val="16"/>
          <w:color w:val="000000"/>
        </w:rPr>
        <w:t>80% of the Company’s outstanding shares to approve certain business combinations with an interested party, which is a party that owns 10% or more of the Company’s outstanding common stock. The adoption of any provision inconsistent with, or that repeals or amends, Article Ninth requires the same supermajority vote, provided, however that Article Ninth may be amended by a vote of a simple majority of the Company’s outstanding shares if the amendment has been previously approved by a majority of the Company’s directors who are not affiliated with an interested party and were directors prior to the time that an interested party became an interested party (“Disinterested Directors”).</w:t>
      </w:r>
    </w:p>
    <w:p>
      <w:pPr>
        <w:spacing w:after="0" w:line="15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Article Ninth is the only provision in the Company’s Certificate or Bylaws requiring a supermajority vote. Article Ninth was approved by the Company’s shareowners in 1983 to protect against a self-interested action by large shareowners by requiring broad shareowner consensus to make certain fundamental changes.</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While such protections can be beneficial to shareowners in certain instances, the Board believes that such provisions also can limit the ability of shareowners to effectively participate in corporate governance. The Board also recognizes that currently shareowners generally oppose supermajority provisions such as the one in our Certificate. Indeed, when the Company presented a proposal to eliminate Article Ninth for shareowner approval at the 2018 and 2019 Annual Meetings, it received approximately a 99% favorable vote (from those shareowners who voted) each year; but, notwithstanding the Company’s concerted efforts to increase turnout, the proposal still fell short because less than 80% of the outstanding shares voted in favor of repeal. An advisory shareowner proposal at the 2020 Annual Meeting received over a 97% favorable vote (from those shareowners who voted).</w:t>
      </w:r>
    </w:p>
    <w:p>
      <w:pPr>
        <w:spacing w:after="0" w:line="154" w:lineRule="exact"/>
        <w:rPr>
          <w:sz w:val="20"/>
          <w:szCs w:val="20"/>
          <w:color w:val="auto"/>
        </w:rPr>
      </w:pPr>
    </w:p>
    <w:p>
      <w:pPr>
        <w:ind w:left="260" w:hanging="253"/>
        <w:spacing w:after="0"/>
        <w:tabs>
          <w:tab w:leader="none" w:pos="260" w:val="left"/>
        </w:tabs>
        <w:numPr>
          <w:ilvl w:val="0"/>
          <w:numId w:val="221"/>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D"/>
        </w:rPr>
        <w:t>PROPOSAL 4: APPROVE AN AMENDMENT TO THE RESTATED CERTIFICATE OF INCORPORATION TO REDUCE THE VOTING THRESHOLD REQUIRED TO REPEAL ARTICLE NINTH</w:t>
      </w:r>
    </w:p>
    <w:p>
      <w:pPr>
        <w:spacing w:after="0" w:line="178"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CE0F2D"/>
        </w:rPr>
        <w:t xml:space="preserve">Why We Propose to Amend the Repeal Threshold As the First Step to Eliminating the Supermajority Voting Provisions. </w:t>
      </w:r>
      <w:r>
        <w:rPr>
          <w:rFonts w:ascii="Arial" w:cs="Arial" w:eastAsia="Arial" w:hAnsi="Arial"/>
          <w:sz w:val="16"/>
          <w:szCs w:val="16"/>
          <w:color w:val="000000"/>
        </w:rPr>
        <w:t>The Board is committed to good</w:t>
      </w:r>
      <w:r>
        <w:rPr>
          <w:rFonts w:ascii="Arial" w:cs="Arial" w:eastAsia="Arial" w:hAnsi="Arial"/>
          <w:sz w:val="16"/>
          <w:szCs w:val="16"/>
          <w:color w:val="CE0F2D"/>
        </w:rPr>
        <w:t xml:space="preserve"> </w:t>
      </w:r>
      <w:r>
        <w:rPr>
          <w:rFonts w:ascii="Arial" w:cs="Arial" w:eastAsia="Arial" w:hAnsi="Arial"/>
          <w:sz w:val="16"/>
          <w:szCs w:val="16"/>
          <w:color w:val="000000"/>
        </w:rPr>
        <w:t>governance practices, continuously monitoring governance issues of interest to shareowners and responding to shareowner concerns. The Governance Committee and the Board carefully considered the input from shareowners, including the broad, albeit insufficient, support that the related proposals received at the 2018 and 2019 Annual Meetings, the level of support for the advisory shareowner proposal at the 2020 Annual Meeting, and direct feedback from shareowners during the Company’s shareowner outreach efforts in 2021. They also considered the advantages and disadvantages of maintaining the supermajority vote requirements in Article Ninth, including such requirement necessary to repeal Article Ninth, and the Company’s prior proposals to repeal it.</w:t>
      </w:r>
    </w:p>
    <w:p>
      <w:pPr>
        <w:spacing w:after="0" w:line="154"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Based on the foregoing, the Governance Committee considered a two-step process to repeal Article Ninth of the Restated Certificate of Incorporation and recommended to the Board that the Company proceed with the two-step process, as described in this proposal. As a result, the Board, comprised entirely of Disinterested Directors with regard to this matter, unanimously adopted a resolution on February 11, 2022 authorizing and declaring it advisable and in the best interests of the Company to amend the Certificate to reduce the approval threshold for amending or repealing Article Ninth to a simple majority vote of the outstanding shares, and recommended the submission of this amendment for shareowner approval at the 2022 Annual Meeting.</w:t>
      </w:r>
    </w:p>
    <w:p>
      <w:pPr>
        <w:spacing w:after="0" w:line="151"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Shareowners may approve this first step amendment by a majority vote of the outstanding shares. In the event that the amendment is approved at 2022 Annual Meeting, then the voting threshold to repeal Article Ninth thereafter would be a simple majority vote of the Company’s outstanding shares. The Company believes this two-step approach – amendment of Article Ninth this year followed by a proposal to repeal it next year – is more likely to result in the ultimate elimination of the supermajority voting provisions than continuing to seek approval by 80% of the outstanding shares, given historic and anticipated future turnout.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HAPPENS IF THIS PROPOSAL IS APPROVED?</w:t>
      </w:r>
    </w:p>
    <w:p>
      <w:pPr>
        <w:spacing w:after="0" w:line="21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The proposed amendment would modify Section 7 of Article Ninth of the Certificate such that the approval threshold to amend or repeal Article Ninth would be reduced from 80% or more of the voting power of the Company’s common stock to a majority of the voting power of the Company’s common stock. A copy of the proposed amendment, marked with strike-outs to show the deletions and underline text to show additions, is included in Appendix C on page 105.</w:t>
      </w:r>
    </w:p>
    <w:p>
      <w:pPr>
        <w:spacing w:after="0" w:line="148" w:lineRule="exact"/>
        <w:rPr>
          <w:sz w:val="20"/>
          <w:szCs w:val="20"/>
          <w:color w:val="auto"/>
        </w:rPr>
      </w:pPr>
    </w:p>
    <w:p>
      <w:pPr>
        <w:ind w:right="220"/>
        <w:spacing w:after="0" w:line="247" w:lineRule="auto"/>
        <w:rPr>
          <w:sz w:val="20"/>
          <w:szCs w:val="20"/>
          <w:color w:val="auto"/>
        </w:rPr>
      </w:pPr>
      <w:r>
        <w:rPr>
          <w:rFonts w:ascii="Arial" w:cs="Arial" w:eastAsia="Arial" w:hAnsi="Arial"/>
          <w:sz w:val="16"/>
          <w:szCs w:val="16"/>
          <w:color w:val="auto"/>
        </w:rPr>
        <w:t>If this proposal is approved, (1) the amended Certificate would become effective upon the filing of a Certificate of Amendment with the State of Delaware, which the Company would file promptly following the shareowner vote, and (2) the Board intends to propose an amendment at the Company’s 2023 Annual Meeting that would repeal Article Ninth, which shareowners would then be able to approve by a vote of a majority of the Company’s outstanding shares. Accordingly, if that subsequent amendment is approved at the Company’s 2023 Annual Meeting, all business combinations would be subject only to any applicable approval requirements under the Delaware General Corporation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33590" cy="535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3590" cy="535940"/>
                    </a:xfrm>
                    <a:prstGeom prst="rect">
                      <a:avLst/>
                    </a:prstGeom>
                    <a:noFill/>
                  </pic:spPr>
                </pic:pic>
              </a:graphicData>
            </a:graphic>
          </wp:anchor>
        </w:drawing>
      </w:r>
    </w:p>
    <w:p>
      <w:pPr>
        <w:spacing w:after="0" w:line="362" w:lineRule="exact"/>
        <w:rPr>
          <w:sz w:val="20"/>
          <w:szCs w:val="20"/>
          <w:color w:val="auto"/>
        </w:rPr>
      </w:pPr>
    </w:p>
    <w:p>
      <w:pPr>
        <w:ind w:left="1220"/>
        <w:spacing w:after="0"/>
        <w:rPr>
          <w:sz w:val="20"/>
          <w:szCs w:val="20"/>
          <w:color w:val="auto"/>
        </w:rPr>
      </w:pPr>
      <w:r>
        <w:rPr>
          <w:rFonts w:ascii="Arial" w:cs="Arial" w:eastAsia="Arial" w:hAnsi="Arial"/>
          <w:sz w:val="27"/>
          <w:szCs w:val="27"/>
          <w:b w:val="1"/>
          <w:bCs w:val="1"/>
          <w:color w:val="auto"/>
        </w:rPr>
        <w:t xml:space="preserve">The Board of Directors unanimously recommends a vote </w:t>
      </w:r>
      <w:r>
        <w:rPr>
          <w:rFonts w:ascii="Arial" w:cs="Arial" w:eastAsia="Arial" w:hAnsi="Arial"/>
          <w:sz w:val="27"/>
          <w:szCs w:val="27"/>
          <w:b w:val="1"/>
          <w:bCs w:val="1"/>
          <w:color w:val="CE0F2D"/>
        </w:rPr>
        <w:t>FOR</w:t>
      </w:r>
      <w:r>
        <w:rPr>
          <w:rFonts w:ascii="Arial" w:cs="Arial" w:eastAsia="Arial" w:hAnsi="Arial"/>
          <w:sz w:val="27"/>
          <w:szCs w:val="27"/>
          <w:b w:val="1"/>
          <w:bCs w:val="1"/>
          <w:color w:val="auto"/>
        </w:rPr>
        <w:t xml:space="preserve"> this proposal.</w:t>
      </w:r>
    </w:p>
    <w:p>
      <w:pPr>
        <w:spacing w:after="0" w:line="396" w:lineRule="exact"/>
        <w:rPr>
          <w:sz w:val="20"/>
          <w:szCs w:val="20"/>
          <w:color w:val="auto"/>
        </w:rPr>
      </w:pPr>
    </w:p>
    <w:p>
      <w:pPr>
        <w:jc w:val="right"/>
        <w:spacing w:after="0"/>
        <w:rPr>
          <w:sz w:val="20"/>
          <w:szCs w:val="20"/>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r>
        <w:rPr>
          <w:rFonts w:ascii="Arial" w:cs="Arial" w:eastAsia="Arial" w:hAnsi="Arial"/>
          <w:sz w:val="12"/>
          <w:szCs w:val="12"/>
          <w:color w:val="CE0F2D"/>
        </w:rPr>
        <w:t xml:space="preserve"> </w:t>
      </w:r>
      <w:r>
        <w:rPr>
          <w:rFonts w:ascii="Arial" w:cs="Arial" w:eastAsia="Arial" w:hAnsi="Arial"/>
          <w:sz w:val="12"/>
          <w:szCs w:val="12"/>
          <w:b w:val="1"/>
          <w:bCs w:val="1"/>
          <w:color w:val="000000"/>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715454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ind w:right="4460"/>
        <w:spacing w:after="0" w:line="277" w:lineRule="auto"/>
        <w:rPr>
          <w:sz w:val="20"/>
          <w:szCs w:val="20"/>
          <w:color w:val="auto"/>
        </w:rPr>
      </w:pPr>
      <w:r>
        <w:rPr>
          <w:rFonts w:ascii="Arial" w:cs="Arial" w:eastAsia="Arial" w:hAnsi="Arial"/>
          <w:sz w:val="50"/>
          <w:szCs w:val="50"/>
          <w:b w:val="1"/>
          <w:bCs w:val="1"/>
          <w:color w:val="auto"/>
        </w:rPr>
        <w:t>Frequently Asked Questions About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-73660</wp:posOffset>
            </wp:positionV>
            <wp:extent cx="7133590" cy="18707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33590" cy="18707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35" w:lineRule="exact"/>
        <w:rPr>
          <w:sz w:val="20"/>
          <w:szCs w:val="20"/>
          <w:color w:val="auto"/>
        </w:rPr>
      </w:pPr>
    </w:p>
    <w:p>
      <w:pPr>
        <w:ind w:left="240"/>
        <w:spacing w:after="0" w:line="263" w:lineRule="auto"/>
        <w:rPr>
          <w:sz w:val="20"/>
          <w:szCs w:val="20"/>
          <w:color w:val="auto"/>
        </w:rPr>
      </w:pPr>
      <w:r>
        <w:rPr>
          <w:rFonts w:ascii="Arial" w:cs="Arial" w:eastAsia="Arial" w:hAnsi="Arial"/>
          <w:sz w:val="39"/>
          <w:szCs w:val="39"/>
          <w:b w:val="1"/>
          <w:bCs w:val="1"/>
          <w:color w:val="CE0F2C"/>
        </w:rPr>
        <w:t>Your vote is very important!</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BEING PROVIDED WITH THESE PROXY MATERIALS?</w:t>
      </w:r>
    </w:p>
    <w:p>
      <w:pPr>
        <w:spacing w:after="0" w:line="215"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We are providing these proxy materials to you in connection with the solicitation by the Board of Directors of Raytheon Technologies Corporation of proxies to be voted at our 2022 Annual Meeting of Shareowners and at any postponed or reconvened meeting.</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 ANNUAL MEETING ALSO BE HELD IN-PERSON OR ONLY VIRTUALLY?</w:t>
      </w:r>
    </w:p>
    <w:p>
      <w:pPr>
        <w:spacing w:after="0" w:line="215"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As noted in the Notice at the beginning of this Proxy Statement, the 2022 Annual Meeting will be in a virtual format only, due to the ongoing health concerns related to the COVID-19 pandemic. The Board and management believe that, in light of continuing uncertainties associated with the pandemic, a virtual-only meeting is in the best interests of public health and the health and safety of our shareowners.</w:t>
      </w:r>
    </w:p>
    <w:p>
      <w:pPr>
        <w:spacing w:after="0" w:line="200" w:lineRule="exact"/>
        <w:rPr>
          <w:sz w:val="20"/>
          <w:szCs w:val="20"/>
          <w:color w:val="auto"/>
        </w:rPr>
      </w:pPr>
    </w:p>
    <w:p>
      <w:pPr>
        <w:sectPr>
          <w:pgSz w:w="11900" w:h="16838" w:orient="portrait"/>
          <w:cols w:equalWidth="0" w:num="2">
            <w:col w:w="2180" w:space="540"/>
            <w:col w:w="8520"/>
          </w:cols>
          <w:pgMar w:left="320" w:top="118" w:right="33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ATTEND THE ANNUAL MEETING?</w:t>
      </w:r>
    </w:p>
    <w:p>
      <w:pPr>
        <w:spacing w:after="0" w:line="215" w:lineRule="exact"/>
        <w:rPr>
          <w:sz w:val="20"/>
          <w:szCs w:val="20"/>
          <w:color w:val="auto"/>
        </w:rPr>
      </w:pPr>
    </w:p>
    <w:p>
      <w:pPr>
        <w:jc w:val="both"/>
        <w:ind w:right="180"/>
        <w:spacing w:after="0" w:line="250" w:lineRule="auto"/>
        <w:rPr>
          <w:sz w:val="20"/>
          <w:szCs w:val="20"/>
          <w:color w:val="auto"/>
        </w:rPr>
      </w:pPr>
      <w:r>
        <w:rPr>
          <w:rFonts w:ascii="Arial" w:cs="Arial" w:eastAsia="Arial" w:hAnsi="Arial"/>
          <w:sz w:val="16"/>
          <w:szCs w:val="16"/>
          <w:color w:val="auto"/>
        </w:rPr>
        <w:t xml:space="preserve">Shareowners holding RTX stock as of the close of business on the record date, March 1, 2022, are entitled to attend the Annual Meeting to be held virtually via </w:t>
      </w:r>
      <w:r>
        <w:rPr>
          <w:rFonts w:ascii="Arial" w:cs="Arial" w:eastAsia="Arial" w:hAnsi="Arial"/>
          <w:sz w:val="16"/>
          <w:szCs w:val="16"/>
          <w:u w:val="single" w:color="auto"/>
          <w:color w:val="CE0F2C"/>
        </w:rPr>
        <w:t>www.virtualshareholdermeeting.com/RTX2022</w:t>
      </w:r>
      <w:r>
        <w:rPr>
          <w:rFonts w:ascii="Arial" w:cs="Arial" w:eastAsia="Arial" w:hAnsi="Arial"/>
          <w:sz w:val="16"/>
          <w:szCs w:val="16"/>
          <w:color w:val="auto"/>
        </w:rPr>
        <w:t>. To be admitted to the Annual Meeting via the website, shareowners must enter the 16-digit voting control number found on their proxy card, voting instruction form, notice of internet availability of proxy materials, or email notification.</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 AT THE MEETING?</w:t>
      </w:r>
    </w:p>
    <w:p>
      <w:pPr>
        <w:spacing w:after="0" w:line="21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 xml:space="preserve">Shareowners of record as of March 1, 2022 and shareowners holding a proxy for the 2022 Annual Meeting provided by their bank, broker or nominee may vote during the Annual Meeting to be held virtually by following the instructions available on the meeting website. If you vote prior to the meeting by using the internet, toll-free telephone number, proxy card or voting instruction form, you do not need to take any action during the meeting unless you wish to change your vote. A list of shareowners of record will be available at </w:t>
      </w:r>
      <w:r>
        <w:rPr>
          <w:rFonts w:ascii="Arial" w:cs="Arial" w:eastAsia="Arial" w:hAnsi="Arial"/>
          <w:sz w:val="16"/>
          <w:szCs w:val="16"/>
          <w:u w:val="single" w:color="auto"/>
          <w:color w:val="CE0F2C"/>
        </w:rPr>
        <w:t>www.virtualshareholdermeeting.com/RTX2022</w:t>
      </w:r>
      <w:r>
        <w:rPr>
          <w:rFonts w:ascii="Arial" w:cs="Arial" w:eastAsia="Arial" w:hAnsi="Arial"/>
          <w:sz w:val="16"/>
          <w:szCs w:val="16"/>
          <w:color w:val="auto"/>
        </w:rPr>
        <w:t xml:space="preserve"> during the Annual Meeting for inspection by shareowners for any legally valid purpose related to the Annual Meeting.</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WHEN IS THE ANNUAL MEETING?</w:t>
      </w:r>
    </w:p>
    <w:p>
      <w:pPr>
        <w:spacing w:after="0" w:line="201" w:lineRule="exact"/>
        <w:rPr>
          <w:sz w:val="20"/>
          <w:szCs w:val="20"/>
          <w:color w:val="auto"/>
        </w:rPr>
      </w:pPr>
    </w:p>
    <w:p>
      <w:pPr>
        <w:ind w:right="400"/>
        <w:spacing w:after="0" w:line="256" w:lineRule="auto"/>
        <w:rPr>
          <w:sz w:val="20"/>
          <w:szCs w:val="20"/>
          <w:color w:val="auto"/>
        </w:rPr>
      </w:pPr>
      <w:r>
        <w:rPr>
          <w:rFonts w:ascii="Arial" w:cs="Arial" w:eastAsia="Arial" w:hAnsi="Arial"/>
          <w:sz w:val="16"/>
          <w:szCs w:val="16"/>
          <w:color w:val="auto"/>
        </w:rPr>
        <w:t xml:space="preserve">We will hold our Annual Meeting on April 25, 2022, at 8:00 a.m. Eastern time. If you plan to attend the Annual Meeting, you should log into the website at </w:t>
      </w:r>
      <w:r>
        <w:rPr>
          <w:rFonts w:ascii="Arial" w:cs="Arial" w:eastAsia="Arial" w:hAnsi="Arial"/>
          <w:sz w:val="16"/>
          <w:szCs w:val="16"/>
          <w:u w:val="single" w:color="auto"/>
          <w:color w:val="CE0F2C"/>
        </w:rPr>
        <w:t>www.virtualshareholdermeeting.com/RTX2022</w:t>
      </w:r>
      <w:r>
        <w:rPr>
          <w:rFonts w:ascii="Arial" w:cs="Arial" w:eastAsia="Arial" w:hAnsi="Arial"/>
          <w:sz w:val="16"/>
          <w:szCs w:val="16"/>
          <w:color w:val="CE0F2C"/>
        </w:rPr>
        <w:t xml:space="preserve"> </w:t>
      </w:r>
      <w:r>
        <w:rPr>
          <w:rFonts w:ascii="Arial" w:cs="Arial" w:eastAsia="Arial" w:hAnsi="Arial"/>
          <w:sz w:val="16"/>
          <w:szCs w:val="16"/>
          <w:color w:val="000000"/>
        </w:rPr>
        <w:t>approximately fifteen minutes before the meeting is scheduled to begin.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THERE BE AN OPPORTUNITY TO ASK QUESTIONS BEFORE OR DURING THE MEETING?</w:t>
      </w:r>
    </w:p>
    <w:p>
      <w:pPr>
        <w:spacing w:after="0" w:line="21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 xml:space="preserve">Time will be allotted after the adjournment of the formal meeting for a Question and Answer period. Shareowners will be able to submit questions relevant to the business of the meeting either in advance of the Annual Meeting via </w:t>
      </w:r>
      <w:r>
        <w:rPr>
          <w:rFonts w:ascii="Arial" w:cs="Arial" w:eastAsia="Arial" w:hAnsi="Arial"/>
          <w:sz w:val="16"/>
          <w:szCs w:val="16"/>
          <w:u w:val="single" w:color="auto"/>
          <w:color w:val="CE0F2C"/>
        </w:rPr>
        <w:t>www.proxyvote.com</w:t>
      </w:r>
      <w:r>
        <w:rPr>
          <w:rFonts w:ascii="Arial" w:cs="Arial" w:eastAsia="Arial" w:hAnsi="Arial"/>
          <w:sz w:val="16"/>
          <w:szCs w:val="16"/>
          <w:color w:val="auto"/>
        </w:rPr>
        <w:t xml:space="preserve"> or during the meeting via </w:t>
      </w:r>
      <w:r>
        <w:rPr>
          <w:rFonts w:ascii="Arial" w:cs="Arial" w:eastAsia="Arial" w:hAnsi="Arial"/>
          <w:sz w:val="16"/>
          <w:szCs w:val="16"/>
          <w:u w:val="single" w:color="auto"/>
          <w:color w:val="CE0F2C"/>
        </w:rPr>
        <w:t>www.virtualshareholdermeeting.com/RTX2022</w:t>
      </w:r>
      <w:r>
        <w:rPr>
          <w:rFonts w:ascii="Arial" w:cs="Arial" w:eastAsia="Arial" w:hAnsi="Arial"/>
          <w:sz w:val="16"/>
          <w:szCs w:val="16"/>
          <w:color w:val="CE0F2C"/>
        </w:rPr>
        <w:t xml:space="preserve"> </w:t>
      </w:r>
      <w:r>
        <w:rPr>
          <w:rFonts w:ascii="Arial" w:cs="Arial" w:eastAsia="Arial" w:hAnsi="Arial"/>
          <w:sz w:val="16"/>
          <w:szCs w:val="16"/>
          <w:color w:val="000000"/>
        </w:rPr>
        <w:t>by typing the question into the indicated question box and clicking “Submit.” Time may not permit the</w:t>
      </w:r>
      <w:r>
        <w:rPr>
          <w:rFonts w:ascii="Arial" w:cs="Arial" w:eastAsia="Arial" w:hAnsi="Arial"/>
          <w:sz w:val="16"/>
          <w:szCs w:val="16"/>
          <w:color w:val="CE0F2C"/>
        </w:rPr>
        <w:t xml:space="preserve"> </w:t>
      </w:r>
      <w:r>
        <w:rPr>
          <w:rFonts w:ascii="Arial" w:cs="Arial" w:eastAsia="Arial" w:hAnsi="Arial"/>
          <w:sz w:val="16"/>
          <w:szCs w:val="16"/>
          <w:color w:val="000000"/>
        </w:rPr>
        <w:t xml:space="preserve">answering of every question submitted during the Question and Answer period. Questions relevant to the business of the meeting to which a response is not provided during the Question and Answer period will be addressed on </w:t>
      </w:r>
      <w:r>
        <w:rPr>
          <w:rFonts w:ascii="Arial" w:cs="Arial" w:eastAsia="Arial" w:hAnsi="Arial"/>
          <w:sz w:val="16"/>
          <w:szCs w:val="16"/>
          <w:u w:val="single" w:color="auto"/>
          <w:color w:val="CE0F2C"/>
        </w:rPr>
        <w:t>www.rtx.com/Investors</w:t>
      </w:r>
      <w:r>
        <w:rPr>
          <w:rFonts w:ascii="Arial" w:cs="Arial" w:eastAsia="Arial" w:hAnsi="Arial"/>
          <w:sz w:val="16"/>
          <w:szCs w:val="16"/>
          <w:color w:val="000000"/>
        </w:rPr>
        <w:t xml:space="preserve"> within three days of the meeting. To ask questions, you will need to have your voting control number found on your proxy card, voting instruction form, notice of internet availability of proxy materials, or email notification.</w:t>
      </w:r>
    </w:p>
    <w:p>
      <w:pPr>
        <w:spacing w:after="0" w:line="154" w:lineRule="exact"/>
        <w:rPr>
          <w:sz w:val="20"/>
          <w:szCs w:val="20"/>
          <w:color w:val="auto"/>
        </w:rPr>
      </w:pPr>
    </w:p>
    <w:p>
      <w:pPr>
        <w:ind w:left="260" w:hanging="253"/>
        <w:spacing w:after="0"/>
        <w:tabs>
          <w:tab w:leader="none" w:pos="260" w:val="left"/>
        </w:tabs>
        <w:numPr>
          <w:ilvl w:val="0"/>
          <w:numId w:val="222"/>
        </w:numPr>
        <w:rPr>
          <w:rFonts w:ascii="Arial" w:cs="Arial" w:eastAsia="Arial" w:hAnsi="Arial"/>
          <w:sz w:val="12"/>
          <w:szCs w:val="12"/>
          <w:b w:val="1"/>
          <w:bCs w:val="1"/>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7" w:name="page98"/>
    <w:bookmarkEnd w:id="9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7240"/>
        <w:spacing w:after="0"/>
        <w:rPr>
          <w:sz w:val="20"/>
          <w:szCs w:val="20"/>
          <w:color w:val="auto"/>
        </w:rPr>
      </w:pPr>
      <w:r>
        <w:rPr>
          <w:rFonts w:ascii="Arial" w:cs="Arial" w:eastAsia="Arial" w:hAnsi="Arial"/>
          <w:sz w:val="12"/>
          <w:szCs w:val="12"/>
          <w:b w:val="1"/>
          <w:bCs w:val="1"/>
          <w:color w:val="CE0F2C"/>
        </w:rPr>
        <w:t>FREQUENTLY ASKED QUESTIONS ABOUT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CAN I DO IF I HAVE TROUBLE LOGGING INTO THE ANNUAL MEETING?</w:t>
      </w:r>
    </w:p>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If you encounter any difficulties accessing the virtual meeting during the check-in or meeting time, please call the technical support number that will be posted on the Annual Meeting login page.</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DOES THE COMPANY HAVE A POLICY ABOUT DIRECTORS’ ATTENDANCE AT THE ANNUAL MEETING?</w:t>
      </w:r>
    </w:p>
    <w:p>
      <w:pPr>
        <w:spacing w:after="0" w:line="215" w:lineRule="exact"/>
        <w:rPr>
          <w:sz w:val="20"/>
          <w:szCs w:val="20"/>
          <w:color w:val="auto"/>
        </w:rPr>
      </w:pPr>
    </w:p>
    <w:p>
      <w:pPr>
        <w:ind w:right="460"/>
        <w:spacing w:after="0" w:line="256" w:lineRule="auto"/>
        <w:rPr>
          <w:sz w:val="20"/>
          <w:szCs w:val="20"/>
          <w:color w:val="auto"/>
        </w:rPr>
      </w:pPr>
      <w:r>
        <w:rPr>
          <w:rFonts w:ascii="Arial" w:cs="Arial" w:eastAsia="Arial" w:hAnsi="Arial"/>
          <w:sz w:val="16"/>
          <w:szCs w:val="16"/>
          <w:color w:val="auto"/>
        </w:rPr>
        <w:t>The Company does not have a formal policy requiring that directors attend the Annual Meeting, but directors are encouraged to do so unless there is an unavoidable scheduling conflict. All directors at the time attended the 2021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QUORUM REQUIREMENT FOR THE ANNUAL MEETING?</w:t>
      </w:r>
    </w:p>
    <w:p>
      <w:pPr>
        <w:spacing w:after="0" w:line="201"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Under the Company’s Bylaws, a quorum is required to transact business at the Annual Meeting. The holders of a majority of the outstanding shares of RTX Common Stock as of the record date, present either virtually in person or by proxy and entitled to vote, will constitute a quorum. As of the record date, 1,490,268,377 shares of Common Stock were issued and outstanding. Abstentions and “broker non-votes” are counted as present and entitled to vote for purposes of determining a quorum.</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CE0F2C"/>
        </w:rPr>
        <w:t>Registered Shareowners: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180276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33590" cy="180276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399"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CE0F2C"/>
        </w:rPr>
        <w:t>The Internet</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You can vote online at: </w:t>
      </w:r>
      <w:r>
        <w:rPr>
          <w:rFonts w:ascii="Arial" w:cs="Arial" w:eastAsia="Arial" w:hAnsi="Arial"/>
          <w:sz w:val="16"/>
          <w:szCs w:val="16"/>
          <w:u w:val="single" w:color="auto"/>
          <w:color w:val="CE0F2C"/>
        </w:rPr>
        <w:t>www.proxyvote.com.</w:t>
      </w:r>
    </w:p>
    <w:p>
      <w:pPr>
        <w:spacing w:after="0" w:line="200" w:lineRule="exact"/>
        <w:rPr>
          <w:sz w:val="20"/>
          <w:szCs w:val="20"/>
          <w:color w:val="auto"/>
        </w:rPr>
      </w:pPr>
    </w:p>
    <w:p>
      <w:pPr>
        <w:spacing w:after="0" w:line="346"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CE0F2C"/>
        </w:rPr>
        <w:t>By Telephone</w:t>
      </w:r>
    </w:p>
    <w:p>
      <w:pPr>
        <w:spacing w:after="0" w:line="23" w:lineRule="exact"/>
        <w:rPr>
          <w:sz w:val="20"/>
          <w:szCs w:val="20"/>
          <w:color w:val="auto"/>
        </w:rPr>
      </w:pPr>
    </w:p>
    <w:p>
      <w:pPr>
        <w:ind w:left="1060"/>
        <w:spacing w:after="0" w:line="248" w:lineRule="auto"/>
        <w:rPr>
          <w:sz w:val="20"/>
          <w:szCs w:val="20"/>
          <w:color w:val="auto"/>
        </w:rPr>
      </w:pPr>
      <w:r>
        <w:rPr>
          <w:rFonts w:ascii="Arial" w:cs="Arial" w:eastAsia="Arial" w:hAnsi="Arial"/>
          <w:sz w:val="16"/>
          <w:szCs w:val="16"/>
          <w:color w:val="auto"/>
        </w:rPr>
        <w:t>In the United States or Canada, you can vote by telephone. Easy-to-follow voice prompts allow you to vote your shares and confirm that your instructions have been properly recorded.</w:t>
      </w:r>
    </w:p>
    <w:p>
      <w:pPr>
        <w:spacing w:after="0" w:line="150" w:lineRule="exact"/>
        <w:rPr>
          <w:sz w:val="20"/>
          <w:szCs w:val="20"/>
          <w:color w:val="auto"/>
        </w:rPr>
      </w:pPr>
    </w:p>
    <w:p>
      <w:pPr>
        <w:ind w:left="1060" w:right="180"/>
        <w:spacing w:after="0" w:line="256" w:lineRule="auto"/>
        <w:rPr>
          <w:sz w:val="20"/>
          <w:szCs w:val="20"/>
          <w:color w:val="auto"/>
        </w:rPr>
      </w:pPr>
      <w:r>
        <w:rPr>
          <w:rFonts w:ascii="Arial" w:cs="Arial" w:eastAsia="Arial" w:hAnsi="Arial"/>
          <w:sz w:val="16"/>
          <w:szCs w:val="16"/>
          <w:color w:val="auto"/>
        </w:rPr>
        <w:t>You can find the telephone number on your proxy card, voting instruction form or other communications.</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color w:val="auto"/>
        </w:rPr>
        <w:t>Internet and telephone voting facilities will be available 24 hours a day until</w:t>
      </w:r>
    </w:p>
    <w:p>
      <w:pPr>
        <w:spacing w:after="0" w:line="3"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11:59 p.m. Eastern time on April 24, 2022 (except for participants in a company savings plan as described below and beneficial holders who must vote by the time specified in their voting instructions).</w:t>
      </w:r>
    </w:p>
    <w:p>
      <w:pPr>
        <w:spacing w:after="0" w:line="148"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To authenticate your internet or telephone vote, you will need to enter your confidential voter control number as shown on the voting materials you received. If you vote online or by telephone, you do not need to return a proxy card or voting instruction form.</w:t>
      </w:r>
    </w:p>
    <w:p>
      <w:pPr>
        <w:spacing w:after="0" w:line="1037" w:lineRule="exact"/>
        <w:rPr>
          <w:sz w:val="20"/>
          <w:szCs w:val="20"/>
          <w:color w:val="auto"/>
        </w:rPr>
      </w:pPr>
    </w:p>
    <w:p>
      <w:pPr>
        <w:sectPr>
          <w:pgSz w:w="11900" w:h="16838" w:orient="portrait"/>
          <w:cols w:equalWidth="0" w:num="2">
            <w:col w:w="5160" w:space="400"/>
            <w:col w:w="5680"/>
          </w:cols>
          <w:pgMar w:left="320" w:top="118" w:right="339" w:bottom="1440" w:gutter="0" w:footer="0" w:header="0"/>
          <w:type w:val="continuous"/>
        </w:sectPr>
      </w:pPr>
    </w:p>
    <w:p>
      <w:pPr>
        <w:spacing w:after="0" w:line="97"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CE0F2C"/>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518795" cy="38290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518795" cy="382905"/>
                    </a:xfrm>
                    <a:prstGeom prst="rect">
                      <a:avLst/>
                    </a:prstGeom>
                    <a:noFill/>
                  </pic:spPr>
                </pic:pic>
              </a:graphicData>
            </a:graphic>
          </wp:anchor>
        </w:drawing>
      </w:r>
    </w:p>
    <w:p>
      <w:pPr>
        <w:spacing w:after="0" w:line="17" w:lineRule="exact"/>
        <w:rPr>
          <w:sz w:val="20"/>
          <w:szCs w:val="20"/>
          <w:color w:val="auto"/>
        </w:rPr>
      </w:pPr>
    </w:p>
    <w:p>
      <w:pPr>
        <w:ind w:left="1060" w:right="40"/>
        <w:spacing w:after="0" w:line="274" w:lineRule="auto"/>
        <w:rPr>
          <w:sz w:val="20"/>
          <w:szCs w:val="20"/>
          <w:color w:val="auto"/>
        </w:rPr>
      </w:pPr>
      <w:r>
        <w:rPr>
          <w:rFonts w:ascii="Arial" w:cs="Arial" w:eastAsia="Arial" w:hAnsi="Arial"/>
          <w:sz w:val="16"/>
          <w:szCs w:val="16"/>
          <w:color w:val="auto"/>
        </w:rPr>
        <w:t>You can mail the proxy card or voting instruction form enclosed with your printed proxy materials. Mark, sign and date your proxy card or voting instruction form, and return it in the prepaid envelope we have provided, or in an envelope addressed to:</w:t>
      </w:r>
    </w:p>
    <w:p>
      <w:pPr>
        <w:spacing w:after="0" w:line="182"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Vote Processing, c/o Broadridge Financial Solutions, 51 Mercedes Way, Edgewood, NY 11717</w:t>
      </w:r>
    </w:p>
    <w:p>
      <w:pPr>
        <w:spacing w:after="0" w:line="204"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Please allow sufficient time for delivery of your proxy card or voting instruction form if you decide to vote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98"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CE0F2C"/>
        </w:rPr>
        <w:t>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509905" cy="5187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09905" cy="518795"/>
                    </a:xfrm>
                    <a:prstGeom prst="rect">
                      <a:avLst/>
                    </a:prstGeom>
                    <a:noFill/>
                  </pic:spPr>
                </pic:pic>
              </a:graphicData>
            </a:graphic>
          </wp:anchor>
        </w:drawing>
      </w:r>
    </w:p>
    <w:p>
      <w:pPr>
        <w:spacing w:after="0" w:line="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Shareowners as of the close of business on the record date, March 1, 2022, are entitled to virtually attend and vote during the Annual Meeting</w:t>
      </w:r>
    </w:p>
    <w:p>
      <w:pPr>
        <w:spacing w:after="0" w:line="17"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 xml:space="preserve">online via </w:t>
      </w:r>
      <w:r>
        <w:rPr>
          <w:rFonts w:ascii="Arial" w:cs="Arial" w:eastAsia="Arial" w:hAnsi="Arial"/>
          <w:sz w:val="16"/>
          <w:szCs w:val="16"/>
          <w:u w:val="single" w:color="auto"/>
          <w:color w:val="CE0F2C"/>
        </w:rPr>
        <w:t>www.virtualshareholdermeeting.com/RTX2022</w:t>
      </w:r>
      <w:r>
        <w:rPr>
          <w:rFonts w:ascii="Arial" w:cs="Arial" w:eastAsia="Arial" w:hAnsi="Arial"/>
          <w:sz w:val="16"/>
          <w:szCs w:val="16"/>
          <w:color w:val="auto"/>
        </w:rPr>
        <w:t>.</w:t>
      </w:r>
    </w:p>
    <w:p>
      <w:pPr>
        <w:spacing w:after="0" w:line="21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If you have already voted online, by telephone or by mail, your vote during the Annual Meeting will supersede your earlier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71335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64"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98" w:name="page99"/>
    <w:bookmarkEnd w:id="9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C"/>
        </w:rPr>
        <w:t>FREQUENTLY ASKED QUESTIONS ABOUT THE ANNUAL MEETING</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CE0F2C"/>
        </w:rPr>
        <w:t xml:space="preserve">Beneficial Shareowners. </w:t>
      </w:r>
      <w:r>
        <w:rPr>
          <w:rFonts w:ascii="Arial" w:cs="Arial" w:eastAsia="Arial" w:hAnsi="Arial"/>
          <w:sz w:val="16"/>
          <w:szCs w:val="16"/>
          <w:color w:val="000000"/>
        </w:rPr>
        <w:t>If you own shares in street name through an account with a bank, brokerage firm or other intermediary, then your intermediary will</w:t>
      </w:r>
      <w:r>
        <w:rPr>
          <w:rFonts w:ascii="Arial" w:cs="Arial" w:eastAsia="Arial" w:hAnsi="Arial"/>
          <w:sz w:val="16"/>
          <w:szCs w:val="16"/>
          <w:color w:val="CE0F2C"/>
        </w:rPr>
        <w:t xml:space="preserve"> </w:t>
      </w:r>
      <w:r>
        <w:rPr>
          <w:rFonts w:ascii="Arial" w:cs="Arial" w:eastAsia="Arial" w:hAnsi="Arial"/>
          <w:sz w:val="16"/>
          <w:szCs w:val="16"/>
          <w:color w:val="000000"/>
        </w:rPr>
        <w:t>send you printed copies of the proxy materials or provide instructions on how to access proxy materials electronically. You are entitled to direct the intermediary how to vote your shares by following the voting instructions that the intermediary provides to you.</w:t>
      </w:r>
    </w:p>
    <w:p>
      <w:pPr>
        <w:spacing w:after="0" w:line="148" w:lineRule="exact"/>
        <w:rPr>
          <w:sz w:val="20"/>
          <w:szCs w:val="20"/>
          <w:color w:val="auto"/>
        </w:rPr>
      </w:pPr>
    </w:p>
    <w:p>
      <w:pPr>
        <w:spacing w:after="0" w:line="246" w:lineRule="auto"/>
        <w:rPr>
          <w:sz w:val="20"/>
          <w:szCs w:val="20"/>
          <w:color w:val="auto"/>
        </w:rPr>
      </w:pPr>
      <w:r>
        <w:rPr>
          <w:rFonts w:ascii="Arial" w:cs="Arial" w:eastAsia="Arial" w:hAnsi="Arial"/>
          <w:sz w:val="16"/>
          <w:szCs w:val="16"/>
          <w:color w:val="CE0F2C"/>
        </w:rPr>
        <w:t xml:space="preserve">Shares Held in an Employee Savings Plan Sponsored by UTC. </w:t>
      </w:r>
      <w:r>
        <w:rPr>
          <w:rFonts w:ascii="Arial" w:cs="Arial" w:eastAsia="Arial" w:hAnsi="Arial"/>
          <w:sz w:val="16"/>
          <w:szCs w:val="16"/>
          <w:color w:val="000000"/>
        </w:rPr>
        <w:t>You can direct the voting of your proportionate interest in shares of RTX Common Stock held</w:t>
      </w:r>
      <w:r>
        <w:rPr>
          <w:rFonts w:ascii="Arial" w:cs="Arial" w:eastAsia="Arial" w:hAnsi="Arial"/>
          <w:sz w:val="16"/>
          <w:szCs w:val="16"/>
          <w:color w:val="CE0F2C"/>
        </w:rPr>
        <w:t xml:space="preserve"> </w:t>
      </w:r>
      <w:r>
        <w:rPr>
          <w:rFonts w:ascii="Arial" w:cs="Arial" w:eastAsia="Arial" w:hAnsi="Arial"/>
          <w:sz w:val="16"/>
          <w:szCs w:val="16"/>
          <w:color w:val="000000"/>
        </w:rPr>
        <w:t>by the ESOP Fund and the Common Stock Fund under a RTX employee savings plan by returning a voting instruction card or providing voting instructions by the internet or by telephone. If you do not provide voting instructions (or if your instructions are incomplete or unclear) as to one or more of the matters to be voted on, the savings plan trustee will vote your proportionate interest in shares held by the ESOP Fund for the voting choice with respect to each applicable proposal that receives the greatest number of votes based on voting instructions received from ESOP Fund participants. Similarly, the trustee will vote your uninstructed proportionate interest in shares held by the Common Stock Fund for the voting choice with respect to each applicable proposal that receives the greatest number of votes based on voting instructions received from the Common Stock Fund participants. For shares of RTX Common Stock held in the ESOP Fund that are not allocated to participant accounts, the trustee will make the voting choice with respect to each applicable proposal that receives the greatest number of votes from those ESOP Fund participants who have submitted voting instructions.</w:t>
      </w:r>
    </w:p>
    <w:p>
      <w:pPr>
        <w:spacing w:after="0" w:line="150" w:lineRule="exact"/>
        <w:rPr>
          <w:sz w:val="20"/>
          <w:szCs w:val="20"/>
          <w:color w:val="auto"/>
        </w:rPr>
      </w:pPr>
    </w:p>
    <w:p>
      <w:pPr>
        <w:spacing w:after="0" w:line="247" w:lineRule="auto"/>
        <w:rPr>
          <w:sz w:val="20"/>
          <w:szCs w:val="20"/>
          <w:color w:val="auto"/>
        </w:rPr>
      </w:pPr>
      <w:r>
        <w:rPr>
          <w:rFonts w:ascii="Arial" w:cs="Arial" w:eastAsia="Arial" w:hAnsi="Arial"/>
          <w:sz w:val="16"/>
          <w:szCs w:val="16"/>
          <w:color w:val="CE0F2C"/>
        </w:rPr>
        <w:t xml:space="preserve">Shares Held in the Savings and Investment Plan Sponsored by RTN. </w:t>
      </w:r>
      <w:r>
        <w:rPr>
          <w:rFonts w:ascii="Arial" w:cs="Arial" w:eastAsia="Arial" w:hAnsi="Arial"/>
          <w:sz w:val="16"/>
          <w:szCs w:val="16"/>
          <w:color w:val="000000"/>
        </w:rPr>
        <w:t>You can direct the voting of your proportionate interest in shares of the RTX Common</w:t>
      </w:r>
      <w:r>
        <w:rPr>
          <w:rFonts w:ascii="Arial" w:cs="Arial" w:eastAsia="Arial" w:hAnsi="Arial"/>
          <w:sz w:val="16"/>
          <w:szCs w:val="16"/>
          <w:color w:val="CE0F2C"/>
        </w:rPr>
        <w:t xml:space="preserve"> </w:t>
      </w:r>
      <w:r>
        <w:rPr>
          <w:rFonts w:ascii="Arial" w:cs="Arial" w:eastAsia="Arial" w:hAnsi="Arial"/>
          <w:sz w:val="16"/>
          <w:szCs w:val="16"/>
          <w:color w:val="000000"/>
        </w:rPr>
        <w:t>Stock Fund by returning a proxy or providing voting instructions by the internet or by telephone. If you do not provide voting instructions (or if your instructions are incomplete or unclear) as to one or more of the matters to be voted on, the savings and investment plan trustee will vote the shares held by the RTX Common Stock Fund representing your interest with respect to each applicable proposal in the same proportion as shares for which the savings and investment plan trustee received voting instructions.</w:t>
      </w:r>
    </w:p>
    <w:p>
      <w:pPr>
        <w:spacing w:after="0" w:line="15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CE0F2C"/>
        </w:rPr>
        <w:t xml:space="preserve">Earlier Voting Deadline for Participants in an Employee Savings Plan or the Savings and Investment Plan. </w:t>
      </w:r>
      <w:r>
        <w:rPr>
          <w:rFonts w:ascii="Arial" w:cs="Arial" w:eastAsia="Arial" w:hAnsi="Arial"/>
          <w:sz w:val="16"/>
          <w:szCs w:val="16"/>
          <w:color w:val="000000"/>
        </w:rPr>
        <w:t>Broadridge Financial Solutions must receive your</w:t>
      </w:r>
      <w:r>
        <w:rPr>
          <w:rFonts w:ascii="Arial" w:cs="Arial" w:eastAsia="Arial" w:hAnsi="Arial"/>
          <w:sz w:val="16"/>
          <w:szCs w:val="16"/>
          <w:color w:val="CE0F2C"/>
        </w:rPr>
        <w:t xml:space="preserve"> </w:t>
      </w:r>
      <w:r>
        <w:rPr>
          <w:rFonts w:ascii="Arial" w:cs="Arial" w:eastAsia="Arial" w:hAnsi="Arial"/>
          <w:sz w:val="16"/>
          <w:szCs w:val="16"/>
          <w:color w:val="000000"/>
        </w:rPr>
        <w:t>voting instructions by 11:59 p.m. Eastern time on Wednesday, April 20, 2022, so that it will have time to tabulate all voting instructions of participants and communicate those instructions to the trustees, who will vote the shares held by the savings plans. Because the trustees are designated to vote on your behalf, you will not be able to vote your shares held in a savings plan virtually at the Annual Meeting.</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CE0F2C"/>
        </w:rPr>
        <w:t xml:space="preserve">Changing Your Vote. </w:t>
      </w:r>
      <w:r>
        <w:rPr>
          <w:rFonts w:ascii="Arial" w:cs="Arial" w:eastAsia="Arial" w:hAnsi="Arial"/>
          <w:sz w:val="16"/>
          <w:szCs w:val="16"/>
          <w:color w:val="000000"/>
        </w:rPr>
        <w:t>If you are a registered shareowner: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102870</wp:posOffset>
            </wp:positionV>
            <wp:extent cx="7133590" cy="85026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33590" cy="85026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p>
      <w:pPr>
        <w:spacing w:after="0" w:line="338" w:lineRule="exact"/>
        <w:rPr>
          <w:sz w:val="20"/>
          <w:szCs w:val="20"/>
          <w:color w:val="auto"/>
        </w:rPr>
      </w:pPr>
    </w:p>
    <w:p>
      <w:pPr>
        <w:ind w:left="360" w:hanging="174"/>
        <w:spacing w:after="0" w:line="256" w:lineRule="auto"/>
        <w:tabs>
          <w:tab w:leader="none" w:pos="368" w:val="left"/>
        </w:tabs>
        <w:numPr>
          <w:ilvl w:val="0"/>
          <w:numId w:val="223"/>
        </w:numPr>
        <w:rPr>
          <w:rFonts w:ascii="Arial" w:cs="Arial" w:eastAsia="Arial" w:hAnsi="Arial"/>
          <w:sz w:val="16"/>
          <w:szCs w:val="16"/>
          <w:color w:val="CE0F2C"/>
        </w:rPr>
      </w:pPr>
      <w:r>
        <w:rPr>
          <w:rFonts w:ascii="Arial" w:cs="Arial" w:eastAsia="Arial" w:hAnsi="Arial"/>
          <w:sz w:val="16"/>
          <w:szCs w:val="16"/>
          <w:color w:val="auto"/>
        </w:rPr>
        <w:t>If you voted by telephone or the internet, access the method you used and follow the instructions given for revoking a proxy.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169" w:right="180" w:hanging="169"/>
        <w:spacing w:after="0" w:line="256" w:lineRule="auto"/>
        <w:tabs>
          <w:tab w:leader="none" w:pos="177" w:val="left"/>
        </w:tabs>
        <w:numPr>
          <w:ilvl w:val="0"/>
          <w:numId w:val="224"/>
        </w:numPr>
        <w:rPr>
          <w:rFonts w:ascii="Arial" w:cs="Arial" w:eastAsia="Arial" w:hAnsi="Arial"/>
          <w:sz w:val="16"/>
          <w:szCs w:val="16"/>
          <w:color w:val="CE0F2C"/>
        </w:rPr>
      </w:pPr>
      <w:r>
        <w:rPr>
          <w:rFonts w:ascii="Arial" w:cs="Arial" w:eastAsia="Arial" w:hAnsi="Arial"/>
          <w:sz w:val="16"/>
          <w:szCs w:val="16"/>
          <w:color w:val="auto"/>
        </w:rPr>
        <w:t>If you mailed a signed proxy card, mail a new proxy card with a later date (which will override your earlier proxy card).</w:t>
      </w:r>
    </w:p>
    <w:p>
      <w:pPr>
        <w:spacing w:after="0" w:line="143" w:lineRule="exact"/>
        <w:rPr>
          <w:rFonts w:ascii="Arial" w:cs="Arial" w:eastAsia="Arial" w:hAnsi="Arial"/>
          <w:sz w:val="16"/>
          <w:szCs w:val="16"/>
          <w:color w:val="CE0F2C"/>
        </w:rPr>
      </w:pPr>
    </w:p>
    <w:p>
      <w:pPr>
        <w:ind w:left="169"/>
        <w:spacing w:after="0"/>
        <w:rPr>
          <w:rFonts w:ascii="Arial" w:cs="Arial" w:eastAsia="Arial" w:hAnsi="Arial"/>
          <w:sz w:val="16"/>
          <w:szCs w:val="16"/>
          <w:color w:val="CE0F2C"/>
        </w:rPr>
      </w:pPr>
      <w:r>
        <w:rPr>
          <w:rFonts w:ascii="Arial" w:cs="Arial" w:eastAsia="Arial" w:hAnsi="Arial"/>
          <w:sz w:val="16"/>
          <w:szCs w:val="16"/>
          <w:color w:val="auto"/>
        </w:rPr>
        <w:t>OR</w:t>
      </w:r>
    </w:p>
    <w:p>
      <w:pPr>
        <w:spacing w:after="0" w:line="97" w:lineRule="exact"/>
        <w:rPr>
          <w:rFonts w:ascii="Arial" w:cs="Arial" w:eastAsia="Arial" w:hAnsi="Arial"/>
          <w:sz w:val="16"/>
          <w:szCs w:val="16"/>
          <w:color w:val="CE0F2C"/>
        </w:rPr>
      </w:pPr>
    </w:p>
    <w:p>
      <w:pPr>
        <w:ind w:left="189" w:hanging="189"/>
        <w:spacing w:after="0"/>
        <w:tabs>
          <w:tab w:leader="none" w:pos="189" w:val="left"/>
        </w:tabs>
        <w:numPr>
          <w:ilvl w:val="0"/>
          <w:numId w:val="224"/>
        </w:numPr>
        <w:rPr>
          <w:rFonts w:ascii="Arial" w:cs="Arial" w:eastAsia="Arial" w:hAnsi="Arial"/>
          <w:sz w:val="16"/>
          <w:szCs w:val="16"/>
          <w:color w:val="CE0F2C"/>
        </w:rPr>
      </w:pPr>
      <w:r>
        <w:rPr>
          <w:rFonts w:ascii="Arial" w:cs="Arial" w:eastAsia="Arial" w:hAnsi="Arial"/>
          <w:sz w:val="16"/>
          <w:szCs w:val="16"/>
          <w:color w:val="auto"/>
        </w:rPr>
        <w:t>Vote virtually during the Annual Meeting.</w:t>
      </w:r>
    </w:p>
    <w:p>
      <w:pPr>
        <w:spacing w:after="0" w:line="200" w:lineRule="exact"/>
        <w:rPr>
          <w:sz w:val="20"/>
          <w:szCs w:val="20"/>
          <w:color w:val="auto"/>
        </w:rPr>
      </w:pPr>
    </w:p>
    <w:p>
      <w:pPr>
        <w:sectPr>
          <w:pgSz w:w="11900" w:h="16838" w:orient="portrait"/>
          <w:cols w:equalWidth="0" w:num="2">
            <w:col w:w="5340" w:space="291"/>
            <w:col w:w="5549"/>
          </w:cols>
          <w:pgMar w:left="320" w:top="118" w:right="399" w:bottom="1440" w:gutter="0" w:footer="0" w:header="0"/>
          <w:type w:val="continuous"/>
        </w:sectPr>
      </w:pP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If you are a beneficial shareowner, ask your bank, brokerage firm or other intermediary about how to revoke or change your voting instructions.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WILL MY SHARES BE VOTED?</w:t>
      </w:r>
    </w:p>
    <w:p>
      <w:pPr>
        <w:spacing w:after="0" w:line="21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Each share of RTX Common Stock is entitled to one vote. Your shares will be voted in accordance with your instructions. In addition, if you have returned a signed proxy card or submitted voting instructions by telephone or the internet, the proxy holders will have, and intend to exercise, discretion to vote your shares (other than shares held in a RTX employee savings plan) in accordance with their best judgment on any matters not identified in this Proxy Statement that are brought to a vote at the Annual Meeting. We do not know of any such additional matters at this time.</w:t>
      </w:r>
    </w:p>
    <w:p>
      <w:pPr>
        <w:spacing w:after="0" w:line="15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If your shares are registered in your name and you sign and return a proxy card or vote by telephone or the internet but do not give voting instructions on a particular matter, the proxy holders will be authorized to vote your shares on that matter in accordance with the Board’s recommendation on the matter. If you hold your shares through an account with a broker and do not give voting instructions on a matter, your broker is only entitled under New York Stock Exchange rules to vote your shares in its discretion on Proposal 3 (appointment of the Independent Auditor) and is required to withhold a vote on each of the other Proposals, resulting in a so-called “broker non-vote.”</w:t>
      </w:r>
    </w:p>
    <w:p>
      <w:pPr>
        <w:spacing w:after="0" w:line="151" w:lineRule="exact"/>
        <w:rPr>
          <w:sz w:val="20"/>
          <w:szCs w:val="20"/>
          <w:color w:val="auto"/>
        </w:rPr>
      </w:pPr>
    </w:p>
    <w:p>
      <w:pPr>
        <w:ind w:left="260" w:hanging="253"/>
        <w:spacing w:after="0"/>
        <w:tabs>
          <w:tab w:leader="none" w:pos="260" w:val="left"/>
        </w:tabs>
        <w:numPr>
          <w:ilvl w:val="0"/>
          <w:numId w:val="225"/>
        </w:numPr>
        <w:rPr>
          <w:rFonts w:ascii="Arial" w:cs="Arial" w:eastAsia="Arial" w:hAnsi="Arial"/>
          <w:sz w:val="12"/>
          <w:szCs w:val="12"/>
          <w:b w:val="1"/>
          <w:bCs w:val="1"/>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20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80" w:type="dxa"/>
            <w:vAlign w:val="bottom"/>
          </w:tcPr>
          <w:p>
            <w:pPr>
              <w:ind w:left="280"/>
              <w:spacing w:after="0"/>
              <w:rPr>
                <w:sz w:val="20"/>
                <w:szCs w:val="20"/>
                <w:color w:val="auto"/>
              </w:rPr>
            </w:pPr>
            <w:r>
              <w:rPr>
                <w:rFonts w:ascii="Arial" w:cs="Arial" w:eastAsia="Arial" w:hAnsi="Arial"/>
                <w:sz w:val="12"/>
                <w:szCs w:val="12"/>
                <w:b w:val="1"/>
                <w:bCs w:val="1"/>
                <w:color w:val="CE0F2C"/>
              </w:rPr>
              <w:t>FREQUENTLY ASKED QUESTIONS ABOUT THE ANNUAL MEETING</w:t>
            </w:r>
          </w:p>
        </w:tc>
      </w:tr>
      <w:tr>
        <w:trPr>
          <w:trHeight w:val="424"/>
        </w:trPr>
        <w:tc>
          <w:tcPr>
            <w:tcW w:w="6960" w:type="dxa"/>
            <w:vAlign w:val="bottom"/>
            <w:gridSpan w:val="2"/>
          </w:tcPr>
          <w:p>
            <w:pPr>
              <w:spacing w:after="0"/>
              <w:rPr>
                <w:sz w:val="20"/>
                <w:szCs w:val="20"/>
                <w:color w:val="auto"/>
              </w:rPr>
            </w:pPr>
            <w:r>
              <w:rPr>
                <w:rFonts w:ascii="Arial" w:cs="Arial" w:eastAsia="Arial" w:hAnsi="Arial"/>
                <w:sz w:val="20"/>
                <w:szCs w:val="20"/>
                <w:b w:val="1"/>
                <w:bCs w:val="1"/>
                <w:color w:val="auto"/>
              </w:rPr>
              <w:t>HOW DO ABSTENTIONS AFFECT THE VOTING RESULTS?</w:t>
            </w:r>
          </w:p>
        </w:tc>
        <w:tc>
          <w:tcPr>
            <w:tcW w:w="4280" w:type="dxa"/>
            <w:vAlign w:val="bottom"/>
          </w:tcPr>
          <w:p>
            <w:pPr>
              <w:spacing w:after="0"/>
              <w:rPr>
                <w:sz w:val="24"/>
                <w:szCs w:val="24"/>
                <w:color w:val="auto"/>
              </w:rPr>
            </w:pPr>
          </w:p>
        </w:tc>
      </w:tr>
      <w:tr>
        <w:trPr>
          <w:trHeight w:val="391"/>
        </w:trPr>
        <w:tc>
          <w:tcPr>
            <w:tcW w:w="2200" w:type="dxa"/>
            <w:vAlign w:val="bottom"/>
            <w:tcBorders>
              <w:bottom w:val="single" w:sz="8" w:color="CE0F2D"/>
            </w:tcBorders>
          </w:tcPr>
          <w:p>
            <w:pPr>
              <w:spacing w:after="0"/>
              <w:rPr>
                <w:sz w:val="20"/>
                <w:szCs w:val="20"/>
                <w:color w:val="auto"/>
              </w:rPr>
            </w:pPr>
            <w:r>
              <w:rPr>
                <w:rFonts w:ascii="Arial" w:cs="Arial" w:eastAsia="Arial" w:hAnsi="Arial"/>
                <w:sz w:val="14"/>
                <w:szCs w:val="14"/>
                <w:b w:val="1"/>
                <w:bCs w:val="1"/>
                <w:color w:val="404040"/>
              </w:rPr>
              <w:t>Matter</w:t>
            </w:r>
          </w:p>
        </w:tc>
        <w:tc>
          <w:tcPr>
            <w:tcW w:w="4760" w:type="dxa"/>
            <w:vAlign w:val="bottom"/>
            <w:tcBorders>
              <w:bottom w:val="single" w:sz="8" w:color="CE0F2D"/>
            </w:tcBorders>
          </w:tcPr>
          <w:p>
            <w:pPr>
              <w:ind w:left="880"/>
              <w:spacing w:after="0"/>
              <w:rPr>
                <w:sz w:val="20"/>
                <w:szCs w:val="20"/>
                <w:color w:val="auto"/>
              </w:rPr>
            </w:pPr>
            <w:r>
              <w:rPr>
                <w:rFonts w:ascii="Arial" w:cs="Arial" w:eastAsia="Arial" w:hAnsi="Arial"/>
                <w:sz w:val="14"/>
                <w:szCs w:val="14"/>
                <w:b w:val="1"/>
                <w:bCs w:val="1"/>
                <w:color w:val="404040"/>
              </w:rPr>
              <w:t>Vote Required for Approval</w:t>
            </w:r>
          </w:p>
        </w:tc>
        <w:tc>
          <w:tcPr>
            <w:tcW w:w="4280" w:type="dxa"/>
            <w:vAlign w:val="bottom"/>
            <w:tcBorders>
              <w:bottom w:val="single" w:sz="8" w:color="CE0F2D"/>
            </w:tcBorders>
          </w:tcPr>
          <w:p>
            <w:pPr>
              <w:ind w:left="300"/>
              <w:spacing w:after="0"/>
              <w:rPr>
                <w:sz w:val="20"/>
                <w:szCs w:val="20"/>
                <w:color w:val="auto"/>
              </w:rPr>
            </w:pPr>
            <w:r>
              <w:rPr>
                <w:rFonts w:ascii="Arial" w:cs="Arial" w:eastAsia="Arial" w:hAnsi="Arial"/>
                <w:sz w:val="14"/>
                <w:szCs w:val="14"/>
                <w:b w:val="1"/>
                <w:bCs w:val="1"/>
                <w:color w:val="404040"/>
              </w:rPr>
              <w:t>Impact of Abstentions</w:t>
            </w:r>
          </w:p>
        </w:tc>
      </w:tr>
      <w:tr>
        <w:trPr>
          <w:trHeight w:val="160"/>
        </w:trPr>
        <w:tc>
          <w:tcPr>
            <w:tcW w:w="2200" w:type="dxa"/>
            <w:vAlign w:val="bottom"/>
          </w:tcPr>
          <w:p>
            <w:pPr>
              <w:spacing w:after="0"/>
              <w:rPr>
                <w:sz w:val="20"/>
                <w:szCs w:val="20"/>
                <w:color w:val="auto"/>
              </w:rPr>
            </w:pPr>
            <w:r>
              <w:rPr>
                <w:rFonts w:ascii="Arial" w:cs="Arial" w:eastAsia="Arial" w:hAnsi="Arial"/>
                <w:sz w:val="13"/>
                <w:szCs w:val="13"/>
                <w:b w:val="1"/>
                <w:bCs w:val="1"/>
                <w:color w:val="auto"/>
              </w:rPr>
              <w:t>Election of Directors</w:t>
            </w:r>
          </w:p>
        </w:tc>
        <w:tc>
          <w:tcPr>
            <w:tcW w:w="4760" w:type="dxa"/>
            <w:vAlign w:val="bottom"/>
          </w:tcPr>
          <w:p>
            <w:pPr>
              <w:ind w:left="880"/>
              <w:spacing w:after="0"/>
              <w:rPr>
                <w:sz w:val="20"/>
                <w:szCs w:val="20"/>
                <w:color w:val="auto"/>
              </w:rPr>
            </w:pPr>
            <w:r>
              <w:rPr>
                <w:rFonts w:ascii="Arial" w:cs="Arial" w:eastAsia="Arial" w:hAnsi="Arial"/>
                <w:sz w:val="13"/>
                <w:szCs w:val="13"/>
                <w:color w:val="auto"/>
              </w:rPr>
              <w:t>Votes for a nominee must exceed 50% of the votes cast with</w:t>
            </w:r>
          </w:p>
        </w:tc>
        <w:tc>
          <w:tcPr>
            <w:tcW w:w="4280" w:type="dxa"/>
            <w:vAlign w:val="bottom"/>
          </w:tcPr>
          <w:p>
            <w:pPr>
              <w:ind w:left="300"/>
              <w:spacing w:after="0"/>
              <w:rPr>
                <w:sz w:val="20"/>
                <w:szCs w:val="20"/>
                <w:color w:val="auto"/>
              </w:rPr>
            </w:pPr>
            <w:r>
              <w:rPr>
                <w:rFonts w:ascii="Arial" w:cs="Arial" w:eastAsia="Arial" w:hAnsi="Arial"/>
                <w:sz w:val="13"/>
                <w:szCs w:val="13"/>
                <w:color w:val="auto"/>
              </w:rPr>
              <w:t>Not counted as votes cast; no impact on outcome.</w:t>
            </w:r>
          </w:p>
        </w:tc>
      </w:tr>
      <w:tr>
        <w:trPr>
          <w:trHeight w:val="161"/>
        </w:trPr>
        <w:tc>
          <w:tcPr>
            <w:tcW w:w="2200" w:type="dxa"/>
            <w:vAlign w:val="bottom"/>
          </w:tcPr>
          <w:p>
            <w:pPr>
              <w:spacing w:after="0"/>
              <w:rPr>
                <w:sz w:val="14"/>
                <w:szCs w:val="14"/>
                <w:color w:val="auto"/>
              </w:rPr>
            </w:pPr>
          </w:p>
        </w:tc>
        <w:tc>
          <w:tcPr>
            <w:tcW w:w="4760" w:type="dxa"/>
            <w:vAlign w:val="bottom"/>
          </w:tcPr>
          <w:p>
            <w:pPr>
              <w:ind w:left="880"/>
              <w:spacing w:after="0"/>
              <w:rPr>
                <w:sz w:val="20"/>
                <w:szCs w:val="20"/>
                <w:color w:val="auto"/>
              </w:rPr>
            </w:pPr>
            <w:r>
              <w:rPr>
                <w:rFonts w:ascii="Arial" w:cs="Arial" w:eastAsia="Arial" w:hAnsi="Arial"/>
                <w:sz w:val="13"/>
                <w:szCs w:val="13"/>
                <w:color w:val="auto"/>
              </w:rPr>
              <w:t>respect to that nominee.</w:t>
            </w:r>
          </w:p>
        </w:tc>
        <w:tc>
          <w:tcPr>
            <w:tcW w:w="42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10" w:lineRule="exact"/>
        <w:rPr>
          <w:sz w:val="20"/>
          <w:szCs w:val="20"/>
          <w:color w:val="auto"/>
        </w:rPr>
      </w:pPr>
    </w:p>
    <w:p>
      <w:pPr>
        <w:ind w:right="60"/>
        <w:spacing w:after="0" w:line="280" w:lineRule="auto"/>
        <w:rPr>
          <w:sz w:val="20"/>
          <w:szCs w:val="20"/>
          <w:color w:val="auto"/>
        </w:rPr>
      </w:pPr>
      <w:r>
        <w:rPr>
          <w:rFonts w:ascii="Arial" w:cs="Arial" w:eastAsia="Arial" w:hAnsi="Arial"/>
          <w:sz w:val="13"/>
          <w:szCs w:val="13"/>
          <w:b w:val="1"/>
          <w:bCs w:val="1"/>
          <w:color w:val="auto"/>
        </w:rPr>
        <w:t>Advisory Vote to Approve Executive Compensation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jc w:val="both"/>
        <w:spacing w:after="0" w:line="245" w:lineRule="auto"/>
        <w:rPr>
          <w:sz w:val="20"/>
          <w:szCs w:val="20"/>
          <w:color w:val="auto"/>
        </w:rPr>
      </w:pPr>
      <w:r>
        <w:rPr>
          <w:rFonts w:ascii="Arial" w:cs="Arial" w:eastAsia="Arial" w:hAnsi="Arial"/>
          <w:sz w:val="13"/>
          <w:szCs w:val="13"/>
          <w:color w:val="auto"/>
        </w:rPr>
        <w:t>The affirmative vote of the holders of a majority of shares of our 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-635</wp:posOffset>
            </wp:positionV>
            <wp:extent cx="71335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right="480"/>
        <w:spacing w:after="0" w:line="255" w:lineRule="auto"/>
        <w:rPr>
          <w:sz w:val="20"/>
          <w:szCs w:val="20"/>
          <w:color w:val="auto"/>
        </w:rPr>
      </w:pPr>
      <w:r>
        <w:rPr>
          <w:rFonts w:ascii="Arial" w:cs="Arial" w:eastAsia="Arial" w:hAnsi="Arial"/>
          <w:sz w:val="13"/>
          <w:szCs w:val="13"/>
          <w:color w:val="auto"/>
        </w:rPr>
        <w:t>An abstention is treated as present and entitled to vote and therefore has the effect of a vote against approval.</w:t>
      </w:r>
    </w:p>
    <w:p>
      <w:pPr>
        <w:spacing w:after="0" w:line="146" w:lineRule="exact"/>
        <w:rPr>
          <w:sz w:val="20"/>
          <w:szCs w:val="20"/>
          <w:color w:val="auto"/>
        </w:rPr>
      </w:pPr>
    </w:p>
    <w:p>
      <w:pPr>
        <w:sectPr>
          <w:pgSz w:w="11900" w:h="16838" w:orient="portrait"/>
          <w:cols w:equalWidth="0" w:num="3">
            <w:col w:w="2360" w:space="720"/>
            <w:col w:w="3820" w:space="360"/>
            <w:col w:w="3980"/>
          </w:cols>
          <w:pgMar w:left="320" w:top="118" w:right="339" w:bottom="1440" w:gutter="0" w:footer="0" w:header="0"/>
          <w:type w:val="continuous"/>
        </w:sectPr>
      </w:pPr>
    </w:p>
    <w:p>
      <w:pPr>
        <w:spacing w:after="0"/>
        <w:tabs>
          <w:tab w:leader="none" w:pos="3060" w:val="left"/>
        </w:tabs>
        <w:rPr>
          <w:sz w:val="20"/>
          <w:szCs w:val="20"/>
          <w:color w:val="auto"/>
        </w:rPr>
      </w:pPr>
      <w:r>
        <w:rPr>
          <w:rFonts w:ascii="Arial" w:cs="Arial" w:eastAsia="Arial" w:hAnsi="Arial"/>
          <w:sz w:val="13"/>
          <w:szCs w:val="13"/>
          <w:b w:val="1"/>
          <w:bCs w:val="1"/>
          <w:color w:val="auto"/>
        </w:rPr>
        <w:t>Appoint PricewaterhouseCoopers LLP to</w:t>
      </w:r>
      <w:r>
        <w:rPr>
          <w:sz w:val="20"/>
          <w:szCs w:val="20"/>
          <w:color w:val="auto"/>
        </w:rPr>
        <w:tab/>
      </w:r>
      <w:r>
        <w:rPr>
          <w:rFonts w:ascii="Arial" w:cs="Arial" w:eastAsia="Arial" w:hAnsi="Arial"/>
          <w:sz w:val="13"/>
          <w:szCs w:val="13"/>
          <w:color w:val="auto"/>
        </w:rPr>
        <w:t>The affirmative vote of the holders of a majority of shares of our</w:t>
      </w:r>
    </w:p>
    <w:p>
      <w:pPr>
        <w:spacing w:after="0" w:line="14" w:lineRule="exact"/>
        <w:rPr>
          <w:sz w:val="20"/>
          <w:szCs w:val="20"/>
          <w:color w:val="auto"/>
        </w:rPr>
      </w:pPr>
    </w:p>
    <w:p>
      <w:pPr>
        <w:ind w:left="3080" w:hanging="3078"/>
        <w:spacing w:after="0" w:line="255" w:lineRule="auto"/>
        <w:tabs>
          <w:tab w:leader="none" w:pos="3060" w:val="left"/>
        </w:tabs>
        <w:rPr>
          <w:sz w:val="20"/>
          <w:szCs w:val="20"/>
          <w:color w:val="auto"/>
        </w:rPr>
      </w:pPr>
      <w:r>
        <w:rPr>
          <w:rFonts w:ascii="Arial" w:cs="Arial" w:eastAsia="Arial" w:hAnsi="Arial"/>
          <w:sz w:val="13"/>
          <w:szCs w:val="13"/>
          <w:b w:val="1"/>
          <w:bCs w:val="1"/>
          <w:color w:val="auto"/>
        </w:rPr>
        <w:t>serve as Independent Auditor for 2022</w:t>
      </w:r>
      <w:r>
        <w:rPr>
          <w:sz w:val="20"/>
          <w:szCs w:val="20"/>
          <w:color w:val="auto"/>
        </w:rPr>
        <w:tab/>
      </w:r>
      <w:r>
        <w:rPr>
          <w:rFonts w:ascii="Arial" w:cs="Arial" w:eastAsia="Arial" w:hAnsi="Arial"/>
          <w:sz w:val="13"/>
          <w:szCs w:val="13"/>
          <w:color w:val="auto"/>
        </w:rPr>
        <w:t>common stock, present at the Annual Meeting or represented by proxy and entitled to vote,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71335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55" w:lineRule="auto"/>
        <w:rPr>
          <w:sz w:val="20"/>
          <w:szCs w:val="20"/>
          <w:color w:val="auto"/>
        </w:rPr>
      </w:pPr>
      <w:r>
        <w:rPr>
          <w:rFonts w:ascii="Arial" w:cs="Arial" w:eastAsia="Arial" w:hAnsi="Arial"/>
          <w:sz w:val="13"/>
          <w:szCs w:val="13"/>
          <w:color w:val="auto"/>
        </w:rPr>
        <w:t>An abstention is treated as present and entitled to vote and therefore has the effect of a vote against approval.</w:t>
      </w:r>
    </w:p>
    <w:p>
      <w:pPr>
        <w:spacing w:after="0" w:line="148" w:lineRule="exact"/>
        <w:rPr>
          <w:sz w:val="20"/>
          <w:szCs w:val="20"/>
          <w:color w:val="auto"/>
        </w:rPr>
      </w:pPr>
    </w:p>
    <w:p>
      <w:pPr>
        <w:sectPr>
          <w:pgSz w:w="11900" w:h="16838" w:orient="portrait"/>
          <w:cols w:equalWidth="0" w:num="2">
            <w:col w:w="6900" w:space="360"/>
            <w:col w:w="3980"/>
          </w:cols>
          <w:pgMar w:left="320" w:top="118" w:right="339" w:bottom="1440" w:gutter="0" w:footer="0" w:header="0"/>
          <w:type w:val="continuous"/>
        </w:sectPr>
      </w:pPr>
    </w:p>
    <w:p>
      <w:pPr>
        <w:spacing w:after="0" w:line="251" w:lineRule="auto"/>
        <w:rPr>
          <w:sz w:val="20"/>
          <w:szCs w:val="20"/>
          <w:color w:val="auto"/>
        </w:rPr>
      </w:pPr>
      <w:r>
        <w:rPr>
          <w:rFonts w:ascii="Arial" w:cs="Arial" w:eastAsia="Arial" w:hAnsi="Arial"/>
          <w:sz w:val="13"/>
          <w:szCs w:val="13"/>
          <w:b w:val="1"/>
          <w:bCs w:val="1"/>
          <w:color w:val="auto"/>
        </w:rPr>
        <w:t>Approve an Amendment to the Restated Certificate of Incorporation to Reduce the Voting Threshold Required to Repeal Article Ninth</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3"/>
          <w:szCs w:val="13"/>
          <w:color w:val="auto"/>
        </w:rPr>
        <w:t>The affirmative vote of the holders of a majority of the outstanding shares of our common stock is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181610</wp:posOffset>
            </wp:positionV>
            <wp:extent cx="71335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An abstention has the effect of a vote against approval.</w:t>
      </w:r>
    </w:p>
    <w:p>
      <w:pPr>
        <w:spacing w:after="0" w:line="626" w:lineRule="exact"/>
        <w:rPr>
          <w:sz w:val="20"/>
          <w:szCs w:val="20"/>
          <w:color w:val="auto"/>
        </w:rPr>
      </w:pPr>
    </w:p>
    <w:p>
      <w:pPr>
        <w:sectPr>
          <w:pgSz w:w="11900" w:h="16838" w:orient="portrait"/>
          <w:cols w:equalWidth="0" w:num="3">
            <w:col w:w="2800" w:space="280"/>
            <w:col w:w="3900" w:space="280"/>
            <w:col w:w="3980"/>
          </w:cols>
          <w:pgMar w:left="320" w:top="118" w:right="339" w:bottom="1440" w:gutter="0" w:footer="0" w:header="0"/>
          <w:type w:val="continuous"/>
        </w:sectPr>
      </w:pPr>
    </w:p>
    <w:p>
      <w:pPr>
        <w:ind w:right="160"/>
        <w:spacing w:after="0" w:line="254" w:lineRule="auto"/>
        <w:rPr>
          <w:sz w:val="20"/>
          <w:szCs w:val="20"/>
          <w:color w:val="auto"/>
        </w:rPr>
      </w:pPr>
      <w:r>
        <w:rPr>
          <w:rFonts w:ascii="Arial" w:cs="Arial" w:eastAsia="Arial" w:hAnsi="Arial"/>
          <w:sz w:val="20"/>
          <w:szCs w:val="20"/>
          <w:b w:val="1"/>
          <w:bCs w:val="1"/>
          <w:color w:val="auto"/>
        </w:rPr>
        <w:t>WHAT HAPPENS IF A DIRECTOR IN AN UNCONTESTED ELECTION RECEIVES MORE VOTES “AGAINST” THAN “FOR” THEIR ELECTION?</w:t>
      </w:r>
    </w:p>
    <w:p>
      <w:pPr>
        <w:spacing w:after="0" w:line="17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In an uncontested election of directors, any nominee for director who is an incumbent director and who receives a greater number of votes cast “against” than votes “for” their election must, under RTX’s Governance Guidelines, promptly tender their resignation to the Chair of the Governance and Public Policy Committee following certification of the shareowner vote. The Governance and Public Policy Committee must promptly make a recommendation to the Board about whether to accept or reject the tendered resignation. The director who tendered a resignation may not participate in the Committee’s recommendation or the Board’s consideration.</w:t>
      </w:r>
    </w:p>
    <w:p>
      <w:pPr>
        <w:spacing w:after="0" w:line="151"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Under our Corporate Governance Guidelines, the Board must act on the Governance and Public Policy Committee’s recommendation no later than 90 days after the date of the shareowners’ meeting. Regardless of whether the Board accepts or rejects the resignation, RTX must promptly file a Report on Form 8-K with the SEC that explains the process by which the decision was reached and, if applicable, the reasons for rejecting the tendered resignation.</w:t>
      </w:r>
    </w:p>
    <w:p>
      <w:pPr>
        <w:spacing w:after="0" w:line="148"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If a director’s resignation is accepted, the Governance and Public Policy Committee also will recommend to the Board whether to fill the vacancy or to reduce the size of the Board. Under the RTX Bylaws, a vacancy arising in these circumstances may be filled, at the discretion of the Board, by a majority vote of the directors or at a special meeting of shareowners called by the Board in accordance with the Bylaws.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COUNTS THE VOTES?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Broadridge Financial Solutions (“Broadridge”), an independent entity, will tabulate the votes. At the Annual Meeting, a representative of Broadridge will act as the independent Inspector of Election and in this capacity will supervise the voting, decide the validity of proxies and certify the results.</w:t>
      </w:r>
    </w:p>
    <w:p>
      <w:pPr>
        <w:spacing w:after="0" w:line="143" w:lineRule="exact"/>
        <w:rPr>
          <w:sz w:val="20"/>
          <w:szCs w:val="20"/>
          <w:color w:val="auto"/>
        </w:rPr>
      </w:pPr>
    </w:p>
    <w:p>
      <w:pPr>
        <w:ind w:right="300"/>
        <w:spacing w:after="0" w:line="256" w:lineRule="auto"/>
        <w:rPr>
          <w:sz w:val="20"/>
          <w:szCs w:val="20"/>
          <w:color w:val="auto"/>
        </w:rPr>
      </w:pPr>
      <w:r>
        <w:rPr>
          <w:rFonts w:ascii="Arial" w:cs="Arial" w:eastAsia="Arial" w:hAnsi="Arial"/>
          <w:sz w:val="16"/>
          <w:szCs w:val="16"/>
          <w:color w:val="auto"/>
        </w:rPr>
        <w:t>Broadridge has been instructed to keep the vote of each shareowner confidential and the vote may not be disclosed, except in legal proceedings or for the purpose of soliciting shareowner votes in a contested proxy solicitation.</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MAY THE COMPANY SOLICIT MY PROXY?</w:t>
      </w:r>
    </w:p>
    <w:p>
      <w:pPr>
        <w:spacing w:after="0" w:line="215"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We will pay the cost of soliciting proxies. Proxies may be solicited on behalf of RTX by directors, officers or employees of RTX in person or by telephone, facsimile or other electronic means. We have retained D.F. King &amp; Co., Inc. (“D.F. King”) to assist in the distribution and solicitation of proxies. Based on our agreement with D.F. King, we anticipate paying fees ranging from approximately $35,000 up to approximately $100,000, plus out-of-pocket expenses, for these services, depending upon the extent of proxy solicitation efforts undertaken.</w:t>
      </w:r>
    </w:p>
    <w:p>
      <w:pPr>
        <w:spacing w:after="0" w:line="150"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As required by the SEC and the NYSE, we also will reimburse brokerage firms and other custodians, nominees and fiduciaries for their expenses incurred in sending proxies and proxy materials to beneficial owners of our common stock.</w:t>
      </w:r>
    </w:p>
    <w:p>
      <w:pPr>
        <w:spacing w:after="0" w:line="129"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0" w:name="page101"/>
    <w:bookmarkEnd w:id="10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CE0F2C"/>
        </w:rPr>
        <w:t>FREQUENTLY ASKED QUESTIONS ABOUT THE ANNUAL MEETING</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A NOTICE OF INTERNET AVAILABILITY?</w:t>
      </w:r>
    </w:p>
    <w:p>
      <w:pPr>
        <w:spacing w:after="0" w:line="215"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To conserve natural resources and reduce costs, we are sending most shareowners a Notice of Internet Availability of Proxy Materials (“Notice”), as permitted by SEC rules. The Notice explains how you can access RTX’s proxy materials on the internet and how to obtain printed copies if you prefer. It also explains how you can choose either electronic or print delivery of proxy materials for future annual meetings.</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MY PROXY MATERIALS ELECTRONICALLY?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To conserve resources and reduce costs, we encourage shareowners to access their proxy materials electronically.</w:t>
      </w:r>
    </w:p>
    <w:p>
      <w:pPr>
        <w:spacing w:after="0" w:line="164"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 xml:space="preserve">If you are a registered shareowner, you can sign up at </w:t>
      </w:r>
      <w:r>
        <w:rPr>
          <w:rFonts w:ascii="Arial" w:cs="Arial" w:eastAsia="Arial" w:hAnsi="Arial"/>
          <w:sz w:val="16"/>
          <w:szCs w:val="16"/>
          <w:u w:val="single" w:color="auto"/>
          <w:color w:val="CE0F2C"/>
        </w:rPr>
        <w:t>www.computershare-na.com/green</w:t>
      </w:r>
      <w:r>
        <w:rPr>
          <w:rFonts w:ascii="Arial" w:cs="Arial" w:eastAsia="Arial" w:hAnsi="Arial"/>
          <w:sz w:val="16"/>
          <w:szCs w:val="16"/>
          <w:color w:val="auto"/>
        </w:rPr>
        <w:t xml:space="preserve"> to get electronic access to proxy materials for future meetings, rather than receiving them in the mail. Once you sign up, you will receive an email each year explaining how to access RTX’s Annual Report and Proxy Statement, and how to vote online. Your enrollment for electronic access will remain in effect unless you cancel it, which you can do up to two weeks before the record date for any future annual meeting.</w:t>
      </w:r>
    </w:p>
    <w:p>
      <w:pPr>
        <w:spacing w:after="0" w:line="150"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 xml:space="preserve">If you are a beneficial shareowner, you may obtain electronic access to proxy materials by contacting your bank, brokerage firm or other intermediary, or by contacting Broadridge at </w:t>
      </w:r>
      <w:r>
        <w:rPr>
          <w:rFonts w:ascii="Arial" w:cs="Arial" w:eastAsia="Arial" w:hAnsi="Arial"/>
          <w:sz w:val="16"/>
          <w:szCs w:val="16"/>
          <w:u w:val="single" w:color="auto"/>
          <w:color w:val="CE0F2C"/>
        </w:rPr>
        <w:t>www.proxyvote.com</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SHARE THE SAME ADDRESS AS ANOTHER RTX SHAREOWNER?</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If you share an address with one or more other RTX shareowners, you may have received only a single copy of the Annual Report, Proxy Statement or Notice of Internet Availability of Proxy Materials for your entire household. This practice, known as “householding,” is intended to reduce printing and mailing costs.</w:t>
      </w:r>
    </w:p>
    <w:p>
      <w:pPr>
        <w:spacing w:after="0" w:line="143"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If you are a registered shareowner and you prefer to receive a separate Annual Report, Proxy Statement or Notice of Internet Availability of Proxy Materials this year or in the future, or if you are receiving multiple copies at your address and would like to enroll in “householding” and receive a single copy, please contact Computershare at 1-800-488-9281. If you are a beneficial shareowner, please contact your bank, brokerage firm or other intermediary to make your request. There is no charge for separate copies.</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CAN I RECEIVE A COPY OF THE COMPANY’S 2021 ANNUAL REPORT ON FORM 10-K?</w:t>
      </w:r>
    </w:p>
    <w:p>
      <w:pPr>
        <w:spacing w:after="0" w:line="215"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RTX will provide, without charge, a copy of the Annual Report on Form 10-K to any shareowner upon a request directed to the RTX Corporate Secretary (see page 97 for contact information).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SUBMIT PROPOSALS AND NOMINATIONS FOR THE 2023 ANNUAL MEETING?</w:t>
      </w:r>
    </w:p>
    <w:p>
      <w:pPr>
        <w:spacing w:after="0" w:line="21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CE0F2C"/>
        </w:rPr>
        <w:t xml:space="preserve">Shareowner Proposals. </w:t>
      </w:r>
      <w:r>
        <w:rPr>
          <w:rFonts w:ascii="Arial" w:cs="Arial" w:eastAsia="Arial" w:hAnsi="Arial"/>
          <w:sz w:val="16"/>
          <w:szCs w:val="16"/>
          <w:color w:val="000000"/>
        </w:rPr>
        <w:t>To submit a shareowner proposal to be considered for inclusion in RTX’s Proxy Statement for the 2023 Annual Meeting under SEC</w:t>
      </w:r>
      <w:r>
        <w:rPr>
          <w:rFonts w:ascii="Arial" w:cs="Arial" w:eastAsia="Arial" w:hAnsi="Arial"/>
          <w:sz w:val="16"/>
          <w:szCs w:val="16"/>
          <w:color w:val="CE0F2C"/>
        </w:rPr>
        <w:t xml:space="preserve"> </w:t>
      </w:r>
      <w:r>
        <w:rPr>
          <w:rFonts w:ascii="Arial" w:cs="Arial" w:eastAsia="Arial" w:hAnsi="Arial"/>
          <w:sz w:val="16"/>
          <w:szCs w:val="16"/>
          <w:color w:val="000000"/>
        </w:rPr>
        <w:t>Rule 14a-8, you must send the proposal to our Corporate Secretary. The Corporate Secretary must receive the proposal in writing by November 14, 2022.</w:t>
      </w:r>
    </w:p>
    <w:p>
      <w:pPr>
        <w:spacing w:after="0" w:line="14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To introduce a proposal for vote at the 2023 Annual Meeting (other than a shareowner proposal included in the Proxy Statement in accordance with SEC Rule 14a-8), RTX’s Bylaws require that the shareowner send advance written notice to the RTX Corporate Secretary for receipt no earlier than December 26, 2022, and no later than January 25, 2023. This notice must include the information specified by Section 1.10 of the Bylaws, a copy of which is available on our website at </w:t>
      </w:r>
      <w:r>
        <w:rPr>
          <w:rFonts w:ascii="Arial" w:cs="Arial" w:eastAsia="Arial" w:hAnsi="Arial"/>
          <w:sz w:val="16"/>
          <w:szCs w:val="16"/>
          <w:u w:val="single" w:color="auto"/>
          <w:color w:val="CE0F2C"/>
        </w:rPr>
        <w:t>www.rtx.com</w:t>
      </w:r>
      <w:r>
        <w:rPr>
          <w:rFonts w:ascii="Arial" w:cs="Arial" w:eastAsia="Arial" w:hAnsi="Arial"/>
          <w:sz w:val="16"/>
          <w:szCs w:val="16"/>
          <w:color w:val="auto"/>
        </w:rPr>
        <w:t>.</w:t>
      </w:r>
    </w:p>
    <w:p>
      <w:pPr>
        <w:spacing w:after="0" w:line="15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CE0F2C"/>
        </w:rPr>
        <w:t xml:space="preserve">Director Nominations at the 2023 Annual Meeting. </w:t>
      </w:r>
      <w:r>
        <w:rPr>
          <w:rFonts w:ascii="Arial" w:cs="Arial" w:eastAsia="Arial" w:hAnsi="Arial"/>
          <w:sz w:val="16"/>
          <w:szCs w:val="16"/>
          <w:color w:val="000000"/>
        </w:rPr>
        <w:t>RTX’s Bylaws require that a shareowner who wishes to nominate a candidate for election as a director at</w:t>
      </w:r>
      <w:r>
        <w:rPr>
          <w:rFonts w:ascii="Arial" w:cs="Arial" w:eastAsia="Arial" w:hAnsi="Arial"/>
          <w:sz w:val="16"/>
          <w:szCs w:val="16"/>
          <w:color w:val="CE0F2C"/>
        </w:rPr>
        <w:t xml:space="preserve"> </w:t>
      </w:r>
      <w:r>
        <w:rPr>
          <w:rFonts w:ascii="Arial" w:cs="Arial" w:eastAsia="Arial" w:hAnsi="Arial"/>
          <w:sz w:val="16"/>
          <w:szCs w:val="16"/>
          <w:color w:val="000000"/>
        </w:rPr>
        <w:t xml:space="preserve">the 2023 Annual Meeting (other than pursuant to the “proxy access” provisions of Section 1.12 of the Bylaws) must send advance written notice to the RTX Corporate Secretary for receipt no earlier than December 26, 2022, and no later than January 25, 2023. This notice must include the information, documents and agreements specified by Section 1.10 of the Bylaws, a copy of which is available on our website at </w:t>
      </w:r>
      <w:r>
        <w:rPr>
          <w:rFonts w:ascii="Arial" w:cs="Arial" w:eastAsia="Arial" w:hAnsi="Arial"/>
          <w:sz w:val="16"/>
          <w:szCs w:val="16"/>
          <w:u w:val="single" w:color="auto"/>
          <w:color w:val="CE0F2C"/>
        </w:rPr>
        <w:t>www.rtx.com</w:t>
      </w:r>
      <w:r>
        <w:rPr>
          <w:rFonts w:ascii="Arial" w:cs="Arial" w:eastAsia="Arial" w:hAnsi="Arial"/>
          <w:sz w:val="16"/>
          <w:szCs w:val="16"/>
          <w:color w:val="000000"/>
        </w:rPr>
        <w:t>.</w:t>
      </w:r>
    </w:p>
    <w:p>
      <w:pPr>
        <w:spacing w:after="0" w:line="150" w:lineRule="exact"/>
        <w:rPr>
          <w:sz w:val="20"/>
          <w:szCs w:val="20"/>
          <w:color w:val="auto"/>
        </w:rPr>
      </w:pPr>
    </w:p>
    <w:p>
      <w:pPr>
        <w:ind w:left="260" w:hanging="253"/>
        <w:spacing w:after="0"/>
        <w:tabs>
          <w:tab w:leader="none" w:pos="260" w:val="left"/>
        </w:tabs>
        <w:numPr>
          <w:ilvl w:val="0"/>
          <w:numId w:val="226"/>
        </w:numPr>
        <w:rPr>
          <w:rFonts w:ascii="Arial" w:cs="Arial" w:eastAsia="Arial" w:hAnsi="Arial"/>
          <w:sz w:val="12"/>
          <w:szCs w:val="12"/>
          <w:b w:val="1"/>
          <w:bCs w:val="1"/>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7240"/>
        <w:spacing w:after="0"/>
        <w:rPr>
          <w:sz w:val="20"/>
          <w:szCs w:val="20"/>
          <w:color w:val="auto"/>
        </w:rPr>
      </w:pPr>
      <w:r>
        <w:rPr>
          <w:rFonts w:ascii="Arial" w:cs="Arial" w:eastAsia="Arial" w:hAnsi="Arial"/>
          <w:sz w:val="12"/>
          <w:szCs w:val="12"/>
          <w:b w:val="1"/>
          <w:bCs w:val="1"/>
          <w:color w:val="CE0F2C"/>
        </w:rPr>
        <w:t>FREQUENTLY ASKED QUESTIONS ABOUT THE ANNUAL MEETING</w:t>
      </w:r>
    </w:p>
    <w:p>
      <w:pPr>
        <w:spacing w:after="0" w:line="17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CE0F2C"/>
        </w:rPr>
        <w:t xml:space="preserve">Director Nominations by Proxy Access. </w:t>
      </w:r>
      <w:r>
        <w:rPr>
          <w:rFonts w:ascii="Arial" w:cs="Arial" w:eastAsia="Arial" w:hAnsi="Arial"/>
          <w:sz w:val="16"/>
          <w:szCs w:val="16"/>
          <w:color w:val="000000"/>
        </w:rPr>
        <w:t>RTX’s Bylaws require that an eligible shareowner who wishes to have a nominee of that shareowner included in RTX’s</w:t>
      </w:r>
      <w:r>
        <w:rPr>
          <w:rFonts w:ascii="Arial" w:cs="Arial" w:eastAsia="Arial" w:hAnsi="Arial"/>
          <w:sz w:val="16"/>
          <w:szCs w:val="16"/>
          <w:color w:val="CE0F2C"/>
        </w:rPr>
        <w:t xml:space="preserve"> </w:t>
      </w:r>
      <w:r>
        <w:rPr>
          <w:rFonts w:ascii="Arial" w:cs="Arial" w:eastAsia="Arial" w:hAnsi="Arial"/>
          <w:sz w:val="16"/>
          <w:szCs w:val="16"/>
          <w:color w:val="000000"/>
        </w:rPr>
        <w:t xml:space="preserve">proxy materials for the 2023 Annual Meeting pursuant to the “proxy access” provisions of Section 1.12 of our Bylaws send advance written notice to the RTX Corporate Secretary for receipt no earlier than October 15, 2022, and no later than November 14, 2022. This notice must include the information, documents and agreements specified by Section 1.12 of the Bylaws, a copy of which is available on our website at </w:t>
      </w:r>
      <w:r>
        <w:rPr>
          <w:rFonts w:ascii="Arial" w:cs="Arial" w:eastAsia="Arial" w:hAnsi="Arial"/>
          <w:sz w:val="16"/>
          <w:szCs w:val="16"/>
          <w:u w:val="single" w:color="auto"/>
          <w:color w:val="CE0F2C"/>
        </w:rPr>
        <w:t>www.rtx.com</w:t>
      </w:r>
      <w:r>
        <w:rPr>
          <w:rFonts w:ascii="Arial" w:cs="Arial" w:eastAsia="Arial" w:hAnsi="Arial"/>
          <w:sz w:val="16"/>
          <w:szCs w:val="16"/>
          <w:color w:val="000000"/>
        </w:rPr>
        <w:t>.</w:t>
      </w:r>
    </w:p>
    <w:p>
      <w:pPr>
        <w:spacing w:after="0" w:line="1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CONTACT THE CORPORATE SECRETARY’S OFFICE?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Shareowners may contact RTX’s Corporate Secretary’s Office by one of the two methods shown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2280" w:type="dxa"/>
            <w:vAlign w:val="bottom"/>
            <w:tcBorders>
              <w:bottom w:val="single" w:sz="8" w:color="CE0F30"/>
            </w:tcBorders>
          </w:tcPr>
          <w:p>
            <w:pPr>
              <w:spacing w:after="0"/>
              <w:rPr>
                <w:sz w:val="20"/>
                <w:szCs w:val="20"/>
                <w:color w:val="auto"/>
              </w:rPr>
            </w:pPr>
            <w:r>
              <w:rPr>
                <w:rFonts w:ascii="Arial" w:cs="Arial" w:eastAsia="Arial" w:hAnsi="Arial"/>
                <w:sz w:val="14"/>
                <w:szCs w:val="14"/>
                <w:b w:val="1"/>
                <w:bCs w:val="1"/>
                <w:color w:val="CE0F2C"/>
              </w:rPr>
              <w:t>Communication Method</w:t>
            </w:r>
          </w:p>
        </w:tc>
        <w:tc>
          <w:tcPr>
            <w:tcW w:w="5580" w:type="dxa"/>
            <w:vAlign w:val="bottom"/>
            <w:tcBorders>
              <w:bottom w:val="single" w:sz="8" w:color="CE0F30"/>
            </w:tcBorders>
          </w:tcPr>
          <w:p>
            <w:pPr>
              <w:ind w:left="640"/>
              <w:spacing w:after="0"/>
              <w:rPr>
                <w:sz w:val="20"/>
                <w:szCs w:val="20"/>
                <w:color w:val="auto"/>
              </w:rPr>
            </w:pPr>
            <w:r>
              <w:rPr>
                <w:rFonts w:ascii="Arial" w:cs="Arial" w:eastAsia="Arial" w:hAnsi="Arial"/>
                <w:sz w:val="14"/>
                <w:szCs w:val="14"/>
                <w:b w:val="1"/>
                <w:bCs w:val="1"/>
                <w:color w:val="CE0F2C"/>
              </w:rPr>
              <w:t>Contact Information</w:t>
            </w:r>
          </w:p>
        </w:tc>
      </w:tr>
      <w:tr>
        <w:trPr>
          <w:trHeight w:val="222"/>
        </w:trPr>
        <w:tc>
          <w:tcPr>
            <w:tcW w:w="2280" w:type="dxa"/>
            <w:vAlign w:val="bottom"/>
          </w:tcPr>
          <w:p>
            <w:pPr>
              <w:spacing w:after="0"/>
              <w:rPr>
                <w:sz w:val="20"/>
                <w:szCs w:val="20"/>
                <w:color w:val="auto"/>
              </w:rPr>
            </w:pPr>
            <w:r>
              <w:rPr>
                <w:rFonts w:ascii="Arial" w:cs="Arial" w:eastAsia="Arial" w:hAnsi="Arial"/>
                <w:sz w:val="16"/>
                <w:szCs w:val="16"/>
                <w:color w:val="auto"/>
              </w:rPr>
              <w:t>Write a letter</w:t>
            </w:r>
          </w:p>
        </w:tc>
        <w:tc>
          <w:tcPr>
            <w:tcW w:w="5580" w:type="dxa"/>
            <w:vAlign w:val="bottom"/>
          </w:tcPr>
          <w:p>
            <w:pPr>
              <w:ind w:left="640"/>
              <w:spacing w:after="0"/>
              <w:rPr>
                <w:sz w:val="20"/>
                <w:szCs w:val="20"/>
                <w:color w:val="auto"/>
              </w:rPr>
            </w:pPr>
            <w:r>
              <w:rPr>
                <w:rFonts w:ascii="Arial" w:cs="Arial" w:eastAsia="Arial" w:hAnsi="Arial"/>
                <w:sz w:val="16"/>
                <w:szCs w:val="16"/>
                <w:color w:val="auto"/>
              </w:rPr>
              <w:t>RTX Corporate Secretary</w:t>
            </w:r>
          </w:p>
        </w:tc>
      </w:tr>
      <w:tr>
        <w:trPr>
          <w:trHeight w:val="201"/>
        </w:trPr>
        <w:tc>
          <w:tcPr>
            <w:tcW w:w="2280" w:type="dxa"/>
            <w:vAlign w:val="bottom"/>
          </w:tcPr>
          <w:p>
            <w:pPr>
              <w:spacing w:after="0"/>
              <w:rPr>
                <w:sz w:val="17"/>
                <w:szCs w:val="17"/>
                <w:color w:val="auto"/>
              </w:rPr>
            </w:pPr>
          </w:p>
        </w:tc>
        <w:tc>
          <w:tcPr>
            <w:tcW w:w="5580" w:type="dxa"/>
            <w:vAlign w:val="bottom"/>
          </w:tcPr>
          <w:p>
            <w:pPr>
              <w:ind w:left="640"/>
              <w:spacing w:after="0"/>
              <w:rPr>
                <w:sz w:val="20"/>
                <w:szCs w:val="20"/>
                <w:color w:val="auto"/>
              </w:rPr>
            </w:pPr>
            <w:r>
              <w:rPr>
                <w:rFonts w:ascii="Arial" w:cs="Arial" w:eastAsia="Arial" w:hAnsi="Arial"/>
                <w:sz w:val="16"/>
                <w:szCs w:val="16"/>
                <w:color w:val="auto"/>
              </w:rPr>
              <w:t>Raytheon Technologies Corporation</w:t>
            </w:r>
          </w:p>
        </w:tc>
      </w:tr>
      <w:tr>
        <w:trPr>
          <w:trHeight w:val="201"/>
        </w:trPr>
        <w:tc>
          <w:tcPr>
            <w:tcW w:w="2280" w:type="dxa"/>
            <w:vAlign w:val="bottom"/>
          </w:tcPr>
          <w:p>
            <w:pPr>
              <w:spacing w:after="0"/>
              <w:rPr>
                <w:sz w:val="17"/>
                <w:szCs w:val="17"/>
                <w:color w:val="auto"/>
              </w:rPr>
            </w:pPr>
          </w:p>
        </w:tc>
        <w:tc>
          <w:tcPr>
            <w:tcW w:w="5580" w:type="dxa"/>
            <w:vAlign w:val="bottom"/>
          </w:tcPr>
          <w:p>
            <w:pPr>
              <w:ind w:left="640"/>
              <w:spacing w:after="0"/>
              <w:rPr>
                <w:sz w:val="20"/>
                <w:szCs w:val="20"/>
                <w:color w:val="auto"/>
              </w:rPr>
            </w:pPr>
            <w:r>
              <w:rPr>
                <w:rFonts w:ascii="Arial" w:cs="Arial" w:eastAsia="Arial" w:hAnsi="Arial"/>
                <w:sz w:val="16"/>
                <w:szCs w:val="16"/>
                <w:color w:val="auto"/>
              </w:rPr>
              <w:t>870 Winter Street</w:t>
            </w:r>
          </w:p>
        </w:tc>
      </w:tr>
      <w:tr>
        <w:trPr>
          <w:trHeight w:val="213"/>
        </w:trPr>
        <w:tc>
          <w:tcPr>
            <w:tcW w:w="2280" w:type="dxa"/>
            <w:vAlign w:val="bottom"/>
            <w:tcBorders>
              <w:bottom w:val="single" w:sz="8" w:color="auto"/>
            </w:tcBorders>
          </w:tcPr>
          <w:p>
            <w:pPr>
              <w:spacing w:after="0"/>
              <w:rPr>
                <w:sz w:val="18"/>
                <w:szCs w:val="18"/>
                <w:color w:val="auto"/>
              </w:rPr>
            </w:pPr>
          </w:p>
        </w:tc>
        <w:tc>
          <w:tcPr>
            <w:tcW w:w="558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Waltham, Massachusetts 02451</w:t>
            </w:r>
          </w:p>
        </w:tc>
      </w:tr>
      <w:tr>
        <w:trPr>
          <w:trHeight w:val="222"/>
        </w:trPr>
        <w:tc>
          <w:tcPr>
            <w:tcW w:w="2280" w:type="dxa"/>
            <w:vAlign w:val="bottom"/>
          </w:tcPr>
          <w:p>
            <w:pPr>
              <w:spacing w:after="0"/>
              <w:rPr>
                <w:sz w:val="20"/>
                <w:szCs w:val="20"/>
                <w:color w:val="auto"/>
              </w:rPr>
            </w:pPr>
            <w:r>
              <w:rPr>
                <w:rFonts w:ascii="Arial" w:cs="Arial" w:eastAsia="Arial" w:hAnsi="Arial"/>
                <w:sz w:val="16"/>
                <w:szCs w:val="16"/>
                <w:color w:val="auto"/>
              </w:rPr>
              <w:t>Send an email</w:t>
            </w:r>
          </w:p>
        </w:tc>
        <w:tc>
          <w:tcPr>
            <w:tcW w:w="5580" w:type="dxa"/>
            <w:vAlign w:val="bottom"/>
          </w:tcPr>
          <w:p>
            <w:pPr>
              <w:ind w:left="640"/>
              <w:spacing w:after="0"/>
              <w:rPr>
                <w:sz w:val="20"/>
                <w:szCs w:val="20"/>
                <w:color w:val="auto"/>
              </w:rPr>
            </w:pPr>
            <w:r>
              <w:rPr>
                <w:rFonts w:ascii="Arial" w:cs="Arial" w:eastAsia="Arial" w:hAnsi="Arial"/>
                <w:sz w:val="16"/>
                <w:szCs w:val="16"/>
                <w:color w:val="auto"/>
              </w:rPr>
              <w:t>corpsec@rtx.com</w:t>
            </w:r>
          </w:p>
        </w:tc>
      </w:tr>
      <w:tr>
        <w:trPr>
          <w:trHeight w:val="79"/>
        </w:trPr>
        <w:tc>
          <w:tcPr>
            <w:tcW w:w="2280" w:type="dxa"/>
            <w:vAlign w:val="bottom"/>
            <w:tcBorders>
              <w:bottom w:val="single" w:sz="8" w:color="636466"/>
            </w:tcBorders>
          </w:tcPr>
          <w:p>
            <w:pPr>
              <w:spacing w:after="0"/>
              <w:rPr>
                <w:sz w:val="6"/>
                <w:szCs w:val="6"/>
                <w:color w:val="auto"/>
              </w:rPr>
            </w:pPr>
          </w:p>
        </w:tc>
        <w:tc>
          <w:tcPr>
            <w:tcW w:w="5580" w:type="dxa"/>
            <w:vAlign w:val="bottom"/>
            <w:tcBorders>
              <w:bottom w:val="single" w:sz="8" w:color="63646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58674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33590" cy="586740"/>
                    </a:xfrm>
                    <a:prstGeom prst="rect">
                      <a:avLst/>
                    </a:prstGeom>
                    <a:noFill/>
                  </pic:spPr>
                </pic:pic>
              </a:graphicData>
            </a:graphic>
          </wp:anchor>
        </w:drawing>
      </w:r>
    </w:p>
    <w:p>
      <w:pPr>
        <w:spacing w:after="0" w:line="237" w:lineRule="exact"/>
        <w:rPr>
          <w:sz w:val="20"/>
          <w:szCs w:val="20"/>
          <w:color w:val="auto"/>
        </w:rPr>
      </w:pPr>
    </w:p>
    <w:p>
      <w:pPr>
        <w:ind w:left="180" w:right="840"/>
        <w:spacing w:after="0" w:line="294" w:lineRule="auto"/>
        <w:rPr>
          <w:sz w:val="20"/>
          <w:szCs w:val="20"/>
          <w:color w:val="auto"/>
        </w:rPr>
      </w:pPr>
      <w:r>
        <w:rPr>
          <w:rFonts w:ascii="Arial" w:cs="Arial" w:eastAsia="Arial" w:hAnsi="Arial"/>
          <w:sz w:val="23"/>
          <w:szCs w:val="23"/>
          <w:b w:val="1"/>
          <w:bCs w:val="1"/>
          <w:color w:val="CE0F2C"/>
        </w:rPr>
        <w:t xml:space="preserve">Our Bylaws </w:t>
      </w:r>
      <w:r>
        <w:rPr>
          <w:rFonts w:ascii="Arial" w:cs="Arial" w:eastAsia="Arial" w:hAnsi="Arial"/>
          <w:sz w:val="23"/>
          <w:szCs w:val="23"/>
          <w:b w:val="1"/>
          <w:bCs w:val="1"/>
          <w:color w:val="000000"/>
        </w:rPr>
        <w:t>and other governance documents are available under the Corporate Governance</w:t>
      </w:r>
      <w:r>
        <w:rPr>
          <w:rFonts w:ascii="Arial" w:cs="Arial" w:eastAsia="Arial" w:hAnsi="Arial"/>
          <w:sz w:val="23"/>
          <w:szCs w:val="23"/>
          <w:b w:val="1"/>
          <w:bCs w:val="1"/>
          <w:color w:val="CE0F2C"/>
        </w:rPr>
        <w:t xml:space="preserve"> </w:t>
      </w:r>
      <w:r>
        <w:rPr>
          <w:rFonts w:ascii="Arial" w:cs="Arial" w:eastAsia="Arial" w:hAnsi="Arial"/>
          <w:sz w:val="23"/>
          <w:szCs w:val="23"/>
          <w:b w:val="1"/>
          <w:bCs w:val="1"/>
          <w:color w:val="000000"/>
        </w:rPr>
        <w:t xml:space="preserve">section of the Company website at </w:t>
      </w:r>
      <w:r>
        <w:rPr>
          <w:rFonts w:ascii="Arial" w:cs="Arial" w:eastAsia="Arial" w:hAnsi="Arial"/>
          <w:sz w:val="23"/>
          <w:szCs w:val="23"/>
          <w:b w:val="1"/>
          <w:bCs w:val="1"/>
          <w:u w:val="single" w:color="auto"/>
          <w:color w:val="000000"/>
        </w:rPr>
        <w:t>www.rtx.com</w:t>
      </w:r>
      <w:r>
        <w:rPr>
          <w:rFonts w:ascii="Arial" w:cs="Arial" w:eastAsia="Arial" w:hAnsi="Arial"/>
          <w:sz w:val="23"/>
          <w:szCs w:val="23"/>
          <w:color w:val="000000"/>
        </w:rPr>
        <w:t>.</w:t>
      </w:r>
    </w:p>
    <w:p>
      <w:pPr>
        <w:spacing w:after="0" w:line="167"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spacing w:after="0"/>
        <w:rPr>
          <w:sz w:val="20"/>
          <w:szCs w:val="20"/>
          <w:color w:val="auto"/>
        </w:rPr>
      </w:pPr>
      <w:r>
        <w:rPr>
          <w:rFonts w:ascii="Arial" w:cs="Arial" w:eastAsia="Arial" w:hAnsi="Arial"/>
          <w:sz w:val="50"/>
          <w:szCs w:val="50"/>
          <w:b w:val="1"/>
          <w:bCs w:val="1"/>
          <w:color w:val="auto"/>
        </w:rPr>
        <w:t>Other Important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38100</wp:posOffset>
            </wp:positionV>
            <wp:extent cx="4999355" cy="508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999355" cy="50800"/>
                    </a:xfrm>
                    <a:prstGeom prst="rect">
                      <a:avLst/>
                    </a:prstGeom>
                    <a:noFill/>
                  </pic:spPr>
                </pic:pic>
              </a:graphicData>
            </a:graphic>
          </wp:anchor>
        </w:drawing>
      </w:r>
    </w:p>
    <w:p>
      <w:pPr>
        <w:spacing w:after="0" w:line="28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CE0F2C"/>
        </w:rPr>
        <w:t xml:space="preserve">Cautionary Note Concerning Factors That May Affect Future Results. </w:t>
      </w:r>
      <w:r>
        <w:rPr>
          <w:rFonts w:ascii="Arial" w:cs="Arial" w:eastAsia="Arial" w:hAnsi="Arial"/>
          <w:sz w:val="16"/>
          <w:szCs w:val="16"/>
          <w:color w:val="000000"/>
        </w:rPr>
        <w:t>This Proxy Statement contains statements which, to the extent they are not statements</w:t>
      </w:r>
      <w:r>
        <w:rPr>
          <w:rFonts w:ascii="Arial" w:cs="Arial" w:eastAsia="Arial" w:hAnsi="Arial"/>
          <w:sz w:val="16"/>
          <w:szCs w:val="16"/>
          <w:color w:val="CE0F2C"/>
        </w:rPr>
        <w:t xml:space="preserve"> </w:t>
      </w:r>
      <w:r>
        <w:rPr>
          <w:rFonts w:ascii="Arial" w:cs="Arial" w:eastAsia="Arial" w:hAnsi="Arial"/>
          <w:sz w:val="16"/>
          <w:szCs w:val="16"/>
          <w:color w:val="000000"/>
        </w:rPr>
        <w:t>of historical or present fact, constitute “forward-looking statements” under the securities laws. From time to time, oral or written forward-looking statements may also be included in other information released to the public. These forward-looking statements are intended to provide management’s current expectations or plans for our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“goals,” “objectives,” “confident,” “on track” and other words of similar meaning. Forward-looking statements may include, among other things, statements relating to future sales, earnings, cash flow, results of operations, uses of cash, share repurchases, tax payments and rates, research and development spending, cost savings, other measures of financial performance, potential future plans, strategies or transactions, credit ratings and net indebtedness, other anticipated benefits to RTX of the Rockwell Collins acquisition, the Merger or the spinoffs by UTC of Otis Worldwide Corporation and Carrier Global Corporation into separate independent companies (the “Separation Transactions”), including estimated synergies and customer cost savings resulting from the Merger and the anticipated benefits and costs of the Separation Transactions, and other statements that are not solely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w:t>
      </w:r>
    </w:p>
    <w:p>
      <w:pPr>
        <w:sectPr>
          <w:pgSz w:w="11900" w:h="16838" w:orient="portrait"/>
          <w:cols w:equalWidth="0" w:num="1">
            <w:col w:w="11220"/>
          </w:cols>
          <w:pgMar w:left="320" w:top="118" w:right="359" w:bottom="1440" w:gutter="0" w:footer="0" w:header="0"/>
        </w:sectPr>
      </w:pPr>
    </w:p>
    <w:p>
      <w:pPr>
        <w:spacing w:after="0" w:line="156" w:lineRule="exact"/>
        <w:rPr>
          <w:sz w:val="20"/>
          <w:szCs w:val="20"/>
          <w:color w:val="auto"/>
        </w:rPr>
      </w:pPr>
    </w:p>
    <w:p>
      <w:pPr>
        <w:ind w:left="180" w:right="80" w:hanging="173"/>
        <w:spacing w:after="0" w:line="247" w:lineRule="auto"/>
        <w:tabs>
          <w:tab w:leader="none" w:pos="188" w:val="left"/>
        </w:tabs>
        <w:numPr>
          <w:ilvl w:val="0"/>
          <w:numId w:val="227"/>
        </w:numPr>
        <w:rPr>
          <w:rFonts w:ascii="Arial" w:cs="Arial" w:eastAsia="Arial" w:hAnsi="Arial"/>
          <w:sz w:val="16"/>
          <w:szCs w:val="16"/>
          <w:color w:val="CE0F2C"/>
        </w:rPr>
      </w:pPr>
      <w:r>
        <w:rPr>
          <w:rFonts w:ascii="Arial" w:cs="Arial" w:eastAsia="Arial" w:hAnsi="Arial"/>
          <w:sz w:val="16"/>
          <w:szCs w:val="16"/>
          <w:color w:val="auto"/>
        </w:rPr>
        <w:t>the effect of changes in global economic, capital market and political conditions in the industries and markets in the U.S. and globally and any changes therein, including financial market conditions, fluctuations in commodity prices, inflation, interest rates and foreign currency exchange rates, and geopolitical risks;</w:t>
      </w:r>
    </w:p>
    <w:p>
      <w:pPr>
        <w:spacing w:after="0" w:line="84" w:lineRule="exact"/>
        <w:rPr>
          <w:rFonts w:ascii="Arial" w:cs="Arial" w:eastAsia="Arial" w:hAnsi="Arial"/>
          <w:sz w:val="16"/>
          <w:szCs w:val="16"/>
          <w:color w:val="CE0F2C"/>
        </w:rPr>
      </w:pPr>
    </w:p>
    <w:p>
      <w:pPr>
        <w:ind w:left="180" w:hanging="173"/>
        <w:spacing w:after="0" w:line="245" w:lineRule="auto"/>
        <w:tabs>
          <w:tab w:leader="none" w:pos="188" w:val="left"/>
        </w:tabs>
        <w:numPr>
          <w:ilvl w:val="0"/>
          <w:numId w:val="227"/>
        </w:numPr>
        <w:rPr>
          <w:rFonts w:ascii="Arial" w:cs="Arial" w:eastAsia="Arial" w:hAnsi="Arial"/>
          <w:sz w:val="16"/>
          <w:szCs w:val="16"/>
          <w:color w:val="CE0F2C"/>
        </w:rPr>
      </w:pPr>
      <w:r>
        <w:rPr>
          <w:rFonts w:ascii="Arial" w:cs="Arial" w:eastAsia="Arial" w:hAnsi="Arial"/>
          <w:sz w:val="16"/>
          <w:szCs w:val="16"/>
          <w:color w:val="auto"/>
        </w:rPr>
        <w:t>the effect and risks relating to the COVID-19 pandemic on RTX’s business, supply chain, operations and the industries in which it operates, including the decrease in global air travel and disruption to business and other commercial activities, the impact on the demand for RTX’s products and services, the disruption to global supply and distribution capabilities which have impacted supplies required for RTX’s performance, the financial condition of RTX’s customers and suppliers, challenges relating to employee health, safety, and availability and workplace and facility operations, and the timing and extent of the recovery from COVID-19 and the impact on such recovery from new COVID-19 variants and outbreaks, vaccine-related issues and other future developments;</w:t>
      </w:r>
    </w:p>
    <w:p>
      <w:pPr>
        <w:spacing w:after="0" w:line="89" w:lineRule="exact"/>
        <w:rPr>
          <w:rFonts w:ascii="Arial" w:cs="Arial" w:eastAsia="Arial" w:hAnsi="Arial"/>
          <w:sz w:val="16"/>
          <w:szCs w:val="16"/>
          <w:color w:val="CE0F2C"/>
        </w:rPr>
      </w:pPr>
    </w:p>
    <w:p>
      <w:pPr>
        <w:ind w:left="180" w:hanging="173"/>
        <w:spacing w:after="0" w:line="247" w:lineRule="auto"/>
        <w:tabs>
          <w:tab w:leader="none" w:pos="188" w:val="left"/>
        </w:tabs>
        <w:numPr>
          <w:ilvl w:val="0"/>
          <w:numId w:val="227"/>
        </w:numPr>
        <w:rPr>
          <w:rFonts w:ascii="Arial" w:cs="Arial" w:eastAsia="Arial" w:hAnsi="Arial"/>
          <w:sz w:val="16"/>
          <w:szCs w:val="16"/>
          <w:color w:val="CE0F2C"/>
        </w:rPr>
      </w:pPr>
      <w:r>
        <w:rPr>
          <w:rFonts w:ascii="Arial" w:cs="Arial" w:eastAsia="Arial" w:hAnsi="Arial"/>
          <w:sz w:val="16"/>
          <w:szCs w:val="16"/>
          <w:color w:val="auto"/>
        </w:rPr>
        <w:t>risks associated with U.S. government sales, including changes or shifts in defense spending due to budgetary constraints, spending cuts resulting from sequestration or the allocation of funds to governmental responses to COVID-19, a continuing resolution, a government shutdown, or otherwise, and uncertain funding of programs;</w:t>
      </w:r>
    </w:p>
    <w:p>
      <w:pPr>
        <w:spacing w:after="0" w:line="70" w:lineRule="exact"/>
        <w:rPr>
          <w:rFonts w:ascii="Arial" w:cs="Arial" w:eastAsia="Arial" w:hAnsi="Arial"/>
          <w:sz w:val="16"/>
          <w:szCs w:val="16"/>
          <w:color w:val="CE0F2C"/>
        </w:rPr>
      </w:pPr>
    </w:p>
    <w:p>
      <w:pPr>
        <w:ind w:left="180" w:right="600" w:hanging="173"/>
        <w:spacing w:after="0" w:line="256" w:lineRule="auto"/>
        <w:tabs>
          <w:tab w:leader="none" w:pos="188" w:val="left"/>
        </w:tabs>
        <w:numPr>
          <w:ilvl w:val="0"/>
          <w:numId w:val="227"/>
        </w:numPr>
        <w:rPr>
          <w:rFonts w:ascii="Arial" w:cs="Arial" w:eastAsia="Arial" w:hAnsi="Arial"/>
          <w:sz w:val="16"/>
          <w:szCs w:val="16"/>
          <w:color w:val="CE0F2C"/>
        </w:rPr>
      </w:pPr>
      <w:r>
        <w:rPr>
          <w:rFonts w:ascii="Arial" w:cs="Arial" w:eastAsia="Arial" w:hAnsi="Arial"/>
          <w:sz w:val="16"/>
          <w:szCs w:val="16"/>
          <w:color w:val="auto"/>
        </w:rPr>
        <w:t>challenges in the development, production, delivery, support, and performance of RTX advanced technologies and new</w:t>
      </w:r>
    </w:p>
    <w:p>
      <w:pPr>
        <w:spacing w:after="0" w:line="143" w:lineRule="exact"/>
        <w:rPr>
          <w:sz w:val="20"/>
          <w:szCs w:val="20"/>
          <w:color w:val="auto"/>
        </w:rPr>
      </w:pPr>
    </w:p>
    <w:p>
      <w:pPr>
        <w:ind w:left="260" w:hanging="253"/>
        <w:spacing w:after="0"/>
        <w:tabs>
          <w:tab w:leader="none" w:pos="260" w:val="left"/>
        </w:tabs>
        <w:numPr>
          <w:ilvl w:val="0"/>
          <w:numId w:val="228"/>
        </w:numPr>
        <w:rPr>
          <w:rFonts w:ascii="Arial" w:cs="Arial" w:eastAsia="Arial" w:hAnsi="Arial"/>
          <w:sz w:val="12"/>
          <w:szCs w:val="12"/>
          <w:b w:val="1"/>
          <w:bCs w:val="1"/>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left="183" w:right="240"/>
        <w:spacing w:after="0" w:line="250" w:lineRule="auto"/>
        <w:rPr>
          <w:sz w:val="20"/>
          <w:szCs w:val="20"/>
          <w:color w:val="auto"/>
        </w:rPr>
      </w:pPr>
      <w:r>
        <w:rPr>
          <w:rFonts w:ascii="Arial" w:cs="Arial" w:eastAsia="Arial" w:hAnsi="Arial"/>
          <w:sz w:val="16"/>
          <w:szCs w:val="16"/>
          <w:color w:val="auto"/>
        </w:rPr>
        <w:t>products and services and the realization of the anticipated benefits (including our expected returns under customer contracts) as well as the challenges of operating in RTX’s highly competitive industries;</w:t>
      </w:r>
    </w:p>
    <w:p>
      <w:pPr>
        <w:spacing w:after="0" w:line="81" w:lineRule="exact"/>
        <w:rPr>
          <w:sz w:val="20"/>
          <w:szCs w:val="20"/>
          <w:color w:val="auto"/>
        </w:rPr>
      </w:pPr>
    </w:p>
    <w:p>
      <w:pPr>
        <w:ind w:left="183" w:right="220" w:hanging="183"/>
        <w:spacing w:after="0" w:line="248" w:lineRule="auto"/>
        <w:tabs>
          <w:tab w:leader="none" w:pos="190" w:val="left"/>
        </w:tabs>
        <w:numPr>
          <w:ilvl w:val="0"/>
          <w:numId w:val="229"/>
        </w:numPr>
        <w:rPr>
          <w:rFonts w:ascii="Arial" w:cs="Arial" w:eastAsia="Arial" w:hAnsi="Arial"/>
          <w:sz w:val="16"/>
          <w:szCs w:val="16"/>
          <w:color w:val="CE0F2C"/>
        </w:rPr>
      </w:pPr>
      <w:r>
        <w:rPr>
          <w:rFonts w:ascii="Arial" w:cs="Arial" w:eastAsia="Arial" w:hAnsi="Arial"/>
          <w:sz w:val="16"/>
          <w:szCs w:val="16"/>
          <w:color w:val="auto"/>
        </w:rPr>
        <w:t>risks relating to RTX international operations from, among other things, changes in trade policies, foreign currency fluctuations, economic conditions, political factors, sales methods, and U.S. or local government regulations;</w:t>
      </w:r>
    </w:p>
    <w:p>
      <w:pPr>
        <w:spacing w:after="0" w:line="83" w:lineRule="exact"/>
        <w:rPr>
          <w:rFonts w:ascii="Arial" w:cs="Arial" w:eastAsia="Arial" w:hAnsi="Arial"/>
          <w:sz w:val="16"/>
          <w:szCs w:val="16"/>
          <w:color w:val="CE0F2C"/>
        </w:rPr>
      </w:pPr>
    </w:p>
    <w:p>
      <w:pPr>
        <w:ind w:left="183" w:hanging="183"/>
        <w:spacing w:after="0"/>
        <w:tabs>
          <w:tab w:leader="none" w:pos="183" w:val="left"/>
        </w:tabs>
        <w:numPr>
          <w:ilvl w:val="0"/>
          <w:numId w:val="229"/>
        </w:numPr>
        <w:rPr>
          <w:rFonts w:ascii="Arial" w:cs="Arial" w:eastAsia="Arial" w:hAnsi="Arial"/>
          <w:sz w:val="16"/>
          <w:szCs w:val="16"/>
          <w:color w:val="CE0F2C"/>
        </w:rPr>
      </w:pPr>
      <w:r>
        <w:rPr>
          <w:rFonts w:ascii="Arial" w:cs="Arial" w:eastAsia="Arial" w:hAnsi="Arial"/>
          <w:sz w:val="16"/>
          <w:szCs w:val="16"/>
          <w:color w:val="auto"/>
        </w:rPr>
        <w:t>the condition of the aerospace industry;</w:t>
      </w:r>
    </w:p>
    <w:p>
      <w:pPr>
        <w:spacing w:after="0" w:line="83" w:lineRule="exact"/>
        <w:rPr>
          <w:rFonts w:ascii="Arial" w:cs="Arial" w:eastAsia="Arial" w:hAnsi="Arial"/>
          <w:sz w:val="16"/>
          <w:szCs w:val="16"/>
          <w:color w:val="CE0F2C"/>
        </w:rPr>
      </w:pPr>
    </w:p>
    <w:p>
      <w:pPr>
        <w:ind w:left="183" w:right="400" w:hanging="183"/>
        <w:spacing w:after="0" w:line="250" w:lineRule="auto"/>
        <w:tabs>
          <w:tab w:leader="none" w:pos="190" w:val="left"/>
        </w:tabs>
        <w:numPr>
          <w:ilvl w:val="0"/>
          <w:numId w:val="229"/>
        </w:numPr>
        <w:rPr>
          <w:rFonts w:ascii="Arial" w:cs="Arial" w:eastAsia="Arial" w:hAnsi="Arial"/>
          <w:sz w:val="16"/>
          <w:szCs w:val="16"/>
          <w:color w:val="CE0F2C"/>
        </w:rPr>
      </w:pPr>
      <w:r>
        <w:rPr>
          <w:rFonts w:ascii="Arial" w:cs="Arial" w:eastAsia="Arial" w:hAnsi="Arial"/>
          <w:sz w:val="16"/>
          <w:szCs w:val="16"/>
          <w:color w:val="auto"/>
        </w:rPr>
        <w:t>risks relating to RTX’s reliance on U.S. and non-U.S. suppliers and commodity markets, including delays and disruptions in the delivery of materials and services to RTX or its suppliers and price increases;</w:t>
      </w:r>
    </w:p>
    <w:p>
      <w:pPr>
        <w:spacing w:after="0" w:line="81" w:lineRule="exact"/>
        <w:rPr>
          <w:rFonts w:ascii="Arial" w:cs="Arial" w:eastAsia="Arial" w:hAnsi="Arial"/>
          <w:sz w:val="16"/>
          <w:szCs w:val="16"/>
          <w:color w:val="CE0F2C"/>
        </w:rPr>
      </w:pPr>
    </w:p>
    <w:p>
      <w:pPr>
        <w:ind w:left="183" w:right="220" w:hanging="183"/>
        <w:spacing w:after="0" w:line="248" w:lineRule="auto"/>
        <w:tabs>
          <w:tab w:leader="none" w:pos="190" w:val="left"/>
        </w:tabs>
        <w:numPr>
          <w:ilvl w:val="0"/>
          <w:numId w:val="229"/>
        </w:numPr>
        <w:rPr>
          <w:rFonts w:ascii="Arial" w:cs="Arial" w:eastAsia="Arial" w:hAnsi="Arial"/>
          <w:sz w:val="16"/>
          <w:szCs w:val="16"/>
          <w:color w:val="CE0F2C"/>
        </w:rPr>
      </w:pPr>
      <w:r>
        <w:rPr>
          <w:rFonts w:ascii="Arial" w:cs="Arial" w:eastAsia="Arial" w:hAnsi="Arial"/>
          <w:sz w:val="16"/>
          <w:szCs w:val="16"/>
          <w:color w:val="auto"/>
        </w:rPr>
        <w:t>the scope, nature, timing and challenges of managing acquisitions, investments, divestitures and other transactions, including realization of synergies and opportunities for growth and innovation, the assumption of liabilities and other risks and incurrence of related costs and expenses;</w:t>
      </w:r>
    </w:p>
    <w:p>
      <w:pPr>
        <w:spacing w:after="0" w:line="83" w:lineRule="exact"/>
        <w:rPr>
          <w:rFonts w:ascii="Arial" w:cs="Arial" w:eastAsia="Arial" w:hAnsi="Arial"/>
          <w:sz w:val="16"/>
          <w:szCs w:val="16"/>
          <w:color w:val="CE0F2C"/>
        </w:rPr>
      </w:pPr>
    </w:p>
    <w:p>
      <w:pPr>
        <w:ind w:left="183" w:hanging="183"/>
        <w:spacing w:after="0" w:line="246" w:lineRule="auto"/>
        <w:tabs>
          <w:tab w:leader="none" w:pos="190" w:val="left"/>
        </w:tabs>
        <w:numPr>
          <w:ilvl w:val="0"/>
          <w:numId w:val="229"/>
        </w:numPr>
        <w:rPr>
          <w:rFonts w:ascii="Arial" w:cs="Arial" w:eastAsia="Arial" w:hAnsi="Arial"/>
          <w:sz w:val="16"/>
          <w:szCs w:val="16"/>
          <w:color w:val="CE0F2C"/>
        </w:rPr>
      </w:pPr>
      <w:r>
        <w:rPr>
          <w:rFonts w:ascii="Arial" w:cs="Arial" w:eastAsia="Arial" w:hAnsi="Arial"/>
          <w:sz w:val="16"/>
          <w:szCs w:val="16"/>
          <w:color w:val="auto"/>
        </w:rPr>
        <w:t>compliance with legal, environmental, regulatory and other requirements, including, among other things, export and import requirements such as the International Traffic in Arms Regulations and the Export Administration Regulations, anti-bribery and anticorruption requirements, such as the Foreign Corrupt Practices Act, industrial cooperation agreement obligations, and procurement and other regulations in the U.S. and other countries in which RTX and its businesses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247015</wp:posOffset>
            </wp:positionV>
            <wp:extent cx="7154545"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2">
            <w:col w:w="5420" w:space="237"/>
            <w:col w:w="5563"/>
          </w:cols>
          <w:pgMar w:left="320" w:top="118" w:right="359" w:bottom="1440" w:gutter="0" w:footer="0" w:header="0"/>
          <w:type w:val="continuous"/>
        </w:sectPr>
      </w:pPr>
    </w:p>
    <w:bookmarkStart w:id="103" w:name="page104"/>
    <w:bookmarkEnd w:id="103"/>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180" w:right="280" w:hanging="173"/>
        <w:spacing w:after="0" w:line="250"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the outcome of pending, threatened and future legal proceedings, investigations and other contingencies, including those related to U.S. government audits and disputes;</w:t>
      </w:r>
    </w:p>
    <w:p>
      <w:pPr>
        <w:spacing w:after="0" w:line="67" w:lineRule="exact"/>
        <w:rPr>
          <w:rFonts w:ascii="Arial" w:cs="Arial" w:eastAsia="Arial" w:hAnsi="Arial"/>
          <w:sz w:val="16"/>
          <w:szCs w:val="16"/>
          <w:color w:val="CE0F2C"/>
        </w:rPr>
      </w:pPr>
    </w:p>
    <w:p>
      <w:pPr>
        <w:ind w:left="180" w:right="100" w:hanging="173"/>
        <w:spacing w:after="0" w:line="247"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factors that could impact RTX’s ability to engage in desirable capital-raising or strategic transactions, including its capital structure, levels of indebtedness, capital expenditures and research and development spending and the availability of credit, credit market conditions and other factors;</w:t>
      </w:r>
    </w:p>
    <w:p>
      <w:pPr>
        <w:spacing w:after="0" w:line="84" w:lineRule="exact"/>
        <w:rPr>
          <w:rFonts w:ascii="Arial" w:cs="Arial" w:eastAsia="Arial" w:hAnsi="Arial"/>
          <w:sz w:val="16"/>
          <w:szCs w:val="16"/>
          <w:color w:val="CE0F2C"/>
        </w:rPr>
      </w:pPr>
    </w:p>
    <w:p>
      <w:pPr>
        <w:ind w:left="180" w:hanging="173"/>
        <w:spacing w:after="0" w:line="247"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uncertainties associated with the timing and scope of future repurchases by RTX of its common stock or declarations of cash dividends, which may be discontinued, accelerated, suspended or delayed at any time due to various factors, including market conditions and the level of other investing activities and uses of cash;</w:t>
      </w:r>
    </w:p>
    <w:p>
      <w:pPr>
        <w:spacing w:after="0" w:line="84" w:lineRule="exact"/>
        <w:rPr>
          <w:rFonts w:ascii="Arial" w:cs="Arial" w:eastAsia="Arial" w:hAnsi="Arial"/>
          <w:sz w:val="16"/>
          <w:szCs w:val="16"/>
          <w:color w:val="CE0F2C"/>
        </w:rPr>
      </w:pPr>
    </w:p>
    <w:p>
      <w:pPr>
        <w:ind w:left="180" w:right="60" w:hanging="173"/>
        <w:spacing w:after="0" w:line="250"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the risks relating to realizing expected benefits from RTX strategic initiatives such as cost reduction, restructuring, digital transformation and other operational initiatives;</w:t>
      </w:r>
    </w:p>
    <w:p>
      <w:pPr>
        <w:spacing w:after="0" w:line="67" w:lineRule="exact"/>
        <w:rPr>
          <w:rFonts w:ascii="Arial" w:cs="Arial" w:eastAsia="Arial" w:hAnsi="Arial"/>
          <w:sz w:val="16"/>
          <w:szCs w:val="16"/>
          <w:color w:val="CE0F2C"/>
        </w:rPr>
      </w:pPr>
    </w:p>
    <w:p>
      <w:pPr>
        <w:ind w:left="180" w:right="20" w:hanging="173"/>
        <w:spacing w:after="0" w:line="250"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the risks relating to the integration of legacy businesses acquired by UTC as well as the Merger, and the realization of the anticipated benefits of those transactions;</w:t>
      </w:r>
    </w:p>
    <w:p>
      <w:pPr>
        <w:spacing w:after="0" w:line="81" w:lineRule="exact"/>
        <w:rPr>
          <w:rFonts w:ascii="Arial" w:cs="Arial" w:eastAsia="Arial" w:hAnsi="Arial"/>
          <w:sz w:val="16"/>
          <w:szCs w:val="16"/>
          <w:color w:val="CE0F2C"/>
        </w:rPr>
      </w:pPr>
    </w:p>
    <w:p>
      <w:pPr>
        <w:jc w:val="both"/>
        <w:ind w:left="180" w:right="500" w:hanging="173"/>
        <w:spacing w:after="0" w:line="250"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risks of additional tax exposures due to new tax legislation or other developments in the U.S. and other countries in which RTX and its businesses operate;</w:t>
      </w:r>
    </w:p>
    <w:p>
      <w:pPr>
        <w:spacing w:after="0" w:line="148" w:lineRule="exact"/>
        <w:rPr>
          <w:rFonts w:ascii="Arial" w:cs="Arial" w:eastAsia="Arial" w:hAnsi="Arial"/>
          <w:sz w:val="16"/>
          <w:szCs w:val="16"/>
          <w:color w:val="CE0F2C"/>
        </w:rPr>
      </w:pPr>
    </w:p>
    <w:p>
      <w:pPr>
        <w:ind w:left="180" w:right="460" w:hanging="173"/>
        <w:spacing w:after="0" w:line="256" w:lineRule="auto"/>
        <w:tabs>
          <w:tab w:leader="none" w:pos="188" w:val="left"/>
        </w:tabs>
        <w:numPr>
          <w:ilvl w:val="0"/>
          <w:numId w:val="230"/>
        </w:numPr>
        <w:rPr>
          <w:rFonts w:ascii="Arial" w:cs="Arial" w:eastAsia="Arial" w:hAnsi="Arial"/>
          <w:sz w:val="16"/>
          <w:szCs w:val="16"/>
          <w:color w:val="CE0F2C"/>
        </w:rPr>
      </w:pPr>
      <w:r>
        <w:rPr>
          <w:rFonts w:ascii="Arial" w:cs="Arial" w:eastAsia="Arial" w:hAnsi="Arial"/>
          <w:sz w:val="16"/>
          <w:szCs w:val="16"/>
          <w:color w:val="auto"/>
        </w:rPr>
        <w:t>the ability of RTX to attract, train and retain qualified personnel and maintain its culture and high ethical</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3449"/>
        <w:spacing w:after="0"/>
        <w:rPr>
          <w:sz w:val="20"/>
          <w:szCs w:val="20"/>
          <w:color w:val="auto"/>
        </w:rPr>
      </w:pPr>
      <w:r>
        <w:rPr>
          <w:rFonts w:ascii="Arial" w:cs="Arial" w:eastAsia="Arial" w:hAnsi="Arial"/>
          <w:sz w:val="12"/>
          <w:szCs w:val="12"/>
          <w:b w:val="1"/>
          <w:bCs w:val="1"/>
          <w:color w:val="auto"/>
        </w:rPr>
        <w:t>OTHER IMPORTANT INFORMATION</w:t>
      </w:r>
    </w:p>
    <w:p>
      <w:pPr>
        <w:spacing w:after="0" w:line="152" w:lineRule="exact"/>
        <w:rPr>
          <w:sz w:val="20"/>
          <w:szCs w:val="20"/>
          <w:color w:val="auto"/>
        </w:rPr>
      </w:pPr>
    </w:p>
    <w:p>
      <w:pPr>
        <w:ind w:left="169" w:right="520"/>
        <w:spacing w:after="0" w:line="256" w:lineRule="auto"/>
        <w:rPr>
          <w:sz w:val="20"/>
          <w:szCs w:val="20"/>
          <w:color w:val="auto"/>
        </w:rPr>
      </w:pPr>
      <w:r>
        <w:rPr>
          <w:rFonts w:ascii="Arial" w:cs="Arial" w:eastAsia="Arial" w:hAnsi="Arial"/>
          <w:sz w:val="16"/>
          <w:szCs w:val="16"/>
          <w:color w:val="auto"/>
        </w:rPr>
        <w:t>standards, and the ability of our personnel to continue to operate our facilities and businesses around the world;</w:t>
      </w:r>
    </w:p>
    <w:p>
      <w:pPr>
        <w:spacing w:after="0" w:line="63" w:lineRule="exact"/>
        <w:rPr>
          <w:sz w:val="20"/>
          <w:szCs w:val="20"/>
          <w:color w:val="auto"/>
        </w:rPr>
      </w:pPr>
    </w:p>
    <w:p>
      <w:pPr>
        <w:ind w:left="169" w:right="60" w:hanging="169"/>
        <w:spacing w:after="0" w:line="256" w:lineRule="auto"/>
        <w:tabs>
          <w:tab w:leader="none" w:pos="177"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risks relating to a RTX product safety failure or other failure affecting RTX’s or its customers’ or suppliers’ products or systems;</w:t>
      </w:r>
    </w:p>
    <w:p>
      <w:pPr>
        <w:spacing w:after="0" w:line="76" w:lineRule="exact"/>
        <w:rPr>
          <w:rFonts w:ascii="Arial" w:cs="Arial" w:eastAsia="Arial" w:hAnsi="Arial"/>
          <w:sz w:val="16"/>
          <w:szCs w:val="16"/>
          <w:color w:val="CE0F2C"/>
        </w:rPr>
      </w:pPr>
    </w:p>
    <w:p>
      <w:pPr>
        <w:ind w:left="169" w:right="120" w:hanging="169"/>
        <w:spacing w:after="0" w:line="248" w:lineRule="auto"/>
        <w:tabs>
          <w:tab w:leader="none" w:pos="177"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risks relating to cyber-attacks on RTX’s information technology infrastructure, products, suppliers, customers and partners, threats to RTX facilities and personnel, as well as other events outside of RTX’s control such as public health crises, damaging weather or other acts of nature;</w:t>
      </w:r>
    </w:p>
    <w:p>
      <w:pPr>
        <w:spacing w:after="0" w:line="83" w:lineRule="exact"/>
        <w:rPr>
          <w:rFonts w:ascii="Arial" w:cs="Arial" w:eastAsia="Arial" w:hAnsi="Arial"/>
          <w:sz w:val="16"/>
          <w:szCs w:val="16"/>
          <w:color w:val="CE0F2C"/>
        </w:rPr>
      </w:pPr>
    </w:p>
    <w:p>
      <w:pPr>
        <w:ind w:left="169" w:right="440" w:hanging="169"/>
        <w:spacing w:after="0" w:line="256" w:lineRule="auto"/>
        <w:tabs>
          <w:tab w:leader="none" w:pos="177"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the effect of changes in accounting estimates for our programs on our financial results;</w:t>
      </w:r>
    </w:p>
    <w:p>
      <w:pPr>
        <w:spacing w:after="0" w:line="62" w:lineRule="exact"/>
        <w:rPr>
          <w:rFonts w:ascii="Arial" w:cs="Arial" w:eastAsia="Arial" w:hAnsi="Arial"/>
          <w:sz w:val="16"/>
          <w:szCs w:val="16"/>
          <w:color w:val="CE0F2C"/>
        </w:rPr>
      </w:pPr>
    </w:p>
    <w:p>
      <w:pPr>
        <w:ind w:left="169" w:right="180" w:hanging="169"/>
        <w:spacing w:after="0" w:line="256" w:lineRule="auto"/>
        <w:tabs>
          <w:tab w:leader="none" w:pos="177"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the effect of changes in pension and other post-retirement plan estimates and assumptions and contributions;</w:t>
      </w:r>
    </w:p>
    <w:p>
      <w:pPr>
        <w:spacing w:after="0" w:line="76" w:lineRule="exact"/>
        <w:rPr>
          <w:rFonts w:ascii="Arial" w:cs="Arial" w:eastAsia="Arial" w:hAnsi="Arial"/>
          <w:sz w:val="16"/>
          <w:szCs w:val="16"/>
          <w:color w:val="CE0F2C"/>
        </w:rPr>
      </w:pPr>
    </w:p>
    <w:p>
      <w:pPr>
        <w:ind w:left="189" w:hanging="189"/>
        <w:spacing w:after="0"/>
        <w:tabs>
          <w:tab w:leader="none" w:pos="189"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risks relating to an impairment of goodwill and other intangible assets;</w:t>
      </w:r>
    </w:p>
    <w:p>
      <w:pPr>
        <w:spacing w:after="0" w:line="97" w:lineRule="exact"/>
        <w:rPr>
          <w:rFonts w:ascii="Arial" w:cs="Arial" w:eastAsia="Arial" w:hAnsi="Arial"/>
          <w:sz w:val="16"/>
          <w:szCs w:val="16"/>
          <w:color w:val="CE0F2C"/>
        </w:rPr>
      </w:pPr>
    </w:p>
    <w:p>
      <w:pPr>
        <w:ind w:left="169" w:right="360" w:hanging="169"/>
        <w:spacing w:after="0" w:line="256" w:lineRule="auto"/>
        <w:tabs>
          <w:tab w:leader="none" w:pos="177"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the effects of climate change and changing climate-related regulations, customer and market demands, products and technologies; and</w:t>
      </w:r>
    </w:p>
    <w:p>
      <w:pPr>
        <w:spacing w:after="0" w:line="62" w:lineRule="exact"/>
        <w:rPr>
          <w:rFonts w:ascii="Arial" w:cs="Arial" w:eastAsia="Arial" w:hAnsi="Arial"/>
          <w:sz w:val="16"/>
          <w:szCs w:val="16"/>
          <w:color w:val="CE0F2C"/>
        </w:rPr>
      </w:pPr>
    </w:p>
    <w:p>
      <w:pPr>
        <w:ind w:left="189" w:hanging="189"/>
        <w:spacing w:after="0"/>
        <w:tabs>
          <w:tab w:leader="none" w:pos="189" w:val="left"/>
        </w:tabs>
        <w:numPr>
          <w:ilvl w:val="0"/>
          <w:numId w:val="231"/>
        </w:numPr>
        <w:rPr>
          <w:rFonts w:ascii="Arial" w:cs="Arial" w:eastAsia="Arial" w:hAnsi="Arial"/>
          <w:sz w:val="16"/>
          <w:szCs w:val="16"/>
          <w:color w:val="CE0F2C"/>
        </w:rPr>
      </w:pPr>
      <w:r>
        <w:rPr>
          <w:rFonts w:ascii="Arial" w:cs="Arial" w:eastAsia="Arial" w:hAnsi="Arial"/>
          <w:sz w:val="16"/>
          <w:szCs w:val="16"/>
          <w:color w:val="auto"/>
        </w:rPr>
        <w:t>the intended qualification of (1) the Merger as a tax-free reorganization and</w:t>
      </w:r>
    </w:p>
    <w:p>
      <w:pPr>
        <w:spacing w:after="0" w:line="3" w:lineRule="exact"/>
        <w:rPr>
          <w:rFonts w:ascii="Arial" w:cs="Arial" w:eastAsia="Arial" w:hAnsi="Arial"/>
          <w:sz w:val="16"/>
          <w:szCs w:val="16"/>
          <w:color w:val="CE0F2C"/>
        </w:rPr>
      </w:pPr>
    </w:p>
    <w:p>
      <w:pPr>
        <w:ind w:left="169" w:right="20"/>
        <w:spacing w:after="0" w:line="250" w:lineRule="auto"/>
        <w:rPr>
          <w:rFonts w:ascii="Arial" w:cs="Arial" w:eastAsia="Arial" w:hAnsi="Arial"/>
          <w:sz w:val="16"/>
          <w:szCs w:val="16"/>
          <w:color w:val="CE0F2C"/>
        </w:rPr>
      </w:pPr>
      <w:r>
        <w:rPr>
          <w:rFonts w:ascii="Arial" w:cs="Arial" w:eastAsia="Arial" w:hAnsi="Arial"/>
          <w:sz w:val="16"/>
          <w:szCs w:val="16"/>
          <w:color w:val="auto"/>
        </w:rPr>
        <w:t>(2) the Separation Transactions and other internal restructurings as tax-free to UTC and former UTC shareowners, in each case, for U.S. federal income tax purposes.</w:t>
      </w:r>
    </w:p>
    <w:p>
      <w:pPr>
        <w:spacing w:after="0" w:line="1071" w:lineRule="exact"/>
        <w:rPr>
          <w:sz w:val="20"/>
          <w:szCs w:val="20"/>
          <w:color w:val="auto"/>
        </w:rPr>
      </w:pPr>
    </w:p>
    <w:p>
      <w:pPr>
        <w:sectPr>
          <w:pgSz w:w="11900" w:h="16838" w:orient="portrait"/>
          <w:cols w:equalWidth="0" w:num="2">
            <w:col w:w="5420" w:space="251"/>
            <w:col w:w="5569"/>
          </w:cols>
          <w:pgMar w:left="320" w:top="118" w:right="339" w:bottom="1440" w:gutter="0" w:footer="0" w:header="0"/>
          <w:type w:val="continuous"/>
        </w:sectPr>
      </w:pPr>
    </w:p>
    <w:p>
      <w:pPr>
        <w:ind w:right="40"/>
        <w:spacing w:after="0" w:line="245" w:lineRule="auto"/>
        <w:rPr>
          <w:sz w:val="20"/>
          <w:szCs w:val="20"/>
          <w:color w:val="auto"/>
        </w:rPr>
      </w:pPr>
      <w:r>
        <w:rPr>
          <w:rFonts w:ascii="Arial" w:cs="Arial" w:eastAsia="Arial" w:hAnsi="Arial"/>
          <w:sz w:val="16"/>
          <w:szCs w:val="16"/>
          <w:color w:val="auto"/>
        </w:rPr>
        <w:t>In addition, our 2021 Annual Report on Form 10-K includes important information as to risks, uncertainties and other factors that may cause actual results to differ materially from those expressed or implied in the forward-looking statements. See the “Notes to Consolidated Financial Statements” under the heading “Note 19: Commitments and Contingencies,” the section titled “Management’s Discussion and Analysis of Financial Condition and Results of Operations” under the headings “Business Overview,” “Results of Operations,” “Liquidity and Financial Condition,” and “Critical Accounting Estimates,” and the section titled “Risk Factors.” The Form 10-K also includes important information as to these factors in the “Business” section under the headings “General,” “Business Segments” and “Other Matters Relating to Our Business,” and in the “Legal Proceedings” section. Additional important information as to these factors is included in our 2021 Annual Report in the section titled “Management’s Discussion and Analysis of Financial Condition and Results of Operations” under the headings “Restructuring Costs,” “Environmental Matters” and “Governmental Matters” and in our Form S-4 Registration Statements (Registration No. 333-220883 and Registration No. 333-232696) under the heading “Risk Factors.” The forward-looking statements speak only as of the date of this Proxy Statement or, in the case of any document incorporated by reference, the date of that document. We undertake no obligation to publicly update or revise any forward-looking statements, whether as a result of new information, future events or otherwise, except as required by applicable law. Additional information as to factors that may cause actual results to differ materially from those expressed or implied in the forward-looking statements is disclosed from time to time in our other filings with the SEC.</w:t>
      </w:r>
    </w:p>
    <w:p>
      <w:pPr>
        <w:spacing w:after="0" w:line="15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CE0F2C"/>
        </w:rPr>
        <w:t xml:space="preserve">Corporate Governance Information, Code of Conduct and How to Contact the Board. </w:t>
      </w:r>
      <w:r>
        <w:rPr>
          <w:rFonts w:ascii="Arial" w:cs="Arial" w:eastAsia="Arial" w:hAnsi="Arial"/>
          <w:sz w:val="16"/>
          <w:szCs w:val="16"/>
          <w:color w:val="000000"/>
        </w:rPr>
        <w:t>RTX’s Corporate Governance Guidelines (and related documents), the</w:t>
      </w:r>
      <w:r>
        <w:rPr>
          <w:rFonts w:ascii="Arial" w:cs="Arial" w:eastAsia="Arial" w:hAnsi="Arial"/>
          <w:sz w:val="16"/>
          <w:szCs w:val="16"/>
          <w:color w:val="CE0F2C"/>
        </w:rPr>
        <w:t xml:space="preserve"> </w:t>
      </w:r>
      <w:r>
        <w:rPr>
          <w:rFonts w:ascii="Arial" w:cs="Arial" w:eastAsia="Arial" w:hAnsi="Arial"/>
          <w:sz w:val="16"/>
          <w:szCs w:val="16"/>
          <w:color w:val="000000"/>
        </w:rPr>
        <w:t>charters for each Board Committee and RTX’s Code of Conduct are available on RTX’s website (</w:t>
      </w:r>
      <w:r>
        <w:rPr>
          <w:rFonts w:ascii="Arial" w:cs="Arial" w:eastAsia="Arial" w:hAnsi="Arial"/>
          <w:sz w:val="16"/>
          <w:szCs w:val="16"/>
          <w:u w:val="single" w:color="auto"/>
          <w:color w:val="CE0F2C"/>
        </w:rPr>
        <w:t>www.rtx.com</w:t>
      </w:r>
      <w:r>
        <w:rPr>
          <w:rFonts w:ascii="Arial" w:cs="Arial" w:eastAsia="Arial" w:hAnsi="Arial"/>
          <w:sz w:val="16"/>
          <w:szCs w:val="16"/>
          <w:color w:val="000000"/>
        </w:rPr>
        <w:t>). Printed copies will be provided, without charge, to any shareowner upon a request addressed to the Corporate Secretary through the contact information provided on page 97. The Code of Conduct applies to all directors and employees, including the principal executive, financial and accounting officers. Shareowners and other interested persons may send communications to the Board, the Lead Director or one or more independent directors by: (i) using the contact information provided on the Corporate Governance section of RTX’s website (</w:t>
      </w:r>
      <w:r>
        <w:rPr>
          <w:rFonts w:ascii="Arial" w:cs="Arial" w:eastAsia="Arial" w:hAnsi="Arial"/>
          <w:sz w:val="16"/>
          <w:szCs w:val="16"/>
          <w:u w:val="single" w:color="auto"/>
          <w:color w:val="CE0F2C"/>
        </w:rPr>
        <w:t>www.rtx.com</w:t>
      </w:r>
      <w:r>
        <w:rPr>
          <w:rFonts w:ascii="Arial" w:cs="Arial" w:eastAsia="Arial" w:hAnsi="Arial"/>
          <w:sz w:val="16"/>
          <w:szCs w:val="16"/>
          <w:color w:val="000000"/>
        </w:rPr>
        <w:t xml:space="preserve">); (ii) letter addressed to the </w:t>
      </w:r>
      <w:r>
        <w:rPr>
          <w:rFonts w:ascii="Arial" w:cs="Arial" w:eastAsia="Arial" w:hAnsi="Arial"/>
          <w:sz w:val="16"/>
          <w:szCs w:val="16"/>
          <w:b w:val="1"/>
          <w:bCs w:val="1"/>
          <w:color w:val="000000"/>
        </w:rPr>
        <w:t>RTX Corporate Secretary</w:t>
      </w:r>
      <w:r>
        <w:rPr>
          <w:rFonts w:ascii="Arial" w:cs="Arial" w:eastAsia="Arial" w:hAnsi="Arial"/>
          <w:sz w:val="16"/>
          <w:szCs w:val="16"/>
          <w:color w:val="000000"/>
        </w:rPr>
        <w:t xml:space="preserve"> (see page 97 for contact information); or (iii) contacting the RTX Ombuds at </w:t>
      </w:r>
      <w:r>
        <w:rPr>
          <w:rFonts w:ascii="Arial" w:cs="Arial" w:eastAsia="Arial" w:hAnsi="Arial"/>
          <w:sz w:val="16"/>
          <w:szCs w:val="16"/>
          <w:b w:val="1"/>
          <w:bCs w:val="1"/>
          <w:color w:val="000000"/>
        </w:rPr>
        <w:t>1-800-871-9065</w:t>
      </w:r>
      <w:r>
        <w:rPr>
          <w:rFonts w:ascii="Arial" w:cs="Arial" w:eastAsia="Arial" w:hAnsi="Arial"/>
          <w:sz w:val="16"/>
          <w:szCs w:val="16"/>
          <w:color w:val="000000"/>
        </w:rPr>
        <w:t>. Communications relating to RTX’s accounting, internal controls, auditing matters or business practices will be reviewed by the Corporate Vice President, Global Ethics and Compliance and reported to the Audit Committee pursuant to the RTX Corporate Governance Guidelines. All other communications will be reviewed by the RTX Corporate Secretary and reported to the Board, as appropriate, pursuant to the Corporate Governance Guidelines.</w:t>
      </w:r>
    </w:p>
    <w:p>
      <w:pPr>
        <w:spacing w:after="0" w:line="143" w:lineRule="exact"/>
        <w:rPr>
          <w:sz w:val="20"/>
          <w:szCs w:val="20"/>
          <w:color w:val="auto"/>
        </w:rPr>
      </w:pPr>
    </w:p>
    <w:p>
      <w:pPr>
        <w:jc w:val="right"/>
        <w:spacing w:after="0"/>
        <w:tabs>
          <w:tab w:leader="none" w:pos="100" w:val="left"/>
        </w:tabs>
        <w:rPr>
          <w:sz w:val="20"/>
          <w:szCs w:val="20"/>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04" w:name="page105"/>
    <w:bookmarkEnd w:id="10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IMPORTANT INFORMATION</w:t>
      </w:r>
    </w:p>
    <w:p>
      <w:pPr>
        <w:spacing w:after="0" w:line="178"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CE0F2C"/>
        </w:rPr>
        <w:t xml:space="preserve">Transactions with Related Persons. </w:t>
      </w:r>
      <w:r>
        <w:rPr>
          <w:rFonts w:ascii="Arial" w:cs="Arial" w:eastAsia="Arial" w:hAnsi="Arial"/>
          <w:sz w:val="16"/>
          <w:szCs w:val="16"/>
          <w:color w:val="000000"/>
        </w:rPr>
        <w:t>RTX has a written policy that requires the Board’s Governance Committee to review and determine whether to approve or</w:t>
      </w:r>
      <w:r>
        <w:rPr>
          <w:rFonts w:ascii="Arial" w:cs="Arial" w:eastAsia="Arial" w:hAnsi="Arial"/>
          <w:sz w:val="16"/>
          <w:szCs w:val="16"/>
          <w:color w:val="CE0F2C"/>
        </w:rPr>
        <w:t xml:space="preserve"> </w:t>
      </w:r>
      <w:r>
        <w:rPr>
          <w:rFonts w:ascii="Arial" w:cs="Arial" w:eastAsia="Arial" w:hAnsi="Arial"/>
          <w:sz w:val="16"/>
          <w:szCs w:val="16"/>
          <w:color w:val="000000"/>
        </w:rPr>
        <w:t>ratify transactions exceeding $120,000 in which RTX or a subsidiary is a participant and in which a related person has a direct or indirect material interest. A related person is defined as an RTX director, executive officer, or a beneficial owner of more than five percent of RTX’s outstanding shares, or an immediate family member of any of the foregoing persons. Under the policy, any potential related person transaction must be reported for review by the RTX Corporate Secretary who will, in consultation with the Corporate Vice President, Global Ethics and Compliance, assess whether the transaction may require review, approval or ratification by the Governance Committee. The Governance Committee determines whether each transaction presented to it should be approved (or, where applicable, ratified) or disapproved based on whether the transaction is determined to be in, or not inconsistent with, the best interests of RTX and its shareowners. In making this determination, the Governance Committee must take into consideration whether the transaction is on terms no less favorable to RTX than those available under similar circumstances with unaffiliated third parties and the extent of the related person’s interest in the transaction. The policy generally permits employment of relatives of related persons possessing qualifications consistent with RTX’s requirements for non-related persons in similar circumstances, provided the employment is approved by the Executive Vice President &amp; Chief Human Resources Officer and the Corporate Vice President, Global Ethics and Compliance.</w:t>
      </w:r>
    </w:p>
    <w:p>
      <w:pPr>
        <w:spacing w:after="0" w:line="156"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State Street Corporation (“State Street”), acting in various fiduciary capacities, filed a Schedule 13G with the SEC reporting that as of December 31, 2021, State Street and certain of its subsidiaries collectively were the beneficial owners of more than five percent of RTX’s outstanding shares of Common Stock. A subsidiary of State Street is the trustee for the UTC Employee Savings Plan Master Trust. Other State Street subsidiaries provide investment management services. During 2020, RTX paid State Street and its subsidiaries approximately $4.0 million for services as trustee, as investment managers and for administrative and other services.</w:t>
      </w:r>
    </w:p>
    <w:p>
      <w:pPr>
        <w:spacing w:after="0" w:line="151"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BlackRock, Inc. (“BlackRock”) filed a Schedule 13G with the SEC reporting that as of December 31, 2021, BlackRock and certain subsidiaries collectively were the beneficial owners of more than five percent of RTX’s outstanding shares of Common Stock. During 2020, BlackRock acted as an investment manager for certain assets within RTX’s pension plans and employee savings plans. BlackRock received approximately $2.6 million for such services.</w:t>
      </w:r>
    </w:p>
    <w:p>
      <w:pPr>
        <w:spacing w:after="0" w:line="148" w:lineRule="exact"/>
        <w:rPr>
          <w:sz w:val="20"/>
          <w:szCs w:val="20"/>
          <w:color w:val="auto"/>
        </w:rPr>
      </w:pPr>
    </w:p>
    <w:p>
      <w:pPr>
        <w:ind w:right="300"/>
        <w:spacing w:after="0" w:line="250" w:lineRule="auto"/>
        <w:rPr>
          <w:sz w:val="20"/>
          <w:szCs w:val="20"/>
          <w:color w:val="auto"/>
        </w:rPr>
      </w:pPr>
      <w:r>
        <w:rPr>
          <w:rFonts w:ascii="Arial" w:cs="Arial" w:eastAsia="Arial" w:hAnsi="Arial"/>
          <w:sz w:val="16"/>
          <w:szCs w:val="16"/>
          <w:color w:val="auto"/>
        </w:rPr>
        <w:t>Kelly Kennedy, an employee of Collins Aerospace, is the daughter of the former Executive Chairman of RTX, Thomas Kennedy. In 2021, Ms. Kennedy received approximately $141,000 in total compensation, consisting of her salary and participation in employee benefit plans and programs generally made available to employees of similar responsibility levels.</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Robert K. Ortberg, a member of the Board, was an employee of RTX’s Corporate Office prior to his retirement in February 2021. In 2021, Mr. Ortberg received approximately $1,969,000 in total compensation in respect of his service as an employee of RTX, consisting of his salary and participation in employee benefit plans and programs generally made available to employees of similar responsibility levels. This amount is inclusive of a $1,600,000 bonus received in 2021 in respect of 2020 service and disclosed in the Company’s 2021 Proxy Statement.</w:t>
      </w:r>
    </w:p>
    <w:p>
      <w:pPr>
        <w:spacing w:after="0" w:line="150"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Albert Rhodes, an employee of Pratt &amp; Whitney, is the sibling of Dantaya Williams, RTX’s Executive Vice President &amp; Chief Human Resources Officer and an executive officer of RTX. In 2021, Mr. Rhodes received approximately $312,000 in total compensation, consisting of his salary and participation in employee benefit plans and programs generally made available to employees of similar responsibility levels.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Emiliya S. West, an employee of RTX’s Corporate Office, is the sister-in-law of RTX’s CEO, Gregory Hayes. In 2021, Ms. West received approximately</w:t>
      </w:r>
    </w:p>
    <w:p>
      <w:pPr>
        <w:spacing w:after="0" w:line="3" w:lineRule="exact"/>
        <w:rPr>
          <w:sz w:val="20"/>
          <w:szCs w:val="20"/>
          <w:color w:val="auto"/>
        </w:rPr>
      </w:pPr>
    </w:p>
    <w:p>
      <w:pPr>
        <w:ind w:right="140"/>
        <w:spacing w:after="0" w:line="256" w:lineRule="auto"/>
        <w:rPr>
          <w:sz w:val="20"/>
          <w:szCs w:val="20"/>
          <w:color w:val="auto"/>
        </w:rPr>
      </w:pPr>
      <w:r>
        <w:rPr>
          <w:rFonts w:ascii="Arial" w:cs="Arial" w:eastAsia="Arial" w:hAnsi="Arial"/>
          <w:sz w:val="16"/>
          <w:szCs w:val="16"/>
          <w:color w:val="auto"/>
        </w:rPr>
        <w:t>$213,000 in total compensation, consisting of her salary and participation in employee benefit plans and programs generally made available to employees of similar responsibility levels.</w:t>
      </w:r>
    </w:p>
    <w:p>
      <w:pPr>
        <w:spacing w:after="0" w:line="143" w:lineRule="exact"/>
        <w:rPr>
          <w:sz w:val="20"/>
          <w:szCs w:val="20"/>
          <w:color w:val="auto"/>
        </w:rPr>
      </w:pPr>
    </w:p>
    <w:p>
      <w:pPr>
        <w:jc w:val="both"/>
        <w:ind w:right="100"/>
        <w:spacing w:after="0" w:line="250" w:lineRule="auto"/>
        <w:rPr>
          <w:sz w:val="20"/>
          <w:szCs w:val="20"/>
          <w:color w:val="auto"/>
        </w:rPr>
      </w:pPr>
      <w:r>
        <w:rPr>
          <w:rFonts w:ascii="Arial" w:cs="Arial" w:eastAsia="Arial" w:hAnsi="Arial"/>
          <w:sz w:val="16"/>
          <w:szCs w:val="16"/>
          <w:color w:val="auto"/>
        </w:rPr>
        <w:t>Roderick Williams, an employee of Pratt &amp; Whitney, is the spouse of Dantaya Williams, RTX’s Executive Vice President &amp; Chief Human Resources Officer. In 2021, Mr. Williams received approximately $234,000 in total compensation, consisting of his salary and participation in employee benefit plans and programs generally made available to employees of similar responsibility levels.</w:t>
      </w:r>
    </w:p>
    <w:p>
      <w:pPr>
        <w:spacing w:after="0" w:line="148"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Each of the relationships described above was reviewed and approved in accordance with RTX’s Related Person Transactions Policy, which is available on our website (</w:t>
      </w:r>
      <w:r>
        <w:rPr>
          <w:rFonts w:ascii="Arial" w:cs="Arial" w:eastAsia="Arial" w:hAnsi="Arial"/>
          <w:sz w:val="16"/>
          <w:szCs w:val="16"/>
          <w:u w:val="single" w:color="auto"/>
          <w:color w:val="CE0F2C"/>
        </w:rPr>
        <w:t>www.rtx.com</w:t>
      </w:r>
      <w:r>
        <w:rPr>
          <w:rFonts w:ascii="Arial" w:cs="Arial" w:eastAsia="Arial" w:hAnsi="Arial"/>
          <w:sz w:val="16"/>
          <w:szCs w:val="16"/>
          <w:color w:val="auto"/>
        </w:rPr>
        <w:t>).</w:t>
      </w:r>
    </w:p>
    <w:p>
      <w:pPr>
        <w:spacing w:after="0" w:line="143" w:lineRule="exact"/>
        <w:rPr>
          <w:sz w:val="20"/>
          <w:szCs w:val="20"/>
          <w:color w:val="auto"/>
        </w:rPr>
      </w:pPr>
    </w:p>
    <w:p>
      <w:pPr>
        <w:spacing w:after="0" w:line="247" w:lineRule="auto"/>
        <w:rPr>
          <w:sz w:val="20"/>
          <w:szCs w:val="20"/>
          <w:color w:val="auto"/>
        </w:rPr>
      </w:pPr>
      <w:r>
        <w:rPr>
          <w:rFonts w:ascii="Arial" w:cs="Arial" w:eastAsia="Arial" w:hAnsi="Arial"/>
          <w:sz w:val="16"/>
          <w:szCs w:val="16"/>
          <w:color w:val="CE0F2C"/>
        </w:rPr>
        <w:t xml:space="preserve">Delinquent Section 16(a) Reports. </w:t>
      </w:r>
      <w:r>
        <w:rPr>
          <w:rFonts w:ascii="Arial" w:cs="Arial" w:eastAsia="Arial" w:hAnsi="Arial"/>
          <w:sz w:val="16"/>
          <w:szCs w:val="16"/>
          <w:color w:val="000000"/>
        </w:rPr>
        <w:t>Section 16(a) of the Securities Exchange Act of 1934 requires our directors, executive officers and persons who beneficially</w:t>
      </w:r>
      <w:r>
        <w:rPr>
          <w:rFonts w:ascii="Arial" w:cs="Arial" w:eastAsia="Arial" w:hAnsi="Arial"/>
          <w:sz w:val="16"/>
          <w:szCs w:val="16"/>
          <w:color w:val="CE0F2C"/>
        </w:rPr>
        <w:t xml:space="preserve"> </w:t>
      </w:r>
      <w:r>
        <w:rPr>
          <w:rFonts w:ascii="Arial" w:cs="Arial" w:eastAsia="Arial" w:hAnsi="Arial"/>
          <w:sz w:val="16"/>
          <w:szCs w:val="16"/>
          <w:color w:val="000000"/>
        </w:rPr>
        <w:t>own more than 10% of a registered class of our equity securities to file reports of holdings and transactions in our common stock with the SEC and the NYSE. Based on our records and other information, we believe that, in 2021, none of our directors, executive officers or 10% shareowners failed to file a required report on time other than a Form 4 on behalf of Dantaya M. Williams, which was timely submitted on October 5, 2021 but due to an EDGAR technical issue with the submission, was deemed filed on October 6, 2021.</w:t>
      </w:r>
    </w:p>
    <w:p>
      <w:pPr>
        <w:spacing w:after="0" w:line="151" w:lineRule="exact"/>
        <w:rPr>
          <w:sz w:val="20"/>
          <w:szCs w:val="20"/>
          <w:color w:val="auto"/>
        </w:rPr>
      </w:pPr>
    </w:p>
    <w:p>
      <w:pPr>
        <w:ind w:left="320" w:hanging="313"/>
        <w:spacing w:after="0"/>
        <w:tabs>
          <w:tab w:leader="none" w:pos="320" w:val="left"/>
        </w:tabs>
        <w:numPr>
          <w:ilvl w:val="0"/>
          <w:numId w:val="232"/>
        </w:numPr>
        <w:rPr>
          <w:rFonts w:ascii="Arial" w:cs="Arial" w:eastAsia="Arial" w:hAnsi="Arial"/>
          <w:sz w:val="12"/>
          <w:szCs w:val="12"/>
          <w:b w:val="1"/>
          <w:bCs w:val="1"/>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ind w:left="9120"/>
        <w:spacing w:after="0"/>
        <w:rPr>
          <w:sz w:val="20"/>
          <w:szCs w:val="20"/>
          <w:color w:val="auto"/>
        </w:rPr>
      </w:pPr>
      <w:r>
        <w:rPr>
          <w:rFonts w:ascii="Arial" w:cs="Arial" w:eastAsia="Arial" w:hAnsi="Arial"/>
          <w:sz w:val="12"/>
          <w:szCs w:val="12"/>
          <w:b w:val="1"/>
          <w:bCs w:val="1"/>
          <w:color w:val="auto"/>
        </w:rPr>
        <w:t>OTHER IMPORTANT INFORMATION</w:t>
      </w:r>
    </w:p>
    <w:p>
      <w:pPr>
        <w:spacing w:after="0" w:line="178"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CE0F2C"/>
        </w:rPr>
        <w:t xml:space="preserve">Incorporation by Reference. </w:t>
      </w:r>
      <w:r>
        <w:rPr>
          <w:rFonts w:ascii="Arial" w:cs="Arial" w:eastAsia="Arial" w:hAnsi="Arial"/>
          <w:sz w:val="16"/>
          <w:szCs w:val="16"/>
          <w:color w:val="000000"/>
        </w:rPr>
        <w:t>In connection with our discussion of director and executive compensation, we have incorporated by reference in this Proxy</w:t>
      </w:r>
      <w:r>
        <w:rPr>
          <w:rFonts w:ascii="Arial" w:cs="Arial" w:eastAsia="Arial" w:hAnsi="Arial"/>
          <w:sz w:val="16"/>
          <w:szCs w:val="16"/>
          <w:color w:val="CE0F2C"/>
        </w:rPr>
        <w:t xml:space="preserve"> </w:t>
      </w:r>
      <w:r>
        <w:rPr>
          <w:rFonts w:ascii="Arial" w:cs="Arial" w:eastAsia="Arial" w:hAnsi="Arial"/>
          <w:sz w:val="16"/>
          <w:szCs w:val="16"/>
          <w:color w:val="000000"/>
        </w:rPr>
        <w:t>Statement certain information from Note 11: Employee Benefit Plans, to the Consolidated Financial Statements in RTX’s 2021 Annual Report on Form 10-K filed on February 11, 2022; these are the only portions of such filings that are incorporated by reference in this Proxy Statement.</w:t>
      </w:r>
    </w:p>
    <w:p>
      <w:pPr>
        <w:spacing w:after="0" w:line="148"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CE0F2C"/>
        </w:rPr>
        <w:t xml:space="preserve">Company Names, Trademarks and Trade Names. </w:t>
      </w:r>
      <w:r>
        <w:rPr>
          <w:rFonts w:ascii="Arial" w:cs="Arial" w:eastAsia="Arial" w:hAnsi="Arial"/>
          <w:sz w:val="16"/>
          <w:szCs w:val="16"/>
          <w:color w:val="000000"/>
        </w:rPr>
        <w:t>Raytheon Technologies Corporation and its subsidiaries’ names, abbreviations thereof, logos, and product</w:t>
      </w:r>
      <w:r>
        <w:rPr>
          <w:rFonts w:ascii="Arial" w:cs="Arial" w:eastAsia="Arial" w:hAnsi="Arial"/>
          <w:sz w:val="16"/>
          <w:szCs w:val="16"/>
          <w:color w:val="CE0F2C"/>
        </w:rPr>
        <w:t xml:space="preserve"> </w:t>
      </w:r>
      <w:r>
        <w:rPr>
          <w:rFonts w:ascii="Arial" w:cs="Arial" w:eastAsia="Arial" w:hAnsi="Arial"/>
          <w:sz w:val="16"/>
          <w:szCs w:val="16"/>
          <w:color w:val="000000"/>
        </w:rPr>
        <w:t>and service designators are either the registered or unregistered trademarks or trade names of Raytheon Technologies Corporation and its subsidiaries. Names of other companies and organizations, abbreviations thereof, logos of other companies and organizations, and product and service designators of other companies are either the registered or unregistered trademarks or trade names of their respective owners.</w:t>
      </w:r>
    </w:p>
    <w:p>
      <w:pPr>
        <w:spacing w:after="0" w:line="150"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CE0F2C"/>
        </w:rPr>
        <w:t xml:space="preserve">Websites. </w:t>
      </w:r>
      <w:r>
        <w:rPr>
          <w:rFonts w:ascii="Arial" w:cs="Arial" w:eastAsia="Arial" w:hAnsi="Arial"/>
          <w:sz w:val="16"/>
          <w:szCs w:val="16"/>
          <w:color w:val="000000"/>
        </w:rPr>
        <w:t>The links to our website or any third-party website provided in these proxy materials have been provided for convenience purposes only, and the</w:t>
      </w:r>
      <w:r>
        <w:rPr>
          <w:rFonts w:ascii="Arial" w:cs="Arial" w:eastAsia="Arial" w:hAnsi="Arial"/>
          <w:sz w:val="16"/>
          <w:szCs w:val="16"/>
          <w:color w:val="CE0F2C"/>
        </w:rPr>
        <w:t xml:space="preserve"> </w:t>
      </w:r>
      <w:r>
        <w:rPr>
          <w:rFonts w:ascii="Arial" w:cs="Arial" w:eastAsia="Arial" w:hAnsi="Arial"/>
          <w:sz w:val="16"/>
          <w:szCs w:val="16"/>
          <w:color w:val="000000"/>
        </w:rPr>
        <w:t>content contained therein is not incorporated by reference into these proxy materials unless otherwise specified.</w:t>
      </w:r>
    </w:p>
    <w:p>
      <w:pPr>
        <w:spacing w:after="0" w:line="129" w:lineRule="exact"/>
        <w:rPr>
          <w:sz w:val="20"/>
          <w:szCs w:val="20"/>
          <w:color w:val="auto"/>
        </w:rPr>
      </w:pPr>
    </w:p>
    <w:p>
      <w:pPr>
        <w:jc w:val="right"/>
        <w:spacing w:after="0"/>
        <w:tabs>
          <w:tab w:leader="none" w:pos="180" w:val="left"/>
        </w:tabs>
        <w:rPr>
          <w:sz w:val="20"/>
          <w:szCs w:val="20"/>
          <w:color w:val="auto"/>
        </w:rPr>
      </w:pPr>
      <w:r>
        <w:rPr>
          <w:rFonts w:ascii="Arial" w:cs="Arial" w:eastAsia="Arial" w:hAnsi="Arial"/>
          <w:sz w:val="12"/>
          <w:szCs w:val="12"/>
          <w:color w:val="CE0F2C"/>
        </w:rPr>
        <w:t xml:space="preserve">RAYTHEON TECHNOLOGIES </w:t>
      </w:r>
      <w:r>
        <w:rPr>
          <w:rFonts w:ascii="Arial" w:cs="Arial" w:eastAsia="Arial" w:hAnsi="Arial"/>
          <w:sz w:val="12"/>
          <w:szCs w:val="12"/>
          <w:color w:val="000000"/>
        </w:rPr>
        <w:t>2022 PROXY STATEMENT</w:t>
      </w:r>
      <w:r>
        <w:rPr>
          <w:sz w:val="20"/>
          <w:szCs w:val="20"/>
          <w:color w:val="auto"/>
        </w:rPr>
        <w:tab/>
      </w:r>
      <w:r>
        <w:rPr>
          <w:rFonts w:ascii="Arial" w:cs="Arial" w:eastAsia="Arial" w:hAnsi="Arial"/>
          <w:sz w:val="10"/>
          <w:szCs w:val="10"/>
          <w:b w:val="1"/>
          <w:bCs w:val="1"/>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71120</wp:posOffset>
            </wp:positionV>
            <wp:extent cx="715454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31" w:lineRule="exact"/>
        <w:rPr>
          <w:sz w:val="20"/>
          <w:szCs w:val="20"/>
          <w:color w:val="auto"/>
        </w:rPr>
      </w:pPr>
    </w:p>
    <w:p>
      <w:pPr>
        <w:ind w:right="1880"/>
        <w:spacing w:after="0" w:line="258" w:lineRule="auto"/>
        <w:rPr>
          <w:sz w:val="20"/>
          <w:szCs w:val="20"/>
          <w:color w:val="auto"/>
        </w:rPr>
      </w:pPr>
      <w:r>
        <w:rPr>
          <w:rFonts w:ascii="Arial" w:cs="Arial" w:eastAsia="Arial" w:hAnsi="Arial"/>
          <w:sz w:val="50"/>
          <w:szCs w:val="50"/>
          <w:b w:val="1"/>
          <w:bCs w:val="1"/>
          <w:color w:val="auto"/>
        </w:rPr>
        <w:t>Appendix A: Reconciliation of GAAP Measures to Corresponding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6070600" cy="508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70600" cy="508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financial information presented is on a continuing operations basis.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RECONCILIATION OF NET SALES (GAAP) TO ADJUSTED NET SALES (NON-GAAP)</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4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(dollars in millions)</w:t>
            </w:r>
          </w:p>
        </w:tc>
        <w:tc>
          <w:tcPr>
            <w:tcW w:w="5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r>
      <w:tr>
        <w:trPr>
          <w:trHeight w:val="208"/>
        </w:trPr>
        <w:tc>
          <w:tcPr>
            <w:tcW w:w="6240" w:type="dxa"/>
            <w:vAlign w:val="bottom"/>
            <w:tcBorders>
              <w:bottom w:val="single" w:sz="8" w:color="595A5B"/>
            </w:tcBorders>
          </w:tcPr>
          <w:p>
            <w:pPr>
              <w:ind w:left="60"/>
              <w:spacing w:after="0"/>
              <w:rPr>
                <w:sz w:val="20"/>
                <w:szCs w:val="20"/>
                <w:color w:val="auto"/>
              </w:rPr>
            </w:pPr>
            <w:r>
              <w:rPr>
                <w:rFonts w:ascii="Arial" w:cs="Arial" w:eastAsia="Arial" w:hAnsi="Arial"/>
                <w:sz w:val="14"/>
                <w:szCs w:val="14"/>
                <w:color w:val="auto"/>
              </w:rPr>
              <w:t>Net sales</w:t>
            </w:r>
          </w:p>
        </w:tc>
        <w:tc>
          <w:tcPr>
            <w:tcW w:w="5000" w:type="dxa"/>
            <w:vAlign w:val="bottom"/>
            <w:tcBorders>
              <w:bottom w:val="single" w:sz="8" w:color="595A5B"/>
            </w:tcBorders>
          </w:tcPr>
          <w:p>
            <w:pPr>
              <w:jc w:val="right"/>
              <w:spacing w:after="0"/>
              <w:rPr>
                <w:sz w:val="20"/>
                <w:szCs w:val="20"/>
                <w:color w:val="auto"/>
              </w:rPr>
            </w:pPr>
            <w:r>
              <w:rPr>
                <w:rFonts w:ascii="Arial" w:cs="Arial" w:eastAsia="Arial" w:hAnsi="Arial"/>
                <w:sz w:val="14"/>
                <w:szCs w:val="14"/>
                <w:color w:val="auto"/>
              </w:rPr>
              <w:t>$64,388</w:t>
            </w:r>
          </w:p>
        </w:tc>
      </w:tr>
      <w:tr>
        <w:trPr>
          <w:trHeight w:val="208"/>
        </w:trPr>
        <w:tc>
          <w:tcPr>
            <w:tcW w:w="6240" w:type="dxa"/>
            <w:vAlign w:val="bottom"/>
            <w:tcBorders>
              <w:bottom w:val="single" w:sz="8" w:color="595A5B"/>
            </w:tcBorders>
          </w:tcPr>
          <w:p>
            <w:pPr>
              <w:ind w:left="60"/>
              <w:spacing w:after="0"/>
              <w:rPr>
                <w:sz w:val="20"/>
                <w:szCs w:val="20"/>
                <w:color w:val="auto"/>
              </w:rPr>
            </w:pPr>
            <w:r>
              <w:rPr>
                <w:rFonts w:ascii="Arial" w:cs="Arial" w:eastAsia="Arial" w:hAnsi="Arial"/>
                <w:sz w:val="14"/>
                <w:szCs w:val="14"/>
                <w:b w:val="1"/>
                <w:bCs w:val="1"/>
                <w:color w:val="333333"/>
              </w:rPr>
              <w:t>Adjustments to net sales:</w:t>
            </w:r>
          </w:p>
        </w:tc>
        <w:tc>
          <w:tcPr>
            <w:tcW w:w="5000" w:type="dxa"/>
            <w:vAlign w:val="bottom"/>
            <w:tcBorders>
              <w:bottom w:val="single" w:sz="8" w:color="595A5B"/>
            </w:tcBorders>
          </w:tcPr>
          <w:p>
            <w:pPr>
              <w:spacing w:after="0"/>
              <w:rPr>
                <w:sz w:val="18"/>
                <w:szCs w:val="18"/>
                <w:color w:val="auto"/>
              </w:rPr>
            </w:pPr>
          </w:p>
        </w:tc>
      </w:tr>
      <w:tr>
        <w:trPr>
          <w:trHeight w:val="220"/>
        </w:trPr>
        <w:tc>
          <w:tcPr>
            <w:tcW w:w="6240" w:type="dxa"/>
            <w:vAlign w:val="bottom"/>
            <w:tcBorders>
              <w:bottom w:val="single" w:sz="8" w:color="595A5B"/>
            </w:tcBorders>
            <w:shd w:val="clear" w:color="auto" w:fill="ECEDEF"/>
          </w:tcPr>
          <w:p>
            <w:pPr>
              <w:ind w:left="60"/>
              <w:spacing w:after="0"/>
              <w:rPr>
                <w:sz w:val="20"/>
                <w:szCs w:val="20"/>
                <w:color w:val="auto"/>
              </w:rPr>
            </w:pPr>
            <w:r>
              <w:rPr>
                <w:rFonts w:ascii="Arial" w:cs="Arial" w:eastAsia="Arial" w:hAnsi="Arial"/>
                <w:sz w:val="14"/>
                <w:szCs w:val="14"/>
                <w:color w:val="auto"/>
              </w:rPr>
              <w:t>Adjusted net sales</w:t>
            </w:r>
          </w:p>
        </w:tc>
        <w:tc>
          <w:tcPr>
            <w:tcW w:w="5000" w:type="dxa"/>
            <w:vAlign w:val="bottom"/>
            <w:tcBorders>
              <w:bottom w:val="single" w:sz="8" w:color="595A5B"/>
            </w:tcBorders>
            <w:shd w:val="clear" w:color="auto" w:fill="ECEDEF"/>
          </w:tcPr>
          <w:p>
            <w:pPr>
              <w:jc w:val="right"/>
              <w:spacing w:after="0"/>
              <w:rPr>
                <w:sz w:val="20"/>
                <w:szCs w:val="20"/>
                <w:color w:val="auto"/>
              </w:rPr>
            </w:pPr>
            <w:r>
              <w:rPr>
                <w:rFonts w:ascii="Arial" w:cs="Arial" w:eastAsia="Arial" w:hAnsi="Arial"/>
                <w:sz w:val="14"/>
                <w:szCs w:val="14"/>
                <w:color w:val="auto"/>
              </w:rPr>
              <w:t>$64,388</w:t>
            </w:r>
          </w:p>
        </w:tc>
      </w:tr>
    </w:tbl>
    <w:p>
      <w:pPr>
        <w:spacing w:after="0" w:line="135" w:lineRule="exact"/>
        <w:rPr>
          <w:sz w:val="20"/>
          <w:szCs w:val="20"/>
          <w:color w:val="auto"/>
        </w:rPr>
      </w:pPr>
    </w:p>
    <w:p>
      <w:pPr>
        <w:ind w:left="60" w:right="1260"/>
        <w:spacing w:after="0" w:line="264" w:lineRule="auto"/>
        <w:rPr>
          <w:sz w:val="20"/>
          <w:szCs w:val="20"/>
          <w:color w:val="auto"/>
        </w:rPr>
      </w:pPr>
      <w:r>
        <w:rPr>
          <w:rFonts w:ascii="Arial" w:cs="Arial" w:eastAsia="Arial" w:hAnsi="Arial"/>
          <w:sz w:val="17"/>
          <w:szCs w:val="17"/>
          <w:b w:val="1"/>
          <w:bCs w:val="1"/>
          <w:color w:val="auto"/>
        </w:rPr>
        <w:t>RECONCILIATION OF NET INCOME FROM CONTINUING OPERATIONS ATTRIBUTABLE TO COMMON SHAREOWNERS AND DILUTED EARNINGS PER SHARE (GAAP) TO CORRESPONDING ADJUSTED MEASURES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133590"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33590" cy="2540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Net income from continuing operations attributable to common shareowners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$3,897</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b w:val="1"/>
                <w:bCs w:val="1"/>
                <w:color w:val="333333"/>
              </w:rPr>
              <w:t>Adjustments to net income from continuing operations attributable to common shareowners:</w:t>
            </w:r>
          </w:p>
        </w:tc>
        <w:tc>
          <w:tcPr>
            <w:tcW w:w="2280" w:type="dxa"/>
            <w:vAlign w:val="bottom"/>
            <w:tcBorders>
              <w:bottom w:val="single" w:sz="8" w:color="636466"/>
            </w:tcBorders>
          </w:tcPr>
          <w:p>
            <w:pPr>
              <w:spacing w:after="0"/>
              <w:rPr>
                <w:sz w:val="18"/>
                <w:szCs w:val="18"/>
                <w:color w:val="auto"/>
              </w:rPr>
            </w:pP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Restructuring costs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$143</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Acquisition accounting adjustments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$2,203</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Significant non-recurring and non-operational charges (gains) included in operating profit</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($41)</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Significant non-recurring and non-operational items included in non-service pension income</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$17</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Debt extinguishment costs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$649</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Significant non-recurring and non-operational items included in interest expense, net</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Income tax benefit on restructuring costs and significant non-recurring and non-operational items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($535)</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Significant non-recurring and non-operational (gains) charges recorded within income tax expense</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$96</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Significant non-recurring and non-operational items included in noncontrolling interest</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$16</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Total adjustments to net income from continuing operations attributable to common shareowners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$2,548</w:t>
            </w:r>
          </w:p>
        </w:tc>
      </w:tr>
      <w:tr>
        <w:trPr>
          <w:trHeight w:val="208"/>
        </w:trPr>
        <w:tc>
          <w:tcPr>
            <w:tcW w:w="896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color w:val="auto"/>
              </w:rPr>
              <w:t>Adjusted net income from continuing operations attributable to common shareowners</w:t>
            </w:r>
          </w:p>
        </w:tc>
        <w:tc>
          <w:tcPr>
            <w:tcW w:w="22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$6,445</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Weighted average diluted shares outstanding</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1,508.5</w:t>
            </w:r>
          </w:p>
        </w:tc>
      </w:tr>
      <w:tr>
        <w:trPr>
          <w:trHeight w:val="208"/>
        </w:trPr>
        <w:tc>
          <w:tcPr>
            <w:tcW w:w="8960" w:type="dxa"/>
            <w:vAlign w:val="bottom"/>
            <w:tcBorders>
              <w:bottom w:val="single" w:sz="8" w:color="636466"/>
            </w:tcBorders>
          </w:tcPr>
          <w:p>
            <w:pPr>
              <w:ind w:left="180"/>
              <w:spacing w:after="0"/>
              <w:rPr>
                <w:sz w:val="20"/>
                <w:szCs w:val="20"/>
                <w:color w:val="auto"/>
              </w:rPr>
            </w:pPr>
            <w:r>
              <w:rPr>
                <w:rFonts w:ascii="Arial" w:cs="Arial" w:eastAsia="Arial" w:hAnsi="Arial"/>
                <w:sz w:val="14"/>
                <w:szCs w:val="14"/>
                <w:color w:val="auto"/>
              </w:rPr>
              <w:t>Impact of dilutive shares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Adjusted weighted average diluted shares outstanding</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1,508.5</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Diluted earnings per share - net income from continuing operations attributable to common shareowners</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$2.58</w:t>
            </w:r>
          </w:p>
        </w:tc>
      </w:tr>
      <w:tr>
        <w:trPr>
          <w:trHeight w:val="208"/>
        </w:trPr>
        <w:tc>
          <w:tcPr>
            <w:tcW w:w="8960" w:type="dxa"/>
            <w:vAlign w:val="bottom"/>
            <w:tcBorders>
              <w:bottom w:val="single" w:sz="8" w:color="636466"/>
            </w:tcBorders>
          </w:tcPr>
          <w:p>
            <w:pPr>
              <w:ind w:left="60"/>
              <w:spacing w:after="0"/>
              <w:rPr>
                <w:sz w:val="20"/>
                <w:szCs w:val="20"/>
                <w:color w:val="auto"/>
              </w:rPr>
            </w:pPr>
            <w:r>
              <w:rPr>
                <w:rFonts w:ascii="Arial" w:cs="Arial" w:eastAsia="Arial" w:hAnsi="Arial"/>
                <w:sz w:val="14"/>
                <w:szCs w:val="14"/>
                <w:color w:val="auto"/>
              </w:rPr>
              <w:t>Impact of non-recurring and non-operational charges on diluted earnings per share</w:t>
            </w:r>
          </w:p>
        </w:tc>
        <w:tc>
          <w:tcPr>
            <w:tcW w:w="2280" w:type="dxa"/>
            <w:vAlign w:val="bottom"/>
            <w:tcBorders>
              <w:bottom w:val="single" w:sz="8" w:color="636466"/>
            </w:tcBorders>
          </w:tcPr>
          <w:p>
            <w:pPr>
              <w:jc w:val="right"/>
              <w:spacing w:after="0"/>
              <w:rPr>
                <w:sz w:val="20"/>
                <w:szCs w:val="20"/>
                <w:color w:val="auto"/>
              </w:rPr>
            </w:pPr>
            <w:r>
              <w:rPr>
                <w:rFonts w:ascii="Arial" w:cs="Arial" w:eastAsia="Arial" w:hAnsi="Arial"/>
                <w:sz w:val="14"/>
                <w:szCs w:val="14"/>
                <w:color w:val="auto"/>
              </w:rPr>
              <w:t>$1.69</w:t>
            </w:r>
          </w:p>
        </w:tc>
      </w:tr>
      <w:tr>
        <w:trPr>
          <w:trHeight w:val="220"/>
        </w:trPr>
        <w:tc>
          <w:tcPr>
            <w:tcW w:w="8960" w:type="dxa"/>
            <w:vAlign w:val="bottom"/>
            <w:tcBorders>
              <w:bottom w:val="single" w:sz="8" w:color="636466"/>
            </w:tcBorders>
            <w:shd w:val="clear" w:color="auto" w:fill="ECEDEF"/>
          </w:tcPr>
          <w:p>
            <w:pPr>
              <w:ind w:left="60"/>
              <w:spacing w:after="0"/>
              <w:rPr>
                <w:sz w:val="20"/>
                <w:szCs w:val="20"/>
                <w:color w:val="auto"/>
              </w:rPr>
            </w:pPr>
            <w:r>
              <w:rPr>
                <w:rFonts w:ascii="Arial" w:cs="Arial" w:eastAsia="Arial" w:hAnsi="Arial"/>
                <w:sz w:val="14"/>
                <w:szCs w:val="14"/>
                <w:color w:val="auto"/>
              </w:rPr>
              <w:t>Adjusted diluted earnings per share - net income from continuing operations attributable to common shareowners</w:t>
            </w:r>
          </w:p>
        </w:tc>
        <w:tc>
          <w:tcPr>
            <w:tcW w:w="2280" w:type="dxa"/>
            <w:vAlign w:val="bottom"/>
            <w:tcBorders>
              <w:bottom w:val="single" w:sz="8" w:color="636466"/>
            </w:tcBorders>
            <w:shd w:val="clear" w:color="auto" w:fill="ECEDEF"/>
          </w:tcPr>
          <w:p>
            <w:pPr>
              <w:jc w:val="right"/>
              <w:spacing w:after="0"/>
              <w:rPr>
                <w:sz w:val="20"/>
                <w:szCs w:val="20"/>
                <w:color w:val="auto"/>
              </w:rPr>
            </w:pPr>
            <w:r>
              <w:rPr>
                <w:rFonts w:ascii="Arial" w:cs="Arial" w:eastAsia="Arial" w:hAnsi="Arial"/>
                <w:sz w:val="14"/>
                <w:szCs w:val="14"/>
                <w:color w:val="auto"/>
              </w:rPr>
              <w:t>$4.27</w:t>
            </w:r>
          </w:p>
        </w:tc>
      </w:tr>
    </w:tbl>
    <w:p>
      <w:pPr>
        <w:spacing w:after="0" w:line="243" w:lineRule="exact"/>
        <w:rPr>
          <w:sz w:val="20"/>
          <w:szCs w:val="20"/>
          <w:color w:val="auto"/>
        </w:rPr>
      </w:pPr>
    </w:p>
    <w:p>
      <w:pPr>
        <w:ind w:left="460" w:hanging="453"/>
        <w:spacing w:after="0"/>
        <w:tabs>
          <w:tab w:leader="none" w:pos="460" w:val="left"/>
        </w:tabs>
        <w:numPr>
          <w:ilvl w:val="0"/>
          <w:numId w:val="233"/>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70" w:lineRule="exact"/>
        <w:rPr>
          <w:sz w:val="20"/>
          <w:szCs w:val="20"/>
          <w:color w:val="auto"/>
        </w:rPr>
      </w:pPr>
    </w:p>
    <w:p>
      <w:pPr>
        <w:jc w:val="right"/>
        <w:ind w:right="20"/>
        <w:spacing w:after="0"/>
        <w:rPr>
          <w:sz w:val="20"/>
          <w:szCs w:val="20"/>
          <w:color w:val="auto"/>
        </w:rPr>
      </w:pPr>
      <w:r>
        <w:rPr>
          <w:rFonts w:ascii="Arial" w:cs="Arial" w:eastAsia="Arial" w:hAnsi="Arial"/>
          <w:sz w:val="12"/>
          <w:szCs w:val="12"/>
          <w:b w:val="1"/>
          <w:bCs w:val="1"/>
          <w:color w:val="auto"/>
        </w:rPr>
        <w:t>APPENDIX A: RECONCILIATION OF GAAP MEASURES TO CORRESPONDING NON-GAAP MEASURES</w:t>
      </w:r>
    </w:p>
    <w:p>
      <w:pPr>
        <w:spacing w:after="0" w:line="212" w:lineRule="exact"/>
        <w:rPr>
          <w:sz w:val="20"/>
          <w:szCs w:val="20"/>
          <w:color w:val="auto"/>
        </w:rPr>
      </w:pPr>
    </w:p>
    <w:p>
      <w:pPr>
        <w:ind w:left="60" w:right="1260"/>
        <w:spacing w:after="0" w:line="282" w:lineRule="auto"/>
        <w:rPr>
          <w:sz w:val="20"/>
          <w:szCs w:val="20"/>
          <w:color w:val="auto"/>
        </w:rPr>
      </w:pPr>
      <w:r>
        <w:rPr>
          <w:rFonts w:ascii="Arial" w:cs="Arial" w:eastAsia="Arial" w:hAnsi="Arial"/>
          <w:sz w:val="16"/>
          <w:szCs w:val="16"/>
          <w:b w:val="1"/>
          <w:bCs w:val="1"/>
          <w:color w:val="auto"/>
        </w:rPr>
        <w:t>RECONCILIATION OF CASH FLOW FROM OPERATING ACTIVITIES OF CONTINUING OPERATIONS (GAAP) TO FREE CASH FLOW (NON-GAAP)</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860" w:type="dxa"/>
            <w:vAlign w:val="bottom"/>
            <w:tcBorders>
              <w:bottom w:val="single" w:sz="8" w:color="auto"/>
            </w:tcBorders>
          </w:tcPr>
          <w:p>
            <w:pPr>
              <w:ind w:left="60"/>
              <w:spacing w:after="0"/>
              <w:rPr>
                <w:sz w:val="20"/>
                <w:szCs w:val="20"/>
                <w:color w:val="auto"/>
              </w:rPr>
            </w:pPr>
            <w:r>
              <w:rPr>
                <w:rFonts w:ascii="Arial" w:cs="Arial" w:eastAsia="Arial" w:hAnsi="Arial"/>
                <w:sz w:val="12"/>
                <w:szCs w:val="12"/>
                <w:color w:val="auto"/>
              </w:rPr>
              <w:t>(dollars in millions)</w:t>
            </w: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2021</w:t>
            </w:r>
          </w:p>
        </w:tc>
      </w:tr>
      <w:tr>
        <w:trPr>
          <w:trHeight w:val="234"/>
        </w:trPr>
        <w:tc>
          <w:tcPr>
            <w:tcW w:w="7860" w:type="dxa"/>
            <w:vAlign w:val="bottom"/>
            <w:tcBorders>
              <w:bottom w:val="single" w:sz="8" w:color="595A5B"/>
            </w:tcBorders>
          </w:tcPr>
          <w:p>
            <w:pPr>
              <w:ind w:left="60"/>
              <w:spacing w:after="0"/>
              <w:rPr>
                <w:sz w:val="20"/>
                <w:szCs w:val="20"/>
                <w:color w:val="auto"/>
              </w:rPr>
            </w:pPr>
            <w:r>
              <w:rPr>
                <w:rFonts w:ascii="Arial" w:cs="Arial" w:eastAsia="Arial" w:hAnsi="Arial"/>
                <w:sz w:val="16"/>
                <w:szCs w:val="16"/>
                <w:color w:val="auto"/>
              </w:rPr>
              <w:t>Net cash flow provided by operating activities of continuing operations</w:t>
            </w:r>
          </w:p>
        </w:tc>
        <w:tc>
          <w:tcPr>
            <w:tcW w:w="3380" w:type="dxa"/>
            <w:vAlign w:val="bottom"/>
            <w:tcBorders>
              <w:bottom w:val="single" w:sz="8" w:color="595A5B"/>
            </w:tcBorders>
          </w:tcPr>
          <w:p>
            <w:pPr>
              <w:jc w:val="right"/>
              <w:spacing w:after="0"/>
              <w:rPr>
                <w:sz w:val="20"/>
                <w:szCs w:val="20"/>
                <w:color w:val="auto"/>
              </w:rPr>
            </w:pPr>
            <w:r>
              <w:rPr>
                <w:rFonts w:ascii="Arial" w:cs="Arial" w:eastAsia="Arial" w:hAnsi="Arial"/>
                <w:sz w:val="16"/>
                <w:szCs w:val="16"/>
                <w:color w:val="auto"/>
              </w:rPr>
              <w:t>$7,142</w:t>
            </w:r>
          </w:p>
        </w:tc>
      </w:tr>
      <w:tr>
        <w:trPr>
          <w:trHeight w:val="234"/>
        </w:trPr>
        <w:tc>
          <w:tcPr>
            <w:tcW w:w="7860" w:type="dxa"/>
            <w:vAlign w:val="bottom"/>
            <w:tcBorders>
              <w:bottom w:val="single" w:sz="8" w:color="595A5B"/>
            </w:tcBorders>
          </w:tcPr>
          <w:p>
            <w:pPr>
              <w:ind w:left="180"/>
              <w:spacing w:after="0"/>
              <w:rPr>
                <w:sz w:val="20"/>
                <w:szCs w:val="20"/>
                <w:color w:val="auto"/>
              </w:rPr>
            </w:pPr>
            <w:r>
              <w:rPr>
                <w:rFonts w:ascii="Arial" w:cs="Arial" w:eastAsia="Arial" w:hAnsi="Arial"/>
                <w:sz w:val="16"/>
                <w:szCs w:val="16"/>
                <w:color w:val="auto"/>
              </w:rPr>
              <w:t>Less: capital expenditures</w:t>
            </w:r>
          </w:p>
        </w:tc>
        <w:tc>
          <w:tcPr>
            <w:tcW w:w="3380" w:type="dxa"/>
            <w:vAlign w:val="bottom"/>
            <w:tcBorders>
              <w:bottom w:val="single" w:sz="8" w:color="595A5B"/>
            </w:tcBorders>
          </w:tcPr>
          <w:p>
            <w:pPr>
              <w:jc w:val="right"/>
              <w:spacing w:after="0"/>
              <w:rPr>
                <w:sz w:val="20"/>
                <w:szCs w:val="20"/>
                <w:color w:val="auto"/>
              </w:rPr>
            </w:pPr>
            <w:r>
              <w:rPr>
                <w:rFonts w:ascii="Arial" w:cs="Arial" w:eastAsia="Arial" w:hAnsi="Arial"/>
                <w:sz w:val="16"/>
                <w:szCs w:val="16"/>
                <w:color w:val="auto"/>
              </w:rPr>
              <w:t>$2,134</w:t>
            </w:r>
          </w:p>
        </w:tc>
      </w:tr>
      <w:tr>
        <w:trPr>
          <w:trHeight w:val="248"/>
        </w:trPr>
        <w:tc>
          <w:tcPr>
            <w:tcW w:w="7860" w:type="dxa"/>
            <w:vAlign w:val="bottom"/>
            <w:tcBorders>
              <w:bottom w:val="single" w:sz="8" w:color="595A5B"/>
            </w:tcBorders>
            <w:shd w:val="clear" w:color="auto" w:fill="EDEDED"/>
          </w:tcPr>
          <w:p>
            <w:pPr>
              <w:ind w:left="60"/>
              <w:spacing w:after="0"/>
              <w:rPr>
                <w:sz w:val="20"/>
                <w:szCs w:val="20"/>
                <w:color w:val="auto"/>
              </w:rPr>
            </w:pPr>
            <w:r>
              <w:rPr>
                <w:rFonts w:ascii="Arial" w:cs="Arial" w:eastAsia="Arial" w:hAnsi="Arial"/>
                <w:sz w:val="16"/>
                <w:szCs w:val="16"/>
                <w:color w:val="auto"/>
              </w:rPr>
              <w:t>Free cash flow from continuing operations</w:t>
            </w:r>
          </w:p>
        </w:tc>
        <w:tc>
          <w:tcPr>
            <w:tcW w:w="3380" w:type="dxa"/>
            <w:vAlign w:val="bottom"/>
            <w:tcBorders>
              <w:bottom w:val="single" w:sz="8" w:color="595A5B"/>
            </w:tcBorders>
            <w:shd w:val="clear" w:color="auto" w:fill="EDEDED"/>
          </w:tcPr>
          <w:p>
            <w:pPr>
              <w:jc w:val="right"/>
              <w:spacing w:after="0"/>
              <w:rPr>
                <w:sz w:val="20"/>
                <w:szCs w:val="20"/>
                <w:color w:val="auto"/>
              </w:rPr>
            </w:pPr>
            <w:r>
              <w:rPr>
                <w:rFonts w:ascii="Arial" w:cs="Arial" w:eastAsia="Arial" w:hAnsi="Arial"/>
                <w:sz w:val="16"/>
                <w:szCs w:val="16"/>
                <w:color w:val="auto"/>
              </w:rPr>
              <w:t>$5,008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AND DEFINITIONS OF NON-GAAP FINANCIAL MEASURES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reports its financial results in accordance with accounting principles generally accepted in the United States (“GAAP”).</w:t>
      </w:r>
    </w:p>
    <w:p>
      <w:pPr>
        <w:spacing w:after="0" w:line="19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supplement the reporting of our financial information determined under GAAP with certain non-GAAP financial information. This non-GAAP information provides investors with additional useful information, but should not be considered in isolation or as substitutes for the related GAAP measures. Moreover, other companies may define non-GAAP measures differently, which limits the usefulness of these measures for comparisons with such other companies. We encourage investors to review our financial statements and publicly filed reports in their entirety and not to rely on any single financial measure.</w:t>
      </w:r>
    </w:p>
    <w:p>
      <w:pPr>
        <w:spacing w:after="0" w:line="15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color w:val="auto"/>
        </w:rPr>
        <w:t xml:space="preserve">Adjusted net sales, adjusted net income and adjusted earnings per share (“EPS”) </w:t>
      </w:r>
      <w:r>
        <w:rPr>
          <w:rFonts w:ascii="Arial" w:cs="Arial" w:eastAsia="Arial" w:hAnsi="Arial"/>
          <w:sz w:val="16"/>
          <w:szCs w:val="16"/>
          <w:color w:val="auto"/>
        </w:rPr>
        <w:t>are non-GAAP financial measures.</w:t>
      </w:r>
      <w:r>
        <w:rPr>
          <w:rFonts w:ascii="Arial" w:cs="Arial" w:eastAsia="Arial" w:hAnsi="Arial"/>
          <w:sz w:val="16"/>
          <w:szCs w:val="16"/>
          <w:b w:val="1"/>
          <w:bCs w:val="1"/>
          <w:color w:val="auto"/>
        </w:rPr>
        <w:t xml:space="preserve"> Adjusted net sales </w:t>
      </w:r>
      <w:r>
        <w:rPr>
          <w:rFonts w:ascii="Arial" w:cs="Arial" w:eastAsia="Arial" w:hAnsi="Arial"/>
          <w:sz w:val="16"/>
          <w:szCs w:val="16"/>
          <w:color w:val="auto"/>
        </w:rPr>
        <w:t>represents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consolidated net sales (a GAAP measure), excluding significant items of a non-recurring and/or non-operational nature (hereinafter referred to as “other significant items”). </w:t>
      </w:r>
      <w:r>
        <w:rPr>
          <w:rFonts w:ascii="Arial" w:cs="Arial" w:eastAsia="Arial" w:hAnsi="Arial"/>
          <w:sz w:val="16"/>
          <w:szCs w:val="16"/>
          <w:b w:val="1"/>
          <w:bCs w:val="1"/>
          <w:color w:val="auto"/>
        </w:rPr>
        <w:t>Adjusted net income</w:t>
      </w:r>
      <w:r>
        <w:rPr>
          <w:rFonts w:ascii="Arial" w:cs="Arial" w:eastAsia="Arial" w:hAnsi="Arial"/>
          <w:sz w:val="16"/>
          <w:szCs w:val="16"/>
          <w:color w:val="auto"/>
        </w:rPr>
        <w:t xml:space="preserve"> represents net income from continuing operations (a GAAP measure), excluding restructuring costs, acquisition accounting adjustments and other significant items. Acquisition accounting adjustments include the amortization of acquired intangible assets related to acquisitions, the amortization of the property, plant and equipment fair value adjustment acquired through acquisitions and the amortization of customer contractual obligations related to loss making or below market contracts acquired. </w:t>
      </w:r>
      <w:r>
        <w:rPr>
          <w:rFonts w:ascii="Arial" w:cs="Arial" w:eastAsia="Arial" w:hAnsi="Arial"/>
          <w:sz w:val="16"/>
          <w:szCs w:val="16"/>
          <w:b w:val="1"/>
          <w:bCs w:val="1"/>
          <w:color w:val="auto"/>
        </w:rPr>
        <w:t>Adjusted EPS</w:t>
      </w:r>
      <w:r>
        <w:rPr>
          <w:rFonts w:ascii="Arial" w:cs="Arial" w:eastAsia="Arial" w:hAnsi="Arial"/>
          <w:sz w:val="16"/>
          <w:szCs w:val="16"/>
          <w:color w:val="auto"/>
        </w:rPr>
        <w:t xml:space="preserve"> represents diluted earnings per share from continuing operations (a GAAP measure), excluding restructuring costs, acquisition accounting adjustments and other significant items. Management believes that these non-GAAP measures are useful in providing period-to-period comparisons of the results of the Company’s ongoing operational performance.</w:t>
      </w:r>
    </w:p>
    <w:p>
      <w:pPr>
        <w:spacing w:after="0" w:line="154"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b w:val="1"/>
          <w:bCs w:val="1"/>
          <w:color w:val="auto"/>
        </w:rPr>
        <w:t xml:space="preserve">Free cash flow </w:t>
      </w:r>
      <w:r>
        <w:rPr>
          <w:rFonts w:ascii="Arial" w:cs="Arial" w:eastAsia="Arial" w:hAnsi="Arial"/>
          <w:sz w:val="16"/>
          <w:szCs w:val="16"/>
          <w:color w:val="auto"/>
        </w:rPr>
        <w:t>is a non-GAAP financial measure that represents cash flow from operating activities of continuing operations (a GAAP measure) less capital</w:t>
      </w:r>
      <w:r>
        <w:rPr>
          <w:rFonts w:ascii="Arial" w:cs="Arial" w:eastAsia="Arial" w:hAnsi="Arial"/>
          <w:sz w:val="16"/>
          <w:szCs w:val="16"/>
          <w:b w:val="1"/>
          <w:bCs w:val="1"/>
          <w:color w:val="auto"/>
        </w:rPr>
        <w:t xml:space="preserve"> </w:t>
      </w:r>
      <w:r>
        <w:rPr>
          <w:rFonts w:ascii="Arial" w:cs="Arial" w:eastAsia="Arial" w:hAnsi="Arial"/>
          <w:sz w:val="16"/>
          <w:szCs w:val="16"/>
          <w:color w:val="auto"/>
        </w:rPr>
        <w:t>expenditures. Management believes free cash flow is a useful measure of liquidity and an additional basis for assessing RTX’s ability to fund its activities, including the financing of acquisitions, debt service, repurchases of RTX’s Common Stock and distribution of earnings to shareowners.</w:t>
      </w:r>
    </w:p>
    <w:p>
      <w:pPr>
        <w:spacing w:after="0" w:line="165"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 reconciliation of the non-GAAP measures to the corresponding amounts prepared in accordance with GAAP appears in the tables on this page and the prior page. The tables provide additional information as to the items and amounts that have been excluded from the adjusted measures.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920" w:type="dxa"/>
            <w:vAlign w:val="bottom"/>
          </w:tcPr>
          <w:p>
            <w:pPr>
              <w:ind w:left="7760"/>
              <w:spacing w:after="0"/>
              <w:rPr>
                <w:sz w:val="20"/>
                <w:szCs w:val="20"/>
                <w:color w:val="auto"/>
              </w:rPr>
            </w:pPr>
            <w:r>
              <w:rPr>
                <w:rFonts w:ascii="Arial" w:cs="Arial" w:eastAsia="Arial" w:hAnsi="Arial"/>
                <w:sz w:val="12"/>
                <w:szCs w:val="12"/>
                <w:color w:val="CE0F2D"/>
                <w:w w:val="99"/>
              </w:rPr>
              <w:t xml:space="preserve">RAYTHEON TECHNOLOGIES </w:t>
            </w:r>
            <w:r>
              <w:rPr>
                <w:rFonts w:ascii="Arial" w:cs="Arial" w:eastAsia="Arial" w:hAnsi="Arial"/>
                <w:sz w:val="12"/>
                <w:szCs w:val="12"/>
                <w:color w:val="000000"/>
                <w:w w:val="99"/>
              </w:rPr>
              <w:t>2022 PROXY STATEMENT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103</w:t>
            </w:r>
          </w:p>
        </w:tc>
      </w:tr>
      <w:tr>
        <w:trPr>
          <w:trHeight w:val="110"/>
        </w:trPr>
        <w:tc>
          <w:tcPr>
            <w:tcW w:w="10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620"/>
        <w:spacing w:after="0" w:line="258" w:lineRule="auto"/>
        <w:rPr>
          <w:sz w:val="20"/>
          <w:szCs w:val="20"/>
          <w:color w:val="auto"/>
        </w:rPr>
      </w:pPr>
      <w:r>
        <w:rPr>
          <w:rFonts w:ascii="Arial" w:cs="Arial" w:eastAsia="Arial" w:hAnsi="Arial"/>
          <w:sz w:val="50"/>
          <w:szCs w:val="50"/>
          <w:b w:val="1"/>
          <w:bCs w:val="1"/>
          <w:color w:val="auto"/>
        </w:rPr>
        <w:t>Appendix B: Financial Performance Metrics Used in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6427470" cy="508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427470" cy="50800"/>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All performance measures are based on results from continuing operations, unless otherwise noted.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720" w:type="dxa"/>
            <w:vAlign w:val="bottom"/>
          </w:tcPr>
          <w:p>
            <w:pPr>
              <w:ind w:left="60"/>
              <w:spacing w:after="0"/>
              <w:rPr>
                <w:sz w:val="20"/>
                <w:szCs w:val="20"/>
                <w:color w:val="auto"/>
              </w:rPr>
            </w:pPr>
            <w:r>
              <w:rPr>
                <w:rFonts w:ascii="Arial" w:cs="Arial" w:eastAsia="Arial" w:hAnsi="Arial"/>
                <w:sz w:val="12"/>
                <w:szCs w:val="12"/>
                <w:b w:val="1"/>
                <w:bCs w:val="1"/>
                <w:color w:val="auto"/>
              </w:rPr>
              <w:t>Plan</w:t>
            </w:r>
          </w:p>
        </w:tc>
        <w:tc>
          <w:tcPr>
            <w:tcW w:w="2680" w:type="dxa"/>
            <w:vAlign w:val="bottom"/>
          </w:tcPr>
          <w:p>
            <w:pPr>
              <w:ind w:left="40"/>
              <w:spacing w:after="0"/>
              <w:rPr>
                <w:sz w:val="20"/>
                <w:szCs w:val="20"/>
                <w:color w:val="auto"/>
              </w:rPr>
            </w:pPr>
            <w:r>
              <w:rPr>
                <w:rFonts w:ascii="Arial" w:cs="Arial" w:eastAsia="Arial" w:hAnsi="Arial"/>
                <w:sz w:val="12"/>
                <w:szCs w:val="12"/>
                <w:b w:val="1"/>
                <w:bCs w:val="1"/>
                <w:color w:val="auto"/>
              </w:rPr>
              <w:t>Metric</w:t>
            </w:r>
          </w:p>
        </w:tc>
        <w:tc>
          <w:tcPr>
            <w:tcW w:w="3040" w:type="dxa"/>
            <w:vAlign w:val="bottom"/>
          </w:tcPr>
          <w:p>
            <w:pPr>
              <w:ind w:left="240"/>
              <w:spacing w:after="0"/>
              <w:rPr>
                <w:sz w:val="20"/>
                <w:szCs w:val="20"/>
                <w:color w:val="auto"/>
              </w:rPr>
            </w:pPr>
            <w:r>
              <w:rPr>
                <w:rFonts w:ascii="Arial" w:cs="Arial" w:eastAsia="Arial" w:hAnsi="Arial"/>
                <w:sz w:val="12"/>
                <w:szCs w:val="12"/>
                <w:b w:val="1"/>
                <w:bCs w:val="1"/>
                <w:color w:val="auto"/>
              </w:rPr>
              <w:t>RTX</w:t>
            </w:r>
          </w:p>
        </w:tc>
        <w:tc>
          <w:tcPr>
            <w:tcW w:w="2800" w:type="dxa"/>
            <w:vAlign w:val="bottom"/>
          </w:tcPr>
          <w:p>
            <w:pPr>
              <w:ind w:left="100"/>
              <w:spacing w:after="0"/>
              <w:rPr>
                <w:sz w:val="20"/>
                <w:szCs w:val="20"/>
                <w:color w:val="auto"/>
              </w:rPr>
            </w:pPr>
            <w:r>
              <w:rPr>
                <w:rFonts w:ascii="Arial" w:cs="Arial" w:eastAsia="Arial" w:hAnsi="Arial"/>
                <w:sz w:val="12"/>
                <w:szCs w:val="12"/>
                <w:b w:val="1"/>
                <w:bCs w:val="1"/>
                <w:color w:val="auto"/>
              </w:rPr>
              <w:t>Business Units</w:t>
            </w:r>
          </w:p>
        </w:tc>
      </w:tr>
      <w:tr>
        <w:trPr>
          <w:trHeight w:val="51"/>
        </w:trPr>
        <w:tc>
          <w:tcPr>
            <w:tcW w:w="2720" w:type="dxa"/>
            <w:vAlign w:val="bottom"/>
            <w:tcBorders>
              <w:bottom w:val="single" w:sz="8" w:color="636466"/>
            </w:tcBorders>
          </w:tcPr>
          <w:p>
            <w:pPr>
              <w:spacing w:after="0"/>
              <w:rPr>
                <w:sz w:val="4"/>
                <w:szCs w:val="4"/>
                <w:color w:val="auto"/>
              </w:rPr>
            </w:pPr>
          </w:p>
        </w:tc>
        <w:tc>
          <w:tcPr>
            <w:tcW w:w="2680" w:type="dxa"/>
            <w:vAlign w:val="bottom"/>
            <w:tcBorders>
              <w:bottom w:val="single" w:sz="8" w:color="636466"/>
            </w:tcBorders>
          </w:tcPr>
          <w:p>
            <w:pPr>
              <w:spacing w:after="0"/>
              <w:rPr>
                <w:sz w:val="4"/>
                <w:szCs w:val="4"/>
                <w:color w:val="auto"/>
              </w:rPr>
            </w:pPr>
          </w:p>
        </w:tc>
        <w:tc>
          <w:tcPr>
            <w:tcW w:w="3040" w:type="dxa"/>
            <w:vAlign w:val="bottom"/>
            <w:tcBorders>
              <w:bottom w:val="single" w:sz="8" w:color="636466"/>
            </w:tcBorders>
          </w:tcPr>
          <w:p>
            <w:pPr>
              <w:spacing w:after="0"/>
              <w:rPr>
                <w:sz w:val="4"/>
                <w:szCs w:val="4"/>
                <w:color w:val="auto"/>
              </w:rPr>
            </w:pPr>
          </w:p>
        </w:tc>
        <w:tc>
          <w:tcPr>
            <w:tcW w:w="2800" w:type="dxa"/>
            <w:vAlign w:val="bottom"/>
            <w:tcBorders>
              <w:bottom w:val="single" w:sz="8" w:color="636466"/>
            </w:tcBorders>
          </w:tcPr>
          <w:p>
            <w:pPr>
              <w:spacing w:after="0"/>
              <w:rPr>
                <w:sz w:val="4"/>
                <w:szCs w:val="4"/>
                <w:color w:val="auto"/>
              </w:rPr>
            </w:pPr>
          </w:p>
        </w:tc>
      </w:tr>
      <w:tr>
        <w:trPr>
          <w:trHeight w:val="173"/>
        </w:trPr>
        <w:tc>
          <w:tcPr>
            <w:tcW w:w="2720" w:type="dxa"/>
            <w:vAlign w:val="bottom"/>
          </w:tcPr>
          <w:p>
            <w:pPr>
              <w:ind w:left="60"/>
              <w:spacing w:after="0"/>
              <w:rPr>
                <w:sz w:val="20"/>
                <w:szCs w:val="20"/>
                <w:color w:val="auto"/>
              </w:rPr>
            </w:pPr>
            <w:r>
              <w:rPr>
                <w:rFonts w:ascii="Arial" w:cs="Arial" w:eastAsia="Arial" w:hAnsi="Arial"/>
                <w:sz w:val="13"/>
                <w:szCs w:val="13"/>
                <w:b w:val="1"/>
                <w:bCs w:val="1"/>
                <w:color w:val="auto"/>
              </w:rPr>
              <w:t>Annual incentives</w:t>
            </w:r>
          </w:p>
        </w:tc>
        <w:tc>
          <w:tcPr>
            <w:tcW w:w="2680" w:type="dxa"/>
            <w:vAlign w:val="bottom"/>
          </w:tcPr>
          <w:p>
            <w:pPr>
              <w:ind w:left="40"/>
              <w:spacing w:after="0"/>
              <w:rPr>
                <w:sz w:val="20"/>
                <w:szCs w:val="20"/>
                <w:color w:val="auto"/>
              </w:rPr>
            </w:pPr>
            <w:r>
              <w:rPr>
                <w:rFonts w:ascii="Arial" w:cs="Arial" w:eastAsia="Arial" w:hAnsi="Arial"/>
                <w:sz w:val="13"/>
                <w:szCs w:val="13"/>
                <w:color w:val="auto"/>
              </w:rPr>
              <w:t>Earnings Metric</w:t>
            </w:r>
          </w:p>
        </w:tc>
        <w:tc>
          <w:tcPr>
            <w:tcW w:w="3040" w:type="dxa"/>
            <w:vAlign w:val="bottom"/>
          </w:tcPr>
          <w:p>
            <w:pPr>
              <w:ind w:left="240"/>
              <w:spacing w:after="0"/>
              <w:rPr>
                <w:sz w:val="20"/>
                <w:szCs w:val="20"/>
                <w:color w:val="auto"/>
              </w:rPr>
            </w:pPr>
            <w:r>
              <w:rPr>
                <w:rFonts w:ascii="Arial" w:cs="Arial" w:eastAsia="Arial" w:hAnsi="Arial"/>
                <w:sz w:val="13"/>
                <w:szCs w:val="13"/>
                <w:color w:val="auto"/>
              </w:rPr>
              <w:t>RTX’s net income attributable to common</w:t>
            </w:r>
          </w:p>
        </w:tc>
        <w:tc>
          <w:tcPr>
            <w:tcW w:w="2800" w:type="dxa"/>
            <w:vAlign w:val="bottom"/>
          </w:tcPr>
          <w:p>
            <w:pPr>
              <w:ind w:left="100"/>
              <w:spacing w:after="0"/>
              <w:rPr>
                <w:sz w:val="20"/>
                <w:szCs w:val="20"/>
                <w:color w:val="auto"/>
              </w:rPr>
            </w:pPr>
            <w:r>
              <w:rPr>
                <w:rFonts w:ascii="Arial" w:cs="Arial" w:eastAsia="Arial" w:hAnsi="Arial"/>
                <w:sz w:val="13"/>
                <w:szCs w:val="13"/>
                <w:color w:val="auto"/>
              </w:rPr>
              <w:t>Business unit operating income (as reported</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shareowners (as reported in the 2021 Annual</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in the 2021 Annual Report on Form 10-K),</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Report on Form 10-K), adjusted for</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adjusted for restructuring costs, the impact of</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restructuring, the impact of acquisitions and</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acquisitions and divestitures (including</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divestitures (including acquisition accounting</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acquisition accounting adjustments), and</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adjustments), and non-recurring and other</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non-recurring and other significant, non-</w:t>
            </w:r>
          </w:p>
        </w:tc>
      </w:tr>
      <w:tr>
        <w:trPr>
          <w:trHeight w:val="168"/>
        </w:trPr>
        <w:tc>
          <w:tcPr>
            <w:tcW w:w="2720" w:type="dxa"/>
            <w:vAlign w:val="bottom"/>
          </w:tcPr>
          <w:p>
            <w:pPr>
              <w:spacing w:after="0"/>
              <w:rPr>
                <w:sz w:val="14"/>
                <w:szCs w:val="14"/>
                <w:color w:val="auto"/>
              </w:rPr>
            </w:pPr>
          </w:p>
        </w:tc>
        <w:tc>
          <w:tcPr>
            <w:tcW w:w="2680" w:type="dxa"/>
            <w:vAlign w:val="bottom"/>
            <w:tcBorders>
              <w:bottom w:val="single" w:sz="8" w:color="818284"/>
            </w:tcBorders>
          </w:tcPr>
          <w:p>
            <w:pPr>
              <w:spacing w:after="0"/>
              <w:rPr>
                <w:sz w:val="14"/>
                <w:szCs w:val="14"/>
                <w:color w:val="auto"/>
              </w:rPr>
            </w:pPr>
          </w:p>
        </w:tc>
        <w:tc>
          <w:tcPr>
            <w:tcW w:w="3040" w:type="dxa"/>
            <w:vAlign w:val="bottom"/>
            <w:tcBorders>
              <w:bottom w:val="single" w:sz="8" w:color="818284"/>
            </w:tcBorders>
          </w:tcPr>
          <w:p>
            <w:pPr>
              <w:ind w:left="240"/>
              <w:spacing w:after="0"/>
              <w:rPr>
                <w:sz w:val="20"/>
                <w:szCs w:val="20"/>
                <w:color w:val="auto"/>
              </w:rPr>
            </w:pPr>
            <w:r>
              <w:rPr>
                <w:rFonts w:ascii="Arial" w:cs="Arial" w:eastAsia="Arial" w:hAnsi="Arial"/>
                <w:sz w:val="13"/>
                <w:szCs w:val="13"/>
                <w:color w:val="auto"/>
              </w:rPr>
              <w:t>significant, non-operational items.</w:t>
            </w:r>
          </w:p>
        </w:tc>
        <w:tc>
          <w:tcPr>
            <w:tcW w:w="2800" w:type="dxa"/>
            <w:vAlign w:val="bottom"/>
            <w:tcBorders>
              <w:bottom w:val="single" w:sz="8" w:color="818284"/>
            </w:tcBorders>
          </w:tcPr>
          <w:p>
            <w:pPr>
              <w:ind w:left="100"/>
              <w:spacing w:after="0"/>
              <w:rPr>
                <w:sz w:val="20"/>
                <w:szCs w:val="20"/>
                <w:color w:val="auto"/>
              </w:rPr>
            </w:pPr>
            <w:r>
              <w:rPr>
                <w:rFonts w:ascii="Arial" w:cs="Arial" w:eastAsia="Arial" w:hAnsi="Arial"/>
                <w:sz w:val="13"/>
                <w:szCs w:val="13"/>
                <w:color w:val="auto"/>
              </w:rPr>
              <w:t>operational items.</w:t>
            </w:r>
          </w:p>
        </w:tc>
      </w:tr>
      <w:tr>
        <w:trPr>
          <w:trHeight w:val="173"/>
        </w:trPr>
        <w:tc>
          <w:tcPr>
            <w:tcW w:w="2720" w:type="dxa"/>
            <w:vAlign w:val="bottom"/>
          </w:tcPr>
          <w:p>
            <w:pPr>
              <w:spacing w:after="0"/>
              <w:rPr>
                <w:sz w:val="15"/>
                <w:szCs w:val="15"/>
                <w:color w:val="auto"/>
              </w:rPr>
            </w:pPr>
          </w:p>
        </w:tc>
        <w:tc>
          <w:tcPr>
            <w:tcW w:w="2680" w:type="dxa"/>
            <w:vAlign w:val="bottom"/>
          </w:tcPr>
          <w:p>
            <w:pPr>
              <w:ind w:left="40"/>
              <w:spacing w:after="0"/>
              <w:rPr>
                <w:sz w:val="20"/>
                <w:szCs w:val="20"/>
                <w:color w:val="auto"/>
              </w:rPr>
            </w:pPr>
            <w:r>
              <w:rPr>
                <w:rFonts w:ascii="Arial" w:cs="Arial" w:eastAsia="Arial" w:hAnsi="Arial"/>
                <w:sz w:val="13"/>
                <w:szCs w:val="13"/>
                <w:color w:val="auto"/>
              </w:rPr>
              <w:t>Free Cash Flow Metric</w:t>
            </w:r>
          </w:p>
        </w:tc>
        <w:tc>
          <w:tcPr>
            <w:tcW w:w="3040" w:type="dxa"/>
            <w:vAlign w:val="bottom"/>
          </w:tcPr>
          <w:p>
            <w:pPr>
              <w:ind w:left="240"/>
              <w:spacing w:after="0"/>
              <w:rPr>
                <w:sz w:val="20"/>
                <w:szCs w:val="20"/>
                <w:color w:val="auto"/>
              </w:rPr>
            </w:pPr>
            <w:r>
              <w:rPr>
                <w:rFonts w:ascii="Arial" w:cs="Arial" w:eastAsia="Arial" w:hAnsi="Arial"/>
                <w:sz w:val="13"/>
                <w:szCs w:val="13"/>
                <w:color w:val="auto"/>
              </w:rPr>
              <w:t>Consolidated net cash flow provided by</w:t>
            </w:r>
          </w:p>
        </w:tc>
        <w:tc>
          <w:tcPr>
            <w:tcW w:w="2800" w:type="dxa"/>
            <w:vAlign w:val="bottom"/>
          </w:tcPr>
          <w:p>
            <w:pPr>
              <w:ind w:left="100"/>
              <w:spacing w:after="0"/>
              <w:rPr>
                <w:sz w:val="20"/>
                <w:szCs w:val="20"/>
                <w:color w:val="auto"/>
              </w:rPr>
            </w:pPr>
            <w:r>
              <w:rPr>
                <w:rFonts w:ascii="Arial" w:cs="Arial" w:eastAsia="Arial" w:hAnsi="Arial"/>
                <w:sz w:val="13"/>
                <w:szCs w:val="13"/>
                <w:color w:val="auto"/>
              </w:rPr>
              <w:t>Internal measure based on business unit net</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operating activities, less capital expenditures</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cash flow provided by operating activities,</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(both as reported in the 2021 Annual Report</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less capital expenditures, adjusted for</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on Form 10-K), adjusted for restructuring, the</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restructuring, the impact of acquisitions and</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impact of acquisitions and divestitures, and</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divestitures, and non-recurring and other</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040" w:type="dxa"/>
            <w:vAlign w:val="bottom"/>
          </w:tcPr>
          <w:p>
            <w:pPr>
              <w:ind w:left="240"/>
              <w:spacing w:after="0" w:line="148" w:lineRule="exact"/>
              <w:rPr>
                <w:sz w:val="20"/>
                <w:szCs w:val="20"/>
                <w:color w:val="auto"/>
              </w:rPr>
            </w:pPr>
            <w:r>
              <w:rPr>
                <w:rFonts w:ascii="Arial" w:cs="Arial" w:eastAsia="Arial" w:hAnsi="Arial"/>
                <w:sz w:val="13"/>
                <w:szCs w:val="13"/>
                <w:color w:val="auto"/>
              </w:rPr>
              <w:t>non-recurring and other significant, non-</w:t>
            </w:r>
          </w:p>
        </w:tc>
        <w:tc>
          <w:tcPr>
            <w:tcW w:w="2800" w:type="dxa"/>
            <w:vAlign w:val="bottom"/>
          </w:tcPr>
          <w:p>
            <w:pPr>
              <w:ind w:left="100"/>
              <w:spacing w:after="0" w:line="148" w:lineRule="exact"/>
              <w:rPr>
                <w:sz w:val="20"/>
                <w:szCs w:val="20"/>
                <w:color w:val="auto"/>
              </w:rPr>
            </w:pPr>
            <w:r>
              <w:rPr>
                <w:rFonts w:ascii="Arial" w:cs="Arial" w:eastAsia="Arial" w:hAnsi="Arial"/>
                <w:sz w:val="13"/>
                <w:szCs w:val="13"/>
                <w:color w:val="auto"/>
              </w:rPr>
              <w:t>significant, non-operational items.</w:t>
            </w:r>
          </w:p>
        </w:tc>
      </w:tr>
      <w:tr>
        <w:trPr>
          <w:trHeight w:val="182"/>
        </w:trPr>
        <w:tc>
          <w:tcPr>
            <w:tcW w:w="2720" w:type="dxa"/>
            <w:vAlign w:val="bottom"/>
            <w:tcBorders>
              <w:bottom w:val="single" w:sz="8" w:color="818284"/>
            </w:tcBorders>
          </w:tcPr>
          <w:p>
            <w:pPr>
              <w:spacing w:after="0"/>
              <w:rPr>
                <w:sz w:val="15"/>
                <w:szCs w:val="15"/>
                <w:color w:val="auto"/>
              </w:rPr>
            </w:pPr>
          </w:p>
        </w:tc>
        <w:tc>
          <w:tcPr>
            <w:tcW w:w="2680" w:type="dxa"/>
            <w:vAlign w:val="bottom"/>
            <w:tcBorders>
              <w:bottom w:val="single" w:sz="8" w:color="818284"/>
            </w:tcBorders>
          </w:tcPr>
          <w:p>
            <w:pPr>
              <w:spacing w:after="0"/>
              <w:rPr>
                <w:sz w:val="15"/>
                <w:szCs w:val="15"/>
                <w:color w:val="auto"/>
              </w:rPr>
            </w:pPr>
          </w:p>
        </w:tc>
        <w:tc>
          <w:tcPr>
            <w:tcW w:w="3040" w:type="dxa"/>
            <w:vAlign w:val="bottom"/>
            <w:tcBorders>
              <w:bottom w:val="single" w:sz="8" w:color="818284"/>
            </w:tcBorders>
          </w:tcPr>
          <w:p>
            <w:pPr>
              <w:ind w:left="240"/>
              <w:spacing w:after="0"/>
              <w:rPr>
                <w:sz w:val="20"/>
                <w:szCs w:val="20"/>
                <w:color w:val="auto"/>
              </w:rPr>
            </w:pPr>
            <w:r>
              <w:rPr>
                <w:rFonts w:ascii="Arial" w:cs="Arial" w:eastAsia="Arial" w:hAnsi="Arial"/>
                <w:sz w:val="13"/>
                <w:szCs w:val="13"/>
                <w:color w:val="auto"/>
              </w:rPr>
              <w:t>operational items.</w:t>
            </w:r>
          </w:p>
        </w:tc>
        <w:tc>
          <w:tcPr>
            <w:tcW w:w="2800" w:type="dxa"/>
            <w:vAlign w:val="bottom"/>
            <w:tcBorders>
              <w:bottom w:val="single" w:sz="8" w:color="818284"/>
            </w:tcBorders>
          </w:tcPr>
          <w:p>
            <w:pPr>
              <w:spacing w:after="0"/>
              <w:rPr>
                <w:sz w:val="15"/>
                <w:szCs w:val="15"/>
                <w:color w:val="auto"/>
              </w:rPr>
            </w:pPr>
          </w:p>
        </w:tc>
      </w:tr>
      <w:tr>
        <w:trPr>
          <w:trHeight w:val="173"/>
        </w:trPr>
        <w:tc>
          <w:tcPr>
            <w:tcW w:w="2720" w:type="dxa"/>
            <w:vAlign w:val="bottom"/>
          </w:tcPr>
          <w:p>
            <w:pPr>
              <w:ind w:left="60"/>
              <w:spacing w:after="0"/>
              <w:rPr>
                <w:sz w:val="20"/>
                <w:szCs w:val="20"/>
                <w:color w:val="auto"/>
              </w:rPr>
            </w:pPr>
            <w:r>
              <w:rPr>
                <w:rFonts w:ascii="Arial" w:cs="Arial" w:eastAsia="Arial" w:hAnsi="Arial"/>
                <w:sz w:val="13"/>
                <w:szCs w:val="13"/>
                <w:b w:val="1"/>
                <w:bCs w:val="1"/>
                <w:color w:val="auto"/>
              </w:rPr>
              <w:t>Long-term incentives</w:t>
            </w:r>
          </w:p>
        </w:tc>
        <w:tc>
          <w:tcPr>
            <w:tcW w:w="2680" w:type="dxa"/>
            <w:vAlign w:val="bottom"/>
          </w:tcPr>
          <w:p>
            <w:pPr>
              <w:ind w:left="40"/>
              <w:spacing w:after="0"/>
              <w:rPr>
                <w:sz w:val="20"/>
                <w:szCs w:val="20"/>
                <w:color w:val="auto"/>
              </w:rPr>
            </w:pPr>
            <w:r>
              <w:rPr>
                <w:rFonts w:ascii="Arial" w:cs="Arial" w:eastAsia="Arial" w:hAnsi="Arial"/>
                <w:sz w:val="13"/>
                <w:szCs w:val="13"/>
                <w:color w:val="auto"/>
              </w:rPr>
              <w:t>Adjusted Earnings Per Share Metric</w:t>
            </w:r>
          </w:p>
        </w:tc>
        <w:tc>
          <w:tcPr>
            <w:tcW w:w="5840" w:type="dxa"/>
            <w:vAlign w:val="bottom"/>
            <w:gridSpan w:val="2"/>
          </w:tcPr>
          <w:p>
            <w:pPr>
              <w:ind w:left="240"/>
              <w:spacing w:after="0"/>
              <w:rPr>
                <w:sz w:val="20"/>
                <w:szCs w:val="20"/>
                <w:color w:val="auto"/>
              </w:rPr>
            </w:pPr>
            <w:r>
              <w:rPr>
                <w:rFonts w:ascii="Arial" w:cs="Arial" w:eastAsia="Arial" w:hAnsi="Arial"/>
                <w:sz w:val="13"/>
                <w:szCs w:val="13"/>
                <w:color w:val="auto"/>
              </w:rPr>
              <w:t>Diluted earnings per share, adjusted for restructuring, acquisitions and divestitures, including</w:t>
            </w:r>
          </w:p>
        </w:tc>
      </w:tr>
      <w:tr>
        <w:trPr>
          <w:trHeight w:val="168"/>
        </w:trPr>
        <w:tc>
          <w:tcPr>
            <w:tcW w:w="2720" w:type="dxa"/>
            <w:vAlign w:val="bottom"/>
          </w:tcPr>
          <w:p>
            <w:pPr>
              <w:spacing w:after="0"/>
              <w:rPr>
                <w:sz w:val="14"/>
                <w:szCs w:val="14"/>
                <w:color w:val="auto"/>
              </w:rPr>
            </w:pPr>
          </w:p>
        </w:tc>
        <w:tc>
          <w:tcPr>
            <w:tcW w:w="2680" w:type="dxa"/>
            <w:vAlign w:val="bottom"/>
            <w:tcBorders>
              <w:bottom w:val="single" w:sz="8" w:color="818284"/>
            </w:tcBorders>
          </w:tcPr>
          <w:p>
            <w:pPr>
              <w:spacing w:after="0"/>
              <w:rPr>
                <w:sz w:val="14"/>
                <w:szCs w:val="14"/>
                <w:color w:val="auto"/>
              </w:rPr>
            </w:pPr>
          </w:p>
        </w:tc>
        <w:tc>
          <w:tcPr>
            <w:tcW w:w="5840" w:type="dxa"/>
            <w:vAlign w:val="bottom"/>
            <w:tcBorders>
              <w:bottom w:val="single" w:sz="8" w:color="818284"/>
            </w:tcBorders>
            <w:gridSpan w:val="2"/>
          </w:tcPr>
          <w:p>
            <w:pPr>
              <w:ind w:left="240"/>
              <w:spacing w:after="0"/>
              <w:rPr>
                <w:sz w:val="20"/>
                <w:szCs w:val="20"/>
                <w:color w:val="auto"/>
              </w:rPr>
            </w:pPr>
            <w:r>
              <w:rPr>
                <w:rFonts w:ascii="Arial" w:cs="Arial" w:eastAsia="Arial" w:hAnsi="Arial"/>
                <w:sz w:val="13"/>
                <w:szCs w:val="13"/>
                <w:color w:val="auto"/>
              </w:rPr>
              <w:t>accounting adjustments, non-recurring and other significant, non-operational items.</w:t>
            </w:r>
          </w:p>
        </w:tc>
      </w:tr>
      <w:tr>
        <w:trPr>
          <w:trHeight w:val="173"/>
        </w:trPr>
        <w:tc>
          <w:tcPr>
            <w:tcW w:w="2720" w:type="dxa"/>
            <w:vAlign w:val="bottom"/>
          </w:tcPr>
          <w:p>
            <w:pPr>
              <w:spacing w:after="0"/>
              <w:rPr>
                <w:sz w:val="15"/>
                <w:szCs w:val="15"/>
                <w:color w:val="auto"/>
              </w:rPr>
            </w:pPr>
          </w:p>
        </w:tc>
        <w:tc>
          <w:tcPr>
            <w:tcW w:w="2680" w:type="dxa"/>
            <w:vAlign w:val="bottom"/>
          </w:tcPr>
          <w:p>
            <w:pPr>
              <w:ind w:left="40"/>
              <w:spacing w:after="0"/>
              <w:rPr>
                <w:sz w:val="20"/>
                <w:szCs w:val="20"/>
                <w:color w:val="auto"/>
              </w:rPr>
            </w:pPr>
            <w:r>
              <w:rPr>
                <w:rFonts w:ascii="Arial" w:cs="Arial" w:eastAsia="Arial" w:hAnsi="Arial"/>
                <w:sz w:val="13"/>
                <w:szCs w:val="13"/>
                <w:color w:val="auto"/>
              </w:rPr>
              <w:t>Return on Invested Capital Metric</w:t>
            </w:r>
          </w:p>
        </w:tc>
        <w:tc>
          <w:tcPr>
            <w:tcW w:w="5840" w:type="dxa"/>
            <w:vAlign w:val="bottom"/>
            <w:gridSpan w:val="2"/>
          </w:tcPr>
          <w:p>
            <w:pPr>
              <w:ind w:left="240"/>
              <w:spacing w:after="0"/>
              <w:rPr>
                <w:sz w:val="20"/>
                <w:szCs w:val="20"/>
                <w:color w:val="auto"/>
              </w:rPr>
            </w:pPr>
            <w:r>
              <w:rPr>
                <w:rFonts w:ascii="Arial" w:cs="Arial" w:eastAsia="Arial" w:hAnsi="Arial"/>
                <w:sz w:val="13"/>
                <w:szCs w:val="13"/>
                <w:color w:val="auto"/>
              </w:rPr>
              <w:t>Quarterly average, net operating profit after tax (“NOPAT”), adjusted for noncontrolling</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interest, non-service pension, acquisitions and divestiture earnings, one-timers, restructuring,</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material one-time tax charges and the impact of foreign exchange fluctuations, divided by</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invested capital (total debt less cash plus equity), adjusted for accumulated other</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comprehensive income, cash and equivalents, acquisition and divestiture borrowings, short-</w:t>
            </w:r>
          </w:p>
        </w:tc>
      </w:tr>
      <w:tr>
        <w:trPr>
          <w:trHeight w:val="168"/>
        </w:trPr>
        <w:tc>
          <w:tcPr>
            <w:tcW w:w="2720" w:type="dxa"/>
            <w:vAlign w:val="bottom"/>
          </w:tcPr>
          <w:p>
            <w:pPr>
              <w:spacing w:after="0"/>
              <w:rPr>
                <w:sz w:val="14"/>
                <w:szCs w:val="14"/>
                <w:color w:val="auto"/>
              </w:rPr>
            </w:pPr>
          </w:p>
        </w:tc>
        <w:tc>
          <w:tcPr>
            <w:tcW w:w="2680" w:type="dxa"/>
            <w:vAlign w:val="bottom"/>
            <w:tcBorders>
              <w:bottom w:val="single" w:sz="8" w:color="818284"/>
            </w:tcBorders>
          </w:tcPr>
          <w:p>
            <w:pPr>
              <w:spacing w:after="0"/>
              <w:rPr>
                <w:sz w:val="14"/>
                <w:szCs w:val="14"/>
                <w:color w:val="auto"/>
              </w:rPr>
            </w:pPr>
          </w:p>
        </w:tc>
        <w:tc>
          <w:tcPr>
            <w:tcW w:w="5840" w:type="dxa"/>
            <w:vAlign w:val="bottom"/>
            <w:tcBorders>
              <w:bottom w:val="single" w:sz="8" w:color="818284"/>
            </w:tcBorders>
            <w:gridSpan w:val="2"/>
          </w:tcPr>
          <w:p>
            <w:pPr>
              <w:ind w:left="240"/>
              <w:spacing w:after="0"/>
              <w:rPr>
                <w:sz w:val="20"/>
                <w:szCs w:val="20"/>
                <w:color w:val="auto"/>
              </w:rPr>
            </w:pPr>
            <w:r>
              <w:rPr>
                <w:rFonts w:ascii="Arial" w:cs="Arial" w:eastAsia="Arial" w:hAnsi="Arial"/>
                <w:sz w:val="13"/>
                <w:szCs w:val="13"/>
                <w:color w:val="auto"/>
              </w:rPr>
              <w:t>term borrowings and material one-time tax charges.</w:t>
            </w:r>
          </w:p>
        </w:tc>
      </w:tr>
      <w:tr>
        <w:trPr>
          <w:trHeight w:val="173"/>
        </w:trPr>
        <w:tc>
          <w:tcPr>
            <w:tcW w:w="2720" w:type="dxa"/>
            <w:vAlign w:val="bottom"/>
          </w:tcPr>
          <w:p>
            <w:pPr>
              <w:spacing w:after="0"/>
              <w:rPr>
                <w:sz w:val="15"/>
                <w:szCs w:val="15"/>
                <w:color w:val="auto"/>
              </w:rPr>
            </w:pPr>
          </w:p>
        </w:tc>
        <w:tc>
          <w:tcPr>
            <w:tcW w:w="2680" w:type="dxa"/>
            <w:vAlign w:val="bottom"/>
          </w:tcPr>
          <w:p>
            <w:pPr>
              <w:ind w:left="40"/>
              <w:spacing w:after="0"/>
              <w:rPr>
                <w:sz w:val="20"/>
                <w:szCs w:val="20"/>
                <w:color w:val="auto"/>
              </w:rPr>
            </w:pPr>
            <w:r>
              <w:rPr>
                <w:rFonts w:ascii="Arial" w:cs="Arial" w:eastAsia="Arial" w:hAnsi="Arial"/>
                <w:sz w:val="13"/>
                <w:szCs w:val="13"/>
                <w:color w:val="auto"/>
              </w:rPr>
              <w:t>Relative Total Shareowner Return Metric</w:t>
            </w:r>
          </w:p>
        </w:tc>
        <w:tc>
          <w:tcPr>
            <w:tcW w:w="5840" w:type="dxa"/>
            <w:vAlign w:val="bottom"/>
            <w:gridSpan w:val="2"/>
          </w:tcPr>
          <w:p>
            <w:pPr>
              <w:ind w:left="240"/>
              <w:spacing w:after="0"/>
              <w:rPr>
                <w:sz w:val="20"/>
                <w:szCs w:val="20"/>
                <w:color w:val="auto"/>
              </w:rPr>
            </w:pPr>
            <w:r>
              <w:rPr>
                <w:rFonts w:ascii="Arial" w:cs="Arial" w:eastAsia="Arial" w:hAnsi="Arial"/>
                <w:sz w:val="13"/>
                <w:szCs w:val="13"/>
                <w:color w:val="auto"/>
              </w:rPr>
              <w:t>Total investment return on Common Stock between two points in time, using a trailing 60-day</w:t>
            </w:r>
          </w:p>
        </w:tc>
      </w:tr>
      <w:tr>
        <w:trPr>
          <w:trHeight w:val="147"/>
        </w:trPr>
        <w:tc>
          <w:tcPr>
            <w:tcW w:w="27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840" w:type="dxa"/>
            <w:vAlign w:val="bottom"/>
            <w:gridSpan w:val="2"/>
          </w:tcPr>
          <w:p>
            <w:pPr>
              <w:ind w:left="240"/>
              <w:spacing w:after="0" w:line="148" w:lineRule="exact"/>
              <w:rPr>
                <w:sz w:val="20"/>
                <w:szCs w:val="20"/>
                <w:color w:val="auto"/>
              </w:rPr>
            </w:pPr>
            <w:r>
              <w:rPr>
                <w:rFonts w:ascii="Arial" w:cs="Arial" w:eastAsia="Arial" w:hAnsi="Arial"/>
                <w:sz w:val="13"/>
                <w:szCs w:val="13"/>
                <w:color w:val="auto"/>
              </w:rPr>
              <w:t>average, calculated to account for changes in share price and reinvested dividends, compared</w:t>
            </w:r>
          </w:p>
        </w:tc>
      </w:tr>
      <w:tr>
        <w:trPr>
          <w:trHeight w:val="182"/>
        </w:trPr>
        <w:tc>
          <w:tcPr>
            <w:tcW w:w="2720" w:type="dxa"/>
            <w:vAlign w:val="bottom"/>
            <w:tcBorders>
              <w:bottom w:val="single" w:sz="8" w:color="818284"/>
            </w:tcBorders>
          </w:tcPr>
          <w:p>
            <w:pPr>
              <w:spacing w:after="0"/>
              <w:rPr>
                <w:sz w:val="15"/>
                <w:szCs w:val="15"/>
                <w:color w:val="auto"/>
              </w:rPr>
            </w:pPr>
          </w:p>
        </w:tc>
        <w:tc>
          <w:tcPr>
            <w:tcW w:w="2680" w:type="dxa"/>
            <w:vAlign w:val="bottom"/>
            <w:tcBorders>
              <w:bottom w:val="single" w:sz="8" w:color="818284"/>
            </w:tcBorders>
          </w:tcPr>
          <w:p>
            <w:pPr>
              <w:spacing w:after="0"/>
              <w:rPr>
                <w:sz w:val="15"/>
                <w:szCs w:val="15"/>
                <w:color w:val="auto"/>
              </w:rPr>
            </w:pPr>
          </w:p>
        </w:tc>
        <w:tc>
          <w:tcPr>
            <w:tcW w:w="5840" w:type="dxa"/>
            <w:vAlign w:val="bottom"/>
            <w:tcBorders>
              <w:bottom w:val="single" w:sz="8" w:color="818284"/>
            </w:tcBorders>
            <w:gridSpan w:val="2"/>
          </w:tcPr>
          <w:p>
            <w:pPr>
              <w:ind w:left="240"/>
              <w:spacing w:after="0"/>
              <w:rPr>
                <w:sz w:val="20"/>
                <w:szCs w:val="20"/>
                <w:color w:val="auto"/>
              </w:rPr>
            </w:pPr>
            <w:r>
              <w:rPr>
                <w:rFonts w:ascii="Arial" w:cs="Arial" w:eastAsia="Arial" w:hAnsi="Arial"/>
                <w:sz w:val="13"/>
                <w:szCs w:val="13"/>
                <w:color w:val="auto"/>
              </w:rPr>
              <w:t>to the companies within the S&amp;P 500 Index and our Core A&amp;D Peers.</w:t>
            </w:r>
          </w:p>
        </w:tc>
      </w:tr>
    </w:tbl>
    <w:p>
      <w:pPr>
        <w:spacing w:after="0" w:line="243" w:lineRule="exact"/>
        <w:rPr>
          <w:sz w:val="20"/>
          <w:szCs w:val="20"/>
          <w:color w:val="auto"/>
        </w:rPr>
      </w:pPr>
    </w:p>
    <w:p>
      <w:pPr>
        <w:ind w:left="460" w:hanging="453"/>
        <w:spacing w:after="0"/>
        <w:tabs>
          <w:tab w:leader="none" w:pos="460" w:val="left"/>
        </w:tabs>
        <w:numPr>
          <w:ilvl w:val="0"/>
          <w:numId w:val="234"/>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right="1340"/>
        <w:spacing w:after="0" w:line="258" w:lineRule="auto"/>
        <w:rPr>
          <w:sz w:val="20"/>
          <w:szCs w:val="20"/>
          <w:color w:val="auto"/>
        </w:rPr>
      </w:pPr>
      <w:r>
        <w:rPr>
          <w:rFonts w:ascii="Arial" w:cs="Arial" w:eastAsia="Arial" w:hAnsi="Arial"/>
          <w:sz w:val="50"/>
          <w:szCs w:val="50"/>
          <w:b w:val="1"/>
          <w:bCs w:val="1"/>
          <w:color w:val="auto"/>
        </w:rPr>
        <w:t>Appendix C: Proposed Amendment to the Corporation’s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wp:posOffset>
            </wp:positionV>
            <wp:extent cx="6427470" cy="508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427470" cy="5080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Restated Certificate of Incorporation would be amended and restated to reflect the following amendment to Article Ninth:</w:t>
      </w:r>
    </w:p>
    <w:p>
      <w:pPr>
        <w:spacing w:after="0" w:line="191" w:lineRule="exact"/>
        <w:rPr>
          <w:sz w:val="20"/>
          <w:szCs w:val="20"/>
          <w:color w:val="auto"/>
        </w:rPr>
      </w:pPr>
    </w:p>
    <w:p>
      <w:pPr>
        <w:ind w:right="160"/>
        <w:spacing w:after="0" w:line="250" w:lineRule="auto"/>
        <w:rPr>
          <w:sz w:val="20"/>
          <w:szCs w:val="20"/>
          <w:color w:val="auto"/>
        </w:rPr>
      </w:pPr>
      <w:r>
        <w:rPr>
          <w:rFonts w:ascii="Arial" w:cs="Arial" w:eastAsia="Arial" w:hAnsi="Arial"/>
          <w:sz w:val="16"/>
          <w:szCs w:val="16"/>
          <w:i w:val="1"/>
          <w:iCs w:val="1"/>
          <w:color w:val="auto"/>
        </w:rPr>
        <w:t xml:space="preserve">SECTION 7. Amendment, Repeal, etc. </w:t>
      </w:r>
      <w:r>
        <w:rPr>
          <w:rFonts w:ascii="Arial" w:cs="Arial" w:eastAsia="Arial" w:hAnsi="Arial"/>
          <w:sz w:val="16"/>
          <w:szCs w:val="16"/>
          <w:color w:val="auto"/>
        </w:rPr>
        <w:t>Notwithstanding any other provisions of this Certificate of Incorporation or the Bylaws of the Corporation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notwithstanding the fact that a lesser percentage may be specified by law, this Certificate of Incorporation or the Bylaws of the Corporation), the affirmative vote of the holders of </w:t>
      </w:r>
      <w:r>
        <w:rPr>
          <w:rFonts w:ascii="Arial" w:cs="Arial" w:eastAsia="Arial" w:hAnsi="Arial"/>
          <w:sz w:val="16"/>
          <w:szCs w:val="16"/>
          <w:color w:val="auto"/>
          <w:strike w:val="1"/>
        </w:rPr>
        <w:t>80%</w:t>
      </w:r>
      <w:r>
        <w:rPr>
          <w:rFonts w:ascii="Arial" w:cs="Arial" w:eastAsia="Arial" w:hAnsi="Arial"/>
          <w:sz w:val="16"/>
          <w:szCs w:val="16"/>
          <w:color w:val="auto"/>
        </w:rPr>
        <w:t xml:space="preserve"> </w:t>
      </w:r>
      <w:r>
        <w:rPr>
          <w:rFonts w:ascii="Arial" w:cs="Arial" w:eastAsia="Arial" w:hAnsi="Arial"/>
          <w:sz w:val="16"/>
          <w:szCs w:val="16"/>
          <w:u w:val="single" w:color="auto"/>
          <w:color w:val="auto"/>
        </w:rPr>
        <w:t>a majority</w:t>
      </w:r>
      <w:r>
        <w:rPr>
          <w:rFonts w:ascii="Arial" w:cs="Arial" w:eastAsia="Arial" w:hAnsi="Arial"/>
          <w:sz w:val="16"/>
          <w:szCs w:val="16"/>
          <w:color w:val="auto"/>
        </w:rPr>
        <w:t xml:space="preserve"> of the voting power of the shares of the then outstanding Voting Stock, voting together as a single class, shall be required to amend or repeal, or adopt any provisions inconsistent with, this Article Ninth of this Certificate of Incorporation</w:t>
      </w:r>
      <w:r>
        <w:rPr>
          <w:rFonts w:ascii="Arial" w:cs="Arial" w:eastAsia="Arial" w:hAnsi="Arial"/>
          <w:sz w:val="16"/>
          <w:szCs w:val="16"/>
          <w:color w:val="auto"/>
          <w:strike w:val="1"/>
        </w:rPr>
        <w:t>; provided, however, that the</w:t>
      </w:r>
      <w:r>
        <w:rPr>
          <w:rFonts w:ascii="Arial" w:cs="Arial" w:eastAsia="Arial" w:hAnsi="Arial"/>
          <w:sz w:val="16"/>
          <w:szCs w:val="16"/>
          <w:color w:val="auto"/>
        </w:rPr>
        <w:t xml:space="preserve"> </w:t>
      </w:r>
      <w:r>
        <w:rPr>
          <w:rFonts w:ascii="Arial" w:cs="Arial" w:eastAsia="Arial" w:hAnsi="Arial"/>
          <w:sz w:val="16"/>
          <w:szCs w:val="16"/>
          <w:color w:val="auto"/>
          <w:strike w:val="1"/>
        </w:rPr>
        <w:t>preceding provisions of this Section 7 shall not be applicable to any amendment to this Article Ninth of this Certificate of Incorporation, and such amendment shall require only such affirmative vote as is required by law and any other provisions of this Certificate of Incorporation, if such amendment shall have been approved by a majority of the Disinterested Directors.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920" w:type="dxa"/>
            <w:vAlign w:val="bottom"/>
          </w:tcPr>
          <w:p>
            <w:pPr>
              <w:ind w:left="7760"/>
              <w:spacing w:after="0"/>
              <w:rPr>
                <w:sz w:val="20"/>
                <w:szCs w:val="20"/>
                <w:color w:val="auto"/>
              </w:rPr>
            </w:pPr>
            <w:r>
              <w:rPr>
                <w:rFonts w:ascii="Arial" w:cs="Arial" w:eastAsia="Arial" w:hAnsi="Arial"/>
                <w:sz w:val="12"/>
                <w:szCs w:val="12"/>
                <w:color w:val="CE0F2D"/>
                <w:w w:val="99"/>
              </w:rPr>
              <w:t xml:space="preserve">RAYTHEON TECHNOLOGIES </w:t>
            </w:r>
            <w:r>
              <w:rPr>
                <w:rFonts w:ascii="Arial" w:cs="Arial" w:eastAsia="Arial" w:hAnsi="Arial"/>
                <w:sz w:val="12"/>
                <w:szCs w:val="12"/>
                <w:color w:val="000000"/>
                <w:w w:val="99"/>
              </w:rPr>
              <w:t>2022 PROXY STATEMENT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105</w:t>
            </w:r>
          </w:p>
        </w:tc>
      </w:tr>
      <w:tr>
        <w:trPr>
          <w:trHeight w:val="110"/>
        </w:trPr>
        <w:tc>
          <w:tcPr>
            <w:tcW w:w="10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808080"/>
        </w:rPr>
        <w:t>This page is intentionally left blank.</w:t>
      </w:r>
    </w:p>
    <w:p>
      <w:pPr>
        <w:spacing w:after="0" w:line="184" w:lineRule="exact"/>
        <w:rPr>
          <w:sz w:val="20"/>
          <w:szCs w:val="20"/>
          <w:color w:val="auto"/>
        </w:rPr>
      </w:pPr>
    </w:p>
    <w:p>
      <w:pPr>
        <w:ind w:left="460" w:hanging="453"/>
        <w:spacing w:after="0"/>
        <w:tabs>
          <w:tab w:leader="none" w:pos="460" w:val="left"/>
        </w:tabs>
        <w:numPr>
          <w:ilvl w:val="0"/>
          <w:numId w:val="235"/>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808080"/>
        </w:rPr>
        <w:t>This page is intentionally left blank.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0920" w:type="dxa"/>
            <w:vAlign w:val="bottom"/>
          </w:tcPr>
          <w:p>
            <w:pPr>
              <w:ind w:left="7760"/>
              <w:spacing w:after="0"/>
              <w:rPr>
                <w:sz w:val="20"/>
                <w:szCs w:val="20"/>
                <w:color w:val="auto"/>
              </w:rPr>
            </w:pPr>
            <w:r>
              <w:rPr>
                <w:rFonts w:ascii="Arial" w:cs="Arial" w:eastAsia="Arial" w:hAnsi="Arial"/>
                <w:sz w:val="12"/>
                <w:szCs w:val="12"/>
                <w:color w:val="CE0F2D"/>
                <w:w w:val="99"/>
              </w:rPr>
              <w:t xml:space="preserve">RAYTHEON TECHNOLOGIES </w:t>
            </w:r>
            <w:r>
              <w:rPr>
                <w:rFonts w:ascii="Arial" w:cs="Arial" w:eastAsia="Arial" w:hAnsi="Arial"/>
                <w:sz w:val="12"/>
                <w:szCs w:val="12"/>
                <w:color w:val="000000"/>
                <w:w w:val="99"/>
              </w:rPr>
              <w:t>2022 PROXY STATEMENT</w:t>
            </w: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107</w:t>
            </w:r>
          </w:p>
        </w:tc>
      </w:tr>
      <w:tr>
        <w:trPr>
          <w:trHeight w:val="110"/>
        </w:trPr>
        <w:tc>
          <w:tcPr>
            <w:tcW w:w="1092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76" w:lineRule="exact"/>
        <w:rPr>
          <w:sz w:val="20"/>
          <w:szCs w:val="20"/>
          <w:color w:val="auto"/>
        </w:rPr>
      </w:pPr>
    </w:p>
    <w:p>
      <w:pPr>
        <w:jc w:val="right"/>
        <w:ind w:right="3139"/>
        <w:spacing w:after="0"/>
        <w:rPr>
          <w:sz w:val="20"/>
          <w:szCs w:val="20"/>
          <w:color w:val="auto"/>
        </w:rPr>
      </w:pPr>
      <w:r>
        <w:rPr>
          <w:rFonts w:ascii="Arial" w:cs="Arial" w:eastAsia="Arial" w:hAnsi="Arial"/>
          <w:sz w:val="18"/>
          <w:szCs w:val="18"/>
          <w:color w:val="808080"/>
        </w:rPr>
        <w:t>This page is intentionally left blank.</w:t>
      </w:r>
    </w:p>
    <w:p>
      <w:pPr>
        <w:spacing w:after="0" w:line="171" w:lineRule="exact"/>
        <w:rPr>
          <w:sz w:val="20"/>
          <w:szCs w:val="20"/>
          <w:color w:val="auto"/>
        </w:rPr>
      </w:pPr>
    </w:p>
    <w:p>
      <w:pPr>
        <w:ind w:left="460" w:hanging="453"/>
        <w:spacing w:after="0"/>
        <w:tabs>
          <w:tab w:leader="none" w:pos="460" w:val="left"/>
        </w:tabs>
        <w:numPr>
          <w:ilvl w:val="0"/>
          <w:numId w:val="236"/>
        </w:numPr>
        <w:rPr>
          <w:rFonts w:ascii="Arial" w:cs="Arial" w:eastAsia="Arial" w:hAnsi="Arial"/>
          <w:sz w:val="12"/>
          <w:szCs w:val="12"/>
          <w:b w:val="1"/>
          <w:bCs w:val="1"/>
          <w:color w:val="auto"/>
        </w:rPr>
      </w:pPr>
      <w:r>
        <w:rPr>
          <w:rFonts w:ascii="Arial" w:cs="Arial" w:eastAsia="Arial" w:hAnsi="Arial"/>
          <w:sz w:val="12"/>
          <w:szCs w:val="12"/>
          <w:color w:val="CE0F2D"/>
        </w:rPr>
        <w:t xml:space="preserve">RAYTHEON TECHNOLOGIES </w:t>
      </w:r>
      <w:r>
        <w:rPr>
          <w:rFonts w:ascii="Arial" w:cs="Arial" w:eastAsia="Arial" w:hAnsi="Arial"/>
          <w:sz w:val="12"/>
          <w:szCs w:val="12"/>
          <w:color w:val="000000"/>
        </w:rPr>
        <w:t>2022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62230</wp:posOffset>
            </wp:positionV>
            <wp:extent cx="7154545"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123" w:lineRule="exact"/>
        <w:rPr>
          <w:sz w:val="20"/>
          <w:szCs w:val="20"/>
          <w:color w:val="auto"/>
        </w:rPr>
      </w:pPr>
    </w:p>
    <w:p>
      <w:pPr>
        <w:ind w:right="3800"/>
        <w:spacing w:after="0" w:line="278" w:lineRule="auto"/>
        <w:rPr>
          <w:sz w:val="20"/>
          <w:szCs w:val="20"/>
          <w:color w:val="auto"/>
        </w:rPr>
      </w:pPr>
      <w:r>
        <w:rPr>
          <w:rFonts w:ascii="Arial" w:cs="Arial" w:eastAsia="Arial" w:hAnsi="Arial"/>
          <w:sz w:val="57"/>
          <w:szCs w:val="57"/>
          <w:b w:val="1"/>
          <w:bCs w:val="1"/>
          <w:color w:val="auto"/>
        </w:rPr>
        <w:t>Our Recognition as an Employer of Choice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-921385</wp:posOffset>
            </wp:positionV>
            <wp:extent cx="7133590" cy="14281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33590" cy="1428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80"/>
        <w:spacing w:after="0" w:line="251" w:lineRule="auto"/>
        <w:rPr>
          <w:sz w:val="20"/>
          <w:szCs w:val="20"/>
          <w:color w:val="auto"/>
        </w:rPr>
      </w:pPr>
      <w:r>
        <w:rPr>
          <w:rFonts w:ascii="Arial" w:cs="Arial" w:eastAsia="Arial" w:hAnsi="Arial"/>
          <w:sz w:val="25"/>
          <w:szCs w:val="25"/>
          <w:color w:val="auto"/>
        </w:rPr>
        <w:t>We are growing and sustaining an inclusive workforce where employees are empowered to realize their full potential, maximize their performance and help us produce the advanced technologies that will redefine aerospace and defense.</w:t>
      </w:r>
    </w:p>
    <w:p>
      <w:pPr>
        <w:sectPr>
          <w:pgSz w:w="11900" w:h="16838" w:orient="portrait"/>
          <w:cols w:equalWidth="0" w:num="1">
            <w:col w:w="11260"/>
          </w:cols>
          <w:pgMar w:left="320" w:top="118" w:right="319" w:bottom="1440" w:gutter="0" w:footer="0" w:header="0"/>
        </w:sectPr>
      </w:pPr>
    </w:p>
    <w:p>
      <w:pPr>
        <w:spacing w:after="0" w:line="159" w:lineRule="exact"/>
        <w:rPr>
          <w:sz w:val="20"/>
          <w:szCs w:val="20"/>
          <w:color w:val="auto"/>
        </w:rPr>
      </w:pPr>
    </w:p>
    <w:p>
      <w:pPr>
        <w:ind w:right="380"/>
        <w:spacing w:after="0" w:line="273" w:lineRule="auto"/>
        <w:rPr>
          <w:sz w:val="20"/>
          <w:szCs w:val="20"/>
          <w:color w:val="auto"/>
        </w:rPr>
      </w:pPr>
      <w:r>
        <w:rPr>
          <w:rFonts w:ascii="Arial" w:cs="Arial" w:eastAsia="Arial" w:hAnsi="Arial"/>
          <w:sz w:val="27"/>
          <w:szCs w:val="27"/>
          <w:b w:val="1"/>
          <w:bCs w:val="1"/>
          <w:color w:val="auto"/>
        </w:rPr>
        <w:t>Best Companies to Work for Disability Inclusion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3358515" cy="508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58515" cy="508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CE0F2D"/>
        </w:rPr>
        <w:t>Disability:IN—Disability Equality Index</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40"/>
        <w:spacing w:after="0" w:line="273" w:lineRule="auto"/>
        <w:rPr>
          <w:sz w:val="20"/>
          <w:szCs w:val="20"/>
          <w:color w:val="auto"/>
        </w:rPr>
      </w:pPr>
      <w:r>
        <w:rPr>
          <w:rFonts w:ascii="Arial" w:cs="Arial" w:eastAsia="Arial" w:hAnsi="Arial"/>
          <w:sz w:val="27"/>
          <w:szCs w:val="27"/>
          <w:b w:val="1"/>
          <w:bCs w:val="1"/>
          <w:color w:val="auto"/>
        </w:rPr>
        <w:t>Best Companies for Diversity &amp; Inclusion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3349625" cy="508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49625" cy="50800"/>
                    </a:xfrm>
                    <a:prstGeom prst="rect">
                      <a:avLst/>
                    </a:prstGeom>
                    <a:noFill/>
                  </pic:spPr>
                </pic:pic>
              </a:graphicData>
            </a:graphic>
          </wp:anchor>
        </w:drawing>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i w:val="1"/>
          <w:iCs w:val="1"/>
          <w:color w:val="CE0F2D"/>
        </w:rPr>
        <w:t>Working Mothers—Seramount Inclusion Index</w:t>
      </w:r>
    </w:p>
    <w:p>
      <w:pPr>
        <w:spacing w:after="0" w:line="200" w:lineRule="exact"/>
        <w:rPr>
          <w:sz w:val="20"/>
          <w:szCs w:val="20"/>
          <w:color w:val="auto"/>
        </w:rPr>
      </w:pPr>
    </w:p>
    <w:p>
      <w:pPr>
        <w:sectPr>
          <w:pgSz w:w="11900" w:h="16838" w:orient="portrait"/>
          <w:cols w:equalWidth="0" w:num="2">
            <w:col w:w="5240" w:space="720"/>
            <w:col w:w="5300"/>
          </w:cols>
          <w:pgMar w:left="320" w:top="118" w:right="31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363"/>
        </w:trPr>
        <w:tc>
          <w:tcPr>
            <w:tcW w:w="5300" w:type="dxa"/>
            <w:vAlign w:val="bottom"/>
          </w:tcPr>
          <w:p>
            <w:pPr>
              <w:spacing w:after="0"/>
              <w:rPr>
                <w:sz w:val="20"/>
                <w:szCs w:val="20"/>
                <w:color w:val="auto"/>
              </w:rPr>
            </w:pPr>
            <w:r>
              <w:rPr>
                <w:rFonts w:ascii="Arial" w:cs="Arial" w:eastAsia="Arial" w:hAnsi="Arial"/>
                <w:sz w:val="27"/>
                <w:szCs w:val="27"/>
                <w:b w:val="1"/>
                <w:bCs w:val="1"/>
                <w:color w:val="auto"/>
              </w:rPr>
              <w:t>Top 50 Companies for Diversity</w:t>
            </w:r>
          </w:p>
        </w:tc>
        <w:tc>
          <w:tcPr>
            <w:tcW w:w="6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27"/>
                <w:szCs w:val="27"/>
                <w:b w:val="1"/>
                <w:bCs w:val="1"/>
                <w:color w:val="auto"/>
              </w:rPr>
              <w:t>World’s Best Employers</w:t>
            </w:r>
          </w:p>
        </w:tc>
        <w:tc>
          <w:tcPr>
            <w:tcW w:w="20" w:type="dxa"/>
            <w:vAlign w:val="bottom"/>
          </w:tcPr>
          <w:p>
            <w:pPr>
              <w:spacing w:after="0"/>
              <w:rPr>
                <w:sz w:val="24"/>
                <w:szCs w:val="24"/>
                <w:color w:val="auto"/>
              </w:rPr>
            </w:pPr>
          </w:p>
        </w:tc>
      </w:tr>
      <w:tr>
        <w:trPr>
          <w:trHeight w:val="87"/>
        </w:trPr>
        <w:tc>
          <w:tcPr>
            <w:tcW w:w="5300" w:type="dxa"/>
            <w:vAlign w:val="bottom"/>
            <w:shd w:val="clear" w:color="auto" w:fill="CE0F2D"/>
          </w:tcPr>
          <w:p>
            <w:pPr>
              <w:spacing w:after="0"/>
              <w:rPr>
                <w:sz w:val="7"/>
                <w:szCs w:val="7"/>
                <w:color w:val="auto"/>
              </w:rPr>
            </w:pPr>
          </w:p>
        </w:tc>
        <w:tc>
          <w:tcPr>
            <w:tcW w:w="660" w:type="dxa"/>
            <w:vAlign w:val="bottom"/>
          </w:tcPr>
          <w:p>
            <w:pPr>
              <w:spacing w:after="0"/>
              <w:rPr>
                <w:sz w:val="7"/>
                <w:szCs w:val="7"/>
                <w:color w:val="auto"/>
              </w:rPr>
            </w:pPr>
          </w:p>
        </w:tc>
        <w:tc>
          <w:tcPr>
            <w:tcW w:w="5280" w:type="dxa"/>
            <w:vAlign w:val="bottom"/>
            <w:shd w:val="clear" w:color="auto" w:fill="CE0F2D"/>
          </w:tcPr>
          <w:p>
            <w:pPr>
              <w:spacing w:after="0"/>
              <w:rPr>
                <w:sz w:val="7"/>
                <w:szCs w:val="7"/>
                <w:color w:val="auto"/>
              </w:rPr>
            </w:pPr>
          </w:p>
        </w:tc>
        <w:tc>
          <w:tcPr>
            <w:tcW w:w="20" w:type="dxa"/>
            <w:vAlign w:val="bottom"/>
          </w:tcPr>
          <w:p>
            <w:pPr>
              <w:spacing w:after="0"/>
              <w:rPr>
                <w:sz w:val="7"/>
                <w:szCs w:val="7"/>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i w:val="1"/>
                <w:iCs w:val="1"/>
                <w:color w:val="CE0F2D"/>
              </w:rPr>
              <w:t>DiversityInc.</w:t>
            </w: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6"/>
                <w:szCs w:val="16"/>
                <w:i w:val="1"/>
                <w:iCs w:val="1"/>
                <w:color w:val="CE0F2D"/>
              </w:rPr>
              <w:t>Forbes</w:t>
            </w:r>
          </w:p>
        </w:tc>
        <w:tc>
          <w:tcPr>
            <w:tcW w:w="20" w:type="dxa"/>
            <w:vAlign w:val="bottom"/>
          </w:tcPr>
          <w:p>
            <w:pPr>
              <w:spacing w:after="0"/>
              <w:rPr>
                <w:sz w:val="19"/>
                <w:szCs w:val="19"/>
                <w:color w:val="auto"/>
              </w:rPr>
            </w:pPr>
          </w:p>
        </w:tc>
      </w:tr>
      <w:tr>
        <w:trPr>
          <w:trHeight w:val="506"/>
        </w:trPr>
        <w:tc>
          <w:tcPr>
            <w:tcW w:w="5300" w:type="dxa"/>
            <w:vAlign w:val="bottom"/>
          </w:tcPr>
          <w:p>
            <w:pPr>
              <w:spacing w:after="0"/>
              <w:rPr>
                <w:sz w:val="20"/>
                <w:szCs w:val="20"/>
                <w:color w:val="auto"/>
              </w:rPr>
            </w:pPr>
            <w:r>
              <w:rPr>
                <w:rFonts w:ascii="Arial" w:cs="Arial" w:eastAsia="Arial" w:hAnsi="Arial"/>
                <w:sz w:val="27"/>
                <w:szCs w:val="27"/>
                <w:b w:val="1"/>
                <w:bCs w:val="1"/>
                <w:color w:val="auto"/>
              </w:rPr>
              <w:t>Best Places to Work for LGBTQ Equality</w:t>
            </w:r>
          </w:p>
        </w:tc>
        <w:tc>
          <w:tcPr>
            <w:tcW w:w="6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27"/>
                <w:szCs w:val="27"/>
                <w:b w:val="1"/>
                <w:bCs w:val="1"/>
                <w:color w:val="auto"/>
              </w:rPr>
              <w:t>Top Companies to Grow</w:t>
            </w:r>
          </w:p>
        </w:tc>
        <w:tc>
          <w:tcPr>
            <w:tcW w:w="20" w:type="dxa"/>
            <w:vAlign w:val="bottom"/>
          </w:tcPr>
          <w:p>
            <w:pPr>
              <w:spacing w:after="0"/>
              <w:rPr>
                <w:sz w:val="24"/>
                <w:szCs w:val="24"/>
                <w:color w:val="auto"/>
              </w:rPr>
            </w:pPr>
          </w:p>
        </w:tc>
      </w:tr>
      <w:tr>
        <w:trPr>
          <w:trHeight w:val="363"/>
        </w:trPr>
        <w:tc>
          <w:tcPr>
            <w:tcW w:w="5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Arial" w:cs="Arial" w:eastAsia="Arial" w:hAnsi="Arial"/>
                <w:sz w:val="27"/>
                <w:szCs w:val="27"/>
                <w:b w:val="1"/>
                <w:bCs w:val="1"/>
                <w:color w:val="auto"/>
              </w:rPr>
              <w:t>Careers</w:t>
            </w:r>
          </w:p>
        </w:tc>
        <w:tc>
          <w:tcPr>
            <w:tcW w:w="20" w:type="dxa"/>
            <w:vAlign w:val="bottom"/>
          </w:tcPr>
          <w:p>
            <w:pPr>
              <w:spacing w:after="0"/>
              <w:rPr>
                <w:sz w:val="24"/>
                <w:szCs w:val="24"/>
                <w:color w:val="auto"/>
              </w:rPr>
            </w:pPr>
          </w:p>
        </w:tc>
      </w:tr>
      <w:tr>
        <w:trPr>
          <w:trHeight w:val="87"/>
        </w:trPr>
        <w:tc>
          <w:tcPr>
            <w:tcW w:w="5300" w:type="dxa"/>
            <w:vAlign w:val="bottom"/>
            <w:shd w:val="clear" w:color="auto" w:fill="CE0F2D"/>
          </w:tcPr>
          <w:p>
            <w:pPr>
              <w:spacing w:after="0"/>
              <w:rPr>
                <w:sz w:val="7"/>
                <w:szCs w:val="7"/>
                <w:color w:val="auto"/>
              </w:rPr>
            </w:pPr>
          </w:p>
        </w:tc>
        <w:tc>
          <w:tcPr>
            <w:tcW w:w="660" w:type="dxa"/>
            <w:vAlign w:val="bottom"/>
          </w:tcPr>
          <w:p>
            <w:pPr>
              <w:spacing w:after="0"/>
              <w:rPr>
                <w:sz w:val="7"/>
                <w:szCs w:val="7"/>
                <w:color w:val="auto"/>
              </w:rPr>
            </w:pPr>
          </w:p>
        </w:tc>
        <w:tc>
          <w:tcPr>
            <w:tcW w:w="5280" w:type="dxa"/>
            <w:vAlign w:val="bottom"/>
            <w:shd w:val="clear" w:color="auto" w:fill="CE0F2D"/>
          </w:tcPr>
          <w:p>
            <w:pPr>
              <w:spacing w:after="0"/>
              <w:rPr>
                <w:sz w:val="7"/>
                <w:szCs w:val="7"/>
                <w:color w:val="auto"/>
              </w:rPr>
            </w:pPr>
          </w:p>
        </w:tc>
        <w:tc>
          <w:tcPr>
            <w:tcW w:w="20" w:type="dxa"/>
            <w:vAlign w:val="bottom"/>
          </w:tcPr>
          <w:p>
            <w:pPr>
              <w:spacing w:after="0"/>
              <w:rPr>
                <w:sz w:val="7"/>
                <w:szCs w:val="7"/>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i w:val="1"/>
                <w:iCs w:val="1"/>
                <w:color w:val="CE0F2D"/>
              </w:rPr>
              <w:t>Human Rights Campaign Foundation—Corporate Equality Index</w:t>
            </w:r>
          </w:p>
        </w:tc>
        <w:tc>
          <w:tcPr>
            <w:tcW w:w="66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6"/>
                <w:szCs w:val="16"/>
                <w:i w:val="1"/>
                <w:iCs w:val="1"/>
                <w:color w:val="CE0F2D"/>
              </w:rPr>
              <w:t>LinkedIn</w:t>
            </w:r>
          </w:p>
        </w:tc>
        <w:tc>
          <w:tcPr>
            <w:tcW w:w="20" w:type="dxa"/>
            <w:vAlign w:val="bottom"/>
          </w:tcPr>
          <w:p>
            <w:pPr>
              <w:spacing w:after="0"/>
              <w:rPr>
                <w:sz w:val="19"/>
                <w:szCs w:val="19"/>
                <w:color w:val="auto"/>
              </w:rPr>
            </w:pPr>
          </w:p>
        </w:tc>
      </w:tr>
      <w:tr>
        <w:trPr>
          <w:trHeight w:val="693"/>
        </w:trPr>
        <w:tc>
          <w:tcPr>
            <w:tcW w:w="5300" w:type="dxa"/>
            <w:vAlign w:val="bottom"/>
          </w:tcPr>
          <w:p>
            <w:pPr>
              <w:spacing w:after="0"/>
              <w:rPr>
                <w:sz w:val="20"/>
                <w:szCs w:val="20"/>
                <w:color w:val="auto"/>
              </w:rPr>
            </w:pPr>
            <w:r>
              <w:rPr>
                <w:rFonts w:ascii="Arial" w:cs="Arial" w:eastAsia="Arial" w:hAnsi="Arial"/>
                <w:sz w:val="27"/>
                <w:szCs w:val="27"/>
                <w:b w:val="1"/>
                <w:bCs w:val="1"/>
                <w:color w:val="auto"/>
              </w:rPr>
              <w:t>Top 50 Employers for Minority and</w:t>
            </w:r>
          </w:p>
        </w:tc>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3"/>
        </w:trPr>
        <w:tc>
          <w:tcPr>
            <w:tcW w:w="5300" w:type="dxa"/>
            <w:vAlign w:val="bottom"/>
          </w:tcPr>
          <w:p>
            <w:pPr>
              <w:spacing w:after="0"/>
              <w:rPr>
                <w:sz w:val="20"/>
                <w:szCs w:val="20"/>
                <w:color w:val="auto"/>
              </w:rPr>
            </w:pPr>
            <w:r>
              <w:rPr>
                <w:rFonts w:ascii="Arial" w:cs="Arial" w:eastAsia="Arial" w:hAnsi="Arial"/>
                <w:sz w:val="27"/>
                <w:szCs w:val="27"/>
                <w:b w:val="1"/>
                <w:bCs w:val="1"/>
                <w:color w:val="auto"/>
              </w:rPr>
              <w:t>Female Engineers</w:t>
            </w:r>
          </w:p>
        </w:tc>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5300" w:type="dxa"/>
            <w:vAlign w:val="bottom"/>
            <w:shd w:val="clear" w:color="auto" w:fill="CE0F2D"/>
          </w:tcPr>
          <w:p>
            <w:pPr>
              <w:spacing w:after="0"/>
              <w:rPr>
                <w:sz w:val="7"/>
                <w:szCs w:val="7"/>
                <w:color w:val="auto"/>
              </w:rPr>
            </w:pPr>
          </w:p>
        </w:tc>
        <w:tc>
          <w:tcPr>
            <w:tcW w:w="660" w:type="dxa"/>
            <w:vAlign w:val="bottom"/>
          </w:tcPr>
          <w:p>
            <w:pPr>
              <w:spacing w:after="0"/>
              <w:rPr>
                <w:sz w:val="7"/>
                <w:szCs w:val="7"/>
                <w:color w:val="auto"/>
              </w:rPr>
            </w:pPr>
          </w:p>
        </w:tc>
        <w:tc>
          <w:tcPr>
            <w:tcW w:w="528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6"/>
                <w:szCs w:val="16"/>
                <w:i w:val="1"/>
                <w:iCs w:val="1"/>
                <w:color w:val="CE0F2D"/>
              </w:rPr>
              <w:t>Minority Engineer Magazine and Woman Engineer Magazine</w:t>
            </w:r>
          </w:p>
        </w:tc>
        <w:tc>
          <w:tcPr>
            <w:tcW w:w="66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36"/>
        </w:trPr>
        <w:tc>
          <w:tcPr>
            <w:tcW w:w="53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5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7144385</wp:posOffset>
            </wp:positionH>
            <wp:positionV relativeFrom="paragraph">
              <wp:posOffset>-13970</wp:posOffset>
            </wp:positionV>
            <wp:extent cx="1270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1270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type w:val="continuous"/>
        </w:sectPr>
      </w:pPr>
    </w:p>
    <w:bookmarkStart w:id="114" w:name="page115"/>
    <w:bookmarkEnd w:id="114"/>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239395</wp:posOffset>
            </wp:positionV>
            <wp:extent cx="2040255" cy="52705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040255" cy="527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870 Winter Street</w:t>
      </w:r>
    </w:p>
    <w:p>
      <w:pPr>
        <w:spacing w:after="0" w:line="3" w:lineRule="exact"/>
        <w:rPr>
          <w:sz w:val="20"/>
          <w:szCs w:val="20"/>
          <w:color w:val="auto"/>
        </w:rPr>
      </w:pPr>
    </w:p>
    <w:p>
      <w:pPr>
        <w:ind w:left="940"/>
        <w:spacing w:after="0"/>
        <w:rPr>
          <w:sz w:val="20"/>
          <w:szCs w:val="20"/>
          <w:color w:val="auto"/>
        </w:rPr>
      </w:pPr>
      <w:r>
        <w:rPr>
          <w:rFonts w:ascii="Arial" w:cs="Arial" w:eastAsia="Arial" w:hAnsi="Arial"/>
          <w:sz w:val="15"/>
          <w:szCs w:val="15"/>
          <w:color w:val="auto"/>
        </w:rPr>
        <w:t>Waltham, Massachusetts</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02451-1449</w:t>
      </w:r>
    </w:p>
    <w:p>
      <w:pPr>
        <w:spacing w:after="0" w:line="3" w:lineRule="exact"/>
        <w:rPr>
          <w:sz w:val="20"/>
          <w:szCs w:val="20"/>
          <w:color w:val="auto"/>
        </w:rPr>
      </w:pPr>
    </w:p>
    <w:p>
      <w:pPr>
        <w:ind w:left="940"/>
        <w:spacing w:after="0"/>
        <w:rPr>
          <w:sz w:val="20"/>
          <w:szCs w:val="20"/>
          <w:color w:val="auto"/>
        </w:rPr>
      </w:pPr>
      <w:r>
        <w:rPr>
          <w:rFonts w:ascii="Arial" w:cs="Arial" w:eastAsia="Arial" w:hAnsi="Arial"/>
          <w:sz w:val="16"/>
          <w:szCs w:val="16"/>
          <w:color w:val="auto"/>
        </w:rPr>
        <w:t>U.S.A.</w:t>
      </w:r>
    </w:p>
    <w:p>
      <w:pPr>
        <w:spacing w:after="0" w:line="3"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CE0F2D"/>
        </w:rPr>
        <w:t>www.rtx.com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194310</wp:posOffset>
            </wp:positionV>
            <wp:extent cx="7154545"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hyperlink w:anchor="page5">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wp:posOffset>
            </wp:positionH>
            <wp:positionV relativeFrom="paragraph">
              <wp:posOffset>127635</wp:posOffset>
            </wp:positionV>
            <wp:extent cx="1870710" cy="50165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870710" cy="501650"/>
                    </a:xfrm>
                    <a:prstGeom prst="rect">
                      <a:avLst/>
                    </a:prstGeom>
                    <a:noFill/>
                  </pic:spPr>
                </pic:pic>
              </a:graphicData>
            </a:graphic>
          </wp:anchor>
        </w:drawing>
        <w:drawing>
          <wp:anchor simplePos="0" relativeHeight="251657728" behindDoc="1" locked="0" layoutInCell="0" allowOverlap="1">
            <wp:simplePos x="0" y="0"/>
            <wp:positionH relativeFrom="column">
              <wp:posOffset>4043045</wp:posOffset>
            </wp:positionH>
            <wp:positionV relativeFrom="paragraph">
              <wp:posOffset>127635</wp:posOffset>
            </wp:positionV>
            <wp:extent cx="1793875" cy="4337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793875" cy="43370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60"/>
        <w:spacing w:after="0"/>
        <w:rPr>
          <w:sz w:val="20"/>
          <w:szCs w:val="20"/>
          <w:color w:val="auto"/>
        </w:rPr>
      </w:pPr>
      <w:r>
        <w:rPr>
          <w:rFonts w:ascii="Arial" w:cs="Arial" w:eastAsia="Arial" w:hAnsi="Arial"/>
          <w:sz w:val="8"/>
          <w:szCs w:val="8"/>
          <w:i w:val="1"/>
          <w:iCs w:val="1"/>
          <w:color w:val="auto"/>
        </w:rPr>
        <w:t>RAYTHEON TECHNOLOGIES CORPORATION</w:t>
      </w:r>
    </w:p>
    <w:p>
      <w:pPr>
        <w:ind w:left="360"/>
        <w:spacing w:after="0"/>
        <w:rPr>
          <w:sz w:val="20"/>
          <w:szCs w:val="20"/>
          <w:color w:val="auto"/>
        </w:rPr>
      </w:pPr>
      <w:r>
        <w:rPr>
          <w:rFonts w:ascii="Arial" w:cs="Arial" w:eastAsia="Arial" w:hAnsi="Arial"/>
          <w:sz w:val="9"/>
          <w:szCs w:val="9"/>
          <w:i w:val="1"/>
          <w:iCs w:val="1"/>
          <w:color w:val="auto"/>
        </w:rPr>
        <w:t>870 WINTER STREET</w:t>
      </w:r>
    </w:p>
    <w:p>
      <w:pPr>
        <w:ind w:left="360"/>
        <w:spacing w:after="0"/>
        <w:rPr>
          <w:sz w:val="20"/>
          <w:szCs w:val="20"/>
          <w:color w:val="auto"/>
        </w:rPr>
      </w:pPr>
      <w:r>
        <w:rPr>
          <w:rFonts w:ascii="Arial" w:cs="Arial" w:eastAsia="Arial" w:hAnsi="Arial"/>
          <w:sz w:val="9"/>
          <w:szCs w:val="9"/>
          <w:i w:val="1"/>
          <w:iCs w:val="1"/>
          <w:color w:val="auto"/>
        </w:rPr>
        <w:t>WALTHAM, MASSACHUSETTS 02451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INTERNET</w:t>
      </w:r>
    </w:p>
    <w:p>
      <w:pPr>
        <w:spacing w:after="0" w:line="1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Before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www.proxyvote.com</w:t>
      </w:r>
      <w:r>
        <w:rPr>
          <w:rFonts w:ascii="Arial" w:cs="Arial" w:eastAsia="Arial" w:hAnsi="Arial"/>
          <w:sz w:val="12"/>
          <w:szCs w:val="12"/>
          <w:i w:val="1"/>
          <w:iCs w:val="1"/>
          <w:color w:val="auto"/>
        </w:rPr>
        <w:t xml:space="preserve"> </w:t>
      </w:r>
      <w:r>
        <w:rPr>
          <w:rFonts w:ascii="Arial" w:cs="Arial" w:eastAsia="Arial" w:hAnsi="Arial"/>
          <w:sz w:val="12"/>
          <w:szCs w:val="12"/>
          <w:b w:val="1"/>
          <w:bCs w:val="1"/>
          <w:color w:val="auto"/>
        </w:rPr>
        <w:t>or scan the QR Barcode above</w:t>
      </w:r>
    </w:p>
    <w:p>
      <w:pPr>
        <w:spacing w:after="0" w:line="130" w:lineRule="exact"/>
        <w:rPr>
          <w:sz w:val="20"/>
          <w:szCs w:val="20"/>
          <w:color w:val="auto"/>
        </w:rPr>
      </w:pPr>
    </w:p>
    <w:p>
      <w:pPr>
        <w:jc w:val="both"/>
        <w:spacing w:after="0" w:line="238" w:lineRule="auto"/>
        <w:rPr>
          <w:sz w:val="20"/>
          <w:szCs w:val="20"/>
          <w:color w:val="auto"/>
        </w:rPr>
      </w:pPr>
      <w:r>
        <w:rPr>
          <w:rFonts w:ascii="Arial" w:cs="Arial" w:eastAsia="Arial" w:hAnsi="Arial"/>
          <w:sz w:val="12"/>
          <w:szCs w:val="12"/>
          <w:color w:val="auto"/>
        </w:rPr>
        <w:t>Use the Internet to transmit your voting instructions up until 11:59 P.M. Eastern Time on April 24, 2022 for shares held directly and up until 11:59 P.M. Eastern Time on April 20, 2022 for shares held in a company savings plan. Have your proxy card in hand when you access the web site listed above and follow the instructions to complete an electronic voting instruction form.</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During The Meeting </w:t>
      </w:r>
      <w:r>
        <w:rPr>
          <w:rFonts w:ascii="Arial" w:cs="Arial" w:eastAsia="Arial" w:hAnsi="Arial"/>
          <w:sz w:val="12"/>
          <w:szCs w:val="12"/>
          <w:color w:val="auto"/>
        </w:rPr>
        <w:t>- Go to</w:t>
      </w:r>
      <w:r>
        <w:rPr>
          <w:rFonts w:ascii="Arial" w:cs="Arial" w:eastAsia="Arial" w:hAnsi="Arial"/>
          <w:sz w:val="12"/>
          <w:szCs w:val="12"/>
          <w:i w:val="1"/>
          <w:iCs w:val="1"/>
          <w:color w:val="auto"/>
        </w:rPr>
        <w:t xml:space="preserve"> </w:t>
      </w:r>
      <w:r>
        <w:rPr>
          <w:rFonts w:ascii="Arial" w:cs="Arial" w:eastAsia="Arial" w:hAnsi="Arial"/>
          <w:sz w:val="12"/>
          <w:szCs w:val="12"/>
          <w:b w:val="1"/>
          <w:bCs w:val="1"/>
          <w:u w:val="single" w:color="auto"/>
          <w:color w:val="auto"/>
        </w:rPr>
        <w:t>www.virtualshareholdermeeting.com/RTX2022</w:t>
      </w:r>
    </w:p>
    <w:p>
      <w:pPr>
        <w:spacing w:after="0" w:line="144"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You may attend the meeting via the Internet and vote during the meeting if you are a direct shareowner. Have the information that is printed in the box marked by the arrow available and follow the instructions.</w:t>
      </w:r>
    </w:p>
    <w:p>
      <w:pPr>
        <w:spacing w:after="0" w:line="118" w:lineRule="exact"/>
        <w:rPr>
          <w:sz w:val="20"/>
          <w:szCs w:val="20"/>
          <w:color w:val="auto"/>
        </w:rPr>
      </w:pPr>
    </w:p>
    <w:p>
      <w:pPr>
        <w:jc w:val="both"/>
        <w:spacing w:after="0" w:line="252" w:lineRule="auto"/>
        <w:rPr>
          <w:sz w:val="20"/>
          <w:szCs w:val="20"/>
          <w:color w:val="auto"/>
        </w:rPr>
      </w:pPr>
      <w:r>
        <w:rPr>
          <w:rFonts w:ascii="Arial" w:cs="Arial" w:eastAsia="Arial" w:hAnsi="Arial"/>
          <w:sz w:val="12"/>
          <w:szCs w:val="12"/>
          <w:color w:val="auto"/>
        </w:rPr>
        <w:t>For shares held through a company savings plan, you must vote prior to the meeting, but may still attend the meeting.</w:t>
      </w: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PHONE - 1-800-690-6903</w:t>
      </w:r>
    </w:p>
    <w:p>
      <w:pPr>
        <w:spacing w:after="0" w:line="10" w:lineRule="exact"/>
        <w:rPr>
          <w:sz w:val="20"/>
          <w:szCs w:val="20"/>
          <w:color w:val="auto"/>
        </w:rPr>
      </w:pPr>
    </w:p>
    <w:p>
      <w:pPr>
        <w:jc w:val="both"/>
        <w:spacing w:after="0" w:line="239" w:lineRule="auto"/>
        <w:rPr>
          <w:sz w:val="20"/>
          <w:szCs w:val="20"/>
          <w:color w:val="auto"/>
        </w:rPr>
      </w:pPr>
      <w:r>
        <w:rPr>
          <w:rFonts w:ascii="Arial" w:cs="Arial" w:eastAsia="Arial" w:hAnsi="Arial"/>
          <w:sz w:val="12"/>
          <w:szCs w:val="12"/>
          <w:color w:val="auto"/>
        </w:rPr>
        <w:t>Use any touch-tone telephone to transmit your voting instructions up until 11:59 P.M. Eastern Time on April 24, 2022 for shares held directly and up until 11:59 P.M. Eastern Time on April 20, 2022 for shares held in a company savings plan. Have your proxy card in hand when you call and then follow the instructions.</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VOTE BY MAIL</w:t>
      </w:r>
    </w:p>
    <w:p>
      <w:pPr>
        <w:spacing w:after="0" w:line="10" w:lineRule="exact"/>
        <w:rPr>
          <w:sz w:val="20"/>
          <w:szCs w:val="20"/>
          <w:color w:val="auto"/>
        </w:rPr>
      </w:pPr>
    </w:p>
    <w:p>
      <w:pPr>
        <w:jc w:val="both"/>
        <w:spacing w:after="0" w:line="242" w:lineRule="auto"/>
        <w:rPr>
          <w:sz w:val="20"/>
          <w:szCs w:val="20"/>
          <w:color w:val="auto"/>
        </w:rPr>
      </w:pPr>
      <w:r>
        <w:rPr>
          <w:rFonts w:ascii="Arial" w:cs="Arial" w:eastAsia="Arial" w:hAnsi="Arial"/>
          <w:sz w:val="12"/>
          <w:szCs w:val="12"/>
          <w:color w:val="auto"/>
        </w:rPr>
        <w:t>Mark, sign and date your proxy card and return it in the postage-paid envelope we have provided or return it to Raytheon Technologies, c/o Broadridge, 51 Mercedes Way, Edgewood, NY 11717.</w:t>
      </w:r>
    </w:p>
    <w:p>
      <w:pPr>
        <w:spacing w:after="0" w:line="200" w:lineRule="exact"/>
        <w:rPr>
          <w:sz w:val="20"/>
          <w:szCs w:val="20"/>
          <w:color w:val="auto"/>
        </w:rPr>
      </w:pPr>
    </w:p>
    <w:p>
      <w:pPr>
        <w:sectPr>
          <w:pgSz w:w="11900" w:h="16838" w:orient="portrait"/>
          <w:cols w:equalWidth="0" w:num="2">
            <w:col w:w="5460" w:space="720"/>
            <w:col w:w="506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2"/>
          <w:szCs w:val="12"/>
          <w:color w:val="auto"/>
        </w:rPr>
        <w:t>TO VOTE, MARK BLOCKS BELOW IN BLUE OR BLACK INK AS FOLLOWS:</w:t>
      </w:r>
    </w:p>
    <w:p>
      <w:pPr>
        <w:jc w:val="right"/>
        <w:spacing w:after="0"/>
        <w:tabs>
          <w:tab w:leader="none" w:pos="2580" w:val="left"/>
        </w:tabs>
        <w:rPr>
          <w:sz w:val="20"/>
          <w:szCs w:val="20"/>
          <w:color w:val="auto"/>
        </w:rPr>
      </w:pPr>
      <w:r>
        <w:rPr>
          <w:rFonts w:ascii="Arial" w:cs="Arial" w:eastAsia="Arial" w:hAnsi="Arial"/>
          <w:sz w:val="12"/>
          <w:szCs w:val="12"/>
          <w:color w:val="auto"/>
        </w:rPr>
        <w:t>D72052-P67761-Z81918</w:t>
        <w:tab/>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35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2"/>
          <w:szCs w:val="12"/>
          <w:color w:val="auto"/>
        </w:rPr>
        <w:t>DETACH AND RETURN THIS PORTION ONLY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129145" cy="38049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29145" cy="3804920"/>
                    </a:xfrm>
                    <a:prstGeom prst="rect">
                      <a:avLst/>
                    </a:prstGeom>
                    <a:noFill/>
                  </pic:spPr>
                </pic:pic>
              </a:graphicData>
            </a:graphic>
          </wp:anchor>
        </w:drawing>
      </w:r>
    </w:p>
    <w:p>
      <w:pPr>
        <w:spacing w:after="0" w:line="35" w:lineRule="exact"/>
        <w:rPr>
          <w:sz w:val="20"/>
          <w:szCs w:val="20"/>
          <w:color w:val="auto"/>
        </w:rPr>
      </w:pPr>
    </w:p>
    <w:tbl>
      <w:tblPr>
        <w:tblLayout w:type="fixed"/>
        <w:tblInd w:w="220" w:type="dxa"/>
        <w:tblCellMar>
          <w:top w:w="0" w:type="dxa"/>
          <w:left w:w="0" w:type="dxa"/>
          <w:bottom w:w="0" w:type="dxa"/>
          <w:right w:w="0" w:type="dxa"/>
        </w:tblCellMar>
      </w:tblPr>
      <w:tr>
        <w:trPr>
          <w:trHeight w:val="163"/>
        </w:trPr>
        <w:tc>
          <w:tcPr>
            <w:tcW w:w="3260" w:type="dxa"/>
            <w:vAlign w:val="bottom"/>
            <w:gridSpan w:val="2"/>
          </w:tcPr>
          <w:p>
            <w:pPr>
              <w:spacing w:after="0"/>
              <w:rPr>
                <w:sz w:val="20"/>
                <w:szCs w:val="20"/>
                <w:color w:val="auto"/>
              </w:rPr>
            </w:pPr>
            <w:r>
              <w:rPr>
                <w:rFonts w:ascii="Arial" w:cs="Arial" w:eastAsia="Arial" w:hAnsi="Arial"/>
                <w:sz w:val="12"/>
                <w:szCs w:val="12"/>
                <w:b w:val="1"/>
                <w:bCs w:val="1"/>
                <w:color w:val="auto"/>
              </w:rPr>
              <w:t>RAYTHEON TECHNOLOGIES CORPORATION</w:t>
            </w:r>
          </w:p>
        </w:tc>
        <w:tc>
          <w:tcPr>
            <w:tcW w:w="9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4160" w:type="dxa"/>
            <w:vAlign w:val="bottom"/>
            <w:gridSpan w:val="3"/>
          </w:tcPr>
          <w:p>
            <w:pPr>
              <w:ind w:left="280"/>
              <w:spacing w:after="0"/>
              <w:rPr>
                <w:sz w:val="20"/>
                <w:szCs w:val="20"/>
                <w:color w:val="auto"/>
              </w:rPr>
            </w:pPr>
            <w:r>
              <w:rPr>
                <w:rFonts w:ascii="Arial" w:cs="Arial" w:eastAsia="Arial" w:hAnsi="Arial"/>
                <w:sz w:val="12"/>
                <w:szCs w:val="12"/>
                <w:color w:val="auto"/>
              </w:rPr>
              <w:t xml:space="preserve">The </w:t>
            </w:r>
            <w:r>
              <w:rPr>
                <w:rFonts w:ascii="Arial" w:cs="Arial" w:eastAsia="Arial" w:hAnsi="Arial"/>
                <w:sz w:val="12"/>
                <w:szCs w:val="12"/>
                <w:b w:val="1"/>
                <w:bCs w:val="1"/>
                <w:color w:val="auto"/>
              </w:rPr>
              <w:t>Board of Directors</w:t>
            </w:r>
            <w:r>
              <w:rPr>
                <w:rFonts w:ascii="Arial" w:cs="Arial" w:eastAsia="Arial" w:hAnsi="Arial"/>
                <w:sz w:val="12"/>
                <w:szCs w:val="12"/>
                <w:color w:val="auto"/>
              </w:rPr>
              <w:t xml:space="preserve"> recommends a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the listed nominees</w:t>
            </w: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0"/>
        </w:trPr>
        <w:tc>
          <w:tcPr>
            <w:tcW w:w="1040" w:type="dxa"/>
            <w:vAlign w:val="bottom"/>
          </w:tcPr>
          <w:p>
            <w:pPr>
              <w:ind w:left="280"/>
              <w:spacing w:after="0" w:line="130" w:lineRule="exact"/>
              <w:rPr>
                <w:sz w:val="20"/>
                <w:szCs w:val="20"/>
                <w:color w:val="auto"/>
              </w:rPr>
            </w:pPr>
            <w:r>
              <w:rPr>
                <w:rFonts w:ascii="Arial" w:cs="Arial" w:eastAsia="Arial" w:hAnsi="Arial"/>
                <w:sz w:val="12"/>
                <w:szCs w:val="12"/>
                <w:color w:val="auto"/>
              </w:rPr>
              <w:t>under Item 1.</w:t>
            </w:r>
          </w:p>
        </w:tc>
        <w:tc>
          <w:tcPr>
            <w:tcW w:w="2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2"/>
        </w:trPr>
        <w:tc>
          <w:tcPr>
            <w:tcW w:w="1040" w:type="dxa"/>
            <w:vAlign w:val="bottom"/>
          </w:tcPr>
          <w:p>
            <w:pPr>
              <w:ind w:left="280"/>
              <w:spacing w:after="0"/>
              <w:rPr>
                <w:sz w:val="20"/>
                <w:szCs w:val="20"/>
                <w:color w:val="auto"/>
              </w:rPr>
            </w:pPr>
            <w:r>
              <w:rPr>
                <w:rFonts w:ascii="Arial" w:cs="Arial" w:eastAsia="Arial" w:hAnsi="Arial"/>
                <w:sz w:val="12"/>
                <w:szCs w:val="12"/>
                <w:color w:val="auto"/>
              </w:rPr>
              <w:t>Item 1 -</w:t>
            </w:r>
          </w:p>
        </w:tc>
        <w:tc>
          <w:tcPr>
            <w:tcW w:w="2220" w:type="dxa"/>
            <w:vAlign w:val="bottom"/>
          </w:tcPr>
          <w:p>
            <w:pPr>
              <w:ind w:left="80"/>
              <w:spacing w:after="0"/>
              <w:rPr>
                <w:sz w:val="20"/>
                <w:szCs w:val="20"/>
                <w:color w:val="auto"/>
              </w:rPr>
            </w:pPr>
            <w:r>
              <w:rPr>
                <w:rFonts w:ascii="Arial" w:cs="Arial" w:eastAsia="Arial" w:hAnsi="Arial"/>
                <w:sz w:val="12"/>
                <w:szCs w:val="12"/>
                <w:color w:val="auto"/>
              </w:rPr>
              <w:t>Election of Directors</w:t>
            </w:r>
          </w:p>
        </w:tc>
        <w:tc>
          <w:tcPr>
            <w:tcW w:w="9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Borders>
              <w:right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260" w:type="dxa"/>
            <w:vAlign w:val="bottom"/>
            <w:gridSpan w:val="2"/>
          </w:tcPr>
          <w:p>
            <w:pPr>
              <w:ind w:left="640"/>
              <w:spacing w:after="0"/>
              <w:rPr>
                <w:sz w:val="20"/>
                <w:szCs w:val="20"/>
                <w:color w:val="auto"/>
              </w:rPr>
            </w:pPr>
            <w:r>
              <w:rPr>
                <w:rFonts w:ascii="Arial" w:cs="Arial" w:eastAsia="Arial" w:hAnsi="Arial"/>
                <w:sz w:val="12"/>
                <w:szCs w:val="12"/>
                <w:b w:val="1"/>
                <w:bCs w:val="1"/>
                <w:color w:val="auto"/>
              </w:rPr>
              <w:t>Nominees:</w:t>
            </w:r>
          </w:p>
        </w:tc>
        <w:tc>
          <w:tcPr>
            <w:tcW w:w="900" w:type="dxa"/>
            <w:vAlign w:val="bottom"/>
          </w:tcPr>
          <w:p>
            <w:pPr>
              <w:jc w:val="center"/>
              <w:ind w:left="438"/>
              <w:spacing w:after="0"/>
              <w:rPr>
                <w:sz w:val="20"/>
                <w:szCs w:val="20"/>
                <w:color w:val="auto"/>
              </w:rPr>
            </w:pPr>
            <w:r>
              <w:rPr>
                <w:rFonts w:ascii="Arial" w:cs="Arial" w:eastAsia="Arial" w:hAnsi="Arial"/>
                <w:sz w:val="12"/>
                <w:szCs w:val="12"/>
                <w:b w:val="1"/>
                <w:bCs w:val="1"/>
                <w:color w:val="auto"/>
              </w:rPr>
              <w:t>For</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Against</w:t>
            </w:r>
          </w:p>
        </w:tc>
        <w:tc>
          <w:tcPr>
            <w:tcW w:w="740" w:type="dxa"/>
            <w:vAlign w:val="bottom"/>
          </w:tcPr>
          <w:p>
            <w:pPr>
              <w:jc w:val="center"/>
              <w:ind w:right="118"/>
              <w:spacing w:after="0"/>
              <w:rPr>
                <w:sz w:val="20"/>
                <w:szCs w:val="20"/>
                <w:color w:val="auto"/>
              </w:rPr>
            </w:pPr>
            <w:r>
              <w:rPr>
                <w:rFonts w:ascii="Arial" w:cs="Arial" w:eastAsia="Arial" w:hAnsi="Arial"/>
                <w:sz w:val="12"/>
                <w:szCs w:val="12"/>
                <w:b w:val="1"/>
                <w:bCs w:val="1"/>
                <w:color w:val="auto"/>
                <w:w w:val="99"/>
              </w:rPr>
              <w:t>Abstain</w:t>
            </w:r>
          </w:p>
        </w:tc>
        <w:tc>
          <w:tcPr>
            <w:tcW w:w="6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00" w:type="dxa"/>
            <w:vAlign w:val="bottom"/>
            <w:vMerge w:val="restart"/>
          </w:tcPr>
          <w:p>
            <w:pPr>
              <w:jc w:val="center"/>
              <w:ind w:left="18"/>
              <w:spacing w:after="0"/>
              <w:rPr>
                <w:sz w:val="20"/>
                <w:szCs w:val="20"/>
                <w:color w:val="auto"/>
              </w:rPr>
            </w:pPr>
            <w:r>
              <w:rPr>
                <w:rFonts w:ascii="Arial" w:cs="Arial" w:eastAsia="Arial" w:hAnsi="Arial"/>
                <w:sz w:val="12"/>
                <w:szCs w:val="12"/>
                <w:b w:val="1"/>
                <w:bCs w:val="1"/>
                <w:color w:val="auto"/>
              </w:rPr>
              <w:t>For</w:t>
            </w: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Against</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47"/>
        </w:trPr>
        <w:tc>
          <w:tcPr>
            <w:tcW w:w="1040" w:type="dxa"/>
            <w:vAlign w:val="bottom"/>
            <w:vMerge w:val="restart"/>
          </w:tcPr>
          <w:p>
            <w:pPr>
              <w:ind w:left="640"/>
              <w:spacing w:after="0"/>
              <w:rPr>
                <w:sz w:val="20"/>
                <w:szCs w:val="20"/>
                <w:color w:val="auto"/>
              </w:rPr>
            </w:pPr>
            <w:r>
              <w:rPr>
                <w:rFonts w:ascii="Arial" w:cs="Arial" w:eastAsia="Arial" w:hAnsi="Arial"/>
                <w:sz w:val="12"/>
                <w:szCs w:val="12"/>
                <w:color w:val="auto"/>
              </w:rPr>
              <w:t>1a.</w:t>
            </w:r>
          </w:p>
        </w:tc>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Tracy A. Atkinson</w:t>
            </w: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04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320" w:type="dxa"/>
            <w:vAlign w:val="bottom"/>
            <w:vMerge w:val="restart"/>
          </w:tcPr>
          <w:p>
            <w:pPr>
              <w:spacing w:after="0"/>
              <w:rPr>
                <w:sz w:val="20"/>
                <w:szCs w:val="20"/>
                <w:color w:val="auto"/>
              </w:rPr>
            </w:pPr>
            <w:r>
              <w:rPr>
                <w:rFonts w:ascii="Arial" w:cs="Arial" w:eastAsia="Arial" w:hAnsi="Arial"/>
                <w:sz w:val="12"/>
                <w:szCs w:val="12"/>
                <w:color w:val="auto"/>
              </w:rPr>
              <w:t>1l.  James A. Winnefeld, Jr.</w:t>
            </w:r>
          </w:p>
        </w:tc>
        <w:tc>
          <w:tcPr>
            <w:tcW w:w="40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147"/>
        </w:trPr>
        <w:tc>
          <w:tcPr>
            <w:tcW w:w="1040" w:type="dxa"/>
            <w:vAlign w:val="bottom"/>
            <w:vMerge w:val="restart"/>
          </w:tcPr>
          <w:p>
            <w:pPr>
              <w:ind w:left="640"/>
              <w:spacing w:after="0"/>
              <w:rPr>
                <w:sz w:val="20"/>
                <w:szCs w:val="20"/>
                <w:color w:val="auto"/>
              </w:rPr>
            </w:pPr>
            <w:r>
              <w:rPr>
                <w:rFonts w:ascii="Arial" w:cs="Arial" w:eastAsia="Arial" w:hAnsi="Arial"/>
                <w:sz w:val="12"/>
                <w:szCs w:val="12"/>
                <w:color w:val="auto"/>
              </w:rPr>
              <w:t>1b.</w:t>
            </w:r>
          </w:p>
        </w:tc>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Bernard A. Harris, Jr.</w:t>
            </w: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04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3320" w:type="dxa"/>
            <w:vAlign w:val="bottom"/>
            <w:vMerge w:val="restart"/>
          </w:tcPr>
          <w:p>
            <w:pPr>
              <w:spacing w:after="0"/>
              <w:rPr>
                <w:sz w:val="20"/>
                <w:szCs w:val="20"/>
                <w:color w:val="auto"/>
              </w:rPr>
            </w:pPr>
            <w:r>
              <w:rPr>
                <w:rFonts w:ascii="Arial" w:cs="Arial" w:eastAsia="Arial" w:hAnsi="Arial"/>
                <w:sz w:val="12"/>
                <w:szCs w:val="12"/>
                <w:color w:val="auto"/>
              </w:rPr>
              <w:t>1m. Robert O. Work</w:t>
            </w:r>
          </w:p>
        </w:tc>
        <w:tc>
          <w:tcPr>
            <w:tcW w:w="40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147"/>
        </w:trPr>
        <w:tc>
          <w:tcPr>
            <w:tcW w:w="1040" w:type="dxa"/>
            <w:vAlign w:val="bottom"/>
            <w:vMerge w:val="restart"/>
          </w:tcPr>
          <w:p>
            <w:pPr>
              <w:ind w:left="640"/>
              <w:spacing w:after="0"/>
              <w:rPr>
                <w:sz w:val="20"/>
                <w:szCs w:val="20"/>
                <w:color w:val="auto"/>
              </w:rPr>
            </w:pPr>
            <w:r>
              <w:rPr>
                <w:rFonts w:ascii="Arial" w:cs="Arial" w:eastAsia="Arial" w:hAnsi="Arial"/>
                <w:sz w:val="12"/>
                <w:szCs w:val="12"/>
                <w:color w:val="auto"/>
              </w:rPr>
              <w:t>1c.</w:t>
            </w:r>
          </w:p>
        </w:tc>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Gregory J. Hayes</w:t>
            </w: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12"/>
                <w:szCs w:val="12"/>
                <w:color w:val="auto"/>
              </w:rPr>
            </w:pPr>
          </w:p>
        </w:tc>
        <w:tc>
          <w:tcPr>
            <w:tcW w:w="332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040" w:type="dxa"/>
            <w:vAlign w:val="bottom"/>
            <w:vMerge w:val="continue"/>
          </w:tcPr>
          <w:p>
            <w:pPr>
              <w:spacing w:after="0"/>
              <w:rPr>
                <w:sz w:val="10"/>
                <w:szCs w:val="10"/>
                <w:color w:val="auto"/>
              </w:rPr>
            </w:pPr>
          </w:p>
        </w:tc>
        <w:tc>
          <w:tcPr>
            <w:tcW w:w="22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396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 xml:space="preserve">COMPANY PROPOSALS: </w:t>
            </w:r>
            <w:r>
              <w:rPr>
                <w:rFonts w:ascii="Arial" w:cs="Arial" w:eastAsia="Arial" w:hAnsi="Arial"/>
                <w:sz w:val="12"/>
                <w:szCs w:val="12"/>
                <w:color w:val="auto"/>
              </w:rPr>
              <w:t>The</w:t>
            </w:r>
            <w:r>
              <w:rPr>
                <w:rFonts w:ascii="Arial" w:cs="Arial" w:eastAsia="Arial" w:hAnsi="Arial"/>
                <w:sz w:val="12"/>
                <w:szCs w:val="12"/>
                <w:b w:val="1"/>
                <w:bCs w:val="1"/>
                <w:color w:val="auto"/>
              </w:rPr>
              <w:t xml:space="preserve"> Board of Directors</w:t>
            </w:r>
          </w:p>
        </w:tc>
        <w:tc>
          <w:tcPr>
            <w:tcW w:w="400" w:type="dxa"/>
            <w:vAlign w:val="bottom"/>
            <w:vMerge w:val="restart"/>
          </w:tcPr>
          <w:p>
            <w:pPr>
              <w:jc w:val="center"/>
              <w:ind w:left="18"/>
              <w:spacing w:after="0"/>
              <w:rPr>
                <w:sz w:val="20"/>
                <w:szCs w:val="20"/>
                <w:color w:val="auto"/>
              </w:rPr>
            </w:pPr>
            <w:r>
              <w:rPr>
                <w:rFonts w:ascii="Arial" w:cs="Arial" w:eastAsia="Arial" w:hAnsi="Arial"/>
                <w:sz w:val="12"/>
                <w:szCs w:val="12"/>
                <w:b w:val="1"/>
                <w:bCs w:val="1"/>
                <w:color w:val="auto"/>
              </w:rPr>
              <w:t>For</w:t>
            </w: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Against</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rPr>
              <w:t>Abstain</w:t>
            </w:r>
          </w:p>
        </w:tc>
        <w:tc>
          <w:tcPr>
            <w:tcW w:w="0" w:type="dxa"/>
            <w:vAlign w:val="bottom"/>
          </w:tcPr>
          <w:p>
            <w:pPr>
              <w:spacing w:after="0"/>
              <w:rPr>
                <w:sz w:val="1"/>
                <w:szCs w:val="1"/>
                <w:color w:val="auto"/>
              </w:rPr>
            </w:pPr>
          </w:p>
        </w:tc>
      </w:tr>
      <w:tr>
        <w:trPr>
          <w:trHeight w:val="118"/>
        </w:trPr>
        <w:tc>
          <w:tcPr>
            <w:tcW w:w="104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3960" w:type="dxa"/>
            <w:vAlign w:val="bottom"/>
            <w:gridSpan w:val="2"/>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1040" w:type="dxa"/>
            <w:vAlign w:val="bottom"/>
          </w:tcPr>
          <w:p>
            <w:pPr>
              <w:ind w:left="640"/>
              <w:spacing w:after="0"/>
              <w:rPr>
                <w:sz w:val="20"/>
                <w:szCs w:val="20"/>
                <w:color w:val="auto"/>
              </w:rPr>
            </w:pPr>
            <w:r>
              <w:rPr>
                <w:rFonts w:ascii="Arial" w:cs="Arial" w:eastAsia="Arial" w:hAnsi="Arial"/>
                <w:sz w:val="12"/>
                <w:szCs w:val="12"/>
                <w:color w:val="auto"/>
              </w:rPr>
              <w:t>1d.</w:t>
            </w:r>
          </w:p>
        </w:tc>
        <w:tc>
          <w:tcPr>
            <w:tcW w:w="2220" w:type="dxa"/>
            <w:vAlign w:val="bottom"/>
          </w:tcPr>
          <w:p>
            <w:pPr>
              <w:ind w:left="20"/>
              <w:spacing w:after="0"/>
              <w:rPr>
                <w:sz w:val="20"/>
                <w:szCs w:val="20"/>
                <w:color w:val="auto"/>
              </w:rPr>
            </w:pPr>
            <w:r>
              <w:rPr>
                <w:rFonts w:ascii="Arial" w:cs="Arial" w:eastAsia="Arial" w:hAnsi="Arial"/>
                <w:sz w:val="12"/>
                <w:szCs w:val="12"/>
                <w:color w:val="auto"/>
              </w:rPr>
              <w:t>George R. Oliver</w:t>
            </w:r>
          </w:p>
        </w:tc>
        <w:tc>
          <w:tcPr>
            <w:tcW w:w="9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960" w:type="dxa"/>
            <w:vAlign w:val="bottom"/>
            <w:gridSpan w:val="2"/>
          </w:tcPr>
          <w:p>
            <w:pPr>
              <w:ind w:left="220"/>
              <w:spacing w:after="0"/>
              <w:rPr>
                <w:sz w:val="20"/>
                <w:szCs w:val="20"/>
                <w:color w:val="auto"/>
              </w:rPr>
            </w:pPr>
            <w:r>
              <w:rPr>
                <w:rFonts w:ascii="Arial" w:cs="Arial" w:eastAsia="Arial" w:hAnsi="Arial"/>
                <w:sz w:val="12"/>
                <w:szCs w:val="12"/>
                <w:color w:val="auto"/>
              </w:rPr>
              <w:t xml:space="preserve">recommends a vote </w:t>
            </w:r>
            <w:r>
              <w:rPr>
                <w:rFonts w:ascii="Arial" w:cs="Arial" w:eastAsia="Arial" w:hAnsi="Arial"/>
                <w:sz w:val="12"/>
                <w:szCs w:val="12"/>
                <w:b w:val="1"/>
                <w:bCs w:val="1"/>
                <w:color w:val="auto"/>
              </w:rPr>
              <w:t>FOR</w:t>
            </w:r>
            <w:r>
              <w:rPr>
                <w:rFonts w:ascii="Arial" w:cs="Arial" w:eastAsia="Arial" w:hAnsi="Arial"/>
                <w:sz w:val="12"/>
                <w:szCs w:val="12"/>
                <w:color w:val="auto"/>
              </w:rPr>
              <w:t xml:space="preserve"> Items 2, 3 and 4.</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40" w:type="dxa"/>
            <w:vAlign w:val="bottom"/>
            <w:vMerge w:val="restart"/>
          </w:tcPr>
          <w:p>
            <w:pPr>
              <w:ind w:left="640"/>
              <w:spacing w:after="0"/>
              <w:rPr>
                <w:sz w:val="20"/>
                <w:szCs w:val="20"/>
                <w:color w:val="auto"/>
              </w:rPr>
            </w:pPr>
            <w:r>
              <w:rPr>
                <w:rFonts w:ascii="Arial" w:cs="Arial" w:eastAsia="Arial" w:hAnsi="Arial"/>
                <w:sz w:val="12"/>
                <w:szCs w:val="12"/>
                <w:color w:val="auto"/>
              </w:rPr>
              <w:t>1e.</w:t>
            </w:r>
          </w:p>
        </w:tc>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Robert K. (Kelly) Ortberg</w:t>
            </w: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ind w:left="220"/>
              <w:spacing w:after="0"/>
              <w:rPr>
                <w:sz w:val="20"/>
                <w:szCs w:val="20"/>
                <w:color w:val="auto"/>
              </w:rPr>
            </w:pPr>
            <w:r>
              <w:rPr>
                <w:rFonts w:ascii="Arial" w:cs="Arial" w:eastAsia="Arial" w:hAnsi="Arial"/>
                <w:sz w:val="12"/>
                <w:szCs w:val="12"/>
                <w:color w:val="auto"/>
                <w:w w:val="98"/>
              </w:rPr>
              <w:t>Item 2 -</w:t>
            </w:r>
          </w:p>
        </w:tc>
        <w:tc>
          <w:tcPr>
            <w:tcW w:w="3320" w:type="dxa"/>
            <w:vAlign w:val="bottom"/>
          </w:tcPr>
          <w:p>
            <w:pPr>
              <w:ind w:left="280"/>
              <w:spacing w:after="0"/>
              <w:rPr>
                <w:sz w:val="20"/>
                <w:szCs w:val="20"/>
                <w:color w:val="auto"/>
              </w:rPr>
            </w:pPr>
            <w:r>
              <w:rPr>
                <w:rFonts w:ascii="Arial" w:cs="Arial" w:eastAsia="Arial" w:hAnsi="Arial"/>
                <w:sz w:val="12"/>
                <w:szCs w:val="12"/>
                <w:color w:val="auto"/>
              </w:rPr>
              <w:t>Advisory Vote to Approve Executive Compensation</w:t>
            </w:r>
          </w:p>
        </w:tc>
        <w:tc>
          <w:tcPr>
            <w:tcW w:w="4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gridSpan w:val="2"/>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40"/>
        </w:trPr>
        <w:tc>
          <w:tcPr>
            <w:tcW w:w="1040" w:type="dxa"/>
            <w:vAlign w:val="bottom"/>
            <w:vMerge w:val="continue"/>
          </w:tcPr>
          <w:p>
            <w:pPr>
              <w:spacing w:after="0"/>
              <w:rPr>
                <w:sz w:val="3"/>
                <w:szCs w:val="3"/>
                <w:color w:val="auto"/>
              </w:rPr>
            </w:pPr>
          </w:p>
        </w:tc>
        <w:tc>
          <w:tcPr>
            <w:tcW w:w="222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5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3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2"/>
        </w:trPr>
        <w:tc>
          <w:tcPr>
            <w:tcW w:w="1040" w:type="dxa"/>
            <w:vAlign w:val="bottom"/>
            <w:vMerge w:val="restart"/>
          </w:tcPr>
          <w:p>
            <w:pPr>
              <w:ind w:left="640"/>
              <w:spacing w:after="0"/>
              <w:rPr>
                <w:sz w:val="20"/>
                <w:szCs w:val="20"/>
                <w:color w:val="auto"/>
              </w:rPr>
            </w:pPr>
            <w:r>
              <w:rPr>
                <w:rFonts w:ascii="Arial" w:cs="Arial" w:eastAsia="Arial" w:hAnsi="Arial"/>
                <w:sz w:val="12"/>
                <w:szCs w:val="12"/>
                <w:color w:val="auto"/>
              </w:rPr>
              <w:t>1f.</w:t>
            </w:r>
          </w:p>
        </w:tc>
        <w:tc>
          <w:tcPr>
            <w:tcW w:w="2220" w:type="dxa"/>
            <w:vAlign w:val="bottom"/>
            <w:vMerge w:val="restart"/>
          </w:tcPr>
          <w:p>
            <w:pPr>
              <w:ind w:left="20"/>
              <w:spacing w:after="0"/>
              <w:rPr>
                <w:sz w:val="20"/>
                <w:szCs w:val="20"/>
                <w:color w:val="auto"/>
              </w:rPr>
            </w:pPr>
            <w:r>
              <w:rPr>
                <w:rFonts w:ascii="Arial" w:cs="Arial" w:eastAsia="Arial" w:hAnsi="Arial"/>
                <w:sz w:val="12"/>
                <w:szCs w:val="12"/>
                <w:color w:val="auto"/>
              </w:rPr>
              <w:t>Margaret L. O’Sullivan</w:t>
            </w:r>
          </w:p>
        </w:tc>
        <w:tc>
          <w:tcPr>
            <w:tcW w:w="900" w:type="dxa"/>
            <w:vAlign w:val="bottom"/>
            <w:vMerge w:val="restart"/>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vMerge w:val="restart"/>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ind w:left="220"/>
              <w:spacing w:after="0"/>
              <w:rPr>
                <w:sz w:val="20"/>
                <w:szCs w:val="20"/>
                <w:color w:val="auto"/>
              </w:rPr>
            </w:pPr>
            <w:r>
              <w:rPr>
                <w:rFonts w:ascii="Arial" w:cs="Arial" w:eastAsia="Arial" w:hAnsi="Arial"/>
                <w:sz w:val="12"/>
                <w:szCs w:val="12"/>
                <w:color w:val="auto"/>
                <w:w w:val="98"/>
              </w:rPr>
              <w:t>Item 3 -</w:t>
            </w:r>
          </w:p>
        </w:tc>
        <w:tc>
          <w:tcPr>
            <w:tcW w:w="3320" w:type="dxa"/>
            <w:vAlign w:val="bottom"/>
          </w:tcPr>
          <w:p>
            <w:pPr>
              <w:ind w:left="280"/>
              <w:spacing w:after="0"/>
              <w:rPr>
                <w:sz w:val="20"/>
                <w:szCs w:val="20"/>
                <w:color w:val="auto"/>
              </w:rPr>
            </w:pPr>
            <w:r>
              <w:rPr>
                <w:rFonts w:ascii="Arial" w:cs="Arial" w:eastAsia="Arial" w:hAnsi="Arial"/>
                <w:sz w:val="12"/>
                <w:szCs w:val="12"/>
                <w:color w:val="auto"/>
              </w:rPr>
              <w:t>Appoint PricewaterhouseCoopers LLP to Serve as</w:t>
            </w:r>
          </w:p>
        </w:tc>
        <w:tc>
          <w:tcPr>
            <w:tcW w:w="40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gridSpan w:val="2"/>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gridSpan w:val="2"/>
          </w:tcPr>
          <w:p>
            <w:pPr>
              <w:jc w:val="center"/>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55"/>
        </w:trPr>
        <w:tc>
          <w:tcPr>
            <w:tcW w:w="1040" w:type="dxa"/>
            <w:vAlign w:val="bottom"/>
            <w:vMerge w:val="continue"/>
          </w:tcPr>
          <w:p>
            <w:pPr>
              <w:spacing w:after="0"/>
              <w:rPr>
                <w:sz w:val="4"/>
                <w:szCs w:val="4"/>
                <w:color w:val="auto"/>
              </w:rPr>
            </w:pPr>
          </w:p>
        </w:tc>
        <w:tc>
          <w:tcPr>
            <w:tcW w:w="222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3320" w:type="dxa"/>
            <w:vAlign w:val="bottom"/>
            <w:vMerge w:val="restart"/>
          </w:tcPr>
          <w:p>
            <w:pPr>
              <w:ind w:left="280"/>
              <w:spacing w:after="0"/>
              <w:rPr>
                <w:sz w:val="20"/>
                <w:szCs w:val="20"/>
                <w:color w:val="auto"/>
              </w:rPr>
            </w:pPr>
            <w:r>
              <w:rPr>
                <w:rFonts w:ascii="Arial" w:cs="Arial" w:eastAsia="Arial" w:hAnsi="Arial"/>
                <w:sz w:val="12"/>
                <w:szCs w:val="12"/>
                <w:color w:val="auto"/>
              </w:rPr>
              <w:t>Independent Auditor for 2022</w:t>
            </w:r>
          </w:p>
        </w:tc>
        <w:tc>
          <w:tcPr>
            <w:tcW w:w="40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32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040" w:type="dxa"/>
            <w:vAlign w:val="bottom"/>
          </w:tcPr>
          <w:p>
            <w:pPr>
              <w:ind w:left="640"/>
              <w:spacing w:after="0"/>
              <w:rPr>
                <w:sz w:val="20"/>
                <w:szCs w:val="20"/>
                <w:color w:val="auto"/>
              </w:rPr>
            </w:pPr>
            <w:r>
              <w:rPr>
                <w:rFonts w:ascii="Arial" w:cs="Arial" w:eastAsia="Arial" w:hAnsi="Arial"/>
                <w:sz w:val="12"/>
                <w:szCs w:val="12"/>
                <w:color w:val="auto"/>
              </w:rPr>
              <w:t>1g.</w:t>
            </w:r>
          </w:p>
        </w:tc>
        <w:tc>
          <w:tcPr>
            <w:tcW w:w="2220" w:type="dxa"/>
            <w:vAlign w:val="bottom"/>
          </w:tcPr>
          <w:p>
            <w:pPr>
              <w:ind w:left="20"/>
              <w:spacing w:after="0"/>
              <w:rPr>
                <w:sz w:val="20"/>
                <w:szCs w:val="20"/>
                <w:color w:val="auto"/>
              </w:rPr>
            </w:pPr>
            <w:r>
              <w:rPr>
                <w:rFonts w:ascii="Arial" w:cs="Arial" w:eastAsia="Arial" w:hAnsi="Arial"/>
                <w:sz w:val="12"/>
                <w:szCs w:val="12"/>
                <w:color w:val="auto"/>
              </w:rPr>
              <w:t>Dinesh C. Paliwal</w:t>
            </w:r>
          </w:p>
        </w:tc>
        <w:tc>
          <w:tcPr>
            <w:tcW w:w="900" w:type="dxa"/>
            <w:vAlign w:val="bottom"/>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w w:val="98"/>
              </w:rPr>
              <w:t>Item 4 -</w:t>
            </w:r>
          </w:p>
        </w:tc>
        <w:tc>
          <w:tcPr>
            <w:tcW w:w="3320" w:type="dxa"/>
            <w:vAlign w:val="bottom"/>
            <w:vMerge w:val="restart"/>
          </w:tcPr>
          <w:p>
            <w:pPr>
              <w:ind w:left="280"/>
              <w:spacing w:after="0"/>
              <w:rPr>
                <w:sz w:val="20"/>
                <w:szCs w:val="20"/>
                <w:color w:val="auto"/>
              </w:rPr>
            </w:pPr>
            <w:r>
              <w:rPr>
                <w:rFonts w:ascii="Arial" w:cs="Arial" w:eastAsia="Arial" w:hAnsi="Arial"/>
                <w:sz w:val="12"/>
                <w:szCs w:val="12"/>
                <w:color w:val="auto"/>
              </w:rPr>
              <w:t>Approve an Amendment to the Restated Certificate</w:t>
            </w:r>
          </w:p>
        </w:tc>
        <w:tc>
          <w:tcPr>
            <w:tcW w:w="400" w:type="dxa"/>
            <w:vAlign w:val="bottom"/>
            <w:vMerge w:val="restart"/>
          </w:tcPr>
          <w:p>
            <w:pPr>
              <w:jc w:val="center"/>
              <w:spacing w:after="0"/>
              <w:rPr>
                <w:sz w:val="20"/>
                <w:szCs w:val="20"/>
                <w:color w:val="auto"/>
              </w:rPr>
            </w:pPr>
            <w:r>
              <w:rPr>
                <w:rFonts w:ascii="Arial" w:cs="Arial" w:eastAsia="Arial" w:hAnsi="Arial"/>
                <w:sz w:val="12"/>
                <w:szCs w:val="12"/>
                <w:color w:val="auto"/>
                <w:w w:val="89"/>
              </w:rPr>
              <w:t>o</w:t>
            </w:r>
          </w:p>
        </w:tc>
        <w:tc>
          <w:tcPr>
            <w:tcW w:w="56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520" w:type="dxa"/>
            <w:vAlign w:val="bottom"/>
            <w:gridSpan w:val="2"/>
            <w:vMerge w:val="restart"/>
          </w:tcPr>
          <w:p>
            <w:pPr>
              <w:jc w:val="center"/>
              <w:spacing w:after="0"/>
              <w:rPr>
                <w:sz w:val="20"/>
                <w:szCs w:val="20"/>
                <w:color w:val="auto"/>
              </w:rPr>
            </w:pPr>
            <w:r>
              <w:rPr>
                <w:rFonts w:ascii="Arial" w:cs="Arial" w:eastAsia="Arial" w:hAnsi="Arial"/>
                <w:sz w:val="12"/>
                <w:szCs w:val="12"/>
                <w:color w:val="auto"/>
                <w:w w:val="89"/>
              </w:rPr>
              <w:t>o</w:t>
            </w:r>
          </w:p>
        </w:tc>
        <w:tc>
          <w:tcPr>
            <w:tcW w:w="0" w:type="dxa"/>
            <w:vAlign w:val="bottom"/>
          </w:tcPr>
          <w:p>
            <w:pPr>
              <w:spacing w:after="0"/>
              <w:rPr>
                <w:sz w:val="1"/>
                <w:szCs w:val="1"/>
                <w:color w:val="auto"/>
              </w:rPr>
            </w:pPr>
          </w:p>
        </w:tc>
      </w:tr>
      <w:tr>
        <w:trPr>
          <w:trHeight w:val="79"/>
        </w:trPr>
        <w:tc>
          <w:tcPr>
            <w:tcW w:w="1040" w:type="dxa"/>
            <w:vAlign w:val="bottom"/>
          </w:tcPr>
          <w:p>
            <w:pPr>
              <w:spacing w:after="0"/>
              <w:rPr>
                <w:sz w:val="6"/>
                <w:szCs w:val="6"/>
                <w:color w:val="auto"/>
              </w:rPr>
            </w:pPr>
          </w:p>
        </w:tc>
        <w:tc>
          <w:tcPr>
            <w:tcW w:w="2220" w:type="dxa"/>
            <w:vAlign w:val="bottom"/>
          </w:tcPr>
          <w:p>
            <w:pPr>
              <w:spacing w:after="0"/>
              <w:rPr>
                <w:sz w:val="6"/>
                <w:szCs w:val="6"/>
                <w:color w:val="auto"/>
              </w:rPr>
            </w:pPr>
          </w:p>
        </w:tc>
        <w:tc>
          <w:tcPr>
            <w:tcW w:w="90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3320" w:type="dxa"/>
            <w:vAlign w:val="bottom"/>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56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040" w:type="dxa"/>
            <w:vAlign w:val="bottom"/>
          </w:tcPr>
          <w:p>
            <w:pPr>
              <w:ind w:left="640"/>
              <w:spacing w:after="0"/>
              <w:rPr>
                <w:sz w:val="20"/>
                <w:szCs w:val="20"/>
                <w:color w:val="auto"/>
              </w:rPr>
            </w:pPr>
            <w:r>
              <w:rPr>
                <w:rFonts w:ascii="Arial" w:cs="Arial" w:eastAsia="Arial" w:hAnsi="Arial"/>
                <w:sz w:val="12"/>
                <w:szCs w:val="12"/>
                <w:color w:val="auto"/>
              </w:rPr>
              <w:t>1h.</w:t>
            </w:r>
          </w:p>
        </w:tc>
        <w:tc>
          <w:tcPr>
            <w:tcW w:w="2220" w:type="dxa"/>
            <w:vAlign w:val="bottom"/>
          </w:tcPr>
          <w:p>
            <w:pPr>
              <w:ind w:left="20"/>
              <w:spacing w:after="0"/>
              <w:rPr>
                <w:sz w:val="20"/>
                <w:szCs w:val="20"/>
                <w:color w:val="auto"/>
              </w:rPr>
            </w:pPr>
            <w:r>
              <w:rPr>
                <w:rFonts w:ascii="Arial" w:cs="Arial" w:eastAsia="Arial" w:hAnsi="Arial"/>
                <w:sz w:val="12"/>
                <w:szCs w:val="12"/>
                <w:color w:val="auto"/>
              </w:rPr>
              <w:t>Ellen M. Pawlikowski</w:t>
            </w:r>
          </w:p>
        </w:tc>
        <w:tc>
          <w:tcPr>
            <w:tcW w:w="900" w:type="dxa"/>
            <w:vAlign w:val="bottom"/>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13"/>
                <w:szCs w:val="13"/>
                <w:color w:val="auto"/>
              </w:rPr>
            </w:pPr>
          </w:p>
        </w:tc>
        <w:tc>
          <w:tcPr>
            <w:tcW w:w="3320" w:type="dxa"/>
            <w:vAlign w:val="bottom"/>
          </w:tcPr>
          <w:p>
            <w:pPr>
              <w:ind w:left="280"/>
              <w:spacing w:after="0"/>
              <w:rPr>
                <w:sz w:val="20"/>
                <w:szCs w:val="20"/>
                <w:color w:val="auto"/>
              </w:rPr>
            </w:pPr>
            <w:r>
              <w:rPr>
                <w:rFonts w:ascii="Arial" w:cs="Arial" w:eastAsia="Arial" w:hAnsi="Arial"/>
                <w:sz w:val="12"/>
                <w:szCs w:val="12"/>
                <w:color w:val="auto"/>
              </w:rPr>
              <w:t>of Incorporation to Reduce the Voting Threshold</w:t>
            </w: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ind w:left="280"/>
              <w:spacing w:after="0"/>
              <w:rPr>
                <w:sz w:val="20"/>
                <w:szCs w:val="20"/>
                <w:color w:val="auto"/>
              </w:rPr>
            </w:pPr>
            <w:r>
              <w:rPr>
                <w:rFonts w:ascii="Arial" w:cs="Arial" w:eastAsia="Arial" w:hAnsi="Arial"/>
                <w:sz w:val="12"/>
                <w:szCs w:val="12"/>
                <w:color w:val="auto"/>
              </w:rPr>
              <w:t>Required to Repeal Article Ninth</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040" w:type="dxa"/>
            <w:vAlign w:val="bottom"/>
          </w:tcPr>
          <w:p>
            <w:pPr>
              <w:ind w:left="640"/>
              <w:spacing w:after="0"/>
              <w:rPr>
                <w:sz w:val="20"/>
                <w:szCs w:val="20"/>
                <w:color w:val="auto"/>
              </w:rPr>
            </w:pPr>
            <w:r>
              <w:rPr>
                <w:rFonts w:ascii="Arial" w:cs="Arial" w:eastAsia="Arial" w:hAnsi="Arial"/>
                <w:sz w:val="12"/>
                <w:szCs w:val="12"/>
                <w:color w:val="auto"/>
              </w:rPr>
              <w:t>1i.</w:t>
            </w:r>
          </w:p>
        </w:tc>
        <w:tc>
          <w:tcPr>
            <w:tcW w:w="2220" w:type="dxa"/>
            <w:vAlign w:val="bottom"/>
          </w:tcPr>
          <w:p>
            <w:pPr>
              <w:ind w:left="20"/>
              <w:spacing w:after="0"/>
              <w:rPr>
                <w:sz w:val="20"/>
                <w:szCs w:val="20"/>
                <w:color w:val="auto"/>
              </w:rPr>
            </w:pPr>
            <w:r>
              <w:rPr>
                <w:rFonts w:ascii="Arial" w:cs="Arial" w:eastAsia="Arial" w:hAnsi="Arial"/>
                <w:sz w:val="12"/>
                <w:szCs w:val="12"/>
                <w:color w:val="auto"/>
              </w:rPr>
              <w:t>Denise L. Ramos</w:t>
            </w:r>
          </w:p>
        </w:tc>
        <w:tc>
          <w:tcPr>
            <w:tcW w:w="900" w:type="dxa"/>
            <w:vAlign w:val="bottom"/>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8"/>
        </w:trPr>
        <w:tc>
          <w:tcPr>
            <w:tcW w:w="1040" w:type="dxa"/>
            <w:vAlign w:val="bottom"/>
          </w:tcPr>
          <w:p>
            <w:pPr>
              <w:ind w:left="640"/>
              <w:spacing w:after="0"/>
              <w:rPr>
                <w:sz w:val="20"/>
                <w:szCs w:val="20"/>
                <w:color w:val="auto"/>
              </w:rPr>
            </w:pPr>
            <w:r>
              <w:rPr>
                <w:rFonts w:ascii="Arial" w:cs="Arial" w:eastAsia="Arial" w:hAnsi="Arial"/>
                <w:sz w:val="12"/>
                <w:szCs w:val="12"/>
                <w:color w:val="auto"/>
              </w:rPr>
              <w:t>1j.</w:t>
            </w:r>
          </w:p>
        </w:tc>
        <w:tc>
          <w:tcPr>
            <w:tcW w:w="2220" w:type="dxa"/>
            <w:vAlign w:val="bottom"/>
          </w:tcPr>
          <w:p>
            <w:pPr>
              <w:ind w:left="20"/>
              <w:spacing w:after="0"/>
              <w:rPr>
                <w:sz w:val="20"/>
                <w:szCs w:val="20"/>
                <w:color w:val="auto"/>
              </w:rPr>
            </w:pPr>
            <w:r>
              <w:rPr>
                <w:rFonts w:ascii="Arial" w:cs="Arial" w:eastAsia="Arial" w:hAnsi="Arial"/>
                <w:sz w:val="12"/>
                <w:szCs w:val="12"/>
                <w:color w:val="auto"/>
              </w:rPr>
              <w:t>Fredric G. Reynolds</w:t>
            </w:r>
          </w:p>
        </w:tc>
        <w:tc>
          <w:tcPr>
            <w:tcW w:w="900" w:type="dxa"/>
            <w:vAlign w:val="bottom"/>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1040" w:type="dxa"/>
            <w:vAlign w:val="bottom"/>
          </w:tcPr>
          <w:p>
            <w:pPr>
              <w:ind w:left="640"/>
              <w:spacing w:after="0"/>
              <w:rPr>
                <w:sz w:val="20"/>
                <w:szCs w:val="20"/>
                <w:color w:val="auto"/>
              </w:rPr>
            </w:pPr>
            <w:r>
              <w:rPr>
                <w:rFonts w:ascii="Arial" w:cs="Arial" w:eastAsia="Arial" w:hAnsi="Arial"/>
                <w:sz w:val="12"/>
                <w:szCs w:val="12"/>
                <w:color w:val="auto"/>
              </w:rPr>
              <w:t>1k.</w:t>
            </w:r>
          </w:p>
        </w:tc>
        <w:tc>
          <w:tcPr>
            <w:tcW w:w="2220" w:type="dxa"/>
            <w:vAlign w:val="bottom"/>
          </w:tcPr>
          <w:p>
            <w:pPr>
              <w:ind w:left="20"/>
              <w:spacing w:after="0"/>
              <w:rPr>
                <w:sz w:val="20"/>
                <w:szCs w:val="20"/>
                <w:color w:val="auto"/>
              </w:rPr>
            </w:pPr>
            <w:r>
              <w:rPr>
                <w:rFonts w:ascii="Arial" w:cs="Arial" w:eastAsia="Arial" w:hAnsi="Arial"/>
                <w:sz w:val="12"/>
                <w:szCs w:val="12"/>
                <w:color w:val="auto"/>
              </w:rPr>
              <w:t>Brian C. Rogers</w:t>
            </w:r>
          </w:p>
        </w:tc>
        <w:tc>
          <w:tcPr>
            <w:tcW w:w="900" w:type="dxa"/>
            <w:vAlign w:val="bottom"/>
          </w:tcPr>
          <w:p>
            <w:pPr>
              <w:jc w:val="center"/>
              <w:ind w:left="418"/>
              <w:spacing w:after="0"/>
              <w:rPr>
                <w:sz w:val="20"/>
                <w:szCs w:val="20"/>
                <w:color w:val="auto"/>
              </w:rPr>
            </w:pPr>
            <w:r>
              <w:rPr>
                <w:rFonts w:ascii="Arial" w:cs="Arial" w:eastAsia="Arial" w:hAnsi="Arial"/>
                <w:sz w:val="12"/>
                <w:szCs w:val="12"/>
                <w:color w:val="auto"/>
                <w:w w:val="89"/>
              </w:rPr>
              <w:t>o</w:t>
            </w:r>
          </w:p>
        </w:tc>
        <w:tc>
          <w:tcPr>
            <w:tcW w:w="540" w:type="dxa"/>
            <w:vAlign w:val="bottom"/>
          </w:tcPr>
          <w:p>
            <w:pPr>
              <w:jc w:val="center"/>
              <w:spacing w:after="0"/>
              <w:rPr>
                <w:sz w:val="20"/>
                <w:szCs w:val="20"/>
                <w:color w:val="auto"/>
              </w:rPr>
            </w:pPr>
            <w:r>
              <w:rPr>
                <w:rFonts w:ascii="Arial" w:cs="Arial" w:eastAsia="Arial" w:hAnsi="Arial"/>
                <w:sz w:val="12"/>
                <w:szCs w:val="12"/>
                <w:color w:val="auto"/>
                <w:w w:val="89"/>
              </w:rPr>
              <w:t>o</w:t>
            </w:r>
          </w:p>
        </w:tc>
        <w:tc>
          <w:tcPr>
            <w:tcW w:w="740" w:type="dxa"/>
            <w:vAlign w:val="bottom"/>
          </w:tcPr>
          <w:p>
            <w:pPr>
              <w:jc w:val="center"/>
              <w:ind w:right="118"/>
              <w:spacing w:after="0"/>
              <w:rPr>
                <w:sz w:val="20"/>
                <w:szCs w:val="20"/>
                <w:color w:val="auto"/>
              </w:rPr>
            </w:pPr>
            <w:r>
              <w:rPr>
                <w:rFonts w:ascii="Arial" w:cs="Arial" w:eastAsia="Arial" w:hAnsi="Arial"/>
                <w:sz w:val="12"/>
                <w:szCs w:val="12"/>
                <w:color w:val="auto"/>
              </w:rPr>
              <w:t>o</w:t>
            </w:r>
          </w:p>
        </w:tc>
        <w:tc>
          <w:tcPr>
            <w:tcW w:w="6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20" w:right="1760"/>
        <w:spacing w:after="0" w:line="252" w:lineRule="auto"/>
        <w:rPr>
          <w:sz w:val="20"/>
          <w:szCs w:val="20"/>
          <w:color w:val="auto"/>
        </w:rPr>
      </w:pPr>
      <w:r>
        <w:rPr>
          <w:rFonts w:ascii="Arial" w:cs="Arial" w:eastAsia="Arial" w:hAnsi="Arial"/>
          <w:sz w:val="12"/>
          <w:szCs w:val="12"/>
          <w:color w:val="auto"/>
        </w:rPr>
        <w:t>Please date and sign name exactly as it appears hereon. Executors, administrators, trustees, etc. should so indicate when signing. If the shareowner is a corporation, the full corporate name should be inserted and the proxy signed by an officer of the corporation indicating his/her title.</w:t>
      </w:r>
    </w:p>
    <w:p>
      <w:pPr>
        <w:spacing w:after="0" w:line="200" w:lineRule="exact"/>
        <w:rPr>
          <w:sz w:val="20"/>
          <w:szCs w:val="20"/>
          <w:color w:val="auto"/>
        </w:rPr>
      </w:pPr>
    </w:p>
    <w:p>
      <w:pPr>
        <w:spacing w:after="0" w:line="327" w:lineRule="exact"/>
        <w:rPr>
          <w:sz w:val="20"/>
          <w:szCs w:val="20"/>
          <w:color w:val="auto"/>
        </w:rPr>
      </w:pPr>
    </w:p>
    <w:p>
      <w:pPr>
        <w:ind w:left="220"/>
        <w:spacing w:after="0"/>
        <w:tabs>
          <w:tab w:leader="none" w:pos="3680" w:val="left"/>
          <w:tab w:leader="none" w:pos="5220" w:val="left"/>
          <w:tab w:leader="none" w:pos="870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154545"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2640330</wp:posOffset>
            </wp:positionH>
            <wp:positionV relativeFrom="paragraph">
              <wp:posOffset>120650</wp:posOffset>
            </wp:positionV>
            <wp:extent cx="1870710" cy="50165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870710" cy="50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740"/>
        <w:spacing w:after="0"/>
        <w:rPr>
          <w:sz w:val="20"/>
          <w:szCs w:val="20"/>
          <w:color w:val="auto"/>
        </w:rPr>
      </w:pPr>
      <w:r>
        <w:rPr>
          <w:rFonts w:ascii="Arial" w:cs="Arial" w:eastAsia="Arial" w:hAnsi="Arial"/>
          <w:sz w:val="18"/>
          <w:szCs w:val="18"/>
          <w:color w:val="auto"/>
        </w:rPr>
        <w:t>Monday, April 25, 2022, 8:00 a.m. Eastern Time</w:t>
      </w:r>
    </w:p>
    <w:p>
      <w:pPr>
        <w:ind w:left="3800"/>
        <w:spacing w:after="0"/>
        <w:rPr>
          <w:sz w:val="20"/>
          <w:szCs w:val="20"/>
          <w:color w:val="auto"/>
        </w:rPr>
      </w:pPr>
      <w:r>
        <w:rPr>
          <w:rFonts w:ascii="Arial" w:cs="Arial" w:eastAsia="Arial" w:hAnsi="Arial"/>
          <w:sz w:val="18"/>
          <w:szCs w:val="18"/>
          <w:color w:val="auto"/>
        </w:rPr>
        <w:t>www.virtualshareholdermeeting.com/RTX2022</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9320"/>
        <w:spacing w:after="0"/>
        <w:rPr>
          <w:sz w:val="20"/>
          <w:szCs w:val="20"/>
          <w:color w:val="auto"/>
        </w:rPr>
      </w:pPr>
      <w:r>
        <w:rPr>
          <w:rFonts w:ascii="Arial" w:cs="Arial" w:eastAsia="Arial" w:hAnsi="Arial"/>
          <w:sz w:val="14"/>
          <w:szCs w:val="14"/>
          <w:color w:val="auto"/>
        </w:rPr>
        <w:t>D72053-P67761-Z81918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wp:posOffset>
            </wp:positionV>
            <wp:extent cx="7129145" cy="3719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29145" cy="3719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520" w:right="2020"/>
        <w:spacing w:after="0" w:line="239" w:lineRule="auto"/>
        <w:rPr>
          <w:sz w:val="20"/>
          <w:szCs w:val="20"/>
          <w:color w:val="auto"/>
        </w:rPr>
      </w:pPr>
      <w:r>
        <w:rPr>
          <w:rFonts w:ascii="Arial" w:cs="Arial" w:eastAsia="Arial" w:hAnsi="Arial"/>
          <w:sz w:val="20"/>
          <w:szCs w:val="20"/>
          <w:b w:val="1"/>
          <w:bCs w:val="1"/>
          <w:color w:val="auto"/>
        </w:rPr>
        <w:t>THIS PROXY IS SOLICITED ON BEHALF OF THE BOARD OF DIRECTORS ANNUAL MEETING OF SHAREOWNERS MONDAY, APRIL 25, 2022</w:t>
      </w:r>
    </w:p>
    <w:p>
      <w:pPr>
        <w:spacing w:after="0" w:line="173" w:lineRule="exact"/>
        <w:rPr>
          <w:sz w:val="20"/>
          <w:szCs w:val="20"/>
          <w:color w:val="auto"/>
        </w:rPr>
      </w:pPr>
    </w:p>
    <w:p>
      <w:pPr>
        <w:jc w:val="both"/>
        <w:ind w:left="220"/>
        <w:spacing w:after="0" w:line="247" w:lineRule="auto"/>
        <w:rPr>
          <w:sz w:val="20"/>
          <w:szCs w:val="20"/>
          <w:color w:val="auto"/>
        </w:rPr>
      </w:pPr>
      <w:r>
        <w:rPr>
          <w:rFonts w:ascii="Arial" w:cs="Arial" w:eastAsia="Arial" w:hAnsi="Arial"/>
          <w:sz w:val="16"/>
          <w:szCs w:val="16"/>
          <w:color w:val="auto"/>
        </w:rPr>
        <w:t>The undersigned hereby appoints Gregory J. Hayes, Neil G. Mitchill, Jr. and Ramsaran Maharajh, or any of them, as proxies, each with full power of substitution, and hereby authorizes them to represent and to vote, as designated on the reverse side of this ballot (with discretionary authority as to any and all other business that may properly come before the meeting), all of the shares of Common Stock of Raytheon Technologies Corporation that the Shareowner(s) is/are entitled to vote at the Annual Meeting of Shareowners to be held at 8:00 a.m. Eastern Time on Monday, April 25, 2022, virtually at www.virtualshareholdermeeting.com/RTX2022, and at any adjournment, continuation or postponement thereof.</w:t>
      </w:r>
    </w:p>
    <w:p>
      <w:pPr>
        <w:spacing w:after="0" w:line="178" w:lineRule="exact"/>
        <w:rPr>
          <w:sz w:val="20"/>
          <w:szCs w:val="20"/>
          <w:color w:val="auto"/>
        </w:rPr>
      </w:pPr>
    </w:p>
    <w:p>
      <w:pPr>
        <w:jc w:val="both"/>
        <w:ind w:left="220"/>
        <w:spacing w:after="0" w:line="250" w:lineRule="auto"/>
        <w:rPr>
          <w:sz w:val="20"/>
          <w:szCs w:val="20"/>
          <w:color w:val="auto"/>
        </w:rPr>
      </w:pPr>
      <w:r>
        <w:rPr>
          <w:rFonts w:ascii="Arial" w:cs="Arial" w:eastAsia="Arial" w:hAnsi="Arial"/>
          <w:sz w:val="16"/>
          <w:szCs w:val="16"/>
          <w:color w:val="auto"/>
        </w:rPr>
        <w:t>If the undersigned is a participant in a company savings plan and has stock allocated to a plan account, the undersigned hereby instructs the trustee of the plan to vote all such shares of stock in accordance with the instructions on the reverse side of this ballot (or if no instructions are provided, then in accordance with the Board recommendations) at the Annual Meeting and at any adjournment, continuation or postponement thereof.</w:t>
      </w:r>
    </w:p>
    <w:p>
      <w:pPr>
        <w:spacing w:after="0" w:line="155" w:lineRule="exact"/>
        <w:rPr>
          <w:sz w:val="20"/>
          <w:szCs w:val="20"/>
          <w:color w:val="auto"/>
        </w:rPr>
      </w:pPr>
    </w:p>
    <w:p>
      <w:pPr>
        <w:jc w:val="both"/>
        <w:ind w:left="220" w:right="20"/>
        <w:spacing w:after="0" w:line="282" w:lineRule="auto"/>
        <w:rPr>
          <w:sz w:val="20"/>
          <w:szCs w:val="20"/>
          <w:color w:val="auto"/>
        </w:rPr>
      </w:pPr>
      <w:r>
        <w:rPr>
          <w:rFonts w:ascii="Arial" w:cs="Arial" w:eastAsia="Arial" w:hAnsi="Arial"/>
          <w:sz w:val="16"/>
          <w:szCs w:val="16"/>
          <w:b w:val="1"/>
          <w:bCs w:val="1"/>
          <w:color w:val="auto"/>
        </w:rPr>
        <w:t>THIS PROXY, WHEN PROPERLY EXECUTED, WILL BE VOTED AS DIRECTED BY THE SHAREOWNER(S). IF NO SUCH DIRECTIONS ARE MADE, THIS PROXY WILL BE VOTED IN ACCORDANCE WITH THE RECOMMENDATION OF THE BOARD OF DIRECTORS.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IF YOU ARE NOT VOTING ON THE INTERNET OR BY TELEPHONE, PLEASE MARK, SIGN, DATE</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auto"/>
        </w:rPr>
        <w:t>AND RETURN THIS PROXY CARD PROMPTLY USING THE ENCLOSED REPLY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831850</wp:posOffset>
            </wp:positionV>
            <wp:extent cx="7154545"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4545" cy="20955"/>
                    </a:xfrm>
                    <a:prstGeom prst="rect">
                      <a:avLst/>
                    </a:prstGeom>
                    <a:noFill/>
                  </pic:spPr>
                </pic:pic>
              </a:graphicData>
            </a:graphic>
          </wp:anchor>
        </w:drawing>
      </w:r>
    </w:p>
    <w:sectPr>
      <w:pgSz w:w="11900" w:h="16838" w:orient="portrait"/>
      <w:cols w:equalWidth="0" w:num="1">
        <w:col w:w="11040"/>
      </w:cols>
      <w:pgMar w:left="320" w:top="118"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A"/>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
      <w:numFmt w:val="bullet"/>
      <w:start w:val="1"/>
    </w:lvl>
  </w:abstractNum>
  <w:abstractNum w:abstractNumId="3">
    <w:nsid w:val="1DF029D3"/>
    <w:multiLevelType w:val="hybridMultilevel"/>
    <w:lvl w:ilvl="0">
      <w:lvlJc w:val="left"/>
      <w:lvlText w:val="1"/>
      <w:numFmt w:val="bullet"/>
      <w:start w:val="1"/>
    </w:lvl>
  </w:abstractNum>
  <w:abstractNum w:abstractNumId="4">
    <w:nsid w:val="5675FF36"/>
    <w:multiLevelType w:val="hybridMultilevel"/>
    <w:lvl w:ilvl="0">
      <w:lvlJc w:val="left"/>
      <w:lvlText w:val="2"/>
      <w:numFmt w:val="bullet"/>
      <w:start w:val="1"/>
    </w:lvl>
  </w:abstractNum>
  <w:abstractNum w:abstractNumId="5">
    <w:nsid w:val="3DD15094"/>
    <w:multiLevelType w:val="hybridMultilevel"/>
    <w:lvl w:ilvl="0">
      <w:lvlJc w:val="left"/>
      <w:lvlText w:val="3"/>
      <w:numFmt w:val="bullet"/>
      <w:start w:val="1"/>
    </w:lvl>
  </w:abstractNum>
  <w:abstractNum w:abstractNumId="6">
    <w:nsid w:val="3DB012B3"/>
    <w:multiLevelType w:val="hybridMultilevel"/>
    <w:lvl w:ilvl="0">
      <w:lvlJc w:val="left"/>
      <w:lvlText w:val="4"/>
      <w:numFmt w:val="bullet"/>
      <w:start w:val="1"/>
    </w:lvl>
  </w:abstractNum>
  <w:abstractNum w:abstractNumId="7">
    <w:nsid w:val="2708C9AF"/>
    <w:multiLevelType w:val="hybridMultilevel"/>
    <w:lvl w:ilvl="0">
      <w:lvlJc w:val="left"/>
      <w:lvlText w:val="i"/>
      <w:numFmt w:val="bullet"/>
      <w:start w:val="1"/>
    </w:lvl>
  </w:abstractNum>
  <w:abstractNum w:abstractNumId="8">
    <w:nsid w:val="5B25ACE2"/>
    <w:multiLevelType w:val="hybridMultilevel"/>
    <w:lvl w:ilvl="0">
      <w:lvlJc w:val="left"/>
      <w:lvlText w:val="%1"/>
      <w:numFmt w:val="decimal"/>
      <w:start w:val="22"/>
    </w:lvl>
  </w:abstractNum>
  <w:abstractNum w:abstractNumId="9">
    <w:nsid w:val="175DFCF0"/>
    <w:multiLevelType w:val="hybridMultilevel"/>
    <w:lvl w:ilvl="0">
      <w:lvlJc w:val="left"/>
      <w:lvlText w:val="%1"/>
      <w:numFmt w:val="decimal"/>
      <w:start w:val="40"/>
    </w:lvl>
  </w:abstractNum>
  <w:abstractNum w:abstractNumId="10">
    <w:nsid w:val="4F97E3E4"/>
    <w:multiLevelType w:val="hybridMultilevel"/>
    <w:lvl w:ilvl="0">
      <w:lvlJc w:val="left"/>
      <w:lvlText w:val="%1"/>
      <w:numFmt w:val="decimal"/>
      <w:start w:val="47"/>
    </w:lvl>
  </w:abstractNum>
  <w:abstractNum w:abstractNumId="11">
    <w:nsid w:val="53B0A9E"/>
    <w:multiLevelType w:val="hybridMultilevel"/>
    <w:lvl w:ilvl="0">
      <w:lvlJc w:val="left"/>
      <w:lvlText w:val="%1"/>
      <w:numFmt w:val="decimal"/>
      <w:start w:val="56"/>
    </w:lvl>
  </w:abstractNum>
  <w:abstractNum w:abstractNumId="12">
    <w:nsid w:val="34FD6B4F"/>
    <w:multiLevelType w:val="hybridMultilevel"/>
    <w:lvl w:ilvl="0">
      <w:lvlJc w:val="left"/>
      <w:lvlText w:val="%1"/>
      <w:numFmt w:val="lowerRoman"/>
      <w:start w:val="2"/>
    </w:lvl>
  </w:abstractNum>
  <w:abstractNum w:abstractNumId="13">
    <w:nsid w:val="5915FF32"/>
    <w:multiLevelType w:val="hybridMultilevel"/>
    <w:lvl w:ilvl="0">
      <w:lvlJc w:val="left"/>
      <w:lvlText w:val="●"/>
      <w:numFmt w:val="bullet"/>
      <w:start w:val="1"/>
    </w:lvl>
  </w:abstractNum>
  <w:abstractNum w:abstractNumId="14">
    <w:nsid w:val="56438D15"/>
    <w:multiLevelType w:val="hybridMultilevel"/>
    <w:lvl w:ilvl="0">
      <w:lvlJc w:val="left"/>
      <w:lvlText w:val="●"/>
      <w:numFmt w:val="bullet"/>
      <w:start w:val="1"/>
    </w:lvl>
  </w:abstractNum>
  <w:abstractNum w:abstractNumId="15">
    <w:nsid w:val="519E3149"/>
    <w:multiLevelType w:val="hybridMultilevel"/>
    <w:lvl w:ilvl="0">
      <w:lvlJc w:val="left"/>
      <w:lvlText w:val="●"/>
      <w:numFmt w:val="bullet"/>
      <w:start w:val="1"/>
    </w:lvl>
  </w:abstractNum>
  <w:abstractNum w:abstractNumId="16">
    <w:nsid w:val="2C6E4AFD"/>
    <w:multiLevelType w:val="hybridMultilevel"/>
    <w:lvl w:ilvl="0">
      <w:lvlJc w:val="left"/>
      <w:lvlText w:val="(%1)"/>
      <w:numFmt w:val="decimal"/>
      <w:start w:val="1"/>
    </w:lvl>
  </w:abstractNum>
  <w:abstractNum w:abstractNumId="17">
    <w:nsid w:val="17A1B582"/>
    <w:multiLevelType w:val="hybridMultilevel"/>
    <w:lvl w:ilvl="0">
      <w:lvlJc w:val="left"/>
      <w:lvlText w:val="2"/>
      <w:numFmt w:val="bullet"/>
      <w:start w:val="1"/>
    </w:lvl>
  </w:abstractNum>
  <w:abstractNum w:abstractNumId="18">
    <w:nsid w:val="4DF72E4E"/>
    <w:multiLevelType w:val="hybridMultilevel"/>
    <w:lvl w:ilvl="0">
      <w:lvlJc w:val="left"/>
      <w:lvlText w:val="●"/>
      <w:numFmt w:val="bullet"/>
      <w:start w:val="1"/>
    </w:lvl>
  </w:abstractNum>
  <w:abstractNum w:abstractNumId="19">
    <w:nsid w:val="5046B5A9"/>
    <w:multiLevelType w:val="hybridMultilevel"/>
    <w:lvl w:ilvl="0">
      <w:lvlJc w:val="left"/>
      <w:lvlText w:val="●"/>
      <w:numFmt w:val="bullet"/>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1)"/>
      <w:numFmt w:val="decimal"/>
      <w:start w:val="1"/>
    </w:lvl>
  </w:abstractNum>
  <w:abstractNum w:abstractNumId="23">
    <w:nsid w:val="19E21BB2"/>
    <w:multiLevelType w:val="hybridMultilevel"/>
    <w:lvl w:ilvl="0">
      <w:lvlJc w:val="left"/>
      <w:lvlText w:val="●"/>
      <w:numFmt w:val="bullet"/>
      <w:start w:val="1"/>
    </w:lvl>
  </w:abstractNum>
  <w:abstractNum w:abstractNumId="24">
    <w:nsid w:val="75E0858A"/>
    <w:multiLevelType w:val="hybridMultilevel"/>
    <w:lvl w:ilvl="0">
      <w:lvlJc w:val="left"/>
      <w:lvlText w:val="(%1)"/>
      <w:numFmt w:val="decimal"/>
      <w:start w:val="1"/>
    </w:lvl>
  </w:abstractNum>
  <w:abstractNum w:abstractNumId="25">
    <w:nsid w:val="57A61A29"/>
    <w:multiLevelType w:val="hybridMultilevel"/>
    <w:lvl w:ilvl="0">
      <w:lvlJc w:val="left"/>
      <w:lvlText w:val="4"/>
      <w:numFmt w:val="bullet"/>
      <w:start w:val="1"/>
    </w:lvl>
  </w:abstractNum>
  <w:abstractNum w:abstractNumId="26">
    <w:nsid w:val="5399C654"/>
    <w:multiLevelType w:val="hybridMultilevel"/>
    <w:lvl w:ilvl="0">
      <w:lvlJc w:val="left"/>
      <w:lvlText w:val="*"/>
      <w:numFmt w:val="bullet"/>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6"/>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8"/>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
      <w:numFmt w:val="bullet"/>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1"/>
      <w:numFmt w:val="decimal"/>
      <w:start w:val="10"/>
    </w:lvl>
  </w:abstractNum>
  <w:abstractNum w:abstractNumId="37">
    <w:nsid w:val="4BEE5A5B"/>
    <w:multiLevelType w:val="hybridMultilevel"/>
    <w:lvl w:ilvl="0">
      <w:lvlJc w:val="left"/>
      <w:lvlText w:val="●"/>
      <w:numFmt w:val="bullet"/>
      <w:start w:val="1"/>
    </w:lvl>
  </w:abstractNum>
  <w:abstractNum w:abstractNumId="38">
    <w:nsid w:val="5551B9F3"/>
    <w:multiLevelType w:val="hybridMultilevel"/>
    <w:lvl w:ilvl="0">
      <w:lvlJc w:val="left"/>
      <w:lvlText w:val="%1"/>
      <w:numFmt w:val="decimal"/>
      <w:start w:val="12"/>
    </w:lvl>
  </w:abstractNum>
  <w:abstractNum w:abstractNumId="39">
    <w:nsid w:val="24F6AB8E"/>
    <w:multiLevelType w:val="hybridMultilevel"/>
    <w:lvl w:ilvl="0">
      <w:lvlJc w:val="left"/>
      <w:lvlText w:val="●"/>
      <w:numFmt w:val="bullet"/>
      <w:start w:val="1"/>
    </w:lvl>
  </w:abstractNum>
  <w:abstractNum w:abstractNumId="40">
    <w:nsid w:val="634C574C"/>
    <w:multiLevelType w:val="hybridMultilevel"/>
    <w:lvl w:ilvl="0">
      <w:lvlJc w:val="left"/>
      <w:lvlText w:val="●"/>
      <w:numFmt w:val="bullet"/>
      <w:start w:val="1"/>
    </w:lvl>
  </w:abstractNum>
  <w:abstractNum w:abstractNumId="41">
    <w:nsid w:val="24E99DD7"/>
    <w:multiLevelType w:val="hybridMultilevel"/>
    <w:lvl w:ilvl="0">
      <w:lvlJc w:val="left"/>
      <w:lvlText w:val="●"/>
      <w:numFmt w:val="bullet"/>
      <w:start w:val="1"/>
    </w:lvl>
  </w:abstractNum>
  <w:abstractNum w:abstractNumId="42">
    <w:nsid w:val="2A31B62D"/>
    <w:multiLevelType w:val="hybridMultilevel"/>
    <w:lvl w:ilvl="0">
      <w:lvlJc w:val="left"/>
      <w:lvlText w:val="●"/>
      <w:numFmt w:val="bullet"/>
      <w:start w:val="1"/>
    </w:lvl>
  </w:abstractNum>
  <w:abstractNum w:abstractNumId="43">
    <w:nsid w:val="1849C29B"/>
    <w:multiLevelType w:val="hybridMultilevel"/>
    <w:lvl w:ilvl="0">
      <w:lvlJc w:val="left"/>
      <w:lvlText w:val="●"/>
      <w:numFmt w:val="bullet"/>
      <w:start w:val="1"/>
    </w:lvl>
  </w:abstractNum>
  <w:abstractNum w:abstractNumId="44">
    <w:nsid w:val="7DFF9D09"/>
    <w:multiLevelType w:val="hybridMultilevel"/>
    <w:lvl w:ilvl="0">
      <w:lvlJc w:val="left"/>
      <w:lvlText w:val="●"/>
      <w:numFmt w:val="bullet"/>
      <w:start w:val="1"/>
    </w:lvl>
  </w:abstractNum>
  <w:abstractNum w:abstractNumId="45">
    <w:nsid w:val="754342"/>
    <w:multiLevelType w:val="hybridMultilevel"/>
    <w:lvl w:ilvl="0">
      <w:lvlJc w:val="left"/>
      <w:lvlText w:val="%1"/>
      <w:numFmt w:val="decimal"/>
      <w:start w:val="14"/>
    </w:lvl>
  </w:abstractNum>
  <w:abstractNum w:abstractNumId="46">
    <w:nsid w:val="69E7F3E5"/>
    <w:multiLevelType w:val="hybridMultilevel"/>
    <w:lvl w:ilvl="0">
      <w:lvlJc w:val="left"/>
      <w:lvlText w:val="●"/>
      <w:numFmt w:val="bullet"/>
      <w:start w:val="1"/>
    </w:lvl>
  </w:abstractNum>
  <w:abstractNum w:abstractNumId="47">
    <w:nsid w:val="2A6DE806"/>
    <w:multiLevelType w:val="hybridMultilevel"/>
    <w:lvl w:ilvl="0">
      <w:lvlJc w:val="left"/>
      <w:lvlText w:val="●"/>
      <w:numFmt w:val="bullet"/>
      <w:start w:val="1"/>
    </w:lvl>
  </w:abstractNum>
  <w:abstractNum w:abstractNumId="48">
    <w:nsid w:val="1816F8C4"/>
    <w:multiLevelType w:val="hybridMultilevel"/>
    <w:lvl w:ilvl="0">
      <w:lvlJc w:val="left"/>
      <w:lvlText w:val="●"/>
      <w:numFmt w:val="bullet"/>
      <w:start w:val="1"/>
    </w:lvl>
  </w:abstractNum>
  <w:abstractNum w:abstractNumId="49">
    <w:nsid w:val="37DF2233"/>
    <w:multiLevelType w:val="hybridMultilevel"/>
    <w:lvl w:ilvl="0">
      <w:lvlJc w:val="left"/>
      <w:lvlText w:val="●"/>
      <w:numFmt w:val="bullet"/>
      <w:start w:val="1"/>
    </w:lvl>
  </w:abstractNum>
  <w:abstractNum w:abstractNumId="50">
    <w:nsid w:val="7AB49DAF"/>
    <w:multiLevelType w:val="hybridMultilevel"/>
    <w:lvl w:ilvl="0">
      <w:lvlJc w:val="left"/>
      <w:lvlText w:val="●"/>
      <w:numFmt w:val="bullet"/>
      <w:start w:val="1"/>
    </w:lvl>
  </w:abstractNum>
  <w:abstractNum w:abstractNumId="51">
    <w:nsid w:val="759F82CD"/>
    <w:multiLevelType w:val="hybridMultilevel"/>
    <w:lvl w:ilvl="0">
      <w:lvlJc w:val="left"/>
      <w:lvlText w:val="●"/>
      <w:numFmt w:val="bullet"/>
      <w:start w:val="1"/>
    </w:lvl>
  </w:abstractNum>
  <w:abstractNum w:abstractNumId="52">
    <w:nsid w:val="61E74EA3"/>
    <w:multiLevelType w:val="hybridMultilevel"/>
    <w:lvl w:ilvl="0">
      <w:lvlJc w:val="left"/>
      <w:lvlText w:val="●"/>
      <w:numFmt w:val="bullet"/>
      <w:start w:val="1"/>
    </w:lvl>
  </w:abstractNum>
  <w:abstractNum w:abstractNumId="53">
    <w:nsid w:val="597B4D84"/>
    <w:multiLevelType w:val="hybridMultilevel"/>
    <w:lvl w:ilvl="0">
      <w:lvlJc w:val="left"/>
      <w:lvlText w:val="●"/>
      <w:numFmt w:val="bullet"/>
      <w:start w:val="1"/>
    </w:lvl>
  </w:abstractNum>
  <w:abstractNum w:abstractNumId="54">
    <w:nsid w:val="F819E7F"/>
    <w:multiLevelType w:val="hybridMultilevel"/>
    <w:lvl w:ilvl="0">
      <w:lvlJc w:val="left"/>
      <w:lvlText w:val="●"/>
      <w:numFmt w:val="bullet"/>
      <w:start w:val="1"/>
    </w:lvl>
  </w:abstractNum>
  <w:abstractNum w:abstractNumId="55">
    <w:nsid w:val="57C7D42D"/>
    <w:multiLevelType w:val="hybridMultilevel"/>
    <w:lvl w:ilvl="0">
      <w:lvlJc w:val="left"/>
      <w:lvlText w:val="●"/>
      <w:numFmt w:val="bullet"/>
      <w:start w:val="1"/>
    </w:lvl>
  </w:abstractNum>
  <w:abstractNum w:abstractNumId="56">
    <w:nsid w:val="312167AD"/>
    <w:multiLevelType w:val="hybridMultilevel"/>
    <w:lvl w:ilvl="0">
      <w:lvlJc w:val="left"/>
      <w:lvlText w:val="●"/>
      <w:numFmt w:val="bullet"/>
      <w:start w:val="1"/>
    </w:lvl>
  </w:abstractNum>
  <w:abstractNum w:abstractNumId="57">
    <w:nsid w:val="631B64D4"/>
    <w:multiLevelType w:val="hybridMultilevel"/>
    <w:lvl w:ilvl="0">
      <w:lvlJc w:val="left"/>
      <w:lvlText w:val="●"/>
      <w:numFmt w:val="bullet"/>
      <w:start w:val="1"/>
    </w:lvl>
  </w:abstractNum>
  <w:abstractNum w:abstractNumId="58">
    <w:nsid w:val="78B5E776"/>
    <w:multiLevelType w:val="hybridMultilevel"/>
    <w:lvl w:ilvl="0">
      <w:lvlJc w:val="left"/>
      <w:lvlText w:val="●"/>
      <w:numFmt w:val="bullet"/>
      <w:start w:val="1"/>
    </w:lvl>
  </w:abstractNum>
  <w:abstractNum w:abstractNumId="59">
    <w:nsid w:val="75486E47"/>
    <w:multiLevelType w:val="hybridMultilevel"/>
    <w:lvl w:ilvl="0">
      <w:lvlJc w:val="left"/>
      <w:lvlText w:val="%1"/>
      <w:numFmt w:val="decimal"/>
      <w:start w:val="16"/>
    </w:lvl>
  </w:abstractNum>
  <w:abstractNum w:abstractNumId="60">
    <w:nsid w:val="6E534CDE"/>
    <w:multiLevelType w:val="hybridMultilevel"/>
    <w:lvl w:ilvl="0">
      <w:lvlJc w:val="left"/>
      <w:lvlText w:val="●"/>
      <w:numFmt w:val="bullet"/>
      <w:start w:val="1"/>
    </w:lvl>
  </w:abstractNum>
  <w:abstractNum w:abstractNumId="61">
    <w:nsid w:val="1A0DDE32"/>
    <w:multiLevelType w:val="hybridMultilevel"/>
    <w:lvl w:ilvl="0">
      <w:lvlJc w:val="left"/>
      <w:lvlText w:val="●"/>
      <w:numFmt w:val="bullet"/>
      <w:start w:val="1"/>
    </w:lvl>
  </w:abstractNum>
  <w:abstractNum w:abstractNumId="62">
    <w:nsid w:val="65968C1C"/>
    <w:multiLevelType w:val="hybridMultilevel"/>
    <w:lvl w:ilvl="0">
      <w:lvlJc w:val="left"/>
      <w:lvlText w:val="●"/>
      <w:numFmt w:val="bullet"/>
      <w:start w:val="1"/>
    </w:lvl>
  </w:abstractNum>
  <w:abstractNum w:abstractNumId="63">
    <w:nsid w:val="46263DEC"/>
    <w:multiLevelType w:val="hybridMultilevel"/>
    <w:lvl w:ilvl="0">
      <w:lvlJc w:val="left"/>
      <w:lvlText w:val="●"/>
      <w:numFmt w:val="bullet"/>
      <w:start w:val="1"/>
    </w:lvl>
  </w:abstractNum>
  <w:abstractNum w:abstractNumId="64">
    <w:nsid w:val="260D8C4A"/>
    <w:multiLevelType w:val="hybridMultilevel"/>
    <w:lvl w:ilvl="0">
      <w:lvlJc w:val="left"/>
      <w:lvlText w:val="●"/>
      <w:numFmt w:val="bullet"/>
      <w:start w:val="1"/>
    </w:lvl>
  </w:abstractNum>
  <w:abstractNum w:abstractNumId="65">
    <w:nsid w:val="73D4D3C4"/>
    <w:multiLevelType w:val="hybridMultilevel"/>
    <w:lvl w:ilvl="0">
      <w:lvlJc w:val="left"/>
      <w:lvlText w:val="●"/>
      <w:numFmt w:val="bullet"/>
      <w:start w:val="1"/>
    </w:lvl>
  </w:abstractNum>
  <w:abstractNum w:abstractNumId="66">
    <w:nsid w:val="746F2E30"/>
    <w:multiLevelType w:val="hybridMultilevel"/>
    <w:lvl w:ilvl="0">
      <w:lvlJc w:val="left"/>
      <w:lvlText w:val="●"/>
      <w:numFmt w:val="bullet"/>
      <w:start w:val="1"/>
    </w:lvl>
  </w:abstractNum>
  <w:abstractNum w:abstractNumId="67">
    <w:nsid w:val="6FDE8AF6"/>
    <w:multiLevelType w:val="hybridMultilevel"/>
    <w:lvl w:ilvl="0">
      <w:lvlJc w:val="left"/>
      <w:lvlText w:val="●"/>
      <w:numFmt w:val="bullet"/>
      <w:start w:val="1"/>
    </w:lvl>
  </w:abstractNum>
  <w:abstractNum w:abstractNumId="68">
    <w:nsid w:val="3FC32E20"/>
    <w:multiLevelType w:val="hybridMultilevel"/>
    <w:lvl w:ilvl="0">
      <w:lvlJc w:val="left"/>
      <w:lvlText w:val="●"/>
      <w:numFmt w:val="bullet"/>
      <w:start w:val="1"/>
    </w:lvl>
  </w:abstractNum>
  <w:abstractNum w:abstractNumId="69">
    <w:nsid w:val="49C0E823"/>
    <w:multiLevelType w:val="hybridMultilevel"/>
    <w:lvl w:ilvl="0">
      <w:lvlJc w:val="left"/>
      <w:lvlText w:val="●"/>
      <w:numFmt w:val="bullet"/>
      <w:start w:val="1"/>
    </w:lvl>
  </w:abstractNum>
  <w:abstractNum w:abstractNumId="70">
    <w:nsid w:val="14D53685"/>
    <w:multiLevelType w:val="hybridMultilevel"/>
    <w:lvl w:ilvl="0">
      <w:lvlJc w:val="left"/>
      <w:lvlText w:val="●"/>
      <w:numFmt w:val="bullet"/>
      <w:start w:val="1"/>
    </w:lvl>
  </w:abstractNum>
  <w:abstractNum w:abstractNumId="71">
    <w:nsid w:val="230F856C"/>
    <w:multiLevelType w:val="hybridMultilevel"/>
    <w:lvl w:ilvl="0">
      <w:lvlJc w:val="left"/>
      <w:lvlText w:val="●"/>
      <w:numFmt w:val="bullet"/>
      <w:start w:val="1"/>
    </w:lvl>
  </w:abstractNum>
  <w:abstractNum w:abstractNumId="72">
    <w:nsid w:val="6EAA85FB"/>
    <w:multiLevelType w:val="hybridMultilevel"/>
    <w:lvl w:ilvl="0">
      <w:lvlJc w:val="left"/>
      <w:lvlText w:val="●"/>
      <w:numFmt w:val="bullet"/>
      <w:start w:val="1"/>
    </w:lvl>
  </w:abstractNum>
  <w:abstractNum w:abstractNumId="73">
    <w:nsid w:val="3F06ECB2"/>
    <w:multiLevelType w:val="hybridMultilevel"/>
    <w:lvl w:ilvl="0">
      <w:lvlJc w:val="left"/>
      <w:lvlText w:val="%1"/>
      <w:numFmt w:val="decimal"/>
      <w:start w:val="18"/>
    </w:lvl>
  </w:abstractNum>
  <w:abstractNum w:abstractNumId="74">
    <w:nsid w:val="3B594807"/>
    <w:multiLevelType w:val="hybridMultilevel"/>
    <w:lvl w:ilvl="0">
      <w:lvlJc w:val="left"/>
      <w:lvlText w:val="●"/>
      <w:numFmt w:val="bullet"/>
      <w:start w:val="1"/>
    </w:lvl>
  </w:abstractNum>
  <w:abstractNum w:abstractNumId="75">
    <w:nsid w:val="6CAA2304"/>
    <w:multiLevelType w:val="hybridMultilevel"/>
    <w:lvl w:ilvl="0">
      <w:lvlJc w:val="left"/>
      <w:lvlText w:val="●"/>
      <w:numFmt w:val="bullet"/>
      <w:start w:val="1"/>
    </w:lvl>
  </w:abstractNum>
  <w:abstractNum w:abstractNumId="76">
    <w:nsid w:val="3F7C2FF4"/>
    <w:multiLevelType w:val="hybridMultilevel"/>
    <w:lvl w:ilvl="0">
      <w:lvlJc w:val="left"/>
      <w:lvlText w:val="*"/>
      <w:numFmt w:val="bullet"/>
      <w:start w:val="1"/>
    </w:lvl>
    <w:lvl w:ilvl="1">
      <w:lvlJc w:val="left"/>
      <w:lvlText w:val="●"/>
      <w:numFmt w:val="bullet"/>
      <w:start w:val="1"/>
    </w:lvl>
  </w:abstractNum>
  <w:abstractNum w:abstractNumId="77">
    <w:nsid w:val="25413BEC"/>
    <w:multiLevelType w:val="hybridMultilevel"/>
    <w:lvl w:ilvl="0">
      <w:lvlJc w:val="left"/>
      <w:lvlText w:val="●"/>
      <w:numFmt w:val="bullet"/>
      <w:start w:val="1"/>
    </w:lvl>
  </w:abstractNum>
  <w:abstractNum w:abstractNumId="78">
    <w:nsid w:val="17180B0B"/>
    <w:multiLevelType w:val="hybridMultilevel"/>
    <w:lvl w:ilvl="0">
      <w:lvlJc w:val="left"/>
      <w:lvlText w:val="●"/>
      <w:numFmt w:val="bullet"/>
      <w:start w:val="1"/>
    </w:lvl>
  </w:abstractNum>
  <w:abstractNum w:abstractNumId="79">
    <w:nsid w:val="579328B9"/>
    <w:multiLevelType w:val="hybridMultilevel"/>
    <w:lvl w:ilvl="0">
      <w:lvlJc w:val="left"/>
      <w:lvlText w:val="●"/>
      <w:numFmt w:val="bullet"/>
      <w:start w:val="1"/>
    </w:lvl>
  </w:abstractNum>
  <w:abstractNum w:abstractNumId="80">
    <w:nsid w:val="5D205E20"/>
    <w:multiLevelType w:val="hybridMultilevel"/>
    <w:lvl w:ilvl="0">
      <w:lvlJc w:val="left"/>
      <w:lvlText w:val="●"/>
      <w:numFmt w:val="bullet"/>
      <w:start w:val="1"/>
    </w:lvl>
  </w:abstractNum>
  <w:abstractNum w:abstractNumId="81">
    <w:nsid w:val="11CCA8BA"/>
    <w:multiLevelType w:val="hybridMultilevel"/>
    <w:lvl w:ilvl="0">
      <w:lvlJc w:val="left"/>
      <w:lvlText w:val="●"/>
      <w:numFmt w:val="bullet"/>
      <w:start w:val="1"/>
    </w:lvl>
  </w:abstractNum>
  <w:abstractNum w:abstractNumId="82">
    <w:nsid w:val="4D32AB86"/>
    <w:multiLevelType w:val="hybridMultilevel"/>
    <w:lvl w:ilvl="0">
      <w:lvlJc w:val="left"/>
      <w:lvlText w:val="●"/>
      <w:numFmt w:val="bullet"/>
      <w:start w:val="1"/>
    </w:lvl>
  </w:abstractNum>
  <w:abstractNum w:abstractNumId="83">
    <w:nsid w:val="3F07ACC3"/>
    <w:multiLevelType w:val="hybridMultilevel"/>
    <w:lvl w:ilvl="0">
      <w:lvlJc w:val="left"/>
      <w:lvlText w:val="●"/>
      <w:numFmt w:val="bullet"/>
      <w:start w:val="1"/>
    </w:lvl>
  </w:abstractNum>
  <w:abstractNum w:abstractNumId="84">
    <w:nsid w:val="6B47F63E"/>
    <w:multiLevelType w:val="hybridMultilevel"/>
    <w:lvl w:ilvl="0">
      <w:lvlJc w:val="left"/>
      <w:lvlText w:val="●"/>
      <w:numFmt w:val="bullet"/>
      <w:start w:val="1"/>
    </w:lvl>
  </w:abstractNum>
  <w:abstractNum w:abstractNumId="85">
    <w:nsid w:val="5CB44A05"/>
    <w:multiLevelType w:val="hybridMultilevel"/>
    <w:lvl w:ilvl="0">
      <w:lvlJc w:val="left"/>
      <w:lvlText w:val="●"/>
      <w:numFmt w:val="bullet"/>
      <w:start w:val="1"/>
    </w:lvl>
  </w:abstractNum>
  <w:abstractNum w:abstractNumId="86">
    <w:nsid w:val="16CF80F1"/>
    <w:multiLevelType w:val="hybridMultilevel"/>
    <w:lvl w:ilvl="0">
      <w:lvlJc w:val="left"/>
      <w:lvlText w:val="●"/>
      <w:numFmt w:val="bullet"/>
      <w:start w:val="1"/>
    </w:lvl>
  </w:abstractNum>
  <w:abstractNum w:abstractNumId="87">
    <w:nsid w:val="1C695DEC"/>
    <w:multiLevelType w:val="hybridMultilevel"/>
    <w:lvl w:ilvl="0">
      <w:lvlJc w:val="left"/>
      <w:lvlText w:val="%1"/>
      <w:numFmt w:val="decimal"/>
      <w:start w:val="20"/>
    </w:lvl>
  </w:abstractNum>
  <w:abstractNum w:abstractNumId="88">
    <w:nsid w:val="3FCFAED9"/>
    <w:multiLevelType w:val="hybridMultilevel"/>
    <w:lvl w:ilvl="0">
      <w:lvlJc w:val="left"/>
      <w:lvlText w:val="●"/>
      <w:numFmt w:val="bullet"/>
      <w:start w:val="1"/>
    </w:lvl>
  </w:abstractNum>
  <w:abstractNum w:abstractNumId="89">
    <w:nsid w:val="F856867"/>
    <w:multiLevelType w:val="hybridMultilevel"/>
    <w:lvl w:ilvl="0">
      <w:lvlJc w:val="left"/>
      <w:lvlText w:val="●"/>
      <w:numFmt w:val="bullet"/>
      <w:start w:val="1"/>
    </w:lvl>
  </w:abstractNum>
  <w:abstractNum w:abstractNumId="90">
    <w:nsid w:val="11B1CC33"/>
    <w:multiLevelType w:val="hybridMultilevel"/>
    <w:lvl w:ilvl="0">
      <w:lvlJc w:val="left"/>
      <w:lvlText w:val="●"/>
      <w:numFmt w:val="bullet"/>
      <w:start w:val="1"/>
    </w:lvl>
  </w:abstractNum>
  <w:abstractNum w:abstractNumId="91">
    <w:nsid w:val="2E22FBB7"/>
    <w:multiLevelType w:val="hybridMultilevel"/>
    <w:lvl w:ilvl="0">
      <w:lvlJc w:val="left"/>
      <w:lvlText w:val="●"/>
      <w:numFmt w:val="bullet"/>
      <w:start w:val="1"/>
    </w:lvl>
  </w:abstractNum>
  <w:abstractNum w:abstractNumId="92">
    <w:nsid w:val="29934699"/>
    <w:multiLevelType w:val="hybridMultilevel"/>
    <w:lvl w:ilvl="0">
      <w:lvlJc w:val="left"/>
      <w:lvlText w:val="●"/>
      <w:numFmt w:val="bullet"/>
      <w:start w:val="1"/>
    </w:lvl>
  </w:abstractNum>
  <w:abstractNum w:abstractNumId="93">
    <w:nsid w:val="77485850"/>
    <w:multiLevelType w:val="hybridMultilevel"/>
    <w:lvl w:ilvl="0">
      <w:lvlJc w:val="left"/>
      <w:lvlText w:val="●"/>
      <w:numFmt w:val="bullet"/>
      <w:start w:val="1"/>
    </w:lvl>
  </w:abstractNum>
  <w:abstractNum w:abstractNumId="94">
    <w:nsid w:val="744939A3"/>
    <w:multiLevelType w:val="hybridMultilevel"/>
    <w:lvl w:ilvl="0">
      <w:lvlJc w:val="left"/>
      <w:lvlText w:val="●"/>
      <w:numFmt w:val="bullet"/>
      <w:start w:val="1"/>
    </w:lvl>
  </w:abstractNum>
  <w:abstractNum w:abstractNumId="95">
    <w:nsid w:val="4FA0D2E3"/>
    <w:multiLevelType w:val="hybridMultilevel"/>
    <w:lvl w:ilvl="0">
      <w:lvlJc w:val="left"/>
      <w:lvlText w:val="%1"/>
      <w:numFmt w:val="decimal"/>
      <w:start w:val="22"/>
    </w:lvl>
  </w:abstractNum>
  <w:abstractNum w:abstractNumId="96">
    <w:nsid w:val="6B1D2C14"/>
    <w:multiLevelType w:val="hybridMultilevel"/>
    <w:lvl w:ilvl="0">
      <w:lvlJc w:val="left"/>
      <w:lvlText w:val="●"/>
      <w:numFmt w:val="bullet"/>
      <w:start w:val="1"/>
    </w:lvl>
  </w:abstractNum>
  <w:abstractNum w:abstractNumId="97">
    <w:nsid w:val="68B867D3"/>
    <w:multiLevelType w:val="hybridMultilevel"/>
    <w:lvl w:ilvl="0">
      <w:lvlJc w:val="left"/>
      <w:lvlText w:val="●"/>
      <w:numFmt w:val="bullet"/>
      <w:start w:val="1"/>
    </w:lvl>
  </w:abstractNum>
  <w:abstractNum w:abstractNumId="98">
    <w:nsid w:val="3F7F5DD9"/>
    <w:multiLevelType w:val="hybridMultilevel"/>
    <w:lvl w:ilvl="0">
      <w:lvlJc w:val="left"/>
      <w:lvlText w:val="●"/>
      <w:numFmt w:val="bullet"/>
      <w:start w:val="1"/>
    </w:lvl>
  </w:abstractNum>
  <w:abstractNum w:abstractNumId="99">
    <w:nsid w:val="2AE05A34"/>
    <w:multiLevelType w:val="hybridMultilevel"/>
    <w:lvl w:ilvl="0">
      <w:lvlJc w:val="left"/>
      <w:lvlText w:val="●"/>
      <w:numFmt w:val="bullet"/>
      <w:start w:val="1"/>
    </w:lvl>
  </w:abstractNum>
  <w:abstractNum w:abstractNumId="100">
    <w:nsid w:val="32794FF7"/>
    <w:multiLevelType w:val="hybridMultilevel"/>
    <w:lvl w:ilvl="0">
      <w:lvlJc w:val="left"/>
      <w:lvlText w:val="%1"/>
      <w:numFmt w:val="decimal"/>
      <w:start w:val="24"/>
    </w:lvl>
  </w:abstractNum>
  <w:abstractNum w:abstractNumId="101">
    <w:nsid w:val="5454945E"/>
    <w:multiLevelType w:val="hybridMultilevel"/>
    <w:lvl w:ilvl="0">
      <w:lvlJc w:val="left"/>
      <w:lvlText w:val="●"/>
      <w:numFmt w:val="bullet"/>
      <w:start w:val="1"/>
    </w:lvl>
  </w:abstractNum>
  <w:abstractNum w:abstractNumId="102">
    <w:nsid w:val="4DEFDFA0"/>
    <w:multiLevelType w:val="hybridMultilevel"/>
    <w:lvl w:ilvl="0">
      <w:lvlJc w:val="left"/>
      <w:lvlText w:val="●"/>
      <w:numFmt w:val="bullet"/>
      <w:start w:val="1"/>
    </w:lvl>
  </w:abstractNum>
  <w:abstractNum w:abstractNumId="103">
    <w:nsid w:val="2123D5F2"/>
    <w:multiLevelType w:val="hybridMultilevel"/>
    <w:lvl w:ilvl="0">
      <w:lvlJc w:val="left"/>
      <w:lvlText w:val="●"/>
      <w:numFmt w:val="bullet"/>
      <w:start w:val="1"/>
    </w:lvl>
  </w:abstractNum>
  <w:abstractNum w:abstractNumId="104">
    <w:nsid w:val="135B8110"/>
    <w:multiLevelType w:val="hybridMultilevel"/>
    <w:lvl w:ilvl="0">
      <w:lvlJc w:val="left"/>
      <w:lvlText w:val="●"/>
      <w:numFmt w:val="bullet"/>
      <w:start w:val="1"/>
    </w:lvl>
  </w:abstractNum>
  <w:abstractNum w:abstractNumId="105">
    <w:nsid w:val="94927A8"/>
    <w:multiLevelType w:val="hybridMultilevel"/>
    <w:lvl w:ilvl="0">
      <w:lvlJc w:val="left"/>
      <w:lvlText w:val="%1"/>
      <w:numFmt w:val="decimal"/>
      <w:start w:val="26"/>
    </w:lvl>
  </w:abstractNum>
  <w:abstractNum w:abstractNumId="106">
    <w:nsid w:val="DCDF8F6"/>
    <w:multiLevelType w:val="hybridMultilevel"/>
    <w:lvl w:ilvl="0">
      <w:lvlJc w:val="left"/>
      <w:lvlText w:val="●"/>
      <w:numFmt w:val="bullet"/>
      <w:start w:val="1"/>
    </w:lvl>
  </w:abstractNum>
  <w:abstractNum w:abstractNumId="107">
    <w:nsid w:val="52D7B105"/>
    <w:multiLevelType w:val="hybridMultilevel"/>
    <w:lvl w:ilvl="0">
      <w:lvlJc w:val="left"/>
      <w:lvlText w:val="●"/>
      <w:numFmt w:val="bullet"/>
      <w:start w:val="1"/>
    </w:lvl>
  </w:abstractNum>
  <w:abstractNum w:abstractNumId="108">
    <w:nsid w:val="2E8A6394"/>
    <w:multiLevelType w:val="hybridMultilevel"/>
    <w:lvl w:ilvl="0">
      <w:lvlJc w:val="left"/>
      <w:lvlText w:val="●"/>
      <w:numFmt w:val="bullet"/>
      <w:start w:val="1"/>
    </w:lvl>
  </w:abstractNum>
  <w:abstractNum w:abstractNumId="109">
    <w:nsid w:val="24E60401"/>
    <w:multiLevelType w:val="hybridMultilevel"/>
    <w:lvl w:ilvl="0">
      <w:lvlJc w:val="left"/>
      <w:lvlText w:val="%1"/>
      <w:numFmt w:val="decimal"/>
      <w:start w:val="28"/>
    </w:lvl>
  </w:abstractNum>
  <w:abstractNum w:abstractNumId="110">
    <w:nsid w:val="2A6AD9BE"/>
    <w:multiLevelType w:val="hybridMultilevel"/>
    <w:lvl w:ilvl="0">
      <w:lvlJc w:val="left"/>
      <w:lvlText w:val="●"/>
      <w:numFmt w:val="bullet"/>
      <w:start w:val="1"/>
    </w:lvl>
  </w:abstractNum>
  <w:abstractNum w:abstractNumId="111">
    <w:nsid w:val="BAAC1B4"/>
    <w:multiLevelType w:val="hybridMultilevel"/>
    <w:lvl w:ilvl="0">
      <w:lvlJc w:val="left"/>
      <w:lvlText w:val="%1"/>
      <w:numFmt w:val="decimal"/>
      <w:start w:val="30"/>
    </w:lvl>
  </w:abstractNum>
  <w:abstractNum w:abstractNumId="112">
    <w:nsid w:val="36B2ACBC"/>
    <w:multiLevelType w:val="hybridMultilevel"/>
    <w:lvl w:ilvl="0">
      <w:lvlJc w:val="left"/>
      <w:lvlText w:val="%1"/>
      <w:numFmt w:val="decimal"/>
      <w:start w:val="32"/>
    </w:lvl>
  </w:abstractNum>
  <w:abstractNum w:abstractNumId="113">
    <w:nsid w:val="779D8544"/>
    <w:multiLevelType w:val="hybridMultilevel"/>
    <w:lvl w:ilvl="0">
      <w:lvlJc w:val="left"/>
      <w:lvlText w:val="(%1)"/>
      <w:numFmt w:val="decimal"/>
      <w:start w:val="1"/>
    </w:lvl>
  </w:abstractNum>
  <w:abstractNum w:abstractNumId="114">
    <w:nsid w:val="4AB26E78"/>
    <w:multiLevelType w:val="hybridMultilevel"/>
    <w:lvl w:ilvl="0">
      <w:lvlJc w:val="left"/>
      <w:lvlText w:val="%1"/>
      <w:numFmt w:val="decimal"/>
      <w:start w:val="34"/>
    </w:lvl>
  </w:abstractNum>
  <w:abstractNum w:abstractNumId="115">
    <w:nsid w:val="21FAA2FA"/>
    <w:multiLevelType w:val="hybridMultilevel"/>
    <w:lvl w:ilvl="0">
      <w:lvlJc w:val="left"/>
      <w:lvlText w:val="(%1)"/>
      <w:numFmt w:val="decimal"/>
      <w:start w:val="1"/>
    </w:lvl>
  </w:abstractNum>
  <w:abstractNum w:abstractNumId="116">
    <w:nsid w:val="5451CF49"/>
    <w:multiLevelType w:val="hybridMultilevel"/>
    <w:lvl w:ilvl="0">
      <w:lvlJc w:val="left"/>
      <w:lvlText w:val="(%1)"/>
      <w:numFmt w:val="decimal"/>
      <w:start w:val="1"/>
    </w:lvl>
  </w:abstractNum>
  <w:abstractNum w:abstractNumId="117">
    <w:nsid w:val="6181EF69"/>
    <w:multiLevelType w:val="hybridMultilevel"/>
    <w:lvl w:ilvl="0">
      <w:lvlJc w:val="left"/>
      <w:lvlText w:val="%1"/>
      <w:numFmt w:val="decimal"/>
      <w:start w:val="36"/>
    </w:lvl>
  </w:abstractNum>
  <w:abstractNum w:abstractNumId="118">
    <w:nsid w:val="3E6400E6"/>
    <w:multiLevelType w:val="hybridMultilevel"/>
    <w:lvl w:ilvl="0">
      <w:lvlJc w:val="left"/>
      <w:lvlText w:val="●"/>
      <w:numFmt w:val="bullet"/>
      <w:start w:val="1"/>
    </w:lvl>
  </w:abstractNum>
  <w:abstractNum w:abstractNumId="119">
    <w:nsid w:val="14217E23"/>
    <w:multiLevelType w:val="hybridMultilevel"/>
    <w:lvl w:ilvl="0">
      <w:lvlJc w:val="left"/>
      <w:lvlText w:val="%1"/>
      <w:numFmt w:val="decimal"/>
      <w:start w:val="38"/>
    </w:lvl>
  </w:abstractNum>
  <w:abstractNum w:abstractNumId="120">
    <w:nsid w:val="710757D0"/>
    <w:multiLevelType w:val="hybridMultilevel"/>
    <w:lvl w:ilvl="0">
      <w:lvlJc w:val="left"/>
      <w:lvlText w:val="%1"/>
      <w:numFmt w:val="decimal"/>
      <w:start w:val="40"/>
    </w:lvl>
  </w:abstractNum>
  <w:abstractNum w:abstractNumId="121">
    <w:nsid w:val="5015CD1A"/>
    <w:multiLevelType w:val="hybridMultilevel"/>
    <w:lvl w:ilvl="0">
      <w:lvlJc w:val="left"/>
      <w:lvlText w:val="%1"/>
      <w:numFmt w:val="decimal"/>
      <w:start w:val="41"/>
    </w:lvl>
  </w:abstractNum>
  <w:abstractNum w:abstractNumId="122">
    <w:nsid w:val="424479DA"/>
    <w:multiLevelType w:val="hybridMultilevel"/>
    <w:lvl w:ilvl="0">
      <w:lvlJc w:val="left"/>
      <w:lvlText w:val="%1"/>
      <w:numFmt w:val="decimal"/>
      <w:start w:val="43"/>
    </w:lvl>
  </w:abstractNum>
  <w:abstractNum w:abstractNumId="123">
    <w:nsid w:val="1A9A9E69"/>
    <w:multiLevelType w:val="hybridMultilevel"/>
    <w:lvl w:ilvl="0">
      <w:lvlJc w:val="left"/>
      <w:lvlText w:val="%1"/>
      <w:numFmt w:val="decimal"/>
      <w:start w:val="51"/>
    </w:lvl>
  </w:abstractNum>
  <w:abstractNum w:abstractNumId="124">
    <w:nsid w:val="475E256A"/>
    <w:multiLevelType w:val="hybridMultilevel"/>
    <w:lvl w:ilvl="0">
      <w:lvlJc w:val="left"/>
      <w:lvlText w:val="%1"/>
      <w:numFmt w:val="decimal"/>
      <w:start w:val="54"/>
    </w:lvl>
  </w:abstractNum>
  <w:abstractNum w:abstractNumId="125">
    <w:nsid w:val="368DB37E"/>
    <w:multiLevelType w:val="hybridMultilevel"/>
    <w:lvl w:ilvl="0">
      <w:lvlJc w:val="left"/>
      <w:lvlText w:val="%1"/>
      <w:numFmt w:val="decimal"/>
      <w:start w:val="56"/>
    </w:lvl>
  </w:abstractNum>
  <w:abstractNum w:abstractNumId="126">
    <w:nsid w:val="6A3B714C"/>
    <w:multiLevelType w:val="hybridMultilevel"/>
    <w:lvl w:ilvl="0">
      <w:lvlJc w:val="left"/>
      <w:lvlText w:val="%1"/>
      <w:numFmt w:val="decimal"/>
      <w:start w:val="60"/>
    </w:lvl>
  </w:abstractNum>
  <w:abstractNum w:abstractNumId="127">
    <w:nsid w:val="327B517E"/>
    <w:multiLevelType w:val="hybridMultilevel"/>
    <w:lvl w:ilvl="0">
      <w:lvlJc w:val="left"/>
      <w:lvlText w:val="%1"/>
      <w:numFmt w:val="decimal"/>
      <w:start w:val="60"/>
    </w:lvl>
  </w:abstractNum>
  <w:abstractNum w:abstractNumId="128">
    <w:nsid w:val="1F461B51"/>
    <w:multiLevelType w:val="hybridMultilevel"/>
    <w:lvl w:ilvl="0">
      <w:lvlJc w:val="left"/>
      <w:lvlText w:val="%1"/>
      <w:numFmt w:val="decimal"/>
      <w:start w:val="64"/>
    </w:lvl>
  </w:abstractNum>
  <w:abstractNum w:abstractNumId="129">
    <w:nsid w:val="29BACF25"/>
    <w:multiLevelType w:val="hybridMultilevel"/>
    <w:lvl w:ilvl="0">
      <w:lvlJc w:val="left"/>
      <w:lvlText w:val="●"/>
      <w:numFmt w:val="bullet"/>
      <w:start w:val="1"/>
    </w:lvl>
  </w:abstractNum>
  <w:abstractNum w:abstractNumId="130">
    <w:nsid w:val="5D5BABB3"/>
    <w:multiLevelType w:val="hybridMultilevel"/>
    <w:lvl w:ilvl="0">
      <w:lvlJc w:val="left"/>
      <w:lvlText w:val="●"/>
      <w:numFmt w:val="bullet"/>
      <w:start w:val="1"/>
    </w:lvl>
  </w:abstractNum>
  <w:abstractNum w:abstractNumId="131">
    <w:nsid w:val="51BF6B48"/>
    <w:multiLevelType w:val="hybridMultilevel"/>
    <w:lvl w:ilvl="0">
      <w:lvlJc w:val="left"/>
      <w:lvlText w:val="%1"/>
      <w:numFmt w:val="decimal"/>
      <w:start w:val="40"/>
    </w:lvl>
  </w:abstractNum>
  <w:abstractNum w:abstractNumId="132">
    <w:nsid w:val="7E0F6384"/>
    <w:multiLevelType w:val="hybridMultilevel"/>
    <w:lvl w:ilvl="0">
      <w:lvlJc w:val="left"/>
      <w:lvlText w:val="(%1)"/>
      <w:numFmt w:val="decimal"/>
      <w:start w:val="1"/>
    </w:lvl>
  </w:abstractNum>
  <w:abstractNum w:abstractNumId="133">
    <w:nsid w:val="2B4B8B53"/>
    <w:multiLevelType w:val="hybridMultilevel"/>
    <w:lvl w:ilvl="0">
      <w:lvlJc w:val="left"/>
      <w:lvlText w:val="●"/>
      <w:numFmt w:val="bullet"/>
      <w:start w:val="1"/>
    </w:lvl>
  </w:abstractNum>
  <w:abstractNum w:abstractNumId="134">
    <w:nsid w:val="72E3413A"/>
    <w:multiLevelType w:val="hybridMultilevel"/>
    <w:lvl w:ilvl="0">
      <w:lvlJc w:val="left"/>
      <w:lvlText w:val="●"/>
      <w:numFmt w:val="bullet"/>
      <w:start w:val="1"/>
    </w:lvl>
    <w:lvl w:ilvl="1">
      <w:lvlJc w:val="left"/>
      <w:lvlText w:val="\endash "/>
      <w:numFmt w:val="bullet"/>
      <w:start w:val="1"/>
    </w:lvl>
  </w:abstractNum>
  <w:abstractNum w:abstractNumId="135">
    <w:nsid w:val="116AE494"/>
    <w:multiLevelType w:val="hybridMultilevel"/>
    <w:lvl w:ilvl="0">
      <w:lvlJc w:val="left"/>
      <w:lvlText w:val="%1"/>
      <w:numFmt w:val="decimal"/>
      <w:start w:val="42"/>
    </w:lvl>
  </w:abstractNum>
  <w:abstractNum w:abstractNumId="136">
    <w:nsid w:val="3494B2FB"/>
    <w:multiLevelType w:val="hybridMultilevel"/>
    <w:lvl w:ilvl="0">
      <w:lvlJc w:val="left"/>
      <w:lvlText w:val="●"/>
      <w:numFmt w:val="bullet"/>
      <w:start w:val="1"/>
    </w:lvl>
  </w:abstractNum>
  <w:abstractNum w:abstractNumId="137">
    <w:nsid w:val="B13A31"/>
    <w:multiLevelType w:val="hybridMultilevel"/>
    <w:lvl w:ilvl="0">
      <w:lvlJc w:val="left"/>
      <w:lvlText w:val="(%1)"/>
      <w:numFmt w:val="decimal"/>
      <w:start w:val="1"/>
    </w:lvl>
  </w:abstractNum>
  <w:abstractNum w:abstractNumId="138">
    <w:nsid w:val="64429599"/>
    <w:multiLevelType w:val="hybridMultilevel"/>
    <w:lvl w:ilvl="0">
      <w:lvlJc w:val="left"/>
      <w:lvlText w:val="(%1)"/>
      <w:numFmt w:val="decimal"/>
      <w:start w:val="1"/>
    </w:lvl>
  </w:abstractNum>
  <w:abstractNum w:abstractNumId="139">
    <w:nsid w:val="631F1690"/>
    <w:multiLevelType w:val="hybridMultilevel"/>
    <w:lvl w:ilvl="0">
      <w:lvlJc w:val="left"/>
      <w:lvlText w:val="%1"/>
      <w:numFmt w:val="decimal"/>
      <w:start w:val="44"/>
    </w:lvl>
  </w:abstractNum>
  <w:abstractNum w:abstractNumId="140">
    <w:nsid w:val="25973E32"/>
    <w:multiLevelType w:val="hybridMultilevel"/>
    <w:lvl w:ilvl="0">
      <w:lvlJc w:val="left"/>
      <w:lvlText w:val="●"/>
      <w:numFmt w:val="bullet"/>
      <w:start w:val="1"/>
    </w:lvl>
  </w:abstractNum>
  <w:abstractNum w:abstractNumId="141">
    <w:nsid w:val="EAD6F57"/>
    <w:multiLevelType w:val="hybridMultilevel"/>
    <w:lvl w:ilvl="0">
      <w:lvlJc w:val="left"/>
      <w:lvlText w:val="●"/>
      <w:numFmt w:val="bullet"/>
      <w:start w:val="1"/>
    </w:lvl>
  </w:abstractNum>
  <w:abstractNum w:abstractNumId="142">
    <w:nsid w:val="6EC9D844"/>
    <w:multiLevelType w:val="hybridMultilevel"/>
    <w:lvl w:ilvl="0">
      <w:lvlJc w:val="left"/>
      <w:lvlText w:val="●"/>
      <w:numFmt w:val="bullet"/>
      <w:start w:val="1"/>
    </w:lvl>
  </w:abstractNum>
  <w:abstractNum w:abstractNumId="143">
    <w:nsid w:val="5C49EAEE"/>
    <w:multiLevelType w:val="hybridMultilevel"/>
    <w:lvl w:ilvl="0">
      <w:lvlJc w:val="left"/>
      <w:lvlText w:val="%1"/>
      <w:numFmt w:val="decimal"/>
      <w:start w:val="46"/>
    </w:lvl>
  </w:abstractNum>
  <w:abstractNum w:abstractNumId="144">
    <w:nsid w:val="64AF49B"/>
    <w:multiLevelType w:val="hybridMultilevel"/>
    <w:lvl w:ilvl="0">
      <w:lvlJc w:val="left"/>
      <w:lvlText w:val="●"/>
      <w:numFmt w:val="bullet"/>
      <w:start w:val="1"/>
    </w:lvl>
  </w:abstractNum>
  <w:abstractNum w:abstractNumId="145">
    <w:nsid w:val="397C46BC"/>
    <w:multiLevelType w:val="hybridMultilevel"/>
    <w:lvl w:ilvl="0">
      <w:lvlJc w:val="left"/>
      <w:lvlText w:val="%1"/>
      <w:numFmt w:val="decimal"/>
      <w:start w:val="48"/>
    </w:lvl>
  </w:abstractNum>
  <w:abstractNum w:abstractNumId="146">
    <w:nsid w:val="7E448DE9"/>
    <w:multiLevelType w:val="hybridMultilevel"/>
    <w:lvl w:ilvl="0">
      <w:lvlJc w:val="left"/>
      <w:lvlText w:val="●"/>
      <w:numFmt w:val="bullet"/>
      <w:start w:val="1"/>
    </w:lvl>
  </w:abstractNum>
  <w:abstractNum w:abstractNumId="147">
    <w:nsid w:val="5A9CC3E5"/>
    <w:multiLevelType w:val="hybridMultilevel"/>
    <w:lvl w:ilvl="0">
      <w:lvlJc w:val="left"/>
      <w:lvlText w:val="(%1)"/>
      <w:numFmt w:val="decimal"/>
      <w:start w:val="1"/>
    </w:lvl>
  </w:abstractNum>
  <w:abstractNum w:abstractNumId="148">
    <w:nsid w:val="1AFE3625"/>
    <w:multiLevelType w:val="hybridMultilevel"/>
    <w:lvl w:ilvl="0">
      <w:lvlJc w:val="left"/>
      <w:lvlText w:val="(%1)"/>
      <w:numFmt w:val="decimal"/>
      <w:start w:val="1"/>
    </w:lvl>
  </w:abstractNum>
  <w:abstractNum w:abstractNumId="149">
    <w:nsid w:val="3CA88ECF"/>
    <w:multiLevelType w:val="hybridMultilevel"/>
    <w:lvl w:ilvl="0">
      <w:lvlJc w:val="left"/>
      <w:lvlText w:val="%1"/>
      <w:numFmt w:val="decimal"/>
      <w:start w:val="50"/>
    </w:lvl>
  </w:abstractNum>
  <w:abstractNum w:abstractNumId="150">
    <w:nsid w:val="6EBE4208"/>
    <w:multiLevelType w:val="hybridMultilevel"/>
    <w:lvl w:ilvl="0">
      <w:lvlJc w:val="left"/>
      <w:lvlText w:val="●"/>
      <w:numFmt w:val="bullet"/>
      <w:start w:val="1"/>
    </w:lvl>
  </w:abstractNum>
  <w:abstractNum w:abstractNumId="151">
    <w:nsid w:val="C058DF5"/>
    <w:multiLevelType w:val="hybridMultilevel"/>
    <w:lvl w:ilvl="0">
      <w:lvlJc w:val="left"/>
      <w:lvlText w:val="●"/>
      <w:numFmt w:val="bullet"/>
      <w:start w:val="1"/>
    </w:lvl>
  </w:abstractNum>
  <w:abstractNum w:abstractNumId="152">
    <w:nsid w:val="CBE5BE9"/>
    <w:multiLevelType w:val="hybridMultilevel"/>
    <w:lvl w:ilvl="0">
      <w:lvlJc w:val="left"/>
      <w:lvlText w:val="(%1)"/>
      <w:numFmt w:val="decimal"/>
      <w:start w:val="1"/>
    </w:lvl>
  </w:abstractNum>
  <w:abstractNum w:abstractNumId="153">
    <w:nsid w:val="3102BBE2"/>
    <w:multiLevelType w:val="hybridMultilevel"/>
    <w:lvl w:ilvl="0">
      <w:lvlJc w:val="left"/>
      <w:lvlText w:val="%1"/>
      <w:numFmt w:val="decimal"/>
      <w:start w:val="52"/>
    </w:lvl>
  </w:abstractNum>
  <w:abstractNum w:abstractNumId="154">
    <w:nsid w:val="26A02C5E"/>
    <w:multiLevelType w:val="hybridMultilevel"/>
    <w:lvl w:ilvl="0">
      <w:lvlJc w:val="left"/>
      <w:lvlText w:val="●"/>
      <w:numFmt w:val="bullet"/>
      <w:start w:val="1"/>
    </w:lvl>
  </w:abstractNum>
  <w:abstractNum w:abstractNumId="155">
    <w:nsid w:val="541C8153"/>
    <w:multiLevelType w:val="hybridMultilevel"/>
    <w:lvl w:ilvl="0">
      <w:lvlJc w:val="left"/>
      <w:lvlText w:val="%1"/>
      <w:numFmt w:val="decimal"/>
      <w:start w:val="54"/>
    </w:lvl>
  </w:abstractNum>
  <w:abstractNum w:abstractNumId="156">
    <w:nsid w:val="67906F60"/>
    <w:multiLevelType w:val="hybridMultilevel"/>
    <w:lvl w:ilvl="0">
      <w:lvlJc w:val="left"/>
      <w:lvlText w:val="●"/>
      <w:numFmt w:val="bullet"/>
      <w:start w:val="1"/>
    </w:lvl>
    <w:lvl w:ilvl="1">
      <w:lvlJc w:val="left"/>
      <w:lvlText w:val="\endash "/>
      <w:numFmt w:val="bullet"/>
      <w:start w:val="1"/>
    </w:lvl>
  </w:abstractNum>
  <w:abstractNum w:abstractNumId="157">
    <w:nsid w:val="10DB9DAA"/>
    <w:multiLevelType w:val="hybridMultilevel"/>
    <w:lvl w:ilvl="0">
      <w:lvlJc w:val="left"/>
      <w:lvlText w:val="(%1)"/>
      <w:numFmt w:val="decimal"/>
      <w:start w:val="1"/>
    </w:lvl>
  </w:abstractNum>
  <w:abstractNum w:abstractNumId="158">
    <w:nsid w:val="697D2D2"/>
    <w:multiLevelType w:val="hybridMultilevel"/>
    <w:lvl w:ilvl="0">
      <w:lvlJc w:val="left"/>
      <w:lvlText w:val="●"/>
      <w:numFmt w:val="bullet"/>
      <w:start w:val="1"/>
    </w:lvl>
  </w:abstractNum>
  <w:abstractNum w:abstractNumId="159">
    <w:nsid w:val="6D68AB2"/>
    <w:multiLevelType w:val="hybridMultilevel"/>
    <w:lvl w:ilvl="0">
      <w:lvlJc w:val="left"/>
      <w:lvlText w:val="%1"/>
      <w:numFmt w:val="decimal"/>
      <w:start w:val="56"/>
    </w:lvl>
  </w:abstractNum>
  <w:abstractNum w:abstractNumId="160">
    <w:nsid w:val="3A966CD0"/>
    <w:multiLevelType w:val="hybridMultilevel"/>
    <w:lvl w:ilvl="0">
      <w:lvlJc w:val="left"/>
      <w:lvlText w:val="●"/>
      <w:numFmt w:val="bullet"/>
      <w:start w:val="1"/>
    </w:lvl>
  </w:abstractNum>
  <w:abstractNum w:abstractNumId="161">
    <w:nsid w:val="63F37E85"/>
    <w:multiLevelType w:val="hybridMultilevel"/>
    <w:lvl w:ilvl="0">
      <w:lvlJc w:val="left"/>
      <w:lvlText w:val="*"/>
      <w:numFmt w:val="bullet"/>
      <w:start w:val="1"/>
    </w:lvl>
  </w:abstractNum>
  <w:abstractNum w:abstractNumId="162">
    <w:nsid w:val="5895F5FA"/>
    <w:multiLevelType w:val="hybridMultilevel"/>
    <w:lvl w:ilvl="0">
      <w:lvlJc w:val="left"/>
      <w:lvlText w:val="●"/>
      <w:numFmt w:val="bullet"/>
      <w:start w:val="1"/>
    </w:lvl>
  </w:abstractNum>
  <w:abstractNum w:abstractNumId="163">
    <w:nsid w:val="38A5D054"/>
    <w:multiLevelType w:val="hybridMultilevel"/>
    <w:lvl w:ilvl="0">
      <w:lvlJc w:val="left"/>
      <w:lvlText w:val="●"/>
      <w:numFmt w:val="bullet"/>
      <w:start w:val="1"/>
    </w:lvl>
  </w:abstractNum>
  <w:abstractNum w:abstractNumId="164">
    <w:nsid w:val="F3F09D8"/>
    <w:multiLevelType w:val="hybridMultilevel"/>
    <w:lvl w:ilvl="0">
      <w:lvlJc w:val="left"/>
      <w:lvlText w:val="●"/>
      <w:numFmt w:val="bullet"/>
      <w:start w:val="1"/>
    </w:lvl>
    <w:lvl w:ilvl="1">
      <w:lvlJc w:val="left"/>
      <w:lvlText w:val="\endash "/>
      <w:numFmt w:val="bullet"/>
      <w:start w:val="1"/>
    </w:lvl>
  </w:abstractNum>
  <w:abstractNum w:abstractNumId="165">
    <w:nsid w:val="4B793735"/>
    <w:multiLevelType w:val="hybridMultilevel"/>
    <w:lvl w:ilvl="0">
      <w:lvlJc w:val="left"/>
      <w:lvlText w:val="%1"/>
      <w:numFmt w:val="decimal"/>
      <w:start w:val="58"/>
    </w:lvl>
  </w:abstractNum>
  <w:abstractNum w:abstractNumId="166">
    <w:nsid w:val="4A10B4E8"/>
    <w:multiLevelType w:val="hybridMultilevel"/>
    <w:lvl w:ilvl="0">
      <w:lvlJc w:val="left"/>
      <w:lvlText w:val="●"/>
      <w:numFmt w:val="bullet"/>
      <w:start w:val="1"/>
    </w:lvl>
  </w:abstractNum>
  <w:abstractNum w:abstractNumId="167">
    <w:nsid w:val="43D3BCD4"/>
    <w:multiLevelType w:val="hybridMultilevel"/>
    <w:lvl w:ilvl="0">
      <w:lvlJc w:val="left"/>
      <w:lvlText w:val="●"/>
      <w:numFmt w:val="bullet"/>
      <w:start w:val="1"/>
    </w:lvl>
    <w:lvl w:ilvl="1">
      <w:lvlJc w:val="left"/>
      <w:lvlText w:val="\endash "/>
      <w:numFmt w:val="bullet"/>
      <w:start w:val="1"/>
    </w:lvl>
  </w:abstractNum>
  <w:abstractNum w:abstractNumId="168">
    <w:nsid w:val="4C2A7166"/>
    <w:multiLevelType w:val="hybridMultilevel"/>
    <w:lvl w:ilvl="0">
      <w:lvlJc w:val="left"/>
      <w:lvlText w:val="●"/>
      <w:numFmt w:val="bullet"/>
      <w:start w:val="1"/>
    </w:lvl>
    <w:lvl w:ilvl="1">
      <w:lvlJc w:val="left"/>
      <w:lvlText w:val="\endash "/>
      <w:numFmt w:val="bullet"/>
      <w:start w:val="1"/>
    </w:lvl>
  </w:abstractNum>
  <w:abstractNum w:abstractNumId="169">
    <w:nsid w:val="2E534A82"/>
    <w:multiLevelType w:val="hybridMultilevel"/>
    <w:lvl w:ilvl="0">
      <w:lvlJc w:val="left"/>
      <w:lvlText w:val="●"/>
      <w:numFmt w:val="bullet"/>
      <w:start w:val="1"/>
    </w:lvl>
  </w:abstractNum>
  <w:abstractNum w:abstractNumId="170">
    <w:nsid w:val="26F2D364"/>
    <w:multiLevelType w:val="hybridMultilevel"/>
    <w:lvl w:ilvl="0">
      <w:lvlJc w:val="left"/>
      <w:lvlText w:val="●"/>
      <w:numFmt w:val="bullet"/>
      <w:start w:val="1"/>
    </w:lvl>
  </w:abstractNum>
  <w:abstractNum w:abstractNumId="171">
    <w:nsid w:val="71C1AF98"/>
    <w:multiLevelType w:val="hybridMultilevel"/>
    <w:lvl w:ilvl="0">
      <w:lvlJc w:val="left"/>
      <w:lvlText w:val="%1"/>
      <w:numFmt w:val="decimal"/>
      <w:start w:val="60"/>
    </w:lvl>
  </w:abstractNum>
  <w:abstractNum w:abstractNumId="172">
    <w:nsid w:val="3D00B9D9"/>
    <w:multiLevelType w:val="hybridMultilevel"/>
    <w:lvl w:ilvl="0">
      <w:lvlJc w:val="left"/>
      <w:lvlText w:val="*"/>
      <w:numFmt w:val="bullet"/>
      <w:start w:val="1"/>
    </w:lvl>
  </w:abstractNum>
  <w:abstractNum w:abstractNumId="173">
    <w:nsid w:val="15BCABA8"/>
    <w:multiLevelType w:val="hybridMultilevel"/>
    <w:lvl w:ilvl="0">
      <w:lvlJc w:val="left"/>
      <w:lvlText w:val="*"/>
      <w:numFmt w:val="bullet"/>
      <w:start w:val="1"/>
    </w:lvl>
  </w:abstractNum>
  <w:abstractNum w:abstractNumId="174">
    <w:nsid w:val="4E0B9A87"/>
    <w:multiLevelType w:val="hybridMultilevel"/>
    <w:lvl w:ilvl="0">
      <w:lvlJc w:val="left"/>
      <w:lvlText w:val="%1"/>
      <w:numFmt w:val="decimal"/>
      <w:start w:val="62"/>
    </w:lvl>
  </w:abstractNum>
  <w:abstractNum w:abstractNumId="175">
    <w:nsid w:val="434BAE75"/>
    <w:multiLevelType w:val="hybridMultilevel"/>
    <w:lvl w:ilvl="0">
      <w:lvlJc w:val="left"/>
      <w:lvlText w:val="●"/>
      <w:numFmt w:val="bullet"/>
      <w:start w:val="1"/>
    </w:lvl>
  </w:abstractNum>
  <w:abstractNum w:abstractNumId="176">
    <w:nsid w:val="4F38F265"/>
    <w:multiLevelType w:val="hybridMultilevel"/>
    <w:lvl w:ilvl="0">
      <w:lvlJc w:val="left"/>
      <w:lvlText w:val="●"/>
      <w:numFmt w:val="bullet"/>
      <w:start w:val="1"/>
    </w:lvl>
  </w:abstractNum>
  <w:abstractNum w:abstractNumId="177">
    <w:nsid w:val="4C502870"/>
    <w:multiLevelType w:val="hybridMultilevel"/>
    <w:lvl w:ilvl="0">
      <w:lvlJc w:val="left"/>
      <w:lvlText w:val="●"/>
      <w:numFmt w:val="bullet"/>
      <w:start w:val="1"/>
    </w:lvl>
  </w:abstractNum>
  <w:abstractNum w:abstractNumId="178">
    <w:nsid w:val="1DE8725A"/>
    <w:multiLevelType w:val="hybridMultilevel"/>
    <w:lvl w:ilvl="0">
      <w:lvlJc w:val="left"/>
      <w:lvlText w:val="●"/>
      <w:numFmt w:val="bullet"/>
      <w:start w:val="1"/>
    </w:lvl>
  </w:abstractNum>
  <w:abstractNum w:abstractNumId="179">
    <w:nsid w:val="6A37288A"/>
    <w:multiLevelType w:val="hybridMultilevel"/>
    <w:lvl w:ilvl="0">
      <w:lvlJc w:val="left"/>
      <w:lvlText w:val="%1"/>
      <w:numFmt w:val="decimal"/>
      <w:start w:val="64"/>
    </w:lvl>
  </w:abstractNum>
  <w:abstractNum w:abstractNumId="180">
    <w:nsid w:val="8F8B73F"/>
    <w:multiLevelType w:val="hybridMultilevel"/>
    <w:lvl w:ilvl="0">
      <w:lvlJc w:val="left"/>
      <w:lvlText w:val="(%1)"/>
      <w:numFmt w:val="decimal"/>
      <w:start w:val="1"/>
    </w:lvl>
  </w:abstractNum>
  <w:abstractNum w:abstractNumId="181">
    <w:nsid w:val="CA6B462"/>
    <w:multiLevelType w:val="hybridMultilevel"/>
    <w:lvl w:ilvl="0">
      <w:lvlJc w:val="left"/>
      <w:lvlText w:val="%1"/>
      <w:numFmt w:val="decimal"/>
      <w:start w:val="66"/>
    </w:lvl>
  </w:abstractNum>
  <w:abstractNum w:abstractNumId="182">
    <w:nsid w:val="763CB680"/>
    <w:multiLevelType w:val="hybridMultilevel"/>
    <w:lvl w:ilvl="0">
      <w:lvlJc w:val="left"/>
      <w:lvlText w:val="(%1)"/>
      <w:numFmt w:val="decimal"/>
      <w:start w:val="4"/>
    </w:lvl>
  </w:abstractNum>
  <w:abstractNum w:abstractNumId="183">
    <w:nsid w:val="15B71329"/>
    <w:multiLevelType w:val="hybridMultilevel"/>
    <w:lvl w:ilvl="0">
      <w:lvlJc w:val="left"/>
      <w:lvlText w:val="%1"/>
      <w:numFmt w:val="decimal"/>
      <w:start w:val="1"/>
    </w:lvl>
    <w:lvl w:ilvl="1">
      <w:lvlJc w:val="left"/>
      <w:lvlText w:val="(%2)"/>
      <w:numFmt w:val="lowerLetter"/>
      <w:start w:val="1"/>
    </w:lvl>
  </w:abstractNum>
  <w:abstractNum w:abstractNumId="184">
    <w:nsid w:val="3DA97044"/>
    <w:multiLevelType w:val="hybridMultilevel"/>
    <w:lvl w:ilvl="0">
      <w:lvlJc w:val="left"/>
      <w:lvlText w:val="(%1)"/>
      <w:numFmt w:val="decimal"/>
      <w:start w:val="7"/>
    </w:lvl>
    <w:lvl w:ilvl="1">
      <w:lvlJc w:val="left"/>
      <w:lvlText w:val="%2"/>
      <w:numFmt w:val="lowerLetter"/>
      <w:start w:val="1"/>
    </w:lvl>
  </w:abstractNum>
  <w:abstractNum w:abstractNumId="185">
    <w:nsid w:val="1CDCE2DE"/>
    <w:multiLevelType w:val="hybridMultilevel"/>
    <w:lvl w:ilvl="0">
      <w:lvlJc w:val="left"/>
      <w:lvlText w:val="(%1)"/>
      <w:numFmt w:val="decimal"/>
      <w:start w:val="1"/>
    </w:lvl>
  </w:abstractNum>
  <w:abstractNum w:abstractNumId="186">
    <w:nsid w:val="69D3947C"/>
    <w:multiLevelType w:val="hybridMultilevel"/>
    <w:lvl w:ilvl="0">
      <w:lvlJc w:val="left"/>
      <w:lvlText w:val="%1"/>
      <w:numFmt w:val="decimal"/>
      <w:start w:val="68"/>
    </w:lvl>
  </w:abstractNum>
  <w:abstractNum w:abstractNumId="187">
    <w:nsid w:val="2539DFA5"/>
    <w:multiLevelType w:val="hybridMultilevel"/>
    <w:lvl w:ilvl="0">
      <w:lvlJc w:val="left"/>
      <w:lvlText w:val="(%1)"/>
      <w:numFmt w:val="decimal"/>
      <w:start w:val="2"/>
    </w:lvl>
  </w:abstractNum>
  <w:abstractNum w:abstractNumId="188">
    <w:nsid w:val="2DB88089"/>
    <w:multiLevelType w:val="hybridMultilevel"/>
    <w:lvl w:ilvl="0">
      <w:lvlJc w:val="left"/>
      <w:lvlText w:val="%1"/>
      <w:numFmt w:val="decimal"/>
      <w:start w:val="70"/>
    </w:lvl>
  </w:abstractNum>
  <w:abstractNum w:abstractNumId="189">
    <w:nsid w:val="706B674E"/>
    <w:multiLevelType w:val="hybridMultilevel"/>
    <w:lvl w:ilvl="0">
      <w:lvlJc w:val="left"/>
      <w:lvlText w:val="(%1)"/>
      <w:numFmt w:val="decimal"/>
      <w:start w:val="1"/>
    </w:lvl>
  </w:abstractNum>
  <w:abstractNum w:abstractNumId="190">
    <w:nsid w:val="2C106A57"/>
    <w:multiLevelType w:val="hybridMultilevel"/>
    <w:lvl w:ilvl="0">
      <w:lvlJc w:val="left"/>
      <w:lvlText w:val="(%1)"/>
      <w:numFmt w:val="decimal"/>
      <w:start w:val="1"/>
    </w:lvl>
  </w:abstractNum>
  <w:abstractNum w:abstractNumId="191">
    <w:nsid w:val="684EED59"/>
    <w:multiLevelType w:val="hybridMultilevel"/>
    <w:lvl w:ilvl="0">
      <w:lvlJc w:val="left"/>
      <w:lvlText w:val="●"/>
      <w:numFmt w:val="bullet"/>
      <w:start w:val="1"/>
    </w:lvl>
  </w:abstractNum>
  <w:abstractNum w:abstractNumId="192">
    <w:nsid w:val="545EE5D3"/>
    <w:multiLevelType w:val="hybridMultilevel"/>
    <w:lvl w:ilvl="0">
      <w:lvlJc w:val="left"/>
      <w:lvlText w:val="%1"/>
      <w:numFmt w:val="decimal"/>
      <w:start w:val="72"/>
    </w:lvl>
  </w:abstractNum>
  <w:abstractNum w:abstractNumId="193">
    <w:nsid w:val="4A66051"/>
    <w:multiLevelType w:val="hybridMultilevel"/>
    <w:lvl w:ilvl="0">
      <w:lvlJc w:val="left"/>
      <w:lvlText w:val="●"/>
      <w:numFmt w:val="bullet"/>
      <w:start w:val="1"/>
    </w:lvl>
  </w:abstractNum>
  <w:abstractNum w:abstractNumId="194">
    <w:nsid w:val="20F4BDAD"/>
    <w:multiLevelType w:val="hybridMultilevel"/>
    <w:lvl w:ilvl="0">
      <w:lvlJc w:val="left"/>
      <w:lvlText w:val="*"/>
      <w:numFmt w:val="bullet"/>
      <w:start w:val="1"/>
    </w:lvl>
  </w:abstractNum>
  <w:abstractNum w:abstractNumId="195">
    <w:nsid w:val="639DEFAC"/>
    <w:multiLevelType w:val="hybridMultilevel"/>
    <w:lvl w:ilvl="0">
      <w:lvlJc w:val="left"/>
      <w:lvlText w:val="●"/>
      <w:numFmt w:val="bullet"/>
      <w:start w:val="1"/>
    </w:lvl>
  </w:abstractNum>
  <w:abstractNum w:abstractNumId="196">
    <w:nsid w:val="501F9786"/>
    <w:multiLevelType w:val="hybridMultilevel"/>
    <w:lvl w:ilvl="0">
      <w:lvlJc w:val="left"/>
      <w:lvlText w:val="%1"/>
      <w:numFmt w:val="decimal"/>
      <w:start w:val="74"/>
    </w:lvl>
  </w:abstractNum>
  <w:abstractNum w:abstractNumId="197">
    <w:nsid w:val="6B057295"/>
    <w:multiLevelType w:val="hybridMultilevel"/>
    <w:lvl w:ilvl="0">
      <w:lvlJc w:val="left"/>
      <w:lvlText w:val="(%1)"/>
      <w:numFmt w:val="decimal"/>
      <w:start w:val="1"/>
    </w:lvl>
  </w:abstractNum>
  <w:abstractNum w:abstractNumId="198">
    <w:nsid w:val="2771AC80"/>
    <w:multiLevelType w:val="hybridMultilevel"/>
    <w:lvl w:ilvl="0">
      <w:lvlJc w:val="left"/>
      <w:lvlText w:val="%1"/>
      <w:numFmt w:val="decimal"/>
      <w:start w:val="76"/>
    </w:lvl>
  </w:abstractNum>
  <w:abstractNum w:abstractNumId="199">
    <w:nsid w:val="1C4A08EC"/>
    <w:multiLevelType w:val="hybridMultilevel"/>
    <w:lvl w:ilvl="0">
      <w:lvlJc w:val="left"/>
      <w:lvlText w:val="(%1)"/>
      <w:numFmt w:val="decimal"/>
      <w:start w:val="1"/>
    </w:lvl>
  </w:abstractNum>
  <w:abstractNum w:abstractNumId="200">
    <w:nsid w:val="1958BD17"/>
    <w:multiLevelType w:val="hybridMultilevel"/>
    <w:lvl w:ilvl="0">
      <w:lvlJc w:val="left"/>
      <w:lvlText w:val="●"/>
      <w:numFmt w:val="bullet"/>
      <w:start w:val="1"/>
    </w:lvl>
  </w:abstractNum>
  <w:abstractNum w:abstractNumId="201">
    <w:nsid w:val="4E647FE4"/>
    <w:multiLevelType w:val="hybridMultilevel"/>
    <w:lvl w:ilvl="0">
      <w:lvlJc w:val="left"/>
      <w:lvlText w:val="%1"/>
      <w:numFmt w:val="decimal"/>
      <w:start w:val="78"/>
    </w:lvl>
  </w:abstractNum>
  <w:abstractNum w:abstractNumId="202">
    <w:nsid w:val="E0BB885"/>
    <w:multiLevelType w:val="hybridMultilevel"/>
    <w:lvl w:ilvl="0">
      <w:lvlJc w:val="left"/>
      <w:lvlText w:val="(%1)"/>
      <w:numFmt w:val="decimal"/>
      <w:start w:val="1"/>
    </w:lvl>
  </w:abstractNum>
  <w:abstractNum w:abstractNumId="203">
    <w:nsid w:val="565976F1"/>
    <w:multiLevelType w:val="hybridMultilevel"/>
    <w:lvl w:ilvl="0">
      <w:lvlJc w:val="left"/>
      <w:lvlText w:val="●"/>
      <w:numFmt w:val="bullet"/>
      <w:start w:val="1"/>
    </w:lvl>
  </w:abstractNum>
  <w:abstractNum w:abstractNumId="204">
    <w:nsid w:val="64212B8C"/>
    <w:multiLevelType w:val="hybridMultilevel"/>
    <w:lvl w:ilvl="0">
      <w:lvlJc w:val="left"/>
      <w:lvlText w:val="(%1)"/>
      <w:numFmt w:val="decimal"/>
      <w:start w:val="1"/>
    </w:lvl>
  </w:abstractNum>
  <w:abstractNum w:abstractNumId="205">
    <w:nsid w:val="5C17530C"/>
    <w:multiLevelType w:val="hybridMultilevel"/>
    <w:lvl w:ilvl="0">
      <w:lvlJc w:val="left"/>
      <w:lvlText w:val="%1"/>
      <w:numFmt w:val="decimal"/>
      <w:start w:val="80"/>
    </w:lvl>
  </w:abstractNum>
  <w:abstractNum w:abstractNumId="206">
    <w:nsid w:val="19A52566"/>
    <w:multiLevelType w:val="hybridMultilevel"/>
    <w:lvl w:ilvl="0">
      <w:lvlJc w:val="left"/>
      <w:lvlText w:val="(%1)"/>
      <w:numFmt w:val="decimal"/>
      <w:start w:val="5"/>
    </w:lvl>
  </w:abstractNum>
  <w:abstractNum w:abstractNumId="207">
    <w:nsid w:val="335A1DF1"/>
    <w:multiLevelType w:val="hybridMultilevel"/>
    <w:lvl w:ilvl="0">
      <w:lvlJc w:val="left"/>
      <w:lvlText w:val="(%1)"/>
      <w:numFmt w:val="decimal"/>
      <w:start w:val="1"/>
    </w:lvl>
  </w:abstractNum>
  <w:abstractNum w:abstractNumId="208">
    <w:nsid w:val="28677B7C"/>
    <w:multiLevelType w:val="hybridMultilevel"/>
    <w:lvl w:ilvl="0">
      <w:lvlJc w:val="left"/>
      <w:lvlText w:val="(%1)"/>
      <w:numFmt w:val="decimal"/>
      <w:start w:val="1"/>
    </w:lvl>
  </w:abstractNum>
  <w:abstractNum w:abstractNumId="209">
    <w:nsid w:val="378D97C0"/>
    <w:multiLevelType w:val="hybridMultilevel"/>
    <w:lvl w:ilvl="0">
      <w:lvlJc w:val="left"/>
      <w:lvlText w:val="(%1)"/>
      <w:numFmt w:val="decimal"/>
      <w:start w:val="1"/>
    </w:lvl>
  </w:abstractNum>
  <w:abstractNum w:abstractNumId="210">
    <w:nsid w:val="1D91467C"/>
    <w:multiLevelType w:val="hybridMultilevel"/>
    <w:lvl w:ilvl="0">
      <w:lvlJc w:val="left"/>
      <w:lvlText w:val="%1"/>
      <w:numFmt w:val="decimal"/>
      <w:start w:val="82"/>
    </w:lvl>
  </w:abstractNum>
  <w:abstractNum w:abstractNumId="211">
    <w:nsid w:val="316032BB"/>
    <w:multiLevelType w:val="hybridMultilevel"/>
    <w:lvl w:ilvl="0">
      <w:lvlJc w:val="left"/>
      <w:lvlText w:val="(%1)"/>
      <w:numFmt w:val="decimal"/>
      <w:start w:val="1"/>
    </w:lvl>
  </w:abstractNum>
  <w:abstractNum w:abstractNumId="212">
    <w:nsid w:val="44344C22"/>
    <w:multiLevelType w:val="hybridMultilevel"/>
    <w:lvl w:ilvl="0">
      <w:lvlJc w:val="left"/>
      <w:lvlText w:val="●"/>
      <w:numFmt w:val="bullet"/>
      <w:start w:val="1"/>
    </w:lvl>
  </w:abstractNum>
  <w:abstractNum w:abstractNumId="213">
    <w:nsid w:val="13CDFCFC"/>
    <w:multiLevelType w:val="hybridMultilevel"/>
    <w:lvl w:ilvl="0">
      <w:lvlJc w:val="left"/>
      <w:lvlText w:val="●"/>
      <w:numFmt w:val="bullet"/>
      <w:start w:val="1"/>
    </w:lvl>
  </w:abstractNum>
  <w:abstractNum w:abstractNumId="214">
    <w:nsid w:val="471745E4"/>
    <w:multiLevelType w:val="hybridMultilevel"/>
    <w:lvl w:ilvl="0">
      <w:lvlJc w:val="left"/>
      <w:lvlText w:val="%1"/>
      <w:numFmt w:val="decimal"/>
      <w:start w:val="84"/>
    </w:lvl>
  </w:abstractNum>
  <w:abstractNum w:abstractNumId="215">
    <w:nsid w:val="1DDBC66"/>
    <w:multiLevelType w:val="hybridMultilevel"/>
    <w:lvl w:ilvl="0">
      <w:lvlJc w:val="left"/>
      <w:lvlText w:val="(%1)"/>
      <w:numFmt w:val="decimal"/>
      <w:start w:val="1"/>
    </w:lvl>
  </w:abstractNum>
  <w:abstractNum w:abstractNumId="216">
    <w:nsid w:val="30AADFDA"/>
    <w:multiLevelType w:val="hybridMultilevel"/>
    <w:lvl w:ilvl="0">
      <w:lvlJc w:val="left"/>
      <w:lvlText w:val="●"/>
      <w:numFmt w:val="bullet"/>
      <w:start w:val="1"/>
    </w:lvl>
  </w:abstractNum>
  <w:abstractNum w:abstractNumId="217">
    <w:nsid w:val="30EADA61"/>
    <w:multiLevelType w:val="hybridMultilevel"/>
    <w:lvl w:ilvl="0">
      <w:lvlJc w:val="left"/>
      <w:lvlText w:val="(%1)"/>
      <w:numFmt w:val="decimal"/>
      <w:start w:val="1"/>
    </w:lvl>
  </w:abstractNum>
  <w:abstractNum w:abstractNumId="218">
    <w:nsid w:val="27179C0B"/>
    <w:multiLevelType w:val="hybridMultilevel"/>
    <w:lvl w:ilvl="0">
      <w:lvlJc w:val="left"/>
      <w:lvlText w:val="%1"/>
      <w:numFmt w:val="decimal"/>
      <w:start w:val="86"/>
    </w:lvl>
  </w:abstractNum>
  <w:abstractNum w:abstractNumId="219">
    <w:nsid w:val="5E636063"/>
    <w:multiLevelType w:val="hybridMultilevel"/>
    <w:lvl w:ilvl="0">
      <w:lvlJc w:val="left"/>
      <w:lvlText w:val="%1"/>
      <w:numFmt w:val="decimal"/>
      <w:start w:val="88"/>
    </w:lvl>
  </w:abstractNum>
  <w:abstractNum w:abstractNumId="220">
    <w:nsid w:val="215641AF"/>
    <w:multiLevelType w:val="hybridMultilevel"/>
    <w:lvl w:ilvl="0">
      <w:lvlJc w:val="left"/>
      <w:lvlText w:val="%1"/>
      <w:numFmt w:val="decimal"/>
      <w:start w:val="90"/>
    </w:lvl>
  </w:abstractNum>
  <w:abstractNum w:abstractNumId="221">
    <w:nsid w:val="53280662"/>
    <w:multiLevelType w:val="hybridMultilevel"/>
    <w:lvl w:ilvl="0">
      <w:lvlJc w:val="left"/>
      <w:lvlText w:val="%1"/>
      <w:numFmt w:val="decimal"/>
      <w:start w:val="92"/>
    </w:lvl>
  </w:abstractNum>
  <w:abstractNum w:abstractNumId="222">
    <w:nsid w:val="46B24DBC"/>
    <w:multiLevelType w:val="hybridMultilevel"/>
    <w:lvl w:ilvl="0">
      <w:lvlJc w:val="left"/>
      <w:lvlText w:val="●"/>
      <w:numFmt w:val="bullet"/>
      <w:start w:val="1"/>
    </w:lvl>
  </w:abstractNum>
  <w:abstractNum w:abstractNumId="223">
    <w:nsid w:val="75B52783"/>
    <w:multiLevelType w:val="hybridMultilevel"/>
    <w:lvl w:ilvl="0">
      <w:lvlJc w:val="left"/>
      <w:lvlText w:val="●"/>
      <w:numFmt w:val="bullet"/>
      <w:start w:val="1"/>
    </w:lvl>
  </w:abstractNum>
  <w:abstractNum w:abstractNumId="224">
    <w:nsid w:val="57CE66B4"/>
    <w:multiLevelType w:val="hybridMultilevel"/>
    <w:lvl w:ilvl="0">
      <w:lvlJc w:val="left"/>
      <w:lvlText w:val="%1"/>
      <w:numFmt w:val="decimal"/>
      <w:start w:val="94"/>
    </w:lvl>
  </w:abstractNum>
  <w:abstractNum w:abstractNumId="225">
    <w:nsid w:val="67A70B69"/>
    <w:multiLevelType w:val="hybridMultilevel"/>
    <w:lvl w:ilvl="0">
      <w:lvlJc w:val="left"/>
      <w:lvlText w:val="%1"/>
      <w:numFmt w:val="decimal"/>
      <w:start w:val="96"/>
    </w:lvl>
  </w:abstractNum>
  <w:abstractNum w:abstractNumId="226">
    <w:nsid w:val="5953172F"/>
    <w:multiLevelType w:val="hybridMultilevel"/>
    <w:lvl w:ilvl="0">
      <w:lvlJc w:val="left"/>
      <w:lvlText w:val="●"/>
      <w:numFmt w:val="bullet"/>
      <w:start w:val="1"/>
    </w:lvl>
  </w:abstractNum>
  <w:abstractNum w:abstractNumId="227">
    <w:nsid w:val="27EDFE3A"/>
    <w:multiLevelType w:val="hybridMultilevel"/>
    <w:lvl w:ilvl="0">
      <w:lvlJc w:val="left"/>
      <w:lvlText w:val="%1"/>
      <w:numFmt w:val="decimal"/>
      <w:start w:val="98"/>
    </w:lvl>
  </w:abstractNum>
  <w:abstractNum w:abstractNumId="228">
    <w:nsid w:val="52AC7DFF"/>
    <w:multiLevelType w:val="hybridMultilevel"/>
    <w:lvl w:ilvl="0">
      <w:lvlJc w:val="left"/>
      <w:lvlText w:val="●"/>
      <w:numFmt w:val="bullet"/>
      <w:start w:val="1"/>
    </w:lvl>
  </w:abstractNum>
  <w:abstractNum w:abstractNumId="229">
    <w:nsid w:val="C4C3AF"/>
    <w:multiLevelType w:val="hybridMultilevel"/>
    <w:lvl w:ilvl="0">
      <w:lvlJc w:val="left"/>
      <w:lvlText w:val="●"/>
      <w:numFmt w:val="bullet"/>
      <w:start w:val="1"/>
    </w:lvl>
  </w:abstractNum>
  <w:abstractNum w:abstractNumId="230">
    <w:nsid w:val="44380727"/>
    <w:multiLevelType w:val="hybridMultilevel"/>
    <w:lvl w:ilvl="0">
      <w:lvlJc w:val="left"/>
      <w:lvlText w:val="●"/>
      <w:numFmt w:val="bullet"/>
      <w:start w:val="1"/>
    </w:lvl>
  </w:abstractNum>
  <w:abstractNum w:abstractNumId="231">
    <w:nsid w:val="6C053B16"/>
    <w:multiLevelType w:val="hybridMultilevel"/>
    <w:lvl w:ilvl="0">
      <w:lvlJc w:val="left"/>
      <w:lvlText w:val="%1"/>
      <w:numFmt w:val="decimal"/>
      <w:start w:val="100"/>
    </w:lvl>
  </w:abstractNum>
  <w:abstractNum w:abstractNumId="232">
    <w:nsid w:val="4F294393"/>
    <w:multiLevelType w:val="hybridMultilevel"/>
    <w:lvl w:ilvl="0">
      <w:lvlJc w:val="left"/>
      <w:lvlText w:val="%1"/>
      <w:numFmt w:val="decimal"/>
      <w:start w:val="102"/>
    </w:lvl>
  </w:abstractNum>
  <w:abstractNum w:abstractNumId="233">
    <w:nsid w:val="5243BFAC"/>
    <w:multiLevelType w:val="hybridMultilevel"/>
    <w:lvl w:ilvl="0">
      <w:lvlJc w:val="left"/>
      <w:lvlText w:val="%1"/>
      <w:numFmt w:val="decimal"/>
      <w:start w:val="104"/>
    </w:lvl>
  </w:abstractNum>
  <w:abstractNum w:abstractNumId="234">
    <w:nsid w:val="425EB207"/>
    <w:multiLevelType w:val="hybridMultilevel"/>
    <w:lvl w:ilvl="0">
      <w:lvlJc w:val="left"/>
      <w:lvlText w:val="%1"/>
      <w:numFmt w:val="decimal"/>
      <w:start w:val="106"/>
    </w:lvl>
  </w:abstractNum>
  <w:abstractNum w:abstractNumId="235">
    <w:nsid w:val="334A6F1F"/>
    <w:multiLevelType w:val="hybridMultilevel"/>
    <w:lvl w:ilvl="0">
      <w:lvlJc w:val="left"/>
      <w:lvlText w:val="%1"/>
      <w:numFmt w:val="decimal"/>
      <w:start w:val="10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jpe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jpe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2022-03-14T15:41:36Z</dcterms:created>
  <dcterms:modified xsi:type="dcterms:W3CDTF">2022-03-14T15:41:36Z</dcterms:modified>
</cp:coreProperties>
</file>