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38" w:lineRule="exact"/>
        <w:rPr>
          <w:sz w:val="24"/>
          <w:szCs w:val="24"/>
          <w:color w:val="auto"/>
        </w:rPr>
      </w:pPr>
    </w:p>
    <w:p>
      <w:pPr>
        <w:ind w:left="720" w:right="16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720" w:type="dxa"/>
            <w:vAlign w:val="bottom"/>
            <w:tcBorders>
              <w:bottom w:val="single" w:sz="8" w:color="auto"/>
            </w:tcBorders>
            <w:gridSpan w:val="2"/>
          </w:tcPr>
          <w:p>
            <w:pPr>
              <w:spacing w:after="0"/>
              <w:rPr>
                <w:sz w:val="17"/>
                <w:szCs w:val="17"/>
                <w:color w:val="auto"/>
              </w:rPr>
            </w:pPr>
          </w:p>
        </w:tc>
        <w:tc>
          <w:tcPr>
            <w:tcW w:w="2780" w:type="dxa"/>
            <w:vAlign w:val="bottom"/>
          </w:tcPr>
          <w:p>
            <w:pPr>
              <w:spacing w:after="0"/>
              <w:rPr>
                <w:sz w:val="17"/>
                <w:szCs w:val="17"/>
                <w:color w:val="auto"/>
              </w:rPr>
            </w:pPr>
          </w:p>
        </w:tc>
      </w:tr>
      <w:tr>
        <w:trPr>
          <w:trHeight w:val="380"/>
        </w:trPr>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gridSpan w:val="8"/>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rPr>
              <w:t>Commission file number 1-812</w:t>
            </w:r>
          </w:p>
        </w:tc>
      </w:tr>
      <w:tr>
        <w:trPr>
          <w:trHeight w:val="234"/>
        </w:trPr>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2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2780" w:type="dxa"/>
            <w:vAlign w:val="bottom"/>
          </w:tcPr>
          <w:p>
            <w:pPr>
              <w:spacing w:after="0"/>
              <w:rPr>
                <w:sz w:val="20"/>
                <w:szCs w:val="20"/>
                <w:color w:val="auto"/>
              </w:rPr>
            </w:pPr>
          </w:p>
        </w:tc>
      </w:tr>
      <w:tr>
        <w:trPr>
          <w:trHeight w:val="603"/>
        </w:trPr>
        <w:tc>
          <w:tcPr>
            <w:tcW w:w="9480" w:type="dxa"/>
            <w:vAlign w:val="bottom"/>
            <w:gridSpan w:val="11"/>
          </w:tcPr>
          <w:p>
            <w:pPr>
              <w:jc w:val="center"/>
              <w:ind w:right="30"/>
              <w:spacing w:after="0"/>
              <w:rPr>
                <w:sz w:val="20"/>
                <w:szCs w:val="20"/>
                <w:color w:val="auto"/>
              </w:rPr>
            </w:pPr>
            <w:r>
              <w:rPr>
                <w:rFonts w:ascii="Times New Roman" w:cs="Times New Roman" w:eastAsia="Times New Roman" w:hAnsi="Times New Roman"/>
                <w:sz w:val="43"/>
                <w:szCs w:val="43"/>
                <w:b w:val="1"/>
                <w:bCs w:val="1"/>
                <w:color w:val="auto"/>
              </w:rPr>
              <w:t>UNITED TECHNOLOGIES CORPORATION</w:t>
            </w:r>
          </w:p>
        </w:tc>
      </w:tr>
      <w:tr>
        <w:trPr>
          <w:trHeight w:val="234"/>
        </w:trPr>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2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2780" w:type="dxa"/>
            <w:vAlign w:val="bottom"/>
          </w:tcPr>
          <w:p>
            <w:pPr>
              <w:spacing w:after="0"/>
              <w:rPr>
                <w:sz w:val="20"/>
                <w:szCs w:val="20"/>
                <w:color w:val="auto"/>
              </w:rPr>
            </w:pPr>
          </w:p>
        </w:tc>
      </w:tr>
      <w:tr>
        <w:trPr>
          <w:trHeight w:val="486"/>
        </w:trPr>
        <w:tc>
          <w:tcPr>
            <w:tcW w:w="460" w:type="dxa"/>
            <w:vAlign w:val="bottom"/>
          </w:tcPr>
          <w:p>
            <w:pPr>
              <w:spacing w:after="0"/>
              <w:rPr>
                <w:sz w:val="24"/>
                <w:szCs w:val="24"/>
                <w:color w:val="auto"/>
              </w:rPr>
            </w:pPr>
          </w:p>
        </w:tc>
        <w:tc>
          <w:tcPr>
            <w:tcW w:w="19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40" w:type="dxa"/>
            <w:vAlign w:val="bottom"/>
            <w:gridSpan w:val="4"/>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248"/>
        </w:trPr>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100" w:type="dxa"/>
            <w:vAlign w:val="bottom"/>
            <w:gridSpan w:val="8"/>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rPr>
              <w:t>10 Farm Springs Road, Farmington, Connecticut 06032</w:t>
            </w:r>
          </w:p>
        </w:tc>
      </w:tr>
      <w:tr>
        <w:trPr>
          <w:trHeight w:val="238"/>
        </w:trPr>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gridSpan w:val="4"/>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(860) 728-7000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51"/>
        </w:trPr>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gridSpan w:val="8"/>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59"/>
        </w:trPr>
        <w:tc>
          <w:tcPr>
            <w:tcW w:w="4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40" w:type="dxa"/>
            <w:vAlign w:val="bottom"/>
          </w:tcPr>
          <w:p>
            <w:pPr>
              <w:spacing w:after="0"/>
              <w:rPr>
                <w:sz w:val="24"/>
                <w:szCs w:val="24"/>
                <w:color w:val="auto"/>
              </w:rPr>
            </w:pPr>
          </w:p>
        </w:tc>
        <w:tc>
          <w:tcPr>
            <w:tcW w:w="3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1"/>
        </w:trPr>
        <w:tc>
          <w:tcPr>
            <w:tcW w:w="2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1140" w:type="dxa"/>
            <w:vAlign w:val="bottom"/>
          </w:tcPr>
          <w:p>
            <w:pPr>
              <w:spacing w:after="0"/>
              <w:rPr>
                <w:sz w:val="24"/>
                <w:szCs w:val="24"/>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UTX</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60" w:type="dxa"/>
            <w:vAlign w:val="bottom"/>
          </w:tcPr>
          <w:p>
            <w:pPr>
              <w:spacing w:after="0"/>
              <w:rPr>
                <w:sz w:val="24"/>
                <w:szCs w:val="24"/>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913017 10 9)</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3"/>
        </w:trPr>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1.125% Notes due 2021</w:t>
            </w:r>
          </w:p>
        </w:tc>
        <w:tc>
          <w:tcPr>
            <w:tcW w:w="1140" w:type="dxa"/>
            <w:vAlign w:val="bottom"/>
          </w:tcPr>
          <w:p>
            <w:pPr>
              <w:spacing w:after="0"/>
              <w:rPr>
                <w:sz w:val="22"/>
                <w:szCs w:val="22"/>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UTX 21D</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60" w:type="dxa"/>
            <w:vAlign w:val="bottom"/>
          </w:tcPr>
          <w:p>
            <w:pPr>
              <w:spacing w:after="0"/>
              <w:rPr>
                <w:sz w:val="24"/>
                <w:szCs w:val="24"/>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913017 CD9)</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3"/>
        </w:trPr>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1.250% Notes due 2023</w:t>
            </w:r>
          </w:p>
        </w:tc>
        <w:tc>
          <w:tcPr>
            <w:tcW w:w="1140" w:type="dxa"/>
            <w:vAlign w:val="bottom"/>
          </w:tcPr>
          <w:p>
            <w:pPr>
              <w:spacing w:after="0"/>
              <w:rPr>
                <w:sz w:val="22"/>
                <w:szCs w:val="22"/>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UTX 23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60" w:type="dxa"/>
            <w:vAlign w:val="bottom"/>
          </w:tcPr>
          <w:p>
            <w:pPr>
              <w:spacing w:after="0"/>
              <w:rPr>
                <w:sz w:val="24"/>
                <w:szCs w:val="24"/>
                <w:color w:val="auto"/>
              </w:rPr>
            </w:pPr>
          </w:p>
        </w:tc>
        <w:tc>
          <w:tcPr>
            <w:tcW w:w="19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(CUSIP U91301 AD0)</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3"/>
        </w:trPr>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1.150% Notes due 2024</w:t>
            </w:r>
          </w:p>
        </w:tc>
        <w:tc>
          <w:tcPr>
            <w:tcW w:w="1140" w:type="dxa"/>
            <w:vAlign w:val="bottom"/>
          </w:tcPr>
          <w:p>
            <w:pPr>
              <w:spacing w:after="0"/>
              <w:rPr>
                <w:sz w:val="22"/>
                <w:szCs w:val="22"/>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UTX 24A</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60" w:type="dxa"/>
            <w:vAlign w:val="bottom"/>
          </w:tcPr>
          <w:p>
            <w:pPr>
              <w:spacing w:after="0"/>
              <w:rPr>
                <w:sz w:val="24"/>
                <w:szCs w:val="24"/>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913017 CU1)</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3"/>
        </w:trPr>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1.875% Notes due 2026</w:t>
            </w:r>
          </w:p>
        </w:tc>
        <w:tc>
          <w:tcPr>
            <w:tcW w:w="1140" w:type="dxa"/>
            <w:vAlign w:val="bottom"/>
          </w:tcPr>
          <w:p>
            <w:pPr>
              <w:spacing w:after="0"/>
              <w:rPr>
                <w:sz w:val="22"/>
                <w:szCs w:val="22"/>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UTX 26</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60" w:type="dxa"/>
            <w:vAlign w:val="bottom"/>
          </w:tcPr>
          <w:p>
            <w:pPr>
              <w:spacing w:after="0"/>
              <w:rPr>
                <w:sz w:val="24"/>
                <w:szCs w:val="24"/>
                <w:color w:val="auto"/>
              </w:rPr>
            </w:pPr>
          </w:p>
        </w:tc>
        <w:tc>
          <w:tcPr>
            <w:tcW w:w="19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(CUSIP 913017 CE7)</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3"/>
        </w:trPr>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2.150% Notes due 2030</w:t>
            </w:r>
          </w:p>
        </w:tc>
        <w:tc>
          <w:tcPr>
            <w:tcW w:w="1140" w:type="dxa"/>
            <w:vAlign w:val="bottom"/>
          </w:tcPr>
          <w:p>
            <w:pPr>
              <w:spacing w:after="0"/>
              <w:rPr>
                <w:sz w:val="22"/>
                <w:szCs w:val="22"/>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UTX 30</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60" w:type="dxa"/>
            <w:vAlign w:val="bottom"/>
          </w:tcPr>
          <w:p>
            <w:pPr>
              <w:spacing w:after="0"/>
              <w:rPr>
                <w:sz w:val="24"/>
                <w:szCs w:val="24"/>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913017 CV9)</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3"/>
        </w:trPr>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Floating Rate Notes due 2019</w:t>
            </w:r>
          </w:p>
        </w:tc>
        <w:tc>
          <w:tcPr>
            <w:tcW w:w="1140" w:type="dxa"/>
            <w:vAlign w:val="bottom"/>
          </w:tcPr>
          <w:p>
            <w:pPr>
              <w:spacing w:after="0"/>
              <w:rPr>
                <w:sz w:val="22"/>
                <w:szCs w:val="22"/>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UTX 19C</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60" w:type="dxa"/>
            <w:vAlign w:val="bottom"/>
          </w:tcPr>
          <w:p>
            <w:pPr>
              <w:spacing w:after="0"/>
              <w:rPr>
                <w:sz w:val="24"/>
                <w:szCs w:val="24"/>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(CUSIP 913017 CS6)</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3"/>
        </w:trPr>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Floating Rate Notes due 2020</w:t>
            </w:r>
          </w:p>
        </w:tc>
        <w:tc>
          <w:tcPr>
            <w:tcW w:w="1140" w:type="dxa"/>
            <w:vAlign w:val="bottom"/>
          </w:tcPr>
          <w:p>
            <w:pPr>
              <w:spacing w:after="0"/>
              <w:rPr>
                <w:sz w:val="22"/>
                <w:szCs w:val="22"/>
                <w:color w:val="auto"/>
              </w:rPr>
            </w:pP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UTX 20B</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9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(CUSIP 913017 CT4)</w:t>
      </w:r>
    </w:p>
    <w:p>
      <w:pPr>
        <w:sectPr>
          <w:pgSz w:w="11900" w:h="16838" w:orient="portrait"/>
          <w:cols w:equalWidth="0" w:num="1">
            <w:col w:w="11380"/>
          </w:cols>
          <w:pgMar w:left="240" w:top="225" w:right="279" w:bottom="1440" w:gutter="0" w:footer="0" w:header="0"/>
        </w:sectPr>
      </w:pPr>
    </w:p>
    <w:p>
      <w:pPr>
        <w:spacing w:after="0" w:line="237" w:lineRule="exact"/>
        <w:rPr>
          <w:sz w:val="24"/>
          <w:szCs w:val="24"/>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380"/>
          </w:cols>
          <w:pgMar w:left="240" w:top="225" w:right="27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w:t>
      </w:r>
    </w:p>
    <w:p>
      <w:pPr>
        <w:spacing w:after="0" w:line="207" w:lineRule="exact"/>
        <w:tabs>
          <w:tab w:leader="none" w:pos="580" w:val="left"/>
          <w:tab w:leader="none" w:pos="13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118" w:right="339" w:bottom="1440" w:gutter="0" w:footer="0" w:header="0"/>
        </w:sectPr>
      </w:pPr>
    </w:p>
    <w:p>
      <w:pPr>
        <w:spacing w:after="0" w:line="122"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4">
            <w:col w:w="4480" w:space="720"/>
            <w:col w:w="160" w:space="160"/>
            <w:col w:w="3080" w:space="720"/>
            <w:col w:w="2000"/>
          </w:cols>
          <w:pgMar w:left="240" w:top="118" w:right="339" w:bottom="1440" w:gutter="0" w:footer="0" w:header="0"/>
          <w:type w:val="continuous"/>
        </w:sectPr>
      </w:pPr>
    </w:p>
    <w:p>
      <w:pPr>
        <w:spacing w:after="0" w:line="28"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jc w:val="center"/>
        <w:ind w:right="1840"/>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4">
            <w:col w:w="4480" w:space="720"/>
            <w:col w:w="160" w:space="160"/>
            <w:col w:w="3080" w:space="720"/>
            <w:col w:w="2000"/>
          </w:cols>
          <w:pgMar w:left="240" w:top="118" w:right="339" w:bottom="1440" w:gutter="0" w:footer="0" w:header="0"/>
          <w:type w:val="continuous"/>
        </w:sectPr>
      </w:pPr>
    </w:p>
    <w:p>
      <w:pPr>
        <w:spacing w:after="0" w:line="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jc w:val="center"/>
        <w:ind w:right="1840"/>
        <w:spacing w:after="0" w:line="141" w:lineRule="exact"/>
        <w:rPr>
          <w:sz w:val="20"/>
          <w:szCs w:val="20"/>
          <w:color w:val="auto"/>
        </w:rPr>
      </w:pP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600" w:space="720"/>
            <w:col w:w="2000"/>
          </w:cols>
          <w:pgMar w:left="240" w:top="118" w:right="339" w:bottom="1440" w:gutter="0" w:footer="0" w:header="0"/>
          <w:type w:val="continuous"/>
        </w:sectPr>
      </w:pPr>
    </w:p>
    <w:p>
      <w:pPr>
        <w:ind w:right="180"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80" w:val="left"/>
          <w:tab w:leader="none" w:pos="95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June 30, 2019 there were 862,831,280 shares of Common Stock outstanding.</w:t>
      </w:r>
    </w:p>
    <w:p>
      <w:pPr>
        <w:sectPr>
          <w:pgSz w:w="11900" w:h="16838" w:orient="portrait"/>
          <w:cols w:equalWidth="0" w:num="1">
            <w:col w:w="11320"/>
          </w:cols>
          <w:pgMar w:left="240" w:top="118" w:right="339" w:bottom="1440" w:gutter="0" w:footer="0" w:header="0"/>
          <w:type w:val="continuous"/>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June 30, 2019</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23"/>
        </w:trPr>
        <w:tc>
          <w:tcPr>
            <w:tcW w:w="10700" w:type="dxa"/>
            <w:vAlign w:val="bottom"/>
            <w:gridSpan w:val="21"/>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PART I – FINANCIAL INFORMATION</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Item 1. Unaudited Financial Statements:</w:t>
              </w:r>
            </w:hyperlink>
          </w:p>
        </w:tc>
        <w:tc>
          <w:tcPr>
            <w:tcW w:w="766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 of Operations for the quarters ended June 30, 2019 and 2018</w:t>
              </w:r>
            </w:hyperlink>
          </w:p>
        </w:tc>
        <w:tc>
          <w:tcPr>
            <w:tcW w:w="3380" w:type="dxa"/>
            <w:vAlign w:val="bottom"/>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 of Operations for the six months ended June 30, 2019 and 2018</w:t>
              </w:r>
            </w:hyperlink>
          </w:p>
        </w:tc>
        <w:tc>
          <w:tcPr>
            <w:tcW w:w="31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 of Comprehensive Income for the quarters and six months ended June 30, 2019 and 2018</w:t>
              </w:r>
            </w:hyperlink>
          </w:p>
        </w:tc>
        <w:tc>
          <w:tcPr>
            <w:tcW w:w="1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Balance Sheet at June 30, 2019 and December 31, 2018</w:t>
              </w:r>
            </w:hyperlink>
          </w:p>
        </w:tc>
        <w:tc>
          <w:tcPr>
            <w:tcW w:w="4500" w:type="dxa"/>
            <w:vAlign w:val="bottom"/>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 of Cash Flows for the six months ended June 30, 2019 and 2018</w:t>
              </w:r>
            </w:hyperlink>
          </w:p>
        </w:tc>
        <w:tc>
          <w:tcPr>
            <w:tcW w:w="312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8">
              <w:r>
                <w:rPr>
                  <w:rFonts w:ascii="Times New Roman" w:cs="Times New Roman" w:eastAsia="Times New Roman" w:hAnsi="Times New Roman"/>
                  <w:sz w:val="18"/>
                  <w:szCs w:val="18"/>
                  <w:color w:val="0000FF"/>
                  <w:w w:val="88"/>
                </w:rPr>
                <w:t>8</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 of Changes in Equity for the quarters and six months ended June 30, 2019 and 2018</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40" w:type="dxa"/>
            <w:vAlign w:val="bottom"/>
            <w:gridSpan w:val="17"/>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Condensed Consolidated Financial Statements</w:t>
              </w:r>
            </w:hyperlink>
          </w:p>
        </w:tc>
        <w:tc>
          <w:tcPr>
            <w:tcW w:w="1720" w:type="dxa"/>
            <w:vAlign w:val="bottom"/>
            <w:gridSpan w:val="2"/>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0">
              <w:r>
                <w:rPr>
                  <w:rFonts w:ascii="Times New Roman" w:cs="Times New Roman" w:eastAsia="Times New Roman" w:hAnsi="Times New Roman"/>
                  <w:sz w:val="18"/>
                  <w:szCs w:val="18"/>
                  <w:color w:val="0000FF"/>
                </w:rPr>
                <w:t>10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Report of Independent Registered Public Accounting Firm</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20"/>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37</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Item 3. Quantitative and Qualitative Disclosures About Market Risk</w:t>
              </w:r>
            </w:hyperlink>
          </w:p>
        </w:tc>
        <w:tc>
          <w:tcPr>
            <w:tcW w:w="358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52</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6"/>
          </w:tcPr>
          <w:p>
            <w:pPr>
              <w:spacing w:after="0"/>
              <w:rPr>
                <w:rFonts w:ascii="Times New Roman" w:cs="Times New Roman" w:eastAsia="Times New Roman" w:hAnsi="Times New Roman"/>
                <w:sz w:val="18"/>
                <w:szCs w:val="18"/>
                <w:color w:val="0000FF"/>
                <w:w w:val="98"/>
              </w:rPr>
            </w:pPr>
            <w:hyperlink w:anchor="page52">
              <w:r>
                <w:rPr>
                  <w:rFonts w:ascii="Times New Roman" w:cs="Times New Roman" w:eastAsia="Times New Roman" w:hAnsi="Times New Roman"/>
                  <w:sz w:val="18"/>
                  <w:szCs w:val="18"/>
                  <w:color w:val="0000FF"/>
                  <w:w w:val="98"/>
                </w:rPr>
                <w:t>Item 4. Controls and Procedures</w:t>
              </w:r>
            </w:hyperlink>
          </w:p>
        </w:tc>
        <w:tc>
          <w:tcPr>
            <w:tcW w:w="2580" w:type="dxa"/>
            <w:vAlign w:val="bottom"/>
            <w:gridSpan w:val="6"/>
          </w:tcPr>
          <w:p>
            <w:pPr>
              <w:spacing w:after="0"/>
              <w:rPr>
                <w:sz w:val="24"/>
                <w:szCs w:val="24"/>
                <w:color w:val="auto"/>
              </w:rPr>
            </w:pPr>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52</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8"/>
          </w:tcPr>
          <w:p>
            <w:pPr>
              <w:spacing w:after="0"/>
              <w:rPr>
                <w:rFonts w:ascii="Times New Roman" w:cs="Times New Roman" w:eastAsia="Times New Roman" w:hAnsi="Times New Roman"/>
                <w:sz w:val="18"/>
                <w:szCs w:val="18"/>
                <w:color w:val="0000FF"/>
                <w:w w:val="97"/>
              </w:rPr>
            </w:pPr>
            <w:hyperlink w:anchor="page56">
              <w:r>
                <w:rPr>
                  <w:rFonts w:ascii="Times New Roman" w:cs="Times New Roman" w:eastAsia="Times New Roman" w:hAnsi="Times New Roman"/>
                  <w:sz w:val="18"/>
                  <w:szCs w:val="18"/>
                  <w:color w:val="0000FF"/>
                  <w:w w:val="97"/>
                </w:rPr>
                <w:t>PART II – OTHER INFORMATION</w:t>
              </w:r>
            </w:hyperlink>
          </w:p>
        </w:tc>
        <w:tc>
          <w:tcPr>
            <w:tcW w:w="804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56</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80" w:type="dxa"/>
            <w:vAlign w:val="bottom"/>
            <w:gridSpan w:val="5"/>
          </w:tcPr>
          <w:p>
            <w:pPr>
              <w:spacing w:after="0"/>
              <w:rPr>
                <w:rFonts w:ascii="Times New Roman" w:cs="Times New Roman" w:eastAsia="Times New Roman" w:hAnsi="Times New Roman"/>
                <w:sz w:val="18"/>
                <w:szCs w:val="18"/>
                <w:color w:val="0000FF"/>
                <w:w w:val="98"/>
              </w:rPr>
            </w:pPr>
            <w:hyperlink w:anchor="page56">
              <w:r>
                <w:rPr>
                  <w:rFonts w:ascii="Times New Roman" w:cs="Times New Roman" w:eastAsia="Times New Roman" w:hAnsi="Times New Roman"/>
                  <w:sz w:val="18"/>
                  <w:szCs w:val="18"/>
                  <w:color w:val="0000FF"/>
                  <w:w w:val="98"/>
                </w:rPr>
                <w:t>Item 1. Legal Proceedings</w:t>
              </w:r>
            </w:hyperlink>
          </w:p>
        </w:tc>
        <w:tc>
          <w:tcPr>
            <w:tcW w:w="640" w:type="dxa"/>
            <w:vAlign w:val="bottom"/>
            <w:gridSpan w:val="2"/>
          </w:tcPr>
          <w:p>
            <w:pPr>
              <w:spacing w:after="0"/>
              <w:rPr>
                <w:sz w:val="24"/>
                <w:szCs w:val="24"/>
                <w:color w:val="auto"/>
              </w:rPr>
            </w:pPr>
          </w:p>
        </w:tc>
        <w:tc>
          <w:tcPr>
            <w:tcW w:w="804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Times New Roman" w:cs="Times New Roman" w:eastAsia="Times New Roman" w:hAnsi="Times New Roman"/>
                <w:sz w:val="18"/>
                <w:szCs w:val="18"/>
                <w:color w:val="0000FF"/>
                <w:w w:val="98"/>
              </w:rPr>
            </w:pPr>
            <w:hyperlink w:anchor="page56">
              <w:r>
                <w:rPr>
                  <w:rFonts w:ascii="Times New Roman" w:cs="Times New Roman" w:eastAsia="Times New Roman" w:hAnsi="Times New Roman"/>
                  <w:sz w:val="18"/>
                  <w:szCs w:val="18"/>
                  <w:color w:val="0000FF"/>
                  <w:w w:val="98"/>
                </w:rPr>
                <w:t>Item 1A. Risk Factors</w:t>
              </w:r>
            </w:hyperlink>
          </w:p>
        </w:tc>
        <w:tc>
          <w:tcPr>
            <w:tcW w:w="300" w:type="dxa"/>
            <w:vAlign w:val="bottom"/>
          </w:tcPr>
          <w:p>
            <w:pPr>
              <w:spacing w:after="0"/>
              <w:rPr>
                <w:sz w:val="24"/>
                <w:szCs w:val="24"/>
                <w:color w:val="auto"/>
              </w:rPr>
            </w:pPr>
          </w:p>
        </w:tc>
        <w:tc>
          <w:tcPr>
            <w:tcW w:w="868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Times New Roman" w:cs="Times New Roman" w:eastAsia="Times New Roman" w:hAnsi="Times New Roman"/>
                <w:sz w:val="18"/>
                <w:szCs w:val="18"/>
                <w:color w:val="0000FF"/>
                <w:w w:val="99"/>
              </w:rPr>
            </w:pPr>
            <w:hyperlink w:anchor="page57">
              <w:r>
                <w:rPr>
                  <w:rFonts w:ascii="Times New Roman" w:cs="Times New Roman" w:eastAsia="Times New Roman" w:hAnsi="Times New Roman"/>
                  <w:sz w:val="18"/>
                  <w:szCs w:val="18"/>
                  <w:color w:val="0000FF"/>
                  <w:w w:val="99"/>
                </w:rPr>
                <w:t>Item 2. Unregistered Sales of Equity Securities and Use of Proceeds</w:t>
              </w:r>
            </w:hyperlink>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57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Item 6. Exhibits</w:t>
              </w:r>
            </w:hyperlink>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58</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Times New Roman" w:cs="Times New Roman" w:eastAsia="Times New Roman" w:hAnsi="Times New Roman"/>
                <w:sz w:val="18"/>
                <w:szCs w:val="18"/>
                <w:color w:val="0000FF"/>
                <w:w w:val="96"/>
              </w:rPr>
            </w:pPr>
            <w:hyperlink w:anchor="page59">
              <w:r>
                <w:rPr>
                  <w:rFonts w:ascii="Times New Roman" w:cs="Times New Roman" w:eastAsia="Times New Roman" w:hAnsi="Times New Roman"/>
                  <w:sz w:val="18"/>
                  <w:szCs w:val="18"/>
                  <w:color w:val="0000FF"/>
                  <w:w w:val="96"/>
                </w:rPr>
                <w:t>SIGNATURES</w:t>
              </w:r>
            </w:hyperlink>
          </w:p>
        </w:tc>
        <w:tc>
          <w:tcPr>
            <w:tcW w:w="9600" w:type="dxa"/>
            <w:vAlign w:val="bottom"/>
            <w:gridSpan w:val="1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59</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5,185</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19,634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16,705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17,262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Non-service pension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2,048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37,999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31,947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33,694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28,315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Non-service pension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3,345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20" w:type="dxa"/>
            <w:vAlign w:val="bottom"/>
          </w:tcPr>
          <w:p>
            <w:pPr>
              <w:spacing w:after="0"/>
              <w:rPr>
                <w:sz w:val="16"/>
                <w:szCs w:val="16"/>
                <w:color w:val="auto"/>
              </w:rPr>
            </w:pPr>
          </w:p>
        </w:tc>
        <w:tc>
          <w:tcPr>
            <w:tcW w:w="180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ASU 2016-01 adoption impact (Note 12)</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3,343</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3,186</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7"/>
                <w:szCs w:val="17"/>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01"/>
        </w:trPr>
        <w:tc>
          <w:tcPr>
            <w:tcW w:w="812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6,152</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14,271</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Contract assets, current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3,486</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Inventory,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10,083</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Other assets, current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35,503</w:t>
            </w:r>
          </w:p>
        </w:tc>
        <w:tc>
          <w:tcPr>
            <w:tcW w:w="0" w:type="dxa"/>
            <w:vAlign w:val="bottom"/>
          </w:tcPr>
          <w:p>
            <w:pPr>
              <w:spacing w:after="0"/>
              <w:rPr>
                <w:sz w:val="1"/>
                <w:szCs w:val="1"/>
                <w:color w:val="auto"/>
              </w:rPr>
            </w:pPr>
          </w:p>
        </w:tc>
      </w:tr>
      <w:tr>
        <w:trPr>
          <w:trHeight w:val="22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3,293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3,023</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Future income tax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1,646</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Fixed assets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24,689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24,084</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(11,787)</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Fixed assets, net</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12,292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12,297</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1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48,112</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26,424</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7,206</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138,990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134,211</w:t>
            </w:r>
          </w:p>
        </w:tc>
        <w:tc>
          <w:tcPr>
            <w:tcW w:w="0" w:type="dxa"/>
            <w:vAlign w:val="bottom"/>
          </w:tcPr>
          <w:p>
            <w:pPr>
              <w:spacing w:after="0"/>
              <w:rPr>
                <w:sz w:val="1"/>
                <w:szCs w:val="1"/>
                <w:color w:val="auto"/>
              </w:rPr>
            </w:pPr>
          </w:p>
        </w:tc>
      </w:tr>
      <w:tr>
        <w:trPr>
          <w:trHeight w:val="20"/>
        </w:trPr>
        <w:tc>
          <w:tcPr>
            <w:tcW w:w="8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Short-term borrowings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1,469</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11,109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11,080</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10,223</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5,720</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2,876</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35,422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31,368</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37,910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41,192</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3,663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4,018</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1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16,651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16,914</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93,492</w:t>
            </w:r>
          </w:p>
        </w:tc>
        <w:tc>
          <w:tcPr>
            <w:tcW w:w="0" w:type="dxa"/>
            <w:vAlign w:val="bottom"/>
          </w:tcPr>
          <w:p>
            <w:pPr>
              <w:spacing w:after="0"/>
              <w:rPr>
                <w:sz w:val="1"/>
                <w:szCs w:val="1"/>
                <w:color w:val="auto"/>
              </w:rPr>
            </w:pPr>
          </w:p>
        </w:tc>
      </w:tr>
      <w:tr>
        <w:trPr>
          <w:trHeight w:val="22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Commitments and contingent liabilities (Note 15)</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Shareowners'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22,514</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Treasury Stock</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(32,482)</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57,823</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Unearned ESOP shares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Shareowners'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40,754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38,446</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2,164</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42,977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40,610</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138,990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134,211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from operations to 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Gain on sale of Taylor Company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assets, current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 pension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Canadian government settlement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businesses (Note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Dispositions of businesses (Note 1)</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collaboration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Receipts from settlements of derivative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increase in short-term borrowings,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Common Stock issued under employee stock plans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11,068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20" w:type="dxa"/>
            <w:vAlign w:val="bottom"/>
          </w:tcPr>
          <w:p>
            <w:pPr>
              <w:spacing w:after="0"/>
              <w:rPr>
                <w:sz w:val="16"/>
                <w:szCs w:val="16"/>
                <w:color w:val="auto"/>
              </w:rPr>
            </w:pPr>
          </w:p>
        </w:tc>
        <w:tc>
          <w:tcPr>
            <w:tcW w:w="180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51"/>
        </w:trPr>
        <w:tc>
          <w:tcPr>
            <w:tcW w:w="7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51"/>
        </w:trPr>
        <w:tc>
          <w:tcPr>
            <w:tcW w:w="73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41,946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32,492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40,610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31,421</w:t>
            </w:r>
          </w:p>
        </w:tc>
        <w:tc>
          <w:tcPr>
            <w:tcW w:w="0" w:type="dxa"/>
            <w:vAlign w:val="bottom"/>
          </w:tcPr>
          <w:p>
            <w:pPr>
              <w:spacing w:after="0"/>
              <w:rPr>
                <w:sz w:val="1"/>
                <w:szCs w:val="1"/>
                <w:color w:val="auto"/>
              </w:rPr>
            </w:pPr>
          </w:p>
        </w:tc>
      </w:tr>
      <w:tr>
        <w:trPr>
          <w:trHeight w:val="228"/>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17,574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1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Redeemable noncontrolling interest fair value adjustment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17,747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17,747</w:t>
            </w:r>
          </w:p>
        </w:tc>
        <w:tc>
          <w:tcPr>
            <w:tcW w:w="0" w:type="dxa"/>
            <w:vAlign w:val="bottom"/>
          </w:tcPr>
          <w:p>
            <w:pPr>
              <w:spacing w:after="0"/>
              <w:rPr>
                <w:sz w:val="1"/>
                <w:szCs w:val="1"/>
                <w:color w:val="auto"/>
              </w:rPr>
            </w:pPr>
          </w:p>
        </w:tc>
      </w:tr>
      <w:tr>
        <w:trPr>
          <w:trHeight w:val="221"/>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1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Common Stock repurchased</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59,279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55,533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55,242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Redeemable noncontrolling interest fair value adjustment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New Revenue Standard adoption impact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ASU 2018-02 adoption impact (Note 12)</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60,548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57,027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60,548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57,027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ASU 2018-02 adoption impact (Note 12)</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221"/>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Redeemable noncontrolling interest in subsidiaries' earnings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Disposition of noncontrolling interest, net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Capital contributions</w:t>
            </w:r>
          </w:p>
        </w:tc>
        <w:tc>
          <w:tcPr>
            <w:tcW w:w="1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2,223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1,982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Equity at June 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42,977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33,346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33,346</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Shares of Common Stock issued under employee plans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18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Dividends per share of Common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0.740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0.700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8" w:right="239" w:bottom="279"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279"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ind w:firstLine="56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Condensed Consolidated Financial Statements at June 30, 2019 and for the quarters and six months ended June 30, 2019 and 2018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(2018 Annual Report) incorporated by reference in our Annual Report on </w:t>
      </w:r>
      <w:hyperlink r:id="rId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calendar year 2018 (2018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Acquisitions, Dispositions, Goodwill and Other Intangible Assets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Acquisitions. </w:t>
      </w:r>
      <w:r>
        <w:rPr>
          <w:rFonts w:ascii="Times New Roman" w:cs="Times New Roman" w:eastAsia="Times New Roman" w:hAnsi="Times New Roman"/>
          <w:sz w:val="18"/>
          <w:szCs w:val="18"/>
          <w:color w:val="auto"/>
        </w:rPr>
        <w:t>During the six months ended June 30, 2019, our investment in business acquisitions was $32 million, which consisted of small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at Otis.</w:t>
      </w:r>
    </w:p>
    <w:p>
      <w:pPr>
        <w:spacing w:after="0" w:line="5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June 9, 2019, UTC entered into a merger agreement with Raytheon Company (“Raytheon”) providing for an all-stock merger of equals transaction. The Raytheon merger agreement provides, among other things, that each share of Raytheon common stock issued and outstanding immediately prior to the closing of the Raytheon merger (except for shares held by Raytheon as treasury stock) will be converted into the right to receive 2.3348 shares of UTC common stock. Upon the closing of the Raytheon merger, Raytheon will become a wholly-owned subsidiary of UTC, and UTC will change its name to Raytheon Technologies Corporation. The Raytheon merger is expected to close in the first half of 2020 and is subject to customary closing conditions, including receipt of required regulatory approvals, the approval of both Raytheon’s and our shareowners, and the completion of UTC's previously announced separation of its Otis and Carrier businesses.</w:t>
      </w:r>
    </w:p>
    <w:p>
      <w:pPr>
        <w:spacing w:after="0" w:line="8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November 26, 2018, we completed the acquisition of Rockwell Collins (the "Rockwell Merger"), a leader in aviation and high-integrity solutions for commercial and military customers as well as leading-edge avionics, flight controls, aircraft interior and data connectivity solutions. Under the terms of the Rockwell merger agreement, each share of common stock, par value $0.01 per share, of Rockwell Collins issued and outstanding immediately prior to the effective time of the Rockwell Merger (other than shares held by Rockwell Collins, the Company, Riveter Merger Sub Corp or any of their respective wholly owned subsidiaries) was converted into the right to receive (1) $93.33 in cash, without interest, and (2) 0.37525 shares of Company common stock (together, the “Merger Consideration”), less any applicable withholding taxes, with cash paid in lieu of fractional shares. The total aggregate consideration payable in the Rockwell Merger was $15.5 billion in cash ($14.9 billion net of cash acquired) and 62.2 million shares of Company common stock. In addition, $7.8 billion of Rockwell Collins debt was outstanding at the time of the Rockwell Merger. This equated to a total enterprise value of $30.6 billion, including the $7.8 billion of Rockwell Collins' outstanding debt.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paid for Rockwell Collins outstanding common stock &amp; equity awards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15,533</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UTC common stock issued for Rockwell Collins outstanding common stock &amp; equity awards</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7,960</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23,493</w:t>
            </w:r>
          </w:p>
        </w:tc>
      </w:tr>
      <w:tr>
        <w:trPr>
          <w:trHeight w:val="27"/>
        </w:trPr>
        <w:tc>
          <w:tcPr>
            <w:tcW w:w="9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cash consideration utilized for the Rockwell Merger was partially financed through the previously disclosed issuance of $11.0 billion aggregate principal notes on August 16, 2018 for net proceeds of $10.9 billion. For the remainder of the cash consideration, we utilized repatriated cash and cash equivalents and cash flow generated from operating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Allocation of Consideration Transferred to Net Assets Acquired:</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following amounts represent the preliminary determination of the fair value of identifiable assets acquired and liabilities assumed from the Rockwell Collins acquisition. The final determination of the fair value of certain assets and liabilities will be completed up to a one year measurement period from the date of acquisition as required by the Financial Accounting Standards Board (FASB) Accounting Standards Codification (ASC) Topic 805,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As of June 30, 2019, the valuation studies necessary to determine the fair market value of the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are preliminary, including the validation of the underlying cash flows used to determine the fair value of the identified intangible assets. The size and breadth of the Rockwell Collins acquisition necessitates use of the one year measurement period to adequately analyze all the factors used in establishing the asset and liability fair values as of the acquisition date, including, but not limited to, intangible assets, inventory, real property, leases, deferred tax liabilities related to the unremitted earnings of</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foreign subsidiaries, certain reserves and the related tax impacts of any adjustments. Any potential adjustments could be material in relation to the preliminary values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5"/>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 current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current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assets,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8,220</w:t>
            </w:r>
          </w:p>
        </w:tc>
      </w:tr>
      <w:tr>
        <w:trPr>
          <w:trHeight w:val="243"/>
        </w:trPr>
        <w:tc>
          <w:tcPr>
            <w:tcW w:w="9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Tradenames/trademarks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1,870</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Developed technology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16,978</w:t>
            </w:r>
          </w:p>
        </w:tc>
      </w:tr>
      <w:tr>
        <w:trPr>
          <w:trHeight w:val="324"/>
        </w:trPr>
        <w:tc>
          <w:tcPr>
            <w:tcW w:w="9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1,618</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5,530</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Future pension and postretirement benefit obligation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3,481</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9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14,207</w:t>
            </w:r>
          </w:p>
        </w:tc>
      </w:tr>
      <w:tr>
        <w:trPr>
          <w:trHeight w:val="237"/>
        </w:trPr>
        <w:tc>
          <w:tcPr>
            <w:tcW w:w="9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20,722</w:t>
            </w:r>
          </w:p>
        </w:tc>
      </w:tr>
      <w:tr>
        <w:trPr>
          <w:trHeight w:val="257"/>
        </w:trPr>
        <w:tc>
          <w:tcPr>
            <w:tcW w:w="9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23,493</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order to allocate the consideration transferred for Rockwell Collins, the fair values of all identifiable assets and liabilities were established. For accounting and financial reporting purposes, fair value is defined under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 Fair value adjustments to Rockwell Collins' identified assets and liabilities resulted in an increase in inventory and fixed assets of $282 million and $269 million, respectively. In determining the fair value of identifiable assets acquired and liabilities assumed, a review was conducted for any significant contingent assets or liabilities existing as of the acquisition date. The preliminary assessment did not note any significant contingencies related to existing legal or government action.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 fair values of the customer relationship and related program intangible assets, which include the related aerospace program original equipment (OEM) and aftermarket cash flows, were determined by using an “income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Our estimates of market participant net cash flows considered historical and projected pricing, remaining developmental effort, operational performance, including company specific synergies, aftermarket retention, product life cycles, material and labor pricing, and other relevant customer, contractual and market factors. Where appropriate, the net cash flows are probability-adjusted to reflect the uncertainties associated with the underlying assumptions as well as the risk profile of the net cash flows utilized in the valuation. The probability-adjusted future cash flows are then discounted to present value using an appropriate discount rate. The customer relationship and related program intangible assets are being amortized on a straight-line basis (which approximates the economic pattern of benefits) over the estimated economic life of the underlying programs of 10 to 20 years. The developed technology intangible asset is being amortized over the economic pattern of benefit.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The tradename intangible assets have been determined to have an indefinite life. The intangible assets included above consist of the following:</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Pr>
          <w:p>
            <w:pPr>
              <w:spacing w:after="0"/>
              <w:rPr>
                <w:sz w:val="13"/>
                <w:szCs w:val="13"/>
                <w:color w:val="auto"/>
              </w:rPr>
            </w:pP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99"/>
              </w:rPr>
              <w:t>10-20 years</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tradenames/trademarks</w:t>
            </w: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Pr>
          <w:p>
            <w:pPr>
              <w:spacing w:after="0"/>
              <w:rPr>
                <w:sz w:val="21"/>
                <w:szCs w:val="21"/>
                <w:color w:val="auto"/>
              </w:rPr>
            </w:pPr>
          </w:p>
        </w:tc>
        <w:tc>
          <w:tcPr>
            <w:tcW w:w="158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37"/>
        </w:trPr>
        <w:tc>
          <w:tcPr>
            <w:tcW w:w="80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10,690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We also identified customer contractual obligations on certain contracts with economic returns that are lower than could be realized in market transactions as of the acquisition date. We measured these liabilities under the measurement provisions of FASB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Disclosures,” </w:t>
      </w:r>
      <w:r>
        <w:rPr>
          <w:rFonts w:ascii="Times New Roman" w:cs="Times New Roman" w:eastAsia="Times New Roman" w:hAnsi="Times New Roman"/>
          <w:sz w:val="18"/>
          <w:szCs w:val="18"/>
          <w:color w:val="auto"/>
        </w:rPr>
        <w:t>which is based on the price to transfer the obligation to a market participant at the measurement date, assuming that the liability will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in the marketplace. Based on the estimated net cash outflows of the programs plus a reasonable contracting profit margin required to transfer the contracts to market participants, we recorded assumed liabilities of approximately $1,020 million. These liabilities will be liquidated in accordance with the underlying pattern of obligations, as reflected by the expenses incurred on the contracts. Total consumption of the contractual obligation for the next five years is expected to be as follows: $77 million in 2019, $129 million in 2020, $131 million in 2021, $132 million in 2022, and $119 million in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Acquisition-Related Costs:</w:t>
      </w:r>
    </w:p>
    <w:p>
      <w:pPr>
        <w:spacing w:after="0" w:line="12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Acquisition-related costs have been expensed as incurred. In the six months ended June 30, 2019 and 2018, approximately $10 million and $50 million, respectively, of transaction and integration costs have been incurred. These costs were recorded in Selling, general and administrative expenses within the Condensed Consolidated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Pro-Forma Data:</w:t>
      </w:r>
    </w:p>
    <w:p>
      <w:pPr>
        <w:spacing w:after="0" w:line="1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Rockwell Collins' results of operations have been included in UTC’s financial statements for the period subsequent to the completion of the acquisition on November 26, 2018. Rockwell Collins contributed sales of approximately $4.6 billion and operating profit of approximately $665 million for the six months ended June 30, 2019. The following unaudited supplemental pro-forma data presents consolidated information as if the acquisition had been completed on January 1, 2017. The pro-forma results were calculated by combining the results of UTC with the stand-alone results of Rockwell Collins for the pre-acquisition periods, which were adjusted to account for certain costs that would have been incurred during this pre-acquisition period:</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5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18,810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37,994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36,131</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2,266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3,742</w:t>
            </w:r>
          </w:p>
        </w:tc>
      </w:tr>
      <w:tr>
        <w:trPr>
          <w:trHeight w:val="27"/>
        </w:trPr>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of common stock</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of common stock</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4.34</w:t>
            </w:r>
          </w:p>
        </w:tc>
      </w:tr>
      <w:tr>
        <w:trPr>
          <w:trHeight w:val="486"/>
        </w:trPr>
        <w:tc>
          <w:tcPr>
            <w:tcW w:w="55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unaudited supplemental pro-forma data above includes the following significant adjustments made to account for certain costs which would have been incurred if the acquisition had been completed on January 1, 2017, as adjusted for the applicable tax impact.</w:t>
      </w: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26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3"/>
                <w:szCs w:val="23"/>
                <w:color w:val="auto"/>
              </w:rPr>
            </w:pPr>
          </w:p>
        </w:tc>
      </w:tr>
      <w:tr>
        <w:trPr>
          <w:trHeight w:val="269"/>
        </w:trPr>
        <w:tc>
          <w:tcPr>
            <w:tcW w:w="554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 xml:space="preserve">Amortization of inventory and fixed asset fair value adjustment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acquired Rockwell Collins intangible assets, net </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Utilization of contractual customer obligation </w:t>
            </w:r>
            <w:r>
              <w:rPr>
                <w:rFonts w:ascii="Times New Roman" w:cs="Times New Roman" w:eastAsia="Times New Roman" w:hAnsi="Times New Roman"/>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UTC/Rockwell Collins fees for advisory, legal, accounting services </w:t>
            </w:r>
            <w:r>
              <w:rPr>
                <w:rFonts w:ascii="Times New Roman" w:cs="Times New Roman" w:eastAsia="Times New Roman" w:hAnsi="Times New Roman"/>
                <w:sz w:val="25"/>
                <w:szCs w:val="25"/>
                <w:color w:val="auto"/>
                <w:vertAlign w:val="superscript"/>
              </w:rPr>
              <w:t>4</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Interest expense incurred on acquisition financing, net </w:t>
            </w:r>
            <w:r>
              <w:rPr>
                <w:rFonts w:ascii="Times New Roman" w:cs="Times New Roman" w:eastAsia="Times New Roman" w:hAnsi="Times New Roman"/>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9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Elimination of capitalized pre-production engineering amortization </w:t>
            </w:r>
            <w:r>
              <w:rPr>
                <w:rFonts w:ascii="Times New Roman" w:cs="Times New Roman" w:eastAsia="Times New Roman" w:hAnsi="Times New Roman"/>
                <w:sz w:val="25"/>
                <w:szCs w:val="25"/>
                <w:color w:val="auto"/>
                <w:vertAlign w:val="superscript"/>
              </w:rPr>
              <w:t>6</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Adjustment to net periodic pension cost </w:t>
            </w:r>
            <w:r>
              <w:rPr>
                <w:rFonts w:ascii="Times New Roman" w:cs="Times New Roman" w:eastAsia="Times New Roman" w:hAnsi="Times New Roman"/>
                <w:sz w:val="25"/>
                <w:szCs w:val="25"/>
                <w:color w:val="auto"/>
                <w:vertAlign w:val="superscript"/>
              </w:rPr>
              <w:t>7</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Adjustment to reflect the adoption of ASC 606 </w:t>
            </w:r>
            <w:r>
              <w:rPr>
                <w:rFonts w:ascii="Times New Roman" w:cs="Times New Roman" w:eastAsia="Times New Roman" w:hAnsi="Times New Roman"/>
                <w:sz w:val="25"/>
                <w:szCs w:val="25"/>
                <w:color w:val="auto"/>
                <w:vertAlign w:val="superscript"/>
              </w:rPr>
              <w:t>8</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3"/>
                <w:szCs w:val="23"/>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Elimination of entities held for sale </w:t>
            </w:r>
            <w:r>
              <w:rPr>
                <w:rFonts w:ascii="Times New Roman" w:cs="Times New Roman" w:eastAsia="Times New Roman" w:hAnsi="Times New Roman"/>
                <w:sz w:val="25"/>
                <w:szCs w:val="25"/>
                <w:color w:val="auto"/>
                <w:vertAlign w:val="superscript"/>
              </w:rPr>
              <w:t>9</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55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12" w:lineRule="exact"/>
        <w:rPr>
          <w:sz w:val="20"/>
          <w:szCs w:val="20"/>
          <w:color w:val="auto"/>
        </w:rPr>
      </w:pPr>
    </w:p>
    <w:p>
      <w:pPr>
        <w:ind w:left="340" w:right="100" w:hanging="332"/>
        <w:spacing w:after="0" w:line="28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the inventory step-up amortization recorded by UTC in 2019 as this would have been completed within the first two quarters of 2017. Additionally, this adjustment reflects the amortization of the fixed asset fair value adjustment as of the acquisition date.</w:t>
      </w:r>
    </w:p>
    <w:p>
      <w:pPr>
        <w:spacing w:after="0" w:line="1" w:lineRule="exact"/>
        <w:rPr>
          <w:sz w:val="20"/>
          <w:szCs w:val="20"/>
          <w:color w:val="auto"/>
        </w:rPr>
      </w:pPr>
    </w:p>
    <w:p>
      <w:pPr>
        <w:ind w:left="340" w:hanging="332"/>
        <w:spacing w:after="0" w:line="281"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additional amortization of the acquired Rockwell Collins' intangible assets recognized at fair value in purchase accounting and eliminates the historical Rockwell Collins intangible asset amortization expense.</w:t>
      </w:r>
    </w:p>
    <w:p>
      <w:pPr>
        <w:spacing w:after="0" w:line="1" w:lineRule="exact"/>
        <w:rPr>
          <w:sz w:val="20"/>
          <w:szCs w:val="20"/>
          <w:color w:val="auto"/>
        </w:rPr>
      </w:pPr>
    </w:p>
    <w:p>
      <w:pPr>
        <w:ind w:left="340" w:right="520" w:hanging="332"/>
        <w:spacing w:after="0" w:line="281"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additional amortization of liabilities recognized for acquired contracts with terms less favorable than could be realized in market transactions as of the acquisition date and eliminates Rockwell Collins historical amortization of these liabilities.</w:t>
      </w:r>
    </w:p>
    <w:p>
      <w:pPr>
        <w:spacing w:after="0" w:line="1" w:lineRule="exact"/>
        <w:rPr>
          <w:sz w:val="20"/>
          <w:szCs w:val="20"/>
          <w:color w:val="auto"/>
        </w:rPr>
      </w:pPr>
    </w:p>
    <w:p>
      <w:pPr>
        <w:ind w:left="340" w:right="140" w:hanging="332"/>
        <w:spacing w:after="0" w:line="281"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transaction-related fees incurred by UTC and Rockwell Collins in connection with the acquisition and assumes all of the fees were incurred during the first quarter of 2017.</w:t>
      </w:r>
    </w:p>
    <w:p>
      <w:pPr>
        <w:spacing w:after="0" w:line="1" w:lineRule="exact"/>
        <w:rPr>
          <w:sz w:val="20"/>
          <w:szCs w:val="20"/>
          <w:color w:val="auto"/>
        </w:rPr>
      </w:pPr>
    </w:p>
    <w:p>
      <w:pPr>
        <w:ind w:left="340" w:right="100" w:hanging="332"/>
        <w:spacing w:after="0" w:line="28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additional interest expense incurred on debt to finance our acquisition of Rockwell Collins and reduces interest expense for the debt fair value adjustment which would have been amortized.</w:t>
      </w:r>
    </w:p>
    <w:p>
      <w:pPr>
        <w:spacing w:after="0" w:line="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Rockwell Collins capitalized pre-production engineering amortization to conform to UTC policy.</w:t>
      </w:r>
    </w:p>
    <w:p>
      <w:pPr>
        <w:spacing w:after="0" w:line="55" w:lineRule="exact"/>
        <w:rPr>
          <w:sz w:val="20"/>
          <w:szCs w:val="20"/>
          <w:color w:val="auto"/>
        </w:rPr>
      </w:pPr>
    </w:p>
    <w:p>
      <w:pPr>
        <w:ind w:left="340" w:right="480" w:hanging="332"/>
        <w:spacing w:after="0" w:line="28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adjustments for the elimination of amortization of prior service cost and actuarial loss amortization, which was recorded by Rockwell Collins, as a result of fair value purchase accounting, net of the impact of the revised pension and post-retirement benefit (expense) as determined under UTC’s plan assumptions.</w:t>
      </w:r>
    </w:p>
    <w:p>
      <w:pPr>
        <w:spacing w:after="0" w:line="1" w:lineRule="exact"/>
        <w:rPr>
          <w:sz w:val="20"/>
          <w:szCs w:val="20"/>
          <w:color w:val="auto"/>
        </w:rPr>
      </w:pPr>
    </w:p>
    <w:p>
      <w:pPr>
        <w:jc w:val="both"/>
        <w:ind w:left="340" w:right="140" w:hanging="332"/>
        <w:spacing w:after="0" w:line="26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adjustments to Rockwell Collins revenue recognition as if they adopted the New Revenue Standard as of January 1, 2018 and primarily relates to capitalization of contract costs and changes in timing of sales recognition for contracts requiring an over time method of revenue recognition, partially offset by deferral of revenue recognized on OEM product engineering and development.</w:t>
      </w:r>
    </w:p>
    <w:p>
      <w:pPr>
        <w:spacing w:after="0" w:line="1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entities required to be sold for regulatory approvals.</w:t>
      </w:r>
    </w:p>
    <w:p>
      <w:pPr>
        <w:spacing w:after="0" w:line="1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unaudited supplemental pro-forma financial information does not reflect the potential realization of cost savings related to the integration of the two companies. Further, the pro-forma data should not be considered indicative of the results that would have occurred if the acquisition and related financing had been consummated on January 1, 2017, nor are they indicative of future results.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Cash inflows related to dispositions during the six months ended June 30, 2019 were $133 million and primarily consisted of the dispositions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held for sale associated with the Rockwell Collins acquisition. In accordance with conditions imposed for regulatory approval of the acquisition, Rockwell Collins was required to dispose of certain businesses. These businesses were held separate from UTC’s and Rockwell Collins' ongoing businesses pursuant to regulatory requirements. Definitive agreements to sell each of the businesses were entered into prior to the completion of UTC's acquisition of Rockwell Collins. The related assets and liabilities of these businesses had been accounted for as held for sale at fair value less cost to sell. As of December 31, 2018, assets held for sale of $175 million were included within Other assets, current and liabilities held for sale of $40 million were included within Accrued liabilities on the Consolidated Balance Sheet. The major classes of assets and liabilities primarily include net Inventory of $51 million and net Fixed assets of $37 million. In the first quarter of 2019, Rockwell Collins completed the sale of all businesses which were held for sale as of December 31, 2018.</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On November 26, 2018, the Company announced its intention to separate into three independent companies. Following the separations, the Company will operate as an aerospace company comprised of Collins Aerospace Systems and the Pratt &amp; Whitney businesses, and Otis and Carrier will become independent companies. The proposed separations are expected to be effected through spin-offs of Otis and Carrier that are intended to be tax-free for the Company’s shareowners for U.S. federal income tax purposes, and are expected to be completed in the first half of 2020. Separation of Otis and Carrier from UTC via spin-off transactions will be subject to the satisfaction of customary conditions, including, among others, final 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 (subject to UTC’s agreement to consummate the distributions pursuant to, and subject to the terms and conditions of, the Raytheon merger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six months ended June 30, 2019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3"/>
                <w:szCs w:val="13"/>
                <w:color w:val="auto"/>
              </w:rPr>
            </w:pPr>
          </w:p>
        </w:tc>
        <w:tc>
          <w:tcPr>
            <w:tcW w:w="13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1, 2019</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Combinations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26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35,256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48,337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48,112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48,358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Goodwill increased $255 million at Collins Aerospace Systems resulting from several insignificant purchase accounting adjustments made during the six months ended June 30, 2019, the largest of which included a reduction in acquired customer relationship intangible assets of $100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8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60" w:type="dxa"/>
            <w:vAlign w:val="bottom"/>
          </w:tcPr>
          <w:p>
            <w:pPr>
              <w:spacing w:after="0"/>
              <w:rPr>
                <w:sz w:val="12"/>
                <w:szCs w:val="12"/>
                <w:color w:val="auto"/>
              </w:rPr>
            </w:pPr>
          </w:p>
        </w:tc>
        <w:tc>
          <w:tcPr>
            <w:tcW w:w="1340" w:type="dxa"/>
            <w:vAlign w:val="bottom"/>
          </w:tcPr>
          <w:p>
            <w:pPr>
              <w:jc w:val="right"/>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portfolios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22,598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22,525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29,819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29,559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33,477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addition to customer relationship intangible assets obtained through business combinations, 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is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77"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quarter and six months ended June 30, 2019 was $348 million and $722 million, respectively, compared with $232 million and $455 million for the same periods of 2018. The following is the expected amortization of intangible assets for the years 2019 through 2024, which reflects the pattern of expected economic benefit on certain aerospace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Remaining 2019</w:t>
            </w:r>
          </w:p>
        </w:tc>
        <w:tc>
          <w:tcPr>
            <w:tcW w:w="28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2"/>
        </w:trPr>
        <w:tc>
          <w:tcPr>
            <w:tcW w:w="4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1,378</w:t>
            </w:r>
          </w:p>
        </w:tc>
      </w:tr>
      <w:tr>
        <w:trPr>
          <w:trHeight w:val="27"/>
        </w:trPr>
        <w:tc>
          <w:tcPr>
            <w:tcW w:w="4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account for revenue in accordance with ASC Topic 606: </w:t>
      </w:r>
      <w:r>
        <w:rPr>
          <w:rFonts w:ascii="Times New Roman" w:cs="Times New Roman" w:eastAsia="Times New Roman" w:hAnsi="Times New Roman"/>
          <w:sz w:val="18"/>
          <w:szCs w:val="18"/>
          <w:i w:val="1"/>
          <w:iCs w:val="1"/>
          <w:color w:val="auto"/>
        </w:rPr>
        <w:t>Revenue from Contracts with Customers.</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Obligations. </w:t>
      </w:r>
      <w:r>
        <w:rPr>
          <w:rFonts w:ascii="Times New Roman" w:cs="Times New Roman" w:eastAsia="Times New Roman" w:hAnsi="Times New Roman"/>
          <w:sz w:val="18"/>
          <w:szCs w:val="18"/>
          <w:color w:val="auto"/>
        </w:rPr>
        <w:t>A performance obligation is a promise in a contract with a customer to transfer a distinct good or service to the customer. Some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contracts with customers contain a single performance obligation, while others contain multiple performance obligations most commonly when a contract spans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84"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We consider the contractual consideration payable by the customer and assess variable consideration that may affect the total transaction price, including contractual discounts, contract incentive payments, estimates of award fees, unfunded contract value under U.S. Government contracts, and other sources of variable consideration, when determining the transaction price of each contract. We include variable consideration in the estimated transaction price when there is a basis to reasonably estimate the amount. These estimates are based on historical experience, anticipated performance and our best judgment at the time. We also consider whether our contracts provide customers with significant financing. Generally, our contracts do not contain significant financing.</w:t>
      </w:r>
    </w:p>
    <w:p>
      <w:pPr>
        <w:spacing w:after="0" w:line="16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Timing of the satisfaction of performance obligations varies across our businesses due to our diverse product and service mix, customer base, and contractual terms.</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(RPO). </w:t>
      </w:r>
      <w:r>
        <w:rPr>
          <w:rFonts w:ascii="Times New Roman" w:cs="Times New Roman" w:eastAsia="Times New Roman" w:hAnsi="Times New Roman"/>
          <w:sz w:val="18"/>
          <w:szCs w:val="18"/>
          <w:color w:val="auto"/>
        </w:rPr>
        <w:t>RPO represents the aggregate amount of total contract transaction price that is unsatisfied or partially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unsatisfied. As of June 30, 2019 our total RPO was approximately $125.1 billion compared to $115.5 billion as of December 31, 2018. Of the total RPO as of June 30, 2019, we expect approximately 45% will be recognized as sales over the following 24 months.</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Capitalized Contract Costs. </w:t>
      </w:r>
      <w:r>
        <w:rPr>
          <w:rFonts w:ascii="Times New Roman" w:cs="Times New Roman" w:eastAsia="Times New Roman" w:hAnsi="Times New Roman"/>
          <w:sz w:val="18"/>
          <w:szCs w:val="18"/>
          <w:color w:val="auto"/>
        </w:rPr>
        <w:t>We incur costs for engineering and development of aerospace products directly related to existing or anticipated contracts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OEM products performance obligations are satisfied. In instances where intellectual property does not transfer to the customer, we defer the customer funding of OEM product engineering and development and recognize revenue when the performance obligations related to the OEM products are satisfied. Capitalized net contract fulfillment costs were $1,229 million and $914 million as of June 30, 2019 and December 31, 2018, respectively and are recognized in Other assets in our Condensed Consolidated Balance Sheet.</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and Liabilities. </w:t>
      </w:r>
      <w:r>
        <w:rPr>
          <w:rFonts w:ascii="Times New Roman" w:cs="Times New Roman" w:eastAsia="Times New Roman" w:hAnsi="Times New Roman"/>
          <w:sz w:val="18"/>
          <w:szCs w:val="18"/>
          <w:color w:val="auto"/>
        </w:rPr>
        <w:t>Contract assets reflect revenue recognized and performance obligations satisfied in advance of customer billing.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relate to payments received in advance of the satisfaction of performance under the contract. We receive payments from customers based on the terms established in our contracts. Total contract assets and contract liabilities as of June 30, 2019 and December 31, 2018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 current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3,486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 noncurrent (included within Other assets)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contract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4,628</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 noncurrent (included within 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r>
      <w:tr>
        <w:trPr>
          <w:trHeight w:val="237"/>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contract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Contract assets increased $921 million during the six months ended June 30, 2019 primarily due to revenue recognition in excess of customer billings, primarily on Pratt &amp; Whitney military and commercial aftermarket service agreements and various programs at Collins Aerospace Systems. Contract liabilities increased $620 million during the six months ended June 30, 2019 primarily due to customer billings in excess of revenue recognized on Pratt &amp; Whitney commercial aftermarket service agreements, at Collins Aerospace across various programs, and on Otis maintenance contracts. We recognized revenue of $3.2 billion during the six months ended June 30, 2019 related to contract liabilities as of December 31, 2018.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millions)</w:t>
            </w: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3,345</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790.5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790.2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r>
      <w:tr>
        <w:trPr>
          <w:trHeight w:val="297"/>
        </w:trPr>
        <w:tc>
          <w:tcPr>
            <w:tcW w:w="5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863.7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862.3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800.0</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earnings per share excludes the effect of the potential exercise of stock awards when the awards’ assumed proceeds exceed the average market price of the common shares during the period. For the quarter and six months ended June 30, 2019, the number of stock awards excluded from the computation was approximately 11.0 million and 13.0 million, respectively. For the quarter and six months ended June 30, 2018, the number of stock awards excluded from the computation was approximately 5.1 million.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Inventory,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7"/>
                <w:szCs w:val="17"/>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3,052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2,673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4,358</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10,083</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Raw materials, work-in-process and finished goods are net of valuation reserves of $1,405 million and $1,270 million as of June 30, 2019 and December 31, 2018,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 and Lines of Credit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7"/>
                <w:szCs w:val="17"/>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borrowings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1,469</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At June 30, 2019, we had credit agreements with various banks permitting aggregate borrowings of up to $10.35 billion, including: a $2.20 billion revolving credit agreement and a $2.15 billion multicurrency revolving credit agreement, both of which expire in August 2021; and a $2.0 billion revolving credit agreement and a $4.0 billion term credit agreement, both of which we entered into on March 15, 2019 and which will expire on March 15, 2021 or, if earlier, the date that is 180 days after the date on which each of the separations of Otis and Carrier have been consummated. On March 15, 2019, we terminated the $1.5 billion revolving credit agreement that we entered into on November 26, 2018. As of June 30, 2019, there were no borrowings under any of these agreements. The undrawn portions of these revolving credit agreements are also available to serve as backup facilities for the issuance of commercial paper. As of June 30, 2019, our maximum commercial paper borrowing limit was $6.35 billion. Commercial paper borrowings at June 30, 2019 include approximately €750 million ($855 million) of euro-denominated commercial paper. We use our commercial paper borrowings for general corporate purposes, including the funding of potential acquisitions,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7"/>
                <w:szCs w:val="17"/>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9"/>
        </w:trPr>
        <w:tc>
          <w:tcPr>
            <w:tcW w:w="812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LIBOR plus 0.350% floating rate notes due 2019 </w:t>
            </w:r>
            <w:r>
              <w:rPr>
                <w:rFonts w:ascii="Times New Roman" w:cs="Times New Roman" w:eastAsia="Times New Roman" w:hAnsi="Times New Roman"/>
                <w:sz w:val="25"/>
                <w:szCs w:val="25"/>
                <w:color w:val="auto"/>
                <w:vertAlign w:val="superscript"/>
              </w:rPr>
              <w:t>3</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1.500% notes due 2019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1.950% notes due 2019 </w:t>
            </w:r>
            <w:r>
              <w:rPr>
                <w:rFonts w:ascii="Times New Roman" w:cs="Times New Roman" w:eastAsia="Times New Roman" w:hAnsi="Times New Roman"/>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EURIBOR plus 0.15% floating rate notes due 2019 (€750 million principal value) </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5.250% notes due 2019 </w:t>
            </w:r>
            <w:r>
              <w:rPr>
                <w:rFonts w:ascii="Times New Roman" w:cs="Times New Roman" w:eastAsia="Times New Roman" w:hAnsi="Times New Roman"/>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8.875% notes due 2019</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4.875% notes due 2020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4.500% notes due 2020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1.900% notes due 2020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EURIBOR plus 0.20% floating rate notes due 2020 (€750 million principal value) </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8.750% notes due 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3.100% notes due 2021 </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3.350% notes due 2021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LIBOR plus 0.650% floating rate notes due 2021 </w:t>
            </w:r>
            <w:r>
              <w:rPr>
                <w:rFonts w:ascii="Times New Roman" w:cs="Times New Roman" w:eastAsia="Times New Roman" w:hAnsi="Times New Roman"/>
                <w:sz w:val="25"/>
                <w:szCs w:val="25"/>
                <w:color w:val="auto"/>
                <w:vertAlign w:val="superscript"/>
              </w:rPr>
              <w:t>1,3</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1.950% notes due 2021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1.125% notes due 2021 (€950 million principal value)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1,088</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2.300% notes due 2022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2.800% notes due 2022 </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3.100% notes due 2022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1.250% notes due 2023 (€750 million principal value)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3.700% notes due 2023 </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2.800% notes due 2024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3.200% notes due 2024 </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1.150% notes due 2024 (€750 million principal value)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r>
      <w:tr>
        <w:trPr>
          <w:trHeight w:val="34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4"/>
                <w:szCs w:val="24"/>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1.875% notes due 2026 (€500 million principal value)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7.100% notes due 2027</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6.700% notes due 2028</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2.150% notes due 2030 (€500 million principal value)</w:t>
            </w:r>
          </w:p>
        </w:tc>
        <w:tc>
          <w:tcPr>
            <w:tcW w:w="4140" w:type="dxa"/>
            <w:vAlign w:val="bottom"/>
            <w:shd w:val="clear" w:color="auto" w:fill="CCEEFF"/>
          </w:tcPr>
          <w:p>
            <w:pPr>
              <w:jc w:val="right"/>
              <w:ind w:right="4027"/>
              <w:spacing w:after="0"/>
              <w:rPr>
                <w:sz w:val="20"/>
                <w:szCs w:val="20"/>
                <w:color w:val="auto"/>
              </w:rPr>
            </w:pPr>
            <w:r>
              <w:rPr>
                <w:rFonts w:ascii="Times New Roman" w:cs="Times New Roman" w:eastAsia="Times New Roman" w:hAnsi="Times New Roman"/>
                <w:sz w:val="11"/>
                <w:szCs w:val="11"/>
                <w:color w:val="auto"/>
                <w:w w:val="71"/>
                <w:shd w:val="clear" w:color="auto" w:fill="CCEEFF"/>
              </w:rPr>
              <w:t>1</w:t>
            </w:r>
          </w:p>
        </w:tc>
        <w:tc>
          <w:tcPr>
            <w:tcW w:w="5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3940" w:type="dxa"/>
            <w:vAlign w:val="bottom"/>
            <w:tcBorders>
              <w:bottom w:val="single" w:sz="8" w:color="CCEEFF"/>
            </w:tcBorders>
            <w:vMerge w:val="continue"/>
            <w:shd w:val="clear" w:color="auto" w:fill="CCEEFF"/>
          </w:tcPr>
          <w:p>
            <w:pPr>
              <w:spacing w:after="0"/>
              <w:rPr>
                <w:sz w:val="6"/>
                <w:szCs w:val="6"/>
                <w:color w:val="auto"/>
              </w:rPr>
            </w:pPr>
          </w:p>
        </w:tc>
        <w:tc>
          <w:tcPr>
            <w:tcW w:w="414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7.000% notes due 2038</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Project financing obligations </w:t>
            </w:r>
            <w:r>
              <w:rPr>
                <w:rFonts w:ascii="Times New Roman" w:cs="Times New Roman" w:eastAsia="Times New Roman" w:hAnsi="Times New Roman"/>
                <w:sz w:val="25"/>
                <w:szCs w:val="25"/>
                <w:color w:val="auto"/>
                <w:vertAlign w:val="superscript"/>
              </w:rPr>
              <w:t>5</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44,446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(fair market value adjustments, discounts and debt issuance costs)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44,112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5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37,910</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at our option pursuant to their terms.</w:t>
      </w:r>
    </w:p>
    <w:p>
      <w:pPr>
        <w:spacing w:after="0" w:line="55" w:lineRule="exact"/>
        <w:rPr>
          <w:sz w:val="20"/>
          <w:szCs w:val="20"/>
          <w:color w:val="auto"/>
        </w:rPr>
      </w:pPr>
    </w:p>
    <w:p>
      <w:pPr>
        <w:ind w:left="340" w:right="520" w:hanging="332"/>
        <w:spacing w:after="0" w:line="281"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three-month EURIBOR rate as of June 30, 2019 was approximately -0.345%. The notes may be redeemed at our option in whole, but not in part, at any time in the event of certain developments affecting U.S. taxation.</w:t>
      </w:r>
    </w:p>
    <w:p>
      <w:pPr>
        <w:spacing w:after="0" w:line="1"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three-month LIBOR rate as of June 30, 2019 was approximately 2.319%.</w:t>
      </w:r>
    </w:p>
    <w:p>
      <w:pPr>
        <w:spacing w:after="0" w:line="5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Rockwell Collins debt which remained outstanding following the Rockwell Merger.</w:t>
      </w:r>
    </w:p>
    <w:p>
      <w:pPr>
        <w:spacing w:after="0" w:line="5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financing obligations are associated with the sale of rights to unbilled revenues related to the ongoing activity of an entity owned by Carrier.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had no debt issuances during the six months ended June 30, 2019 and had the following issuances of debt in 2018:</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and Euro in millions)</w:t>
            </w: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691"/>
        </w:trPr>
        <w:tc>
          <w:tcPr>
            <w:tcW w:w="40" w:type="dxa"/>
            <w:vAlign w:val="bottom"/>
            <w:tcBorders>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3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269"/>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16, 2018:</w:t>
            </w:r>
          </w:p>
        </w:tc>
        <w:tc>
          <w:tcPr>
            <w:tcW w:w="5460" w:type="dxa"/>
            <w:vAlign w:val="bottom"/>
            <w:shd w:val="clear" w:color="auto" w:fill="CCEEFF"/>
          </w:tcPr>
          <w:p>
            <w:pPr>
              <w:ind w:left="360"/>
              <w:spacing w:after="0" w:line="269" w:lineRule="exact"/>
              <w:rPr>
                <w:sz w:val="20"/>
                <w:szCs w:val="20"/>
                <w:color w:val="auto"/>
              </w:rPr>
            </w:pPr>
            <w:r>
              <w:rPr>
                <w:rFonts w:ascii="Times New Roman" w:cs="Times New Roman" w:eastAsia="Times New Roman" w:hAnsi="Times New Roman"/>
                <w:sz w:val="18"/>
                <w:szCs w:val="18"/>
                <w:color w:val="auto"/>
              </w:rPr>
              <w:t>3.350% notes due 2021</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3.650% notes due 2023</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3.950% notes due 2025</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4.125% notes due 2028</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4.450% notes due 2038</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4.625% notes due 2048</w:t>
            </w:r>
            <w:r>
              <w:rPr>
                <w:rFonts w:ascii="Times New Roman" w:cs="Times New Roman" w:eastAsia="Times New Roman" w:hAnsi="Times New Roman"/>
                <w:sz w:val="25"/>
                <w:szCs w:val="25"/>
                <w:color w:val="auto"/>
                <w:vertAlign w:val="superscript"/>
              </w:rPr>
              <w:t>2</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LIBOR plus 0.65% floating rate notes due 2021</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162"/>
        </w:trPr>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18, 2018:</w:t>
            </w: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1.150% notes due 2024</w:t>
            </w:r>
            <w:r>
              <w:rPr>
                <w:rFonts w:ascii="Times New Roman" w:cs="Times New Roman" w:eastAsia="Times New Roman" w:hAnsi="Times New Roman"/>
                <w:sz w:val="25"/>
                <w:szCs w:val="25"/>
                <w:color w:val="auto"/>
                <w:vertAlign w:val="superscript"/>
              </w:rPr>
              <w:t>3</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2.150% notes due 2030</w:t>
            </w:r>
            <w:r>
              <w:rPr>
                <w:rFonts w:ascii="Times New Roman" w:cs="Times New Roman" w:eastAsia="Times New Roman" w:hAnsi="Times New Roman"/>
                <w:sz w:val="25"/>
                <w:szCs w:val="25"/>
                <w:color w:val="auto"/>
                <w:vertAlign w:val="superscript"/>
              </w:rPr>
              <w:t>3</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EURIBOR plus 0.20% floating rate notes due 2020</w:t>
            </w:r>
            <w:r>
              <w:rPr>
                <w:rFonts w:ascii="Times New Roman" w:cs="Times New Roman" w:eastAsia="Times New Roman" w:hAnsi="Times New Roman"/>
                <w:sz w:val="25"/>
                <w:szCs w:val="25"/>
                <w:color w:val="auto"/>
                <w:vertAlign w:val="superscript"/>
              </w:rPr>
              <w:t>3</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bl>
    <w:p>
      <w:pPr>
        <w:spacing w:after="0" w:line="85" w:lineRule="exact"/>
        <w:rPr>
          <w:sz w:val="20"/>
          <w:szCs w:val="20"/>
          <w:color w:val="auto"/>
        </w:rPr>
      </w:pPr>
    </w:p>
    <w:p>
      <w:pPr>
        <w:ind w:left="340" w:right="400" w:hanging="332"/>
        <w:spacing w:after="0" w:line="28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received from these debt issuances were used to partially finance the cash consideration portion of the purchase price for Rockwell Collins and fees, expenses and other amounts related to the acquisition of Rockwell Collins.</w:t>
      </w:r>
    </w:p>
    <w:p>
      <w:pPr>
        <w:spacing w:after="0" w:line="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these debt issuances were used to fund the repayment of commercial paper and for other general corporate purposes.</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The net proceeds received from these debt issuances were used for general corporate purposes.</w:t>
      </w:r>
    </w:p>
    <w:p>
      <w:pPr>
        <w:spacing w:after="0" w:line="3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had no debt payments during the six months ended June 30, 2019 and had the following repayments of debt in 2018:</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and Euro in millions)</w:t>
            </w: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75"/>
        </w:trPr>
        <w:tc>
          <w:tcPr>
            <w:tcW w:w="40" w:type="dxa"/>
            <w:vAlign w:val="bottom"/>
            <w:tcBorders>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3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269"/>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14, 2018</w:t>
            </w:r>
          </w:p>
        </w:tc>
        <w:tc>
          <w:tcPr>
            <w:tcW w:w="5880" w:type="dxa"/>
            <w:vAlign w:val="bottom"/>
            <w:shd w:val="clear" w:color="auto" w:fill="CCEEFF"/>
          </w:tcPr>
          <w:p>
            <w:pPr>
              <w:ind w:left="360"/>
              <w:spacing w:after="0" w:line="269" w:lineRule="exact"/>
              <w:rPr>
                <w:sz w:val="20"/>
                <w:szCs w:val="20"/>
                <w:color w:val="auto"/>
              </w:rPr>
            </w:pPr>
            <w:r>
              <w:rPr>
                <w:rFonts w:ascii="Times New Roman" w:cs="Times New Roman" w:eastAsia="Times New Roman" w:hAnsi="Times New Roman"/>
                <w:sz w:val="18"/>
                <w:szCs w:val="18"/>
                <w:color w:val="auto"/>
              </w:rPr>
              <w:t>Variable-rate term loan due 2020 (1 month LIBOR plus 1.25%)</w:t>
            </w:r>
            <w:r>
              <w:rPr>
                <w:rFonts w:ascii="Times New Roman" w:cs="Times New Roman" w:eastAsia="Times New Roman" w:hAnsi="Times New Roman"/>
                <w:sz w:val="25"/>
                <w:szCs w:val="25"/>
                <w:color w:val="auto"/>
                <w:vertAlign w:val="superscript"/>
              </w:rPr>
              <w:t>1</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May 4, 2018</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1.778% junior subordinated notes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22, 2018</w:t>
            </w:r>
          </w:p>
        </w:tc>
        <w:tc>
          <w:tcPr>
            <w:tcW w:w="5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EURIBOR plus 0.80% floating rate notes</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February 1, 2018</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6.80% notes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w:t>
            </w:r>
          </w:p>
        </w:tc>
      </w:tr>
    </w:tbl>
    <w:p>
      <w:pPr>
        <w:spacing w:after="0" w:line="11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term loan was assumed in connection with the Rockwell Collins acquisition and subsequently repaid.</w:t>
      </w:r>
    </w:p>
    <w:p>
      <w:pPr>
        <w:spacing w:after="0" w:line="38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average maturity of our long-term debt at June 30, 2019 is approximately 10 years. The average interest expense rate on our total borrowings for the quarters and six months ended June 30, 2019 and 2018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6380" w:type="dxa"/>
            <w:vAlign w:val="bottom"/>
            <w:gridSpan w:val="2"/>
            <w:shd w:val="clear" w:color="auto" w:fill="CCEEFF"/>
          </w:tcPr>
          <w:p>
            <w:pPr>
              <w:jc w:val="right"/>
              <w:ind w:right="4168"/>
              <w:spacing w:after="0"/>
              <w:rPr>
                <w:sz w:val="20"/>
                <w:szCs w:val="20"/>
                <w:color w:val="auto"/>
              </w:rPr>
            </w:pPr>
            <w:r>
              <w:rPr>
                <w:rFonts w:ascii="Times New Roman" w:cs="Times New Roman" w:eastAsia="Times New Roman" w:hAnsi="Times New Roman"/>
                <w:sz w:val="18"/>
                <w:szCs w:val="18"/>
                <w:color w:val="auto"/>
                <w:w w:val="99"/>
              </w:rPr>
              <w:t>Average interest expense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5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previously had a universal shelf registration statement filed with the SEC, which expired on April 29, 2019. Our ability to renew our shelf registration statement may be limited as a result of the separation transactions as well as our proposed merger with Raytheon; as noted above, we entered into a new $2.0 billion revolving credit agreement and a $4.0 billion term credit agreement on March 15, 2019 to be used for general corporate purposes, including the repayment, repurchase or redemption of existing debt, and to serve as backup facilities to support additional issuances of commercial paper. We expect to renew our shelf registration statement following the separation transactions or earlier, as appropriate.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decrease in the effective tax rate for the quarter ended June 30, 2019 is primarily the result of favorable adjustments related to the conclusion of the audit by the Examination Division of the Internal Revenue Service for the UTC 2014, 2015 and 2016 tax years and the filing by a subsidiary of the Company to participate in an amnesty program offered by the Italian Tax Authority. These benefits were partially offset by tax charges connected to the Company’s portfolio separation transactions.</w:t>
      </w:r>
    </w:p>
    <w:p>
      <w:pPr>
        <w:spacing w:after="0" w:line="180"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for the six months ended June 30, 2019 is principally related to the items described above in addition to the impact of the Tax Cuts and Jobs Act of 2017 (TCJA) interpretive guidance and the absence of the TCJA provisional adjustments recorded through the second quarter of 2018.</w:t>
      </w:r>
    </w:p>
    <w:p>
      <w:pPr>
        <w:spacing w:after="0" w:line="17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2008.</w:t>
      </w:r>
    </w:p>
    <w:p>
      <w:pPr>
        <w:spacing w:after="0" w:line="18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$140 million to $490 million of unrecognized tax benefits may occur within the next 12 months as a result of additional worldwide uncertain tax positions, the closure of tax statutes, or the revaluation of current uncertain tax positions arising from the issuance of legislation, regulatory or other guidance or developments in examinations, in appeals, or in the courts. See Note 15, Contingent Liabilities, for discussion regarding uncertain tax positions, included in the above range, related to pending litigation with respect to certain deductions claimed in Germany.</w:t>
      </w:r>
    </w:p>
    <w:p>
      <w:pPr>
        <w:spacing w:after="0" w:line="18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quarter the Examination Division of the Internal Revenue Service (IRS) concluded its audit of the Company’s 2014, 2015 and 2016 tax years. Further, during the quarter, a subsidiary of the Company engaged in certain tax litigation in Italy and made filings necessary to participate in an amnesty program offered by the Italian Tax Authority. As a result of the conclusion of the IRS audit and the amnesty filing in Italy, the Company recognized a net gain during the quarter of approximately $307 million, including pre-tax interest of approximately $56 million. It is reasonably possible that additional net non-cash gains could be recognized during the remainder of 2019 in the range of $25 million to $70 million, primarily tax, due to other potential settlements with tax authorities and statute of limitations expirations.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Employee Benefit Plans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pension and other postretirement benefit plans,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contribution plans. Contributions to our plans were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199</w:t>
            </w:r>
          </w:p>
        </w:tc>
      </w:tr>
    </w:tbl>
    <w:p>
      <w:pPr>
        <w:spacing w:after="0" w:line="333" w:lineRule="exact"/>
        <w:rPr>
          <w:sz w:val="20"/>
          <w:szCs w:val="20"/>
          <w:color w:val="auto"/>
        </w:rPr>
      </w:pPr>
    </w:p>
    <w:p>
      <w:pPr>
        <w:jc w:val="both"/>
        <w:ind w:right="140" w:firstLine="405"/>
        <w:spacing w:after="0" w:line="261" w:lineRule="auto"/>
        <w:rPr>
          <w:sz w:val="20"/>
          <w:szCs w:val="20"/>
          <w:color w:val="auto"/>
        </w:rPr>
      </w:pPr>
      <w:r>
        <w:rPr>
          <w:rFonts w:ascii="Times New Roman" w:cs="Times New Roman" w:eastAsia="Times New Roman" w:hAnsi="Times New Roman"/>
          <w:sz w:val="18"/>
          <w:szCs w:val="18"/>
          <w:color w:val="auto"/>
        </w:rPr>
        <w:t>We made contributions of $25 million to our domestic defined benefit pension plans in the quarter and six months ended June 30, 2019. There were no contributions to our domestic defined benefit pension plans in the quarter and six months ended June 30, 2018. Included in the current year contributions to employer sponsored defined contribution plans for the six months ended June 30, 2019 is $65 million of contributions to the Rockwell Collins participants. The following table illustrates the components of net periodic benefit (income) cost for our defined pension and other postretirement benefit plans: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644"/>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94"/>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20" w:type="dxa"/>
            <w:vAlign w:val="bottom"/>
          </w:tcPr>
          <w:p>
            <w:pPr>
              <w:spacing w:after="0"/>
              <w:rPr>
                <w:sz w:val="16"/>
                <w:szCs w:val="16"/>
                <w:color w:val="auto"/>
              </w:rPr>
            </w:pPr>
          </w:p>
        </w:tc>
        <w:tc>
          <w:tcPr>
            <w:tcW w:w="252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r>
      <w:tr>
        <w:trPr>
          <w:trHeight w:val="265"/>
        </w:trPr>
        <w:tc>
          <w:tcPr>
            <w:tcW w:w="562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settlement and curtailment loss (gain)</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periodic benefit (income)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89"/>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6"/>
                <w:szCs w:val="16"/>
                <w:color w:val="auto"/>
              </w:rPr>
            </w:pPr>
          </w:p>
        </w:tc>
        <w:tc>
          <w:tcPr>
            <w:tcW w:w="252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8"/>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settlement and curtailment loss (gain)</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periodic benefit (income)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six months ended June 30, 2019, we recorded net pre-tax restructuring costs totaling $178 million for new and ongoing restructuring 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charges in the segments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5"/>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10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10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10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Restructuring charges incurred during the six months ended June 30, 2019 primarily relate to actions initiated during 2019 and 2018, and were recorded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5"/>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100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10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2019 Actions. </w:t>
      </w:r>
      <w:r>
        <w:rPr>
          <w:rFonts w:ascii="Times New Roman" w:cs="Times New Roman" w:eastAsia="Times New Roman" w:hAnsi="Times New Roman"/>
          <w:sz w:val="18"/>
          <w:szCs w:val="18"/>
          <w:color w:val="auto"/>
        </w:rPr>
        <w:t>During the six months ended June 30, 2019, we recorded net pre-tax restructuring costs of $115 million, comprised of $43 million in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$72 million in selling, general and administrative expenses. The 2019 actions relate to ongoing cost reduction efforts, including workforce reductions and the consolidation of field and manufacturing operations.</w:t>
      </w:r>
    </w:p>
    <w:p>
      <w:pPr>
        <w:sectPr>
          <w:pgSz w:w="11900" w:h="16838" w:orient="portrait"/>
          <w:cols w:equalWidth="0" w:num="1">
            <w:col w:w="11420"/>
          </w:cols>
          <w:pgMar w:left="240" w:top="114"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4" w:right="2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420" w:firstLine="432"/>
        <w:spacing w:after="0" w:line="266" w:lineRule="auto"/>
        <w:rPr>
          <w:sz w:val="20"/>
          <w:szCs w:val="20"/>
          <w:color w:val="auto"/>
        </w:rPr>
      </w:pPr>
      <w:r>
        <w:rPr>
          <w:rFonts w:ascii="Times New Roman" w:cs="Times New Roman" w:eastAsia="Times New Roman" w:hAnsi="Times New Roman"/>
          <w:sz w:val="18"/>
          <w:szCs w:val="18"/>
          <w:color w:val="auto"/>
        </w:rPr>
        <w:t>We are targeting to complete the majority of the remaining workforce and facility related cost reduction actions during 2019 and 2020. No specific plans for other significant actions have been finalized at this time. The following table summarizes the accrual balance and utilization for the 2019 restructuring actions for the quarter and six months ended June 30,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Facility Exit, Lease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June 30, 2019</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accruals at March 31, 2019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expected, incurred and remaining costs for the 2019 restructuring actions by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6"/>
                <w:szCs w:val="16"/>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98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2018 Actions. </w:t>
      </w:r>
      <w:r>
        <w:rPr>
          <w:rFonts w:ascii="Times New Roman" w:cs="Times New Roman" w:eastAsia="Times New Roman" w:hAnsi="Times New Roman"/>
          <w:sz w:val="18"/>
          <w:szCs w:val="18"/>
          <w:color w:val="auto"/>
        </w:rPr>
        <w:t>During the six months ended June 30, 2019, we recorded net pre-tax restructuring costs totaling $39 million for restructuring actions initiated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2018, including $20 million in cost of sales and $19 million in selling, general and administrative expenses. The 2018 actions relate to ongoing cost reduction efforts, including workforce reductions, consolidation of field and manufacturing operations, and costs to exit legacy programs. The following table summarizes the accrual balances and utilization for the 2018 restructuring actions for the quarter and six months ended June 30,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Facility Exit,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June 30, 2019</w:t>
            </w:r>
          </w:p>
        </w:tc>
        <w:tc>
          <w:tcPr>
            <w:tcW w:w="26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accruals at March 31, 2019</w:t>
            </w:r>
          </w:p>
        </w:tc>
        <w:tc>
          <w:tcPr>
            <w:tcW w:w="2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2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accruals at December 31, 2018</w:t>
            </w:r>
          </w:p>
        </w:tc>
        <w:tc>
          <w:tcPr>
            <w:tcW w:w="2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2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expected, incurred and remaining costs for the 2018 restructuring actions by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Costs Incurred in</w:t>
            </w:r>
          </w:p>
        </w:tc>
        <w:tc>
          <w:tcPr>
            <w:tcW w:w="16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6"/>
                <w:szCs w:val="16"/>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100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2017 and Prior Actions. </w:t>
      </w:r>
      <w:r>
        <w:rPr>
          <w:rFonts w:ascii="Times New Roman" w:cs="Times New Roman" w:eastAsia="Times New Roman" w:hAnsi="Times New Roman"/>
          <w:sz w:val="18"/>
          <w:szCs w:val="18"/>
          <w:color w:val="auto"/>
        </w:rPr>
        <w:t>During the six months ended June 30, 2019, we recorded net pre-tax restructuring costs totaling $24 million for restructuring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in 2017 and prior. As of June 30, 2019, we have approximately $74 million of accrual balances remaining related to 2017 and prior actions.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Financial Instruments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4"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four quarter rolling average of the notional amount of foreign exchange contracts hedging foreign currency transactions was $18.2 billion and $20.1 billion at June 30, 2019 and December 31, 2018, respectively.</w:t>
      </w:r>
    </w:p>
    <w:p>
      <w:pPr>
        <w:spacing w:after="0" w:line="16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Sheets for derivative instruments as of June 30, 2019 and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7"/>
                <w:szCs w:val="17"/>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8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5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 derivatives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7"/>
        </w:trPr>
        <w:tc>
          <w:tcPr>
            <w:tcW w:w="5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Derivatives: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 derivatives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Derivatives: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5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675"/>
        </w:trPr>
        <w:tc>
          <w:tcPr>
            <w:tcW w:w="526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income and on the Condensed Consolidated Statement of Operations for the quarters and six months ended June 30, 2019 and 2018 are presented in the table below. The amounts of gain or (loss) are attributable to foreign exchange contract activity and are recorded as a component of Product sales when reclassified from accumulated other comprehensive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recorded in Accumulated other comprehensive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(gain) reclassified from Accumulated other comprehensive loss into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333"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jc w:val="both"/>
        <w:ind w:right="240" w:firstLine="432"/>
        <w:spacing w:after="0" w:line="313" w:lineRule="auto"/>
        <w:rPr>
          <w:sz w:val="20"/>
          <w:szCs w:val="20"/>
          <w:color w:val="auto"/>
        </w:rPr>
      </w:pPr>
      <w:r>
        <w:rPr>
          <w:rFonts w:ascii="Times New Roman" w:cs="Times New Roman" w:eastAsia="Times New Roman" w:hAnsi="Times New Roman"/>
          <w:sz w:val="17"/>
          <w:szCs w:val="17"/>
          <w:color w:val="auto"/>
        </w:rPr>
        <w:t>We have €4.95 billion of euro-denominated long-term debt and €750 million of euro-denominated commercial paper borrowings outstanding, which qualify as a net investment hedge against our investments in European businesses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 of June 30, 2019, the net investment hedge is deemed to be effective.</w:t>
      </w:r>
    </w:p>
    <w:p>
      <w:pPr>
        <w:spacing w:after="0" w:line="3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Assuming current market conditions continue, a $23 million pre-tax loss is expected to be reclassified from Accumulated other comprehensive loss into Product sales to reflect the fixed prices obtained from foreign exchange hedging within the next 12 months. At June 30, 2019, all derivative contracts accounted for as cash flow hedges will mature by July 2023.</w:t>
      </w:r>
    </w:p>
    <w:p>
      <w:pPr>
        <w:spacing w:after="0" w:line="68"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within Other income, net, on the Condensed Consolidated Statement of Operations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3"/>
                <w:szCs w:val="23"/>
                <w:color w:val="auto"/>
              </w:rPr>
            </w:pPr>
          </w:p>
        </w:tc>
      </w:tr>
      <w:tr>
        <w:trPr>
          <w:trHeight w:val="242"/>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56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440" w:firstLine="567"/>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June 30, 2019 and December 31,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Pr>
          <w:p>
            <w:pPr>
              <w:spacing w:after="0"/>
              <w:rPr>
                <w:sz w:val="23"/>
                <w:szCs w:val="23"/>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3"/>
                <w:szCs w:val="2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3"/>
                <w:szCs w:val="2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642"/>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Pr>
          <w:p>
            <w:pPr>
              <w:spacing w:after="0"/>
              <w:rPr>
                <w:sz w:val="23"/>
                <w:szCs w:val="23"/>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3"/>
                <w:szCs w:val="2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3"/>
                <w:szCs w:val="2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32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available-for-sale securities include equity investments that are traded in active markets, either domestically or internationally,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w:t>
      </w:r>
    </w:p>
    <w:p>
      <w:pPr>
        <w:spacing w:after="0" w:line="181" w:lineRule="exact"/>
        <w:rPr>
          <w:sz w:val="20"/>
          <w:szCs w:val="20"/>
          <w:color w:val="auto"/>
        </w:rPr>
      </w:pPr>
    </w:p>
    <w:p>
      <w:pPr>
        <w:ind w:right="120" w:firstLine="567"/>
        <w:spacing w:after="0" w:line="282" w:lineRule="auto"/>
        <w:rPr>
          <w:sz w:val="20"/>
          <w:szCs w:val="20"/>
          <w:color w:val="auto"/>
        </w:rPr>
      </w:pPr>
      <w:r>
        <w:rPr>
          <w:rFonts w:ascii="Times New Roman" w:cs="Times New Roman" w:eastAsia="Times New Roman" w:hAnsi="Times New Roman"/>
          <w:sz w:val="18"/>
          <w:szCs w:val="18"/>
          <w:color w:val="auto"/>
        </w:rPr>
        <w:t>As of June 30, 2019,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ectPr>
          <w:pgSz w:w="11900" w:h="16838" w:orient="portrait"/>
          <w:cols w:equalWidth="0" w:num="1">
            <w:col w:w="11420"/>
          </w:cols>
          <w:pgMar w:left="240" w:top="11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980"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 at June 30, 2019 and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06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valuation hierarchy classification of assets and liabilities that are not carried at fair value in our Condensed Consolidated Balance Sheet at June 30, 2019 and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723"/>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had commercial aerospace financing and other contractual commitments totaling approximately $15.9 billion and $15.5 billion as of June 30, 2019 and December 31, 2018, respectively, related to commercial aircraft and certain contractual rights to provide product on new aircraft platforms. Associated risks on these commitments from changes in interest rates are mitigated because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Long-Term Financing Receivables</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long-term financing receivables primarily represent balances related to the aerospace businesses such as long-term trade accounts receivable, leases, and notes receivable. We also have other long-term receivables in our commercial businesses; however, both the individual and aggregate amounts of those other receivables are not significant. The following table summarizes the balance by class of aerospace business related long-term receivables as of June 30, 2019 and December 31,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0" w:type="dxa"/>
            <w:vAlign w:val="bottom"/>
          </w:tcPr>
          <w:p>
            <w:pPr>
              <w:spacing w:after="0"/>
              <w:rPr>
                <w:sz w:val="17"/>
                <w:szCs w:val="17"/>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trade accounts receivable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and leases receivable</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receivables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Customer credit ratings range from customers with an extremely strong capacity to meet financial obligations to customers whose uncollateralized receivable is in default. There can be no assurance that actual results will not differ from</w:t>
      </w:r>
    </w:p>
    <w:p>
      <w:pPr>
        <w:sectPr>
          <w:pgSz w:w="11900" w:h="16838" w:orient="portrait"/>
          <w:cols w:equalWidth="0" w:num="1">
            <w:col w:w="11420"/>
          </w:cols>
          <w:pgMar w:left="240" w:top="11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estimates or that consideration of these factors in the future will not result in an increase or decrease to the allowance for credit losses on long-term receivables. Based upon the customer credit ratings, approximately $150 million of our total long-term receivables were considered to bear high credit risk as of June 30, 2019 and December 31, 2018.</w:t>
      </w:r>
    </w:p>
    <w:p>
      <w:pPr>
        <w:spacing w:after="0" w:line="17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For long-term trade accounts receivable, we evaluate credit risk and collectability individually to determine if an allowance is necessary. Our long-term receivables reflected in the table above, which include reserves of $23 million and $16 million as of June 30, 2019 and December 31, 2018, respectively, are individually evaluated for impairment. At June 30, 2019 and December 31, 2018, we did not have any significant balances that are considered to be delinquent, on non-accrual status, past due 90 days or more, or considered to be impaired.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Loss</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 summary of the changes in each component of Accumulated other comprehensive loss, net of tax for the quarters and six months ended June 30, 2019 and 2018 is provided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June 30, 2019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 (benefit)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expense (benefit) reclassified</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 2018-02 adoption impact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June 30, 2018</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March 31, 2018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Balance at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311"/>
        </w:trPr>
        <w:tc>
          <w:tcPr>
            <w:tcW w:w="102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25"/>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expense (benefit) reclassified</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 2016-01 adoption impact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8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Reclassification of Certain Tax Effects from Accumulated Other Comprehensive Income (Topic 220)</w:t>
      </w:r>
      <w:r>
        <w:rPr>
          <w:rFonts w:ascii="Times New Roman" w:cs="Times New Roman" w:eastAsia="Times New Roman" w:hAnsi="Times New Roman"/>
          <w:sz w:val="18"/>
          <w:szCs w:val="18"/>
          <w:color w:val="auto"/>
        </w:rPr>
        <w:t>. The new standard allows companies to reclassify to retained earnings the stranded tax effects in Accumulated other comprehensive income (AOCI) from the TCJA. We elected to reclassify the income tax effects of TCJA from AOCI of $745 million to retained earnings, effective January 1, 2019.</w:t>
      </w:r>
    </w:p>
    <w:p>
      <w:pPr>
        <w:spacing w:after="0" w:line="174" w:lineRule="exact"/>
        <w:rPr>
          <w:sz w:val="20"/>
          <w:szCs w:val="20"/>
          <w:color w:val="auto"/>
        </w:rPr>
      </w:pPr>
    </w:p>
    <w:p>
      <w:pPr>
        <w:ind w:right="1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Recognition and Measurement of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This ASU modifies how entities measure equity investments and present changes in the fair value of financial liabilities. Upon adoption,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that do not result in consolidation and are not accounted for under the equity method generally must be carried at fair value, with changes in fair value recognized in net income. We had approximately $5 million of unrealized gains on these securities recorded in Accumulated other comprehensive loss in our Consolidated Balance Sheet as of December 31, 2017. We adopted this standard effective January 1, 2018, with these amounts recorded directly to retained earnings as of that date.</w:t>
      </w:r>
    </w:p>
    <w:p>
      <w:pPr>
        <w:spacing w:after="0" w:line="18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cost for each period presented (see Note 7 for additional details).</w:t>
      </w:r>
    </w:p>
    <w:p>
      <w:pPr>
        <w:spacing w:after="0" w:line="176"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Entities</w:t>
      </w:r>
    </w:p>
    <w:p>
      <w:pPr>
        <w:spacing w:after="0" w:line="22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Pratt &amp; Whitney holds a 61% net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5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4,732</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6,332</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4,946</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w:t>
            </w:r>
          </w:p>
        </w:tc>
      </w:tr>
      <w:tr>
        <w:trPr>
          <w:trHeight w:val="25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6,844</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Guarantees</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There have been no material changes to financial guarantees outstanding since December 31, 2018. The changes in the carrying amount of service and product warranties and product performance guarantees for the six months ended June 30, 2019 and 2018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1,146</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Contingent Liabilities</w:t>
      </w:r>
    </w:p>
    <w:p>
      <w:pPr>
        <w:spacing w:after="0" w:line="229" w:lineRule="exact"/>
        <w:rPr>
          <w:sz w:val="20"/>
          <w:szCs w:val="20"/>
          <w:color w:val="auto"/>
        </w:rPr>
      </w:pPr>
    </w:p>
    <w:p>
      <w:pPr>
        <w:ind w:right="220" w:firstLine="40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Summarized below are the matters previously described in Note 18 of the Notes to the Consolidated Financial Statements in our 2018 Annual Report, incorporated by reference in our 2018 </w:t>
      </w:r>
      <w:hyperlink r:id="rId8">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updated as applicable.</w:t>
      </w:r>
    </w:p>
    <w:p>
      <w:pPr>
        <w:spacing w:after="0" w:line="162" w:lineRule="exact"/>
        <w:rPr>
          <w:sz w:val="20"/>
          <w:szCs w:val="20"/>
          <w:color w:val="auto"/>
        </w:rPr>
      </w:pPr>
    </w:p>
    <w:p>
      <w:pPr>
        <w:ind w:right="80" w:firstLine="432"/>
        <w:spacing w:after="0" w:line="313" w:lineRule="auto"/>
        <w:rPr>
          <w:sz w:val="20"/>
          <w:szCs w:val="20"/>
          <w:color w:val="auto"/>
        </w:rPr>
      </w:pPr>
      <w:r>
        <w:rPr>
          <w:rFonts w:ascii="Times New Roman" w:cs="Times New Roman" w:eastAsia="Times New Roman" w:hAnsi="Times New Roman"/>
          <w:sz w:val="17"/>
          <w:szCs w:val="17"/>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3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authorities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over our foreign operations. As described in Note 1 to the Consolidated Financial Statements in our 2018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2018 Annual Report.</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Government. </w:t>
      </w:r>
      <w:r>
        <w:rPr>
          <w:rFonts w:ascii="Times New Roman" w:cs="Times New Roman" w:eastAsia="Times New Roman" w:hAnsi="Times New Roman"/>
          <w:sz w:val="18"/>
          <w:szCs w:val="18"/>
          <w:color w:val="auto"/>
        </w:rPr>
        <w:t>In the ordinary course of business, the Company and its subsidiaries and our properties are subject to regulatory and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privileges. For instance,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void any contracts found to be tainted by fraud.</w:t>
      </w:r>
    </w:p>
    <w:p>
      <w:pPr>
        <w:spacing w:after="0" w:line="18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contracts with the U.S. Government are also subject to audits.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w:t>
      </w:r>
    </w:p>
    <w:p>
      <w:pPr>
        <w:sectPr>
          <w:pgSz w:w="11900" w:h="16838" w:orient="portrait"/>
          <w:cols w:equalWidth="0" w:num="1">
            <w:col w:w="11420"/>
          </w:cols>
          <w:pgMar w:left="240" w:top="114"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4" w:right="239" w:bottom="1440" w:gutter="0" w:footer="0" w:header="0"/>
          <w:type w:val="continuous"/>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t>voluntary refunds in those cases we believe appropriate, have settled some allegations and, in some cases, continue to negotiate and/or litigate.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April 2019, a Divisional Administrative Contracting Officer (DACO) of the United States Defense Contract Management Agency (DCMA) asserted a claim against Pratt &amp; Whitney to recover overpayments of approximately $1.73 billion plus interest (approximately $506 million through June 30, 2019). The claim is based on Pratt &amp; Whitney's alleged noncompliance with cost accounting standards from January 1, 2007 to March 31, 2019, due to its method of allocating independent research and development costs to government contracts. Pratt &amp; Whitney believes that the claim is without merit and filed an appeal to the Armed Services Board of Contract Appeals (ASBCA) on June 7, 2019.</w:t>
      </w:r>
    </w:p>
    <w:p>
      <w:pPr>
        <w:spacing w:after="0" w:line="7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overpayments of approximately $177 million plus interest (approximately $92 million through June 30, 2019). The claim is based on Pratt &amp; Whitney's alleged noncompliance with cost accounting standards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The parties are now engaged in post-hearing briefing, and a decision from the ASBCA will follow. We continue to believe that the claim is without merit. In December 2018, a DCMA DACO issued a second claim against Pratt &amp; Whitney that similarly alleges that its method of determining the cost of collaborator parts does not comply with the cost accounting standards for calendar years 2013 through 2017. This second claim demands payment of $269 million plus interest (approximately $48.1 million through June 30, 2019), which we also believe is without merit and which Pratt &amp; Whitney appealed to the ASBCA in January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 Tax Litigation</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previously disclosed, UTC has been involved in administrative review proceedings with the German Tax Office, which concern approximately €215 million (approximately $245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$135 million). On August 3, 2012, we filed suit in the local German Tax Court (Berlin-Brandenburg). In March 2016, the local German Tax Court dismissed our suit, and we appealed this decision to the German Federal Tax Court (FTC). Following a hearing in July 2018, the FTC remanded the matter to the local German Tax Court for further proceedings. In 2015, UTC made tax and interest payments to German tax authorities of €275 million (approximately $300 million) in order to avoid additional interest accruals pending final resolution of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Matters</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8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estimated total liability to resolve all pending and unasserted potential future asbestos claims through 2059 is approximately $328 million and is principally recorded in Other long-term liabilities on our Condensed Consolidated Balance Sheet as of June 30, 2019.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$147 million, which is included primarily in Other assets on our Condensed Consolidated Balance Sheet as of June 30, 2019.</w:t>
      </w:r>
    </w:p>
    <w:p>
      <w:pPr>
        <w:spacing w:after="0" w:line="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the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72" w:right="259" w:bottom="1440" w:gutter="0" w:footer="0" w:header="0"/>
        </w:sectPr>
      </w:pPr>
    </w:p>
    <w:bookmarkStart w:id="29" w:name="page30"/>
    <w:bookmarkEnd w:id="2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affect our future liability include uncertainties surrounding the litigation process from jurisdiction to jurisdiction and from case to case, legal rulings that may be made by state and federal courts, and the passage of state or federal legislation. At the end of each year, the Company will evaluate all of these factors and, with input from an outside actuarial expert, make any necessary adjustments to both our estimated asbestos liabilities and insurance recoveries.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As described in Note 14 of this Form 10-Q and Note 17 to the Consolidated Financial Statements in our 2018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7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Leases</w:t>
      </w:r>
    </w:p>
    <w:p>
      <w:pPr>
        <w:spacing w:after="0" w:line="200"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its related amendments (collectively, the New Lease Accounting Standard) are effective for reporting periods beginning after December 15, 2018. We adopted the New Lease Accounting Standard effective January 1, 2019 and elected the modified retrospective approach in which results for periods before 2019 were not adjusted for the new standard and the cumulative effect of the change in accounting was recognized through retained earnings at the date of adoption.</w:t>
      </w:r>
    </w:p>
    <w:p>
      <w:pPr>
        <w:spacing w:after="0" w:line="15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New Lease Accounting Standard establishes a right-of-use model that requires a lessee to record a right-of-use asset and a lease liability on the Condensed Consolidated Balance Sheet for all leases with terms longer than 12 months. Leases are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8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have elected certain of the practical expedients available under the New Lease Accounting Standard upon adoption. We have applied the practical expedient which allows prospective transition to the New Lease Accounting Standard on January 1, 2019. Under the transition practical expedient, we did not reassess lease classification, embedded leases or initial direct costs. We have applied the practical expedient for short-term leases. We have lease agreements with lease and non-lease components. We have elected the practical expedients to combine these components for certain equipment leases. Additionally, for certain equipment leases, we apply a portfolio approach to effectively account for the operating lease right-of-use assets and liabilities. The adoption of the New Lease Accounting Standard did not have a material effect on our Condensed Consolidated Statement of Operations or Condensed Consolidated Statement of Cash Flows. Upon adoption, we recorded a $2.6 billion right-of-use asset and a $2.7 billion lease liability. The adoption of the New Lease Accounting Standard had an immaterial impact on retained earnings.</w:t>
      </w:r>
    </w:p>
    <w:p>
      <w:pPr>
        <w:spacing w:after="0" w:line="18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enter into lease agreements for the use of real estate space, vehicles, information technology equipment, and certain other equipment under operating and finance leases. We determine if an arrangement contains a lease at inception. Operating leases are included in Operating lease right-of-use assets, Accrued liabilities, and Operating lease liabilities in our Condensed Consolidated Balance Sheet. Finance leases are not considered significant to our Condensed Consolidated Balance Sheet or Condensed Consolidated Statement of Operations. Finance lease right-of-use assets at June 30, 2019 of $74 million are included in Other assets in our Condensed Consolidated Balance Sheet. Finance lease liabilities at June 30, 2019 of $85 million are included in Long term debt currently due, and Long term debt in our Condensed Consolidated Balance Sheet.</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for the lease term and lease liabilities represent our obligation to make lease payments arising from the lease. Lease right-of-use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and use the implicit rate when readily determinable. We determine our incremental borrowing rate through market sources including relevant industry rates. Our lease right-of-use assets also include any lease pre-payments and exclude lease incentives. Certain of our leases include variable payments, which may vary based upon changes in facts or circumstances after the start of the lease. We exclude variable payments from lease right-of-use assets and lease liabilities, to the extent not considered fixed, and instead, expense variable payments as incurred. Variable lease expense and lease expense for short duration contracts is not a material component of lease expense. Our leases generally have remaining lease terms of 1 to 20 years, some of which include options to extend leases. The majority of our leases with options to extend are up to 5 years with the ability to terminate the lease within 1 year. The exercise of lease renewal options is at our sole discretion and our lease right-of-use assets and liabilities reflect only the options we are reasonably certain that we will exercise. Lease expense is recognized on a straight-line basis over the lease term.</w:t>
      </w:r>
    </w:p>
    <w:p>
      <w:pPr>
        <w:spacing w:after="0" w:line="19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limited instances we act as a lessor, primarily for commercial aerospace engines and certain heating, ventilation and air conditioning (HVAC) systems and commercial equipment, all of which are classified as operating leases. These leases are not significant to our Condensed Consolidated Balance Sheet or Condensed Consolidated Statement of Operations.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lease expense for the quarter and six months ended June 30, 2019 was $220 million and $379 million, respectively.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80" w:type="dxa"/>
            <w:vAlign w:val="bottom"/>
          </w:tcPr>
          <w:p>
            <w:pPr>
              <w:spacing w:after="0"/>
              <w:rPr>
                <w:sz w:val="13"/>
                <w:szCs w:val="13"/>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for the measurement of operating lease liabilities</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675"/>
        </w:trPr>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Operating lease right-of-use assets and liabilities are reflected on our Condensed Consolidated Balance Sheet as follows: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lease term and discount rate)</w:t>
            </w:r>
          </w:p>
        </w:tc>
        <w:tc>
          <w:tcPr>
            <w:tcW w:w="10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49"/>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700" w:type="dxa"/>
            <w:vAlign w:val="bottom"/>
            <w:tcBorders>
              <w:bottom w:val="single" w:sz="8" w:color="CCEEFF"/>
            </w:tcBorders>
            <w:gridSpan w:val="2"/>
            <w:shd w:val="clear" w:color="auto" w:fill="CCEEFF"/>
          </w:tcPr>
          <w:p>
            <w:pPr>
              <w:ind w:left="628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700" w:type="dxa"/>
            <w:vAlign w:val="bottom"/>
            <w:gridSpan w:val="2"/>
          </w:tcPr>
          <w:p>
            <w:pPr>
              <w:ind w:left="6280"/>
              <w:spacing w:after="0"/>
              <w:rPr>
                <w:sz w:val="20"/>
                <w:szCs w:val="20"/>
                <w:color w:val="auto"/>
              </w:rPr>
            </w:pPr>
            <w:r>
              <w:rPr>
                <w:rFonts w:ascii="Times New Roman" w:cs="Times New Roman" w:eastAsia="Times New Roman" w:hAnsi="Times New Roman"/>
                <w:sz w:val="18"/>
                <w:szCs w:val="18"/>
                <w:color w:val="auto"/>
              </w:rPr>
              <w:t>3.6%</w:t>
            </w:r>
          </w:p>
        </w:tc>
      </w:tr>
      <w:tr>
        <w:trPr>
          <w:trHeight w:val="702"/>
        </w:trPr>
        <w:tc>
          <w:tcPr>
            <w:tcW w:w="4720" w:type="dxa"/>
            <w:vAlign w:val="bottom"/>
          </w:tcPr>
          <w:p>
            <w:pPr>
              <w:spacing w:after="0"/>
              <w:rPr>
                <w:sz w:val="24"/>
                <w:szCs w:val="24"/>
                <w:color w:val="auto"/>
              </w:rPr>
            </w:pPr>
          </w:p>
        </w:tc>
        <w:tc>
          <w:tcPr>
            <w:tcW w:w="492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31</w:t>
            </w:r>
          </w:p>
        </w:tc>
        <w:tc>
          <w:tcPr>
            <w:tcW w:w="17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Undiscounted maturities of operating lease liabilities as of June 30, 2019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xml:space="preserve">Operating </w:t>
            </w:r>
            <w:r>
              <w:rPr>
                <w:rFonts w:ascii="Times New Roman" w:cs="Times New Roman" w:eastAsia="Times New Roman" w:hAnsi="Times New Roman"/>
                <w:sz w:val="8"/>
                <w:szCs w:val="8"/>
                <w:b w:val="1"/>
                <w:bCs w:val="1"/>
                <w:color w:val="auto"/>
              </w:rPr>
              <w:t>1</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629</w:t>
            </w:r>
          </w:p>
        </w:tc>
      </w:tr>
      <w:tr>
        <w:trPr>
          <w:trHeight w:val="27"/>
        </w:trPr>
        <w:tc>
          <w:tcPr>
            <w:tcW w:w="9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543</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412</w:t>
            </w:r>
          </w:p>
        </w:tc>
      </w:tr>
      <w:tr>
        <w:trPr>
          <w:trHeight w:val="27"/>
        </w:trPr>
        <w:tc>
          <w:tcPr>
            <w:tcW w:w="9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878</w:t>
            </w:r>
          </w:p>
        </w:tc>
      </w:tr>
      <w:tr>
        <w:trPr>
          <w:trHeight w:val="27"/>
        </w:trPr>
        <w:tc>
          <w:tcPr>
            <w:tcW w:w="9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3,093</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9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discounted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2,838</w:t>
            </w:r>
          </w:p>
        </w:tc>
      </w:tr>
      <w:tr>
        <w:trPr>
          <w:trHeight w:val="20"/>
        </w:trPr>
        <w:tc>
          <w:tcPr>
            <w:tcW w:w="9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Operating lease payments include $225 million related to options to extend lease terms that are reasonably certain of being exercised.</w:t>
      </w:r>
    </w:p>
    <w:p>
      <w:pPr>
        <w:spacing w:after="0" w:line="22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New Lease Accounting Standard, rental commitments on an undiscounted basis were approximately $2.9 billion at December 31, 2018 under long-term non-cancelable operating leases and were payable as follows: $683 million in 2019, $544 million in 2020, $407 million in 2021, $301 million in 2022, $235 million in 2023 and $746 million thereafter.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Financial Data</w:t>
      </w:r>
    </w:p>
    <w:p>
      <w:pPr>
        <w:spacing w:after="0" w:line="22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operations are classified into four principal segments: Otis, Carrier, Pratt &amp; Whitney, and Collins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Total sales by segment include inter-segment sales, which are generally made at prices approximating those that the selling entity is able to obtain on external sales. Results for the quarters ended June 30, 2019 and 2018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r>
      <w:tr>
        <w:trPr>
          <w:trHeight w:val="265"/>
        </w:trPr>
        <w:tc>
          <w:tcPr>
            <w:tcW w:w="3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19,634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16,705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2"/>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Results for the six months ended June 30, 2019 and 2018 are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252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r>
      <w:tr>
        <w:trPr>
          <w:trHeight w:val="265"/>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Carrier</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57"/>
        </w:trPr>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37,999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31,947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Geographic sales are attributed to the geographic regions based on their location of origin. Segment information for the quarters ended June 30, 2019 and 2018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8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United States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66"/>
        </w:trPr>
        <w:tc>
          <w:tcPr>
            <w:tcW w:w="2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Europe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74"/>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Asia Pacific</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66"/>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68"/>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17,077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geographic information for the six months ended June 30, 2019 and 2018 is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23,963</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18,620</w:t>
            </w:r>
          </w:p>
        </w:tc>
        <w:tc>
          <w:tcPr>
            <w:tcW w:w="0" w:type="dxa"/>
            <w:vAlign w:val="bottom"/>
          </w:tcPr>
          <w:p>
            <w:pPr>
              <w:spacing w:after="0"/>
              <w:rPr>
                <w:sz w:val="1"/>
                <w:szCs w:val="1"/>
                <w:color w:val="auto"/>
              </w:rPr>
            </w:pPr>
          </w:p>
        </w:tc>
      </w:tr>
      <w:tr>
        <w:trPr>
          <w:trHeight w:val="266"/>
        </w:trPr>
        <w:tc>
          <w:tcPr>
            <w:tcW w:w="2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Europe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6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6,389</w:t>
            </w:r>
          </w:p>
        </w:tc>
        <w:tc>
          <w:tcPr>
            <w:tcW w:w="0" w:type="dxa"/>
            <w:vAlign w:val="bottom"/>
          </w:tcPr>
          <w:p>
            <w:pPr>
              <w:spacing w:after="0"/>
              <w:rPr>
                <w:sz w:val="1"/>
                <w:szCs w:val="1"/>
                <w:color w:val="auto"/>
              </w:rPr>
            </w:pPr>
          </w:p>
        </w:tc>
      </w:tr>
      <w:tr>
        <w:trPr>
          <w:trHeight w:val="27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Asia Pacific</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66"/>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68"/>
        </w:trPr>
        <w:tc>
          <w:tcPr>
            <w:tcW w:w="2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38,785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32,636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sales disaggregated by product type for the quarters ended June 30, 2019 and 2018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8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Borders>
              <w:top w:val="single" w:sz="8" w:color="CCEEFF"/>
            </w:tcBorders>
            <w:shd w:val="clear" w:color="auto" w:fill="CCEEFF"/>
          </w:tcPr>
          <w:p>
            <w:pPr>
              <w:ind w:left="40"/>
              <w:spacing w:after="0" w:line="157" w:lineRule="exact"/>
              <w:rPr>
                <w:sz w:val="20"/>
                <w:szCs w:val="20"/>
                <w:color w:val="auto"/>
              </w:rPr>
            </w:pPr>
            <w:r>
              <w:rPr>
                <w:rFonts w:ascii="Times New Roman" w:cs="Times New Roman" w:eastAsia="Times New Roman" w:hAnsi="Times New Roman"/>
                <w:sz w:val="15"/>
                <w:szCs w:val="15"/>
                <w:color w:val="auto"/>
              </w:rPr>
              <w:t>Commercial and industrial, non</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8,399</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aerospace</w:t>
            </w:r>
          </w:p>
        </w:tc>
        <w:tc>
          <w:tcPr>
            <w:tcW w:w="2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Commercial aerospace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40" w:type="dxa"/>
            <w:vAlign w:val="bottom"/>
          </w:tcPr>
          <w:p>
            <w:pPr>
              <w:spacing w:after="0"/>
              <w:rPr>
                <w:sz w:val="23"/>
                <w:szCs w:val="23"/>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40" w:type="dxa"/>
            <w:vAlign w:val="bottom"/>
          </w:tcPr>
          <w:p>
            <w:pPr>
              <w:spacing w:after="0"/>
              <w:rPr>
                <w:sz w:val="23"/>
                <w:szCs w:val="23"/>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Military aerospace</w:t>
            </w: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68"/>
        </w:trPr>
        <w:tc>
          <w:tcPr>
            <w:tcW w:w="2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segment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20,036</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17,077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sales disaggregated by product type for the six months ended June 30, 2019 and 2018 are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Commercial and industrial, non</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15,783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15,848</w:t>
            </w: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aerospace</w:t>
            </w:r>
          </w:p>
        </w:tc>
        <w:tc>
          <w:tcPr>
            <w:tcW w:w="2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Commercial aerospace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260" w:type="dxa"/>
            <w:vAlign w:val="bottom"/>
          </w:tcPr>
          <w:p>
            <w:pPr>
              <w:spacing w:after="0"/>
              <w:rPr>
                <w:sz w:val="23"/>
                <w:szCs w:val="2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tcPr>
          <w:p>
            <w:pPr>
              <w:spacing w:after="0"/>
              <w:rPr>
                <w:sz w:val="23"/>
                <w:szCs w:val="23"/>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12,503</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Military aerospace</w:t>
            </w: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68"/>
        </w:trPr>
        <w:tc>
          <w:tcPr>
            <w:tcW w:w="2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segment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38,785</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32,636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June 30, 2019 and 2018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Product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14,394</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11,853</w:t>
            </w:r>
          </w:p>
        </w:tc>
        <w:tc>
          <w:tcPr>
            <w:tcW w:w="0" w:type="dxa"/>
            <w:vAlign w:val="bottom"/>
          </w:tcPr>
          <w:p>
            <w:pPr>
              <w:spacing w:after="0"/>
              <w:rPr>
                <w:sz w:val="1"/>
                <w:szCs w:val="1"/>
                <w:color w:val="auto"/>
              </w:rPr>
            </w:pPr>
          </w:p>
        </w:tc>
      </w:tr>
      <w:tr>
        <w:trPr>
          <w:trHeight w:val="265"/>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Service</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5,642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17,077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sales disaggregated by sales type for the six months ended June 30, 2019 and 2018 are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27,620</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22,395</w:t>
            </w:r>
          </w:p>
        </w:tc>
        <w:tc>
          <w:tcPr>
            <w:tcW w:w="0" w:type="dxa"/>
            <w:vAlign w:val="bottom"/>
          </w:tcPr>
          <w:p>
            <w:pPr>
              <w:spacing w:after="0"/>
              <w:rPr>
                <w:sz w:val="1"/>
                <w:szCs w:val="1"/>
                <w:color w:val="auto"/>
              </w:rPr>
            </w:pPr>
          </w:p>
        </w:tc>
      </w:tr>
      <w:tr>
        <w:trPr>
          <w:trHeight w:val="265"/>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Service</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11,165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10,241</w:t>
            </w:r>
          </w:p>
        </w:tc>
        <w:tc>
          <w:tcPr>
            <w:tcW w:w="0" w:type="dxa"/>
            <w:vAlign w:val="bottom"/>
          </w:tcPr>
          <w:p>
            <w:pPr>
              <w:spacing w:after="0"/>
              <w:rPr>
                <w:sz w:val="1"/>
                <w:szCs w:val="1"/>
                <w:color w:val="auto"/>
              </w:rPr>
            </w:pPr>
          </w:p>
        </w:tc>
      </w:tr>
      <w:tr>
        <w:trPr>
          <w:trHeight w:val="269"/>
        </w:trPr>
        <w:tc>
          <w:tcPr>
            <w:tcW w:w="2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38,785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32,636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Accounting Pronouncements</w:t>
      </w:r>
    </w:p>
    <w:p>
      <w:pPr>
        <w:spacing w:after="0" w:line="227"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w:t>
      </w:r>
      <w:r>
        <w:rPr>
          <w:rFonts w:ascii="Times New Roman" w:cs="Times New Roman" w:eastAsia="Times New Roman" w:hAnsi="Times New Roman"/>
          <w:sz w:val="18"/>
          <w:szCs w:val="18"/>
          <w:i w:val="1"/>
          <w:iCs w:val="1"/>
          <w:color w:val="auto"/>
        </w:rPr>
        <w:t>Financial Instruments - Credit Losses (Topic 328):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This ASU amends the impairment model to utilize an expected loss methodology in place of the incurred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for financial instruments, including trade receivables, and off-balance sheet credit exposures. The amendment requires entities to consider a broader range of information to estimate expected credit losses, which may result in earlier recognition of losses. The provisions of this ASU are effective for years beginning after December 15, 2019, with early adoption permitted. We are currently evaluating the impact of this ASU and its related amendments.</w:t>
      </w:r>
    </w:p>
    <w:p>
      <w:pPr>
        <w:spacing w:after="0" w:line="7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The new standard removes the disclosure requirements for the amount of and reasons for transfers between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and Level 2 of the fair value hierarchy. This standard did not have a material impact on our financial statement disclosures. We early adopted this standard effective January 1, 2019.</w:t>
      </w:r>
    </w:p>
    <w:p>
      <w:pPr>
        <w:spacing w:after="0" w:line="18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Compensation—Retirement Benefits—Defined Benefit Plans—General (Subtopic 715-20):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Framework—Changes to the Disclosure Requirements for Defined Benefit Plans</w:t>
      </w:r>
      <w:r>
        <w:rPr>
          <w:rFonts w:ascii="Times New Roman" w:cs="Times New Roman" w:eastAsia="Times New Roman" w:hAnsi="Times New Roman"/>
          <w:sz w:val="18"/>
          <w:szCs w:val="18"/>
          <w:color w:val="auto"/>
        </w:rPr>
        <w:t>. The new standard includes updates to the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benefit plans including several additions, deletions and modifications to the disclosure requirements. The provisions of this ASU are effective for years beginning after December 15, 2020, with early adoption permitted. We are currently evaluating the impact of this ASU.</w:t>
      </w:r>
    </w:p>
    <w:p>
      <w:pPr>
        <w:spacing w:after="0" w:line="18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Implementation Costs Incurred in a Cloud Computing Arrangement That Is a Service Contract</w:t>
      </w:r>
      <w:r>
        <w:rPr>
          <w:rFonts w:ascii="Times New Roman" w:cs="Times New Roman" w:eastAsia="Times New Roman" w:hAnsi="Times New Roman"/>
          <w:sz w:val="18"/>
          <w:szCs w:val="18"/>
          <w:color w:val="auto"/>
        </w:rPr>
        <w:t>. The new standard provides updated guidance surrounding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associated with cloud computing arrangements that are service contracts. The provisions of this ASU are effective for years beginning after December 15, 2020, with early adoption permitted. We are currently evaluating the impact of this ASU.</w:t>
      </w:r>
    </w:p>
    <w:p>
      <w:pPr>
        <w:sectPr>
          <w:pgSz w:w="11900" w:h="16838" w:orient="portrait"/>
          <w:cols w:equalWidth="0" w:num="1">
            <w:col w:w="11420"/>
          </w:cols>
          <w:pgMar w:left="240" w:top="118"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type w:val="continuous"/>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Consolidation (Topic 810): Targeted Improvements to Related Party Guidance for 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The amendments in this update for determining whether a decision-making fee is a variable interest require reporting entities to consider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held through related parties under common control on a proportional basis rather than as the equivalent of a direct interest in its entirety (as currently required in generally accepted accounting principles (GAAP)). These amendments also will create alignment between determining whether a decision making fee is a variable interest and determining whether a reporting entity within a related party group is the primary beneficiary of a VIE. This will significantly reduce the risk that decision makers with insignificant direct and indirect interests could be deemed the primary beneficiary of a VIE. The provisions of this ASU are effective for years beginning after December 15, 2019, with early adoption permitted. We are currently evaluating the impact of this ASU.</w:t>
      </w:r>
    </w:p>
    <w:p>
      <w:pPr>
        <w:spacing w:after="0" w:line="183"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w:t>
      </w:r>
      <w:r>
        <w:rPr>
          <w:rFonts w:ascii="Times New Roman" w:cs="Times New Roman" w:eastAsia="Times New Roman" w:hAnsi="Times New Roman"/>
          <w:sz w:val="18"/>
          <w:szCs w:val="18"/>
          <w:i w:val="1"/>
          <w:iCs w:val="1"/>
          <w:color w:val="auto"/>
        </w:rPr>
        <w:t>Collaborative Arrangements (Topic 808): Clarifying the Interaction between Topic 808 and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The amendments in this update make targeted improvements to GAAP for collaborative arrangements as follows: clarify that certain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add unit-of-account guidance in Topic 808 to align with the guidance in Topic 606 (that is, a distinct good or service) when an entity is assessing whether the collaborative arrangement or a part of the arrangement is within the scope of Topic 606; and require that in a transaction with a collaborative arrangement participant that is not directly related to sales to third parties, presenting the transaction together with revenue recognized under Topic 606 is precluded if the collaborative arrangement participant is not a customer. The provisions of this ASU are effective for years beginning after December 15, 2019, with early adoption permitted. We are currently evaluating the impact of this ASU.</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UTC for the quarters and six months ended June 30, 2019 and 2018, PricewaterhouseCoopers LLP (PricewaterhouseCoopers) reported that it has applied limited procedures in accordance with professional standards for a review of such information. However, its report dated July 26, 2019,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3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United Technologies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United Technologies Corporation and its subsidiaries (the “Company”) as of June 30, 2019, and the related condensed consolidated statements of operations, of comprehensive income and of changes in equity for the three-month and six-month periods ended June 30, 2019 and 2018 and the condensed consolidated statements of cash flows for the six-month periods ended June 30, 2019 and 2018,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the consolidated balance sheet of the Company as of December 31, 2018, and the related consolidated statements of operations, of comprehensive income, of changes in equity and of cash flows for the year then ended (not presented herein), and in our report dated February 7, 2019, which included a paragraph describing a change in the manner of accounting for revenue from contracts with customers and net periodic benefit cost in the 2018 financial statements, we expressed an unqualified opinion on those consolidated financial statements. In our opinion, the information set forth in the accompanying condensed consolidated balance sheet information as of December 31, 2018 is fairly stated, in all material respects, in relation to the consolidated balance sheet from which it has been derived.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2019</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18" w:right="27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We are a global provider of high technology products and services to the building systems and aerospace industries. Our operations for the periods presented herein are classified into four principal business segments: Otis, Carrier, Pratt &amp; Whitney, and Collins Aerospace Systems. Otis and Carrier are referred to as the "commercial businesses," while Pratt &amp; Whitney and Collins Aerospace Systems are referred to as the "aerospace businesses."</w:t>
      </w:r>
    </w:p>
    <w:p>
      <w:pPr>
        <w:spacing w:after="0" w:line="68" w:lineRule="exact"/>
        <w:rPr>
          <w:sz w:val="20"/>
          <w:szCs w:val="20"/>
          <w:color w:val="auto"/>
        </w:rPr>
      </w:pPr>
    </w:p>
    <w:p>
      <w:pPr>
        <w:ind w:right="80" w:firstLine="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status of significant factors affecting our business environment in 2019 is discussed below. For additional discussion, refer to the "Business Overview" section in Management's Discussion and Analysis of Financial Condition and Results of Operations in our 2018 Annual Report, which is incorporated by reference in our 2018 </w:t>
      </w:r>
      <w:hyperlink r:id="rId8">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manufacturing (OEM) and extensive related aftermarket parts and services in both our commercial and aerospace businesses. Our business mix also reflects the combination of shorter cycles at Carrier and in our commercial aerospace spares businesses, and longer cycles at Otis and in our aerospace OEM and aftermarket maintenance businesses. Our customers are in the public and private sectors, and our businesses reflect an extensive geographic diversification that has evolved with continued globalization.</w:t>
      </w:r>
    </w:p>
    <w:p>
      <w:pPr>
        <w:spacing w:after="0" w:line="18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Our military businesses' sales are affected by U.S. Department of Defense budget and spending levels, changes in market demand and the global political environment. Total sales to the U.S. Government were $2.7 billion and $1.8 billion for the quarters ended June 30, 2019 and 2018, 14% and 11% of total UTC sales for those periods, respectively. Our participation in long-term production, development and sustainment programs for the U.S. Government has and is expected to contribute positively to our results in 2019.</w:t>
      </w:r>
    </w:p>
    <w:p>
      <w:pPr>
        <w:spacing w:after="0" w:line="180"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As has been previously disclosed, on November 26, 2018, the Company announced its intention to separate into three independent companies. Following the separations, the Company will operate as an aerospace company comprised of the Collins Aerospace Systems and Pratt &amp; Whitney businesses, and Otis and Carrier will become independent companies. The proposed separations are expected to be effected through spin-offs of Otis and Carrier that are intended to be tax-free for the Company’s shareowners for U.S. federal income tax purposes, and are expected to be completed in the first half of 2020. Separation of Otis and Carrier from UTC via spin-off transactions will be subject to the satisfaction of customary conditions, including, among others, final 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 (subject to UTC’s agreement to consummate the distributions pursuant to, and subject to the terms and conditions of, the Raytheon merger agreement). See Notes To Condensed Consolidated Financial Statements, Note 1 for additional information regarding the Raytheon transaction.</w:t>
      </w:r>
    </w:p>
    <w:p>
      <w:pPr>
        <w:spacing w:after="0" w:line="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June 9, 2019, UTC entered into a merger agreement with Raytheon Company (“Raytheon”) providing for an all-stock merger of equals transaction. The Raytheon merger agreement provides, among other things, that each share of Raytheon common stock issued and outstanding immediately prior to the closing of the Raytheon merger (except for shares held by Raytheon as treasury stock) will be converted into the right to receive 2.3348 shares of UTC common stock. Upon the closing of the Raytheon merger, Raytheon will become a wholly-owned subsidiary of UTC, and UTC will change its name to Raytheon Technologies Corporation. The Raytheon merger is expected to close in the first half of 2020 and is subject to customary closing conditions, including receipt of required regulatory approvals and the approval of both Raytheon’s and our shareowners, as well as the completion of UTC's previously announced separation of its Otis and Carrier businesses.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 Activity</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six months ended June 30, 2019, our investment in business acquisitions was $32 million, which consisted of small acquisitions at Otis.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229"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commercial businesses. Government and market-driven safety and performance regulations, restrictions on aircraft engine noise and emissions, and government procurement practices can impact our aerospace and defense businesses.</w:t>
      </w:r>
    </w:p>
    <w:p>
      <w:pPr>
        <w:spacing w:after="0" w:line="16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2019. With regard to political conditions, the U.S. Government suspended Turkey’s participation in the F-35 Joint Strike Fighter program because Turkey accepted delivery of the Russian-built S-400 air and missile defense system. The U.S. may also impose sanctions on Turkish entities as a result. Turkish companies supply components, some of which are sole-sourced, to our aerospace businesses for commercial and military engines and aerospace products. Depending upon the scope and timing of U.S. sanctions on Turkey and potential reciprocal actions, if any, such sanctions or actions could impact our aerospace businesses’ sources of supply and could have a material adverse effect on our results of operations, cash flows or financial condition. See Part I, Item 1A, "Risk Factors" in our 2018 Form 10-K for further discussion.</w:t>
      </w:r>
    </w:p>
    <w:p>
      <w:pPr>
        <w:spacing w:after="0" w:line="230" w:lineRule="exact"/>
        <w:rPr>
          <w:sz w:val="20"/>
          <w:szCs w:val="20"/>
          <w:color w:val="auto"/>
        </w:rPr>
      </w:pPr>
    </w:p>
    <w:p>
      <w:pPr>
        <w:ind w:right="160" w:firstLine="459"/>
        <w:spacing w:after="0" w:line="282" w:lineRule="auto"/>
        <w:rPr>
          <w:sz w:val="20"/>
          <w:szCs w:val="20"/>
          <w:color w:val="auto"/>
        </w:rPr>
      </w:pPr>
      <w:r>
        <w:rPr>
          <w:rFonts w:ascii="Times New Roman" w:cs="Times New Roman" w:eastAsia="Times New Roman" w:hAnsi="Times New Roman"/>
          <w:sz w:val="18"/>
          <w:szCs w:val="18"/>
          <w:color w:val="auto"/>
        </w:rPr>
        <w:t>The following activity is disclosed as required by Section 13(r)(1)(D) of the Securities Exchange Act of 1934, as amended, as transactions or dealings with the government of Iran that have not been specifically authorized by a U.S. federal department or agency:</w:t>
      </w:r>
    </w:p>
    <w:p>
      <w:pPr>
        <w:spacing w:after="0" w:line="5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Beginning in June 2016, Rockwell Collins provided access to two of its Flight Management Systems databases containing navigation and mapping information to MPT Maintenance, a South African aircraft maintenance provider, to support a Beechcraft B300 King Air aircraft owned by Iran Airports Company. MPT Maintenance purchased a subscription to the databases that ran through November 2017, and was automatically renewed in December 2017, and again in December 2018. MPT Maintenance paid a total of $11,365 for the original subscription and the first renewal, but it did not pay for the second renewal and Rockwell Collins disabled the subscription in mid-December 2018. The last download from the databases under the subscription occurred in early December 2018. In May 2019, MPT Maintenance sought to reopen the subscription, and at that time, Rockwell Collins recognized the transaction was impermissible. Iran Airports Company is believed to be owned by the Ministry of Roads and Urban Development, an agency of the Government of Iran. UTC and its affiliates did not receive any revenues or profits attributable to this subscription after its acquisition of Rockwell Collins and has filed the relevant disclosure with the Treasury Department’s Office of Foreign Assets Control. UTC and its affiliates do not intend to engage in any further activity with Iran Airports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2018 Annual Report, incorporated by reference in our 2018 </w:t>
      </w:r>
      <w:hyperlink r:id="rId8">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describe the significant accounting estimates and policies used in preparation of the Consolidated Financial Statements. Actual results in these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areas could differ from management's estimates. There have been no significant changes in our critical accounting estimates during the six months ended June 30, 2019.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19,634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37,999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31,947</w:t>
            </w:r>
          </w:p>
        </w:tc>
      </w:tr>
      <w:tr>
        <w:trPr>
          <w:trHeight w:val="459"/>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The factors contributing to the total percentage change year-over-year in total net sales for the quarter and six months ended June 30, 2019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Quarter Ended June 30, 2019</w:t>
            </w:r>
          </w:p>
        </w:tc>
        <w:tc>
          <w:tcPr>
            <w:tcW w:w="23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Organic change</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 change</w:t>
            </w: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2"/>
                <w:szCs w:val="22"/>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432"/>
        <w:spacing w:after="0" w:line="256" w:lineRule="auto"/>
        <w:rPr>
          <w:sz w:val="20"/>
          <w:szCs w:val="20"/>
          <w:color w:val="auto"/>
        </w:rPr>
      </w:pPr>
      <w:r>
        <w:rPr>
          <w:rFonts w:ascii="Times New Roman" w:cs="Times New Roman" w:eastAsia="Times New Roman" w:hAnsi="Times New Roman"/>
          <w:sz w:val="18"/>
          <w:szCs w:val="18"/>
          <w:color w:val="auto"/>
        </w:rPr>
        <w:t>All four segments experienced organic sales growth for the quarter and six months ended June 30, 2019. During the quarter ended June 30, 2019, Collins Aerospace Systems sales grew 9% organically, primarily driven by higher commercial aftermarket and military OEM sales. Pratt &amp; Whitney sales grew 9% organically, reflecting higher sales across all channels. Otis experienced 4% organic growth, reflecting higher service sales across all regions, and higher new equipment sales driven by growth in China. Organic sales growth of 2% at Carrier was driven by growth in global HVAC and transport refrigeration. The 13% increase in Acquisitions and divestitures, net for the quarter ended June 30, 2019 primarily reflects the impact of the November 26, 2018 acquisition of Rockwell Collins.</w:t>
      </w:r>
    </w:p>
    <w:p>
      <w:pPr>
        <w:spacing w:after="0" w:line="188"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2019, Pratt &amp; Whitney sales grew 11% organically, reflecting higher sales across all channels. Collins Aerospace Systems sales grew 10% organically, reflecting higher commercial and military sales. Organic sales growth of 6% at Otis reflects higher new equipment sales driven by China and the Americas, and higher service sales across all regions. Organic sales growth of 3% at Carrier was driven by growth in transport refrigeration, as well as global HVAC. The 14% increase in Acquisitions and divestitures, net for the six months ended June 30, 2019 primarily reflects the impact of the November 26, 2018 acquisition of Rockwell Collins.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Products and Services Sold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products and services sold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14,413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28,120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23,702</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bl>
    <w:p>
      <w:pPr>
        <w:spacing w:after="0" w:line="117"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The factors contributing to the percentage change year-over-year for the quarter and six months ended June 30, 2019 in total cost of products and services sold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4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Quarter Ended June 30, 2019</w:t>
            </w:r>
          </w:p>
        </w:tc>
        <w:tc>
          <w:tcPr>
            <w:tcW w:w="23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Organic change</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 change</w:t>
            </w: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2"/>
                <w:szCs w:val="22"/>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organic increase in total cost of products and services sold for the quarter and six months ended June 30, 2019 was primarily driven by the organic sales increases noted above. The increase in Acquisitions and divestitures, net of 12% and 14% for the quarter and six months ended June 30, 2019 respectively, primarily reflects the impact of the acquisition of Rockwell Collins.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8,245</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bl>
    <w:p>
      <w:pPr>
        <w:spacing w:after="0" w:line="11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increase in gross margin as a percentage of sales for the quarter ended June 30, 2019 reflects a 300 basis point increase at Collins Aerospace Systems primarily driven by the impact of the Rockwell Collins merger, including the resulting synergies achieved, as well as an increase in commercial aftermarket sales and cost reduction initiatives. Otis gross margin increased 50 basis points primarily driven by improved service margins. Pratt &amp; Whitney's gross margin declined 10 basis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points as lower aftermarket margins driven by unfavorable contract adjustments were partially offset by higher product margins driven by cost reduction and favorable mix on large commercial engine shipments. Gross margin at Carrier was down 30 basis points primarily driven by unfavorable mix and higher commodities, tariffs, and logistics costs.</w:t>
      </w:r>
    </w:p>
    <w:p>
      <w:pPr>
        <w:spacing w:after="0" w:line="17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increase in gross margin as a percentage of sales for the six months ended June 30, 2019 was primarily driven by a 90 basis point increase at Collins Aerospace Systems primarily driven the impact of the Rockwell Collins merger, including the resulting synergies achieved, and by an increase in commercial aftermarket sales and cost reduction initiatives. Otis gross margin was consistent with the prior year. Pratt &amp; Whitney's gross margin declined 20 basis points as lower aftermarket margins driven by unfavorable contract adjustments were partially offset by higher product margins driven by cost reduction and favorable mix on large commercial engine shipments. Gross margin at Carrier was down 40 basis points primarily driven by unfavorable mix and higher commodities, tariffs, and logistics costs.</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1,143</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688</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17"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(26%) in company-funded research and development for the quarter ended June 30, 2019 was primarily driven by the impact of the Rockwell Collins merger (19%). The remaining increase primarily reflects higher expenses across various commercial programs at Pratt &amp; Whitney (6%). For the six months ended June 30, 2019 company-funded research and development increased 29%, driven by the impact of the Rockwell Collins acquisition (22%). The remaining increase primarily reflects higher expenses across various commercial programs at Pratt &amp; Whitney (6%) and Collins Aerospace Systems (3%).</w:t>
      </w:r>
    </w:p>
    <w:p>
      <w:pPr>
        <w:spacing w:after="0" w:line="80"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The increase (57%) in customer-funded research and development for the quarter ended June 30, 2019 was primarily driven by the impact of the Rockwell Collins merger (62%). Excluding this impact, customer-funded research and development decreased (5%) year-over-year driven by lower research and development expenses on military development programs at Pratt &amp; Whitney (8%), partially offset by an increase in military development programs at Collins Aerospace Systems (2%). The increase (63%) in customer-funded research and development for the six months ended June 30, 2019 was also driven by the impact of the Rockwell Collins acquisition (64%). Excluding this impact, customer-funded research and development decreased (1%) as lower research and development expenses on military development programs at Pratt &amp; Whitney (4%), were partially offset by higher expenses at Collins Aerospace Systems (2%).</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3,470</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17"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20% in the quarter ended June 30, 2019. The increase in expenses includes the impact of the Rockwell Collins acquisition (11%), and costs associated with the Company's intention to separate its commercial businesses (9%). Excluding these impacts, selling, general and administrative expenses were consistent with the prior year at each of the four segments.</w:t>
      </w:r>
    </w:p>
    <w:p>
      <w:pPr>
        <w:spacing w:after="0" w:line="176"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18% in the six months ended June 30, 2019, primarily driven by the impact of the Rockwell Collins acquisition (10%), costs associated with the Company's intention to separate its commercial businesses (6%) and higher restructuring costs (1%). The growth in Selling, general and administrative expenses also includes higher expenses at Pratt &amp; Whitney (1%) driven by increased headcount and employee compensation related expenses and costs to support higher volumes. Selling, general and administrative expenses at Collins Aerospace Systems, Otis and Carrier were consistent with the prior year.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as a method of keeping our cost structure competitive. As appropriate, the amounts reflected above include the beneficial impact of restructuring actions on Selling, general and administrative expenses. See Note 8: Restructuring Costs and the Restructuring Costs section of this Management's Discussion and Analysis of Financial Condition and Results of Operations for further discussion.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1,172</w:t>
            </w:r>
          </w:p>
        </w:tc>
      </w:tr>
      <w:tr>
        <w:trPr>
          <w:trHeight w:val="27"/>
        </w:trPr>
        <w:tc>
          <w:tcPr>
            <w:tcW w:w="5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Other income, net includes equity earnings in unconsolidated entities, royalty income, foreign exchange gains and losses, as well as other ongoing and nonrecurring items. The year-over-year decrease in Other income (77%) for the quarter ended June 30, 2019 primarily reflects the absence of the prior year gain on the sale of Taylor Company (84%) and the net unfavorable year-over-year impact of foreign exchange gains and losses (3%), partially offset by the absence of a prior year impairment of assets related to a previously acquired business at Collins Aerospace Systems (5%).</w:t>
      </w:r>
    </w:p>
    <w:p>
      <w:pPr>
        <w:spacing w:after="0" w:line="18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year-over-year decrease in Other income, net (72%) for the six months ended June 30, 2019 primarily reflects the absence of the prior year gain on the sale of Taylor Company (68%) and the net unfavorable year-over-year impact of foreign exchange gains and losses (5%), partially offset by the absence of a prior year impairment of assets related to a previously acquired business at Collins Aerospace Systems (4%).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514</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5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463</w:t>
            </w:r>
          </w:p>
        </w:tc>
      </w:tr>
      <w:tr>
        <w:trPr>
          <w:trHeight w:val="20"/>
        </w:trPr>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1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Interest expense, net increased 54% and 71% for the quarter and six months ended June 30, 2019, respectively. The increase in interest expense primarily reflects the impact of the August 16, 2018 issuance of notes representing $11 billion in aggregate principal. The average maturity of our long-term debt at June 30, 2019 is approximately 10 years. The increase in interest income for the quarter and six months ended June 30, 2019 was primarily driven by interest income related to tax settlements.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6320" w:type="dxa"/>
            <w:vAlign w:val="bottom"/>
            <w:gridSpan w:val="2"/>
            <w:shd w:val="clear" w:color="auto" w:fill="CCEEFF"/>
          </w:tcPr>
          <w:p>
            <w:pPr>
              <w:jc w:val="right"/>
              <w:ind w:right="4968"/>
              <w:spacing w:after="0"/>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decrease in the effective tax rate for the quarter ended June 30, 2019 is primarily the result of favorable adjustments related to the conclusion of the audit by the Examination Division of the Internal Revenue Service for the UTC 2014, 2015 and 2016 tax years and the filing by a subsidiary of the Company to participate in an amnesty program offered by the Italian Tax Authority. These benefits were partially offset by tax charges connected to the Company’s portfolio separation transactions.</w:t>
      </w:r>
    </w:p>
    <w:p>
      <w:pPr>
        <w:spacing w:after="0" w:line="180"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for the six months ended June 30, 2019 is principally related to the items described above in addition to the impact of the Tax Cuts and Jobs Act of 2017 (TCJA) interpretive guidance and the absence of the TCJA provisional adjustments recorded through the second quarter of 2018.</w:t>
      </w:r>
    </w:p>
    <w:p>
      <w:pPr>
        <w:spacing w:after="0" w:line="176"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 will continue to review and incorporate as necessary TCJA changes related to forthcoming U.S. Treasury Regulations, other updates, and the finalization of the deemed inclusions to be reported on the Company’s 2018 U.S. federal income tax return.</w:t>
      </w:r>
    </w:p>
    <w:p>
      <w:pPr>
        <w:spacing w:after="0" w:line="162"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As shown in the table above, the effective tax rate for the six months ended June 30, 2019 is 19.7%; the effective income tax rate for the same period, excluding restructuring, non-operational nonrecurring items is 23.1%. The rate is still subject to change as guidance and interpretations related to the TCJA continue to be finalized. We anticipate some variability in the tax</w:t>
      </w:r>
    </w:p>
    <w:p>
      <w:pPr>
        <w:sectPr>
          <w:pgSz w:w="11900" w:h="16838" w:orient="portrait"/>
          <w:cols w:equalWidth="0" w:num="1">
            <w:col w:w="11420"/>
          </w:cols>
          <w:pgMar w:left="240" w:top="118"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rate quarter to quarter from potential discrete items. The Company expects to continue to incur tax costs associated with the ongoing separation of its commercial businesses which is expected to be complete in the first half of 2020.</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3,345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 from operations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4.18</w:t>
            </w:r>
          </w:p>
        </w:tc>
      </w:tr>
    </w:tbl>
    <w:p>
      <w:pPr>
        <w:spacing w:after="0" w:line="11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Net income attributable to common shareowners for the quarter ended June 30, 2019 includes restructuring charges, net of tax benefit, of $48 million, as well as a net gain for significant non-operational and/or nonrecurring items, including the impact of taxes, of $50 million. The offsetting effects of restructuring charges and significant non-operational and/or nonrecurring items resulted in no net impact on diluted earnings per share for the quarter ended June 30, 2019. The effect of foreign currency translation and Pratt &amp;Whitney Canada hedging generated an unfavorable impact of $0.01 per diluted share.</w:t>
      </w:r>
    </w:p>
    <w:p>
      <w:pPr>
        <w:spacing w:after="0" w:line="18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Net income attributable to common shareowners for the quarter ended June 30, 2018 includes restructuring charges, net of tax benefit, of $59 million as well as a net gain for significant non-operational and/or nonrecurring items, including the impact of taxes, of $531 million, primarily reflecting a gain on the sale of Taylor Company. The effect of restructuring charges and significant non-operational and/or nonrecurring items on diluted earnings per share for the quarter ended June 30, 2018 was a gain of $0.59 per share while the effect of foreign currency translation and Pratt &amp;Whitney Canada hedging generated a favorable impact of $0.01 per diluted share.</w:t>
      </w:r>
    </w:p>
    <w:p>
      <w:pPr>
        <w:spacing w:after="0" w:line="18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Net income attributable to common shareowners for the six months ended June 30, 2019 includes restructuring charges, net of tax benefit, of $131 million as well as a net charge for significant non-operational and/or nonrecurring items, including the impact of taxes, of $168 million. The effect of restructuring charges and nonrecurring items on diluted earnings per share for the six months ended June 30, 2019 was a charge of $0.35 per share while the effect of foreign currency translation and Pratt &amp;Whitney Canada hedging generated an unfavorable impact of $0.04 per diluted share.</w:t>
      </w:r>
    </w:p>
    <w:p>
      <w:pPr>
        <w:spacing w:after="0" w:line="180"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Net income attributable to common shareowners for the six months ended June 30, 2018 includes restructuring charges, net of tax benefit, of $111 million as well as a net gain for significant non-operational and/or nonrecurring items, including the impact of taxes, of $459 million, primarily reflecting a gain on the sale of Taylor Company. The effect of restructuring charges and nonrecurring items on diluted earnings per share for the six months ended June 30, 2018 was a gain of $0.44 per share while the effect of foreign currency translation and Pratt &amp;Whitney Canada hedging generated a favorable impact of $0.06 per diluted share.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3"/>
                <w:szCs w:val="23"/>
                <w:color w:val="auto"/>
              </w:rPr>
            </w:pPr>
          </w:p>
        </w:tc>
      </w:tr>
      <w:tr>
        <w:trPr>
          <w:trHeight w:val="262"/>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Restructuring actions are an essential component of our operating margin improvement efforts and relate to existing and recently acquired operations. Charges generally arise from severance related to workforce reductions, facility exit and lease termination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1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2019 Actions. </w:t>
      </w:r>
      <w:r>
        <w:rPr>
          <w:rFonts w:ascii="Times New Roman" w:cs="Times New Roman" w:eastAsia="Times New Roman" w:hAnsi="Times New Roman"/>
          <w:sz w:val="18"/>
          <w:szCs w:val="18"/>
          <w:color w:val="auto"/>
        </w:rPr>
        <w:t>During the six months ended June 30, 2019, we recorded net pre-tax restructuring charges of $115 million relating to ongoing cost reduction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initiated in 2019. We expect to incur additional restructuring charges of $73 million to complete these actions. We are targeting to complete in 2019 and 2020 the majority of the remaining workforce and facility related cost reduction actions initiated in 2019. We expect recurring pre-tax savings in continuing operations to increase to approximately $160 million annually over the two-year period subsequent to initiating the actions. Approximately 92% of the total expected pre-tax charges will require cash payments, which we have funded and expect to continue to fund with cash generated from operations. During the six months ended June 30, 2019, we had cash outflows of approximately $55 million related to the 2019 actions.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2018 Actions. </w:t>
      </w:r>
      <w:r>
        <w:rPr>
          <w:rFonts w:ascii="Times New Roman" w:cs="Times New Roman" w:eastAsia="Times New Roman" w:hAnsi="Times New Roman"/>
          <w:sz w:val="18"/>
          <w:szCs w:val="18"/>
          <w:color w:val="auto"/>
        </w:rPr>
        <w:t>During the six months ended June 30, 2019 and 2018, we recorded net pre-tax restructuring charges of $39 million and $73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for actions initiated in 2018. We expect to incur additional restructuring charges of $20 million to complete these actions. We are targeting to complete in 2019 the majority of the remaining workforce and facility related cost reduction actions initiated in 2018. We expect recurring pre-tax savings in continuing operations to increase over the two-year period subsequent to initiating the actions to approximately $260 million annually, of which, approximately $85 million was realized during the six months ended June 30, 2019. Approximately 92% of the total expected pre-tax charges will require cash payments, which we have funded and expect to continue to fund with cash generated from operations. During the six months ended June 30, 2019, we had cash outflows of approximately $104 million related to the 2018 actions.</w:t>
      </w:r>
    </w:p>
    <w:p>
      <w:pPr>
        <w:spacing w:after="0" w:line="187"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In addition, during the six months ended June 30, 2019, we recorded net pre-tax restructuring costs totaling $24 million for restructuring actions initiated in 2017 and prior. For additional discussion of restructuring, see Note 8 to the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six months ended June 30, 2019 and 2018 are included in "Eliminations and other", which also includes certain smaller subsidiaries. We attempt to quantify material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Commercial Businesses</w:t>
      </w:r>
    </w:p>
    <w:p>
      <w:pPr>
        <w:spacing w:after="0" w:line="229"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Our commercial businesses generally serve customers in the worldwide commercial and residential property industries, and Carrier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Carrier's financial performance can also be influenced by production and utilization of transport equipment and, in the case of its residential business, weather conditions. To ensure adequate supply of products in the distribution channel, Carrier customarily offers its customers incentives to purchase products. The principal incentive program provides reimbursements to distributors for offering promotional pricing on Carrier products. We account for incentive payments made as a reduction to sales.</w:t>
      </w:r>
    </w:p>
    <w:p>
      <w:pPr>
        <w:spacing w:after="0" w:line="8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At constant currency and excluding the effect of acquisitions and divestitures, Carrier equipment orders in the quarter ended June 30, 2019 decreased 12% in comparison to the same period of the prior year, driven by decreases in transport refrigeration (63%), commercial refrigeration (11%), commercial HVAC (4%) and North America residential HVAC equipment (3%). Fire and security products equipment orders were consistent with the prior year. At constant currency, Otis new equipment orders in the quarter decreased 6% in comparison to the prior year as increased orders in China (5%) were more than offset by decreased orders in the Americas (17%), Asia excluding China (16%) and Europe and the Middle East (2%).</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commercial businesses for the quarters ended June 30, 2019 and 2018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Otis</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060" w:type="dxa"/>
            <w:vAlign w:val="bottom"/>
            <w:tcBorders>
              <w:bottom w:val="single" w:sz="8" w:color="auto"/>
            </w:tcBorders>
          </w:tcPr>
          <w:p>
            <w:pPr>
              <w:spacing w:after="0"/>
              <w:rPr>
                <w:sz w:val="16"/>
                <w:szCs w:val="16"/>
                <w:color w:val="auto"/>
              </w:rPr>
            </w:pPr>
          </w:p>
        </w:tc>
      </w:tr>
      <w:tr>
        <w:trPr>
          <w:trHeight w:val="265"/>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1060" w:type="dxa"/>
            <w:vAlign w:val="bottom"/>
          </w:tcPr>
          <w:p>
            <w:pPr>
              <w:spacing w:after="0"/>
              <w:rPr>
                <w:sz w:val="24"/>
                <w:szCs w:val="24"/>
                <w:color w:val="auto"/>
              </w:rPr>
            </w:pPr>
          </w:p>
        </w:tc>
      </w:tr>
      <w:tr>
        <w:trPr>
          <w:trHeight w:val="243"/>
        </w:trPr>
        <w:tc>
          <w:tcPr>
            <w:tcW w:w="10340" w:type="dxa"/>
            <w:vAlign w:val="bottom"/>
            <w:gridSpan w:val="17"/>
          </w:tcPr>
          <w:p>
            <w:pPr>
              <w:ind w:left="660"/>
              <w:spacing w:after="0"/>
              <w:rPr>
                <w:sz w:val="20"/>
                <w:szCs w:val="20"/>
                <w:color w:val="auto"/>
              </w:rPr>
            </w:pPr>
            <w:r>
              <w:rPr>
                <w:rFonts w:ascii="Times New Roman" w:cs="Times New Roman" w:eastAsia="Times New Roman" w:hAnsi="Times New Roman"/>
                <w:sz w:val="18"/>
                <w:szCs w:val="18"/>
                <w:color w:val="auto"/>
              </w:rPr>
              <w:t>Summary performance for each of the commercial businesses for the six months ended June 30, 2019 and 2018 was as follows:</w:t>
            </w:r>
          </w:p>
        </w:tc>
        <w:tc>
          <w:tcPr>
            <w:tcW w:w="1060" w:type="dxa"/>
            <w:vAlign w:val="bottom"/>
          </w:tcPr>
          <w:p>
            <w:pPr>
              <w:spacing w:after="0"/>
              <w:rPr>
                <w:sz w:val="21"/>
                <w:szCs w:val="21"/>
                <w:color w:val="auto"/>
              </w:rPr>
            </w:pPr>
          </w:p>
        </w:tc>
      </w:tr>
      <w:tr>
        <w:trPr>
          <w:trHeight w:val="459"/>
        </w:trPr>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650"/>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Otis</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8"/>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12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6,381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9,411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1,858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402"/>
              <w:spacing w:after="0"/>
              <w:rPr>
                <w:sz w:val="20"/>
                <w:szCs w:val="20"/>
                <w:color w:val="auto"/>
              </w:rPr>
            </w:pPr>
            <w:r>
              <w:rPr>
                <w:rFonts w:ascii="Times New Roman" w:cs="Times New Roman" w:eastAsia="Times New Roman" w:hAnsi="Times New Roman"/>
                <w:sz w:val="18"/>
                <w:szCs w:val="18"/>
                <w:color w:val="auto"/>
              </w:rPr>
              <w:t>14.7%</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Otis –</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2019 Compared with Quarter Ended June 30, 2018</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3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4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increase of 4% primarily reflects higher service sales across all regions (2%), primarily driven by growth in the Americas (1%) and Asia (1%), and higher new equipment sales (2%) driven by growth in China.</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7% was driven by:</w:t>
      </w:r>
    </w:p>
    <w:p>
      <w:pPr>
        <w:spacing w:after="0" w:line="27"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contribution from the higher sales volumes noted above (9%)</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productivity (1%)</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(3%)</w:t>
      </w:r>
    </w:p>
    <w:p>
      <w:pPr>
        <w:spacing w:after="0" w:line="9" w:lineRule="exact"/>
        <w:rPr>
          <w:rFonts w:ascii="Times New Roman" w:cs="Times New Roman" w:eastAsia="Times New Roman" w:hAnsi="Times New Roman"/>
          <w:sz w:val="18"/>
          <w:szCs w:val="18"/>
          <w:color w:val="auto"/>
        </w:rPr>
      </w:pPr>
    </w:p>
    <w:p>
      <w:pPr>
        <w:ind w:left="900" w:right="60" w:hanging="244"/>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transactional foreign exchange gains and losses from mark-to-market adjustments and embedded foreign currency derivatives within certain new equipment contracts (1%)</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3% increase in "Other" primarily represents the absence of the unfavorable impact of prior year legal matters.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Compared with Six Months Ended June 30,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FX</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 organic sales increase of 6% primarily reflects higher new equipment sales (3%) driven by growth in China (2%) and the Americas (1%), and higher service sales (3%), driven by growth in the Americas (1%), Asia (1%) and Europe and the Middle East (1%).</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3% was driven by:</w:t>
      </w:r>
    </w:p>
    <w:p>
      <w:pPr>
        <w:spacing w:after="0" w:line="27" w:lineRule="exact"/>
        <w:rPr>
          <w:sz w:val="20"/>
          <w:szCs w:val="20"/>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contribution from the higher sales volumes noted above (8%)</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productivity (1%)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4"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(3%)</w:t>
      </w:r>
    </w:p>
    <w:p>
      <w:pPr>
        <w:spacing w:after="0" w:line="9" w:lineRule="exact"/>
        <w:rPr>
          <w:rFonts w:ascii="Times New Roman" w:cs="Times New Roman" w:eastAsia="Times New Roman" w:hAnsi="Times New Roman"/>
          <w:sz w:val="18"/>
          <w:szCs w:val="18"/>
          <w:color w:val="auto"/>
        </w:rPr>
      </w:pPr>
    </w:p>
    <w:p>
      <w:pPr>
        <w:ind w:left="900" w:right="60" w:hanging="244"/>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transactional foreign exchange gains and losses from mark-to-market adjustments and embedded foreign currency derivatives within certain new equipment contracts (4%)</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1% increase in "Other" primarily represents the absence of the unfavorable impact of prior year legal matters.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Carrier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2019 Compared with Quarter Ended June 30,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FX</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increase of 2% was primarily driven by growth in commercial HVAC (1%) as well as increases in North America residential HVAC and transport refrigeration (1%, combined).</w:t>
      </w:r>
    </w:p>
    <w:p>
      <w:pPr>
        <w:spacing w:after="0" w:line="162"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Operational profit decreased 1% in comparison to the prior year as the impact of favorable pricing (4%) was partially offset by the unfavorable impact of commodity costs, tariffs, labor productivity and logistics (3%). This net favorability was more than offset by investments in productivity initiatives (1%) and unfavorable mix, net of higher volume (1%).</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47% decrease in Other primarily reflects the absence of the prior year gain on the sale of Taylor Company.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Compared with Six Months Ended June 30,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6"/>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FX</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organic sales increase of 3% was primarily driven by growth in transport refrigeration (1%) as well as global HVAC (2%).</w:t>
      </w:r>
    </w:p>
    <w:p>
      <w:pPr>
        <w:spacing w:after="0" w:line="225"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Operational profit decreased 2% in comparison to the prior year. The impact of favorable pricing and material productivity (6%, combined) was partially offset by the unfavorable impact of commodity costs, tariffs, labor productivity and logistics (5%). This net favorability was more than offset by increased selling, general and administrative costs, net of restructuring savings (1%), unfavorable mix, net of higher volume (1%) and investments in productivity initiatives (1%).</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34% decrease in Other primarily reflects the absence of the prior year gain on the sale of Taylor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Aerospace Businesses</w:t>
      </w:r>
    </w:p>
    <w:p>
      <w:pPr>
        <w:spacing w:after="0" w:line="229"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76"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We continue to see growth in a strong commercial airline industry which is benefiting from traffic growth and stronger economic conditions. Airline traffic, as measured by RPMs, grew approximately 5% in the first five months of 2019.</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Our commercial aftermarket businesses continue to evolve as a significant portion of our aerospace businesses' customers are covered under long-term aftermarket service agreements at Pratt &amp; Whitney and Collins Aerospace Systems. These agreements are comprehensive long-term spare part and service agreements with our customers. We expect a continued shift to long-term aftermarket service agreements in lieu of transactional spare part sales as new aerospace products enter our customers' fleets under long-term service agreements and legacy fleets are retired. For the first six months of 2019, as compared with 2018, total commercial aerospace aftermarket sales increased 69% at Collins Aerospace Systems (up 13% excluding the impact of the Rockwell Collins acquisition) and 1% at Pratt &amp; Whitney.</w:t>
      </w:r>
    </w:p>
    <w:p>
      <w:pPr>
        <w:spacing w:after="0" w:line="188"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Operating profit in the quarter and six months ended June 30, 2019 included net unfavorable changes in aerospace contract estimates totaling $69 million and $81 million, respectively, primarily reflecting net unfavorable contract adjustments at Pratt &amp; Whitney. Operating profit in the quarter and six months ended June 30, 2018 included net unfavorable changes in aerospace contract estimates totaling $41 million and $82 million, respectively, primarily reflecting net unfavorable contract adjustments recorded at Pratt &amp; Whitney.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aerospace businesses for the quarters ended June 30, 2019 and 2018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Collins Aerospace Systems</w:t>
            </w:r>
          </w:p>
        </w:tc>
        <w:tc>
          <w:tcPr>
            <w:tcW w:w="900" w:type="dxa"/>
            <w:vAlign w:val="bottom"/>
            <w:tcBorders>
              <w:bottom w:val="single" w:sz="8" w:color="auto"/>
            </w:tcBorders>
          </w:tcPr>
          <w:p>
            <w:pPr>
              <w:spacing w:after="0"/>
              <w:rPr>
                <w:sz w:val="16"/>
                <w:szCs w:val="16"/>
                <w:color w:val="auto"/>
              </w:rPr>
            </w:pPr>
          </w:p>
        </w:tc>
      </w:tr>
      <w:tr>
        <w:trPr>
          <w:trHeight w:val="265"/>
        </w:trPr>
        <w:tc>
          <w:tcPr>
            <w:tcW w:w="4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4,736</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3,893</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843</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446</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397</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w w:val="99"/>
              </w:rPr>
              <w:t>106%</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65"/>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28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aerospace businesses for the six months ended June 30, 2019 and 2018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Collins Aerospace Systems</w:t>
            </w:r>
          </w:p>
        </w:tc>
        <w:tc>
          <w:tcPr>
            <w:tcW w:w="940" w:type="dxa"/>
            <w:vAlign w:val="bottom"/>
            <w:tcBorders>
              <w:bottom w:val="single" w:sz="8" w:color="auto"/>
            </w:tcBorders>
          </w:tcPr>
          <w:p>
            <w:pPr>
              <w:spacing w:after="0"/>
              <w:rPr>
                <w:sz w:val="16"/>
                <w:szCs w:val="16"/>
                <w:color w:val="auto"/>
              </w:rPr>
            </w:pPr>
          </w:p>
        </w:tc>
      </w:tr>
      <w:tr>
        <w:trPr>
          <w:trHeight w:val="228"/>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9"/>
                <w:szCs w:val="19"/>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57"/>
        </w:trPr>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8"/>
                <w:szCs w:val="18"/>
                <w:color w:val="auto"/>
              </w:rPr>
              <w:t>15.5%</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 &amp; Whitney –</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2019 Compared with Quarter Ended June 30, 2018</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3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1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4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right="140" w:firstLine="8"/>
        <w:spacing w:after="0" w:line="254" w:lineRule="auto"/>
        <w:tabs>
          <w:tab w:leader="none" w:pos="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growth of 9% primarily reflects higher commercial OEM sales (4%), higher military sales (4%), and higher commercial aftermarket sales (1%).</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4% was primarily driven by:</w:t>
      </w:r>
    </w:p>
    <w:p>
      <w:pPr>
        <w:spacing w:after="0" w:line="27" w:lineRule="exact"/>
        <w:rPr>
          <w:sz w:val="20"/>
          <w:szCs w:val="20"/>
          <w:color w:val="auto"/>
        </w:rPr>
      </w:pPr>
    </w:p>
    <w:p>
      <w:pPr>
        <w:ind w:left="900" w:right="420" w:hanging="244"/>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commercial OEM margin contribution (18%) primarily driven by continued year-over-year cost reduction and favorable mix on large commercial engine shipments</w:t>
      </w: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military margin contribution (4%) driven by the sales increase noted above and favorable mix</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research and development costs (9%)</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and other ramp-related costs (5%)</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commercial aftermarket margin contribution (4%) primarily driven by net unfavorable changes in contract estimates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Compared with Six Months Ended June 30,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growth of 11% primarily reflects higher commercial OEM sales (5%), higher military sales (5%), and higher commercial aftermarket sales of (1%).</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6% was primarily driven by:</w:t>
      </w:r>
    </w:p>
    <w:p>
      <w:pPr>
        <w:spacing w:after="0" w:line="27" w:lineRule="exact"/>
        <w:rPr>
          <w:sz w:val="20"/>
          <w:szCs w:val="20"/>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military profit contribution (10%), driven by the sales increase noted above</w:t>
      </w:r>
    </w:p>
    <w:p>
      <w:pPr>
        <w:spacing w:after="0" w:line="9" w:lineRule="exact"/>
        <w:rPr>
          <w:rFonts w:ascii="Times New Roman" w:cs="Times New Roman" w:eastAsia="Times New Roman" w:hAnsi="Times New Roman"/>
          <w:sz w:val="18"/>
          <w:szCs w:val="18"/>
          <w:color w:val="auto"/>
        </w:rPr>
      </w:pPr>
    </w:p>
    <w:p>
      <w:pPr>
        <w:ind w:left="900" w:right="240" w:hanging="244"/>
        <w:spacing w:after="0" w:line="26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OEM margin contribution (7%) primarily driven by continued year-over-year cost reduction, favorable mix on large commercial engine shipments, and lower customer support costs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900" w:hanging="24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research and development costs (8%)</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and other ramp-related costs (3%)</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 increase in "Other" primarily reflects favorable year-over-year licensing income.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 Systems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2019 Compared with Quarter Ended June 30,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FX</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0"/>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organic sales growth of 9% primarily reflects higher commercial aerospace aftermarket sales (6%), and higher military OEM sales (2%).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operational profit of 21% primarily reflects:</w:t>
      </w:r>
    </w:p>
    <w:p>
      <w:pPr>
        <w:spacing w:after="0" w:line="27" w:lineRule="exact"/>
        <w:rPr>
          <w:sz w:val="20"/>
          <w:szCs w:val="20"/>
          <w:color w:val="auto"/>
        </w:rPr>
      </w:pPr>
    </w:p>
    <w:p>
      <w:pPr>
        <w:ind w:left="900" w:right="480" w:hanging="244"/>
        <w:spacing w:after="0" w:line="261"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commercial aerospace aftermarket margin contribution driven by the sales growth noted above, partially offset by lower commercial aerospace OEM margin contribution (net, 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8"/>
          <w:szCs w:val="18"/>
          <w:color w:val="auto"/>
        </w:rPr>
        <w:t>•</w:t>
        <w:tab/>
        <w:t>lower selling, general and administrative expenses (1%)</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8"/>
          <w:szCs w:val="18"/>
          <w:color w:val="auto"/>
        </w:rPr>
        <w:t>•</w:t>
        <w:tab/>
        <w:t>higher research and development costs (4%)</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5% increase in Other primarily reflects the absence of a prior year impairment of assets related to a previously acquired business.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Compared with Six Months Ended June 30,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5"/>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580" w:type="dxa"/>
            <w:vAlign w:val="bottom"/>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99"/>
              </w:rPr>
              <w:t>(1)%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9"/>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organic sales increase of 10% primarily reflects higher commercial aerospace OEM and aftermarket sales (8%), and higher military sales (2%).</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12% primarily reflects:</w:t>
      </w:r>
    </w:p>
    <w:p>
      <w:pPr>
        <w:spacing w:after="0" w:line="27" w:lineRule="exact"/>
        <w:rPr>
          <w:sz w:val="20"/>
          <w:szCs w:val="20"/>
          <w:color w:val="auto"/>
        </w:rPr>
      </w:pPr>
    </w:p>
    <w:p>
      <w:pPr>
        <w:ind w:left="900" w:right="480" w:hanging="244"/>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commercial aerospace aftermarket margin contribution driven by the sales growth noted above, partially offset by lower commercial aerospace OEM margin contribution (net, 19%)</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increase was partially offset by:</w:t>
      </w:r>
    </w:p>
    <w:p>
      <w:pPr>
        <w:spacing w:after="0" w:line="117" w:lineRule="exact"/>
        <w:rPr>
          <w:sz w:val="20"/>
          <w:szCs w:val="20"/>
          <w:color w:val="auto"/>
        </w:rPr>
      </w:pPr>
    </w:p>
    <w:p>
      <w:pPr>
        <w:ind w:left="900" w:hanging="2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(3%)</w:t>
      </w:r>
    </w:p>
    <w:p>
      <w:pPr>
        <w:spacing w:after="0" w:line="2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research and development costs (3%)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Eliminations and other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520" w:type="dxa"/>
            <w:vAlign w:val="bottom"/>
            <w:tcBorders>
              <w:bottom w:val="single" w:sz="8" w:color="auto"/>
            </w:tcBorders>
          </w:tcPr>
          <w:p>
            <w:pPr>
              <w:spacing w:after="0"/>
              <w:rPr>
                <w:sz w:val="16"/>
                <w:szCs w:val="16"/>
                <w:color w:val="auto"/>
              </w:rPr>
            </w:pPr>
          </w:p>
        </w:tc>
      </w:tr>
      <w:tr>
        <w:trPr>
          <w:trHeight w:val="249"/>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20" w:type="dxa"/>
            <w:vAlign w:val="bottom"/>
            <w:tcBorders>
              <w:bottom w:val="single" w:sz="8" w:color="auto"/>
            </w:tcBorders>
          </w:tcPr>
          <w:p>
            <w:pPr>
              <w:spacing w:after="0"/>
              <w:rPr>
                <w:sz w:val="21"/>
                <w:szCs w:val="21"/>
                <w:color w:val="auto"/>
              </w:rPr>
            </w:pPr>
          </w:p>
        </w:tc>
      </w:tr>
      <w:tr>
        <w:trPr>
          <w:trHeight w:val="265"/>
        </w:trPr>
        <w:tc>
          <w:tcPr>
            <w:tcW w:w="51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3"/>
                <w:szCs w:val="23"/>
                <w:color w:val="auto"/>
              </w:rPr>
            </w:pPr>
          </w:p>
        </w:tc>
      </w:tr>
      <w:tr>
        <w:trPr>
          <w:trHeight w:val="24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427"/>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52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21"/>
                <w:szCs w:val="21"/>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bl>
    <w:p>
      <w:pPr>
        <w:spacing w:after="0" w:line="11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businesses. The year-over-year increase in sales eliminations for the quarter and six months ended June 30, 2019, as compared to the same periods of 2018, reflects an increase in the amount of inter-segment eliminations, principally between our aerospace businesses. The decrease in operating profits for the quarter ended June 30, 2019 is primarily driven by costs associated with the Company's intention to separate its commercial businesses. The decrease in operating profits for the six months ended June 30, 2018 is primarily driven by costs associated with the Company's intention to separate its commercial businesses and the absence of the favorable impact of prior year insurance settlements, partially offset by lower transaction costs related to the acquisition of Rockwell Collins.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Pr>
          <w:p>
            <w:pPr>
              <w:spacing w:after="0"/>
              <w:rPr>
                <w:sz w:val="17"/>
                <w:szCs w:val="17"/>
                <w:color w:val="auto"/>
              </w:rPr>
            </w:pPr>
          </w:p>
        </w:tc>
        <w:tc>
          <w:tcPr>
            <w:tcW w:w="13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 2018</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11,068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28,309</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debt (total debt less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17,241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33,346</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61,655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capitalization (total debt plus total equity less cash and cash equivalents)</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50,587</w:t>
            </w:r>
          </w:p>
        </w:tc>
      </w:tr>
      <w:tr>
        <w:trPr>
          <w:trHeight w:val="162"/>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26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17" w:lineRule="exact"/>
        <w:rPr>
          <w:sz w:val="20"/>
          <w:szCs w:val="20"/>
          <w:color w:val="auto"/>
        </w:rPr>
      </w:pPr>
    </w:p>
    <w:p>
      <w:pPr>
        <w:ind w:right="280" w:firstLine="567"/>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 of liquidity is operating cash flows. For 2019, we expect cash flows from operations, net of capital expenditures, to approximate $4.5 billion to $5.0 billion, including $1.5 billion of one-time cash payments related to the portfolio separation.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88" w:lineRule="exact"/>
        <w:rPr>
          <w:sz w:val="20"/>
          <w:szCs w:val="20"/>
          <w:color w:val="auto"/>
        </w:rPr>
      </w:pPr>
    </w:p>
    <w:p>
      <w:pPr>
        <w:ind w:right="280" w:firstLine="567"/>
        <w:spacing w:after="0" w:line="256" w:lineRule="auto"/>
        <w:rPr>
          <w:sz w:val="20"/>
          <w:szCs w:val="20"/>
          <w:color w:val="auto"/>
        </w:rPr>
      </w:pPr>
      <w:r>
        <w:rPr>
          <w:rFonts w:ascii="Times New Roman" w:cs="Times New Roman" w:eastAsia="Times New Roman" w:hAnsi="Times New Roman"/>
          <w:sz w:val="18"/>
          <w:szCs w:val="18"/>
          <w:color w:val="auto"/>
        </w:rPr>
        <w:t>At June 30, 2019, we had cash and cash equivalents of $6,819 million, of which approximately 76% was held by UTC's foreign subsidiaries. We manage our worldwide cash requirements by reviewing available funds among the many subsidiaries through which we conduct our business and the cost effectiveness with which those funds can be accessed. The Company no longer intends to reinvest certain undistributed earnings of its international subsidiaries that have been previously taxed in the U.S. As such, in the fourth quarter of 2018, it has recorded the taxes therewith. For the remainder of the Company’s undistributed international earnings, unless tax effective to repatriate, UTC will continue to permanently reinvest these earnings. We have repatriated approximately $1.3 billion of cash for the six months ended June 30, 2019.</w:t>
      </w:r>
    </w:p>
    <w:p>
      <w:pPr>
        <w:spacing w:after="0" w:line="188" w:lineRule="exact"/>
        <w:rPr>
          <w:sz w:val="20"/>
          <w:szCs w:val="20"/>
          <w:color w:val="auto"/>
        </w:rPr>
      </w:pPr>
    </w:p>
    <w:p>
      <w:pPr>
        <w:jc w:val="both"/>
        <w:ind w:right="180" w:firstLine="567"/>
        <w:spacing w:after="0" w:line="266" w:lineRule="auto"/>
        <w:rPr>
          <w:sz w:val="20"/>
          <w:szCs w:val="20"/>
          <w:color w:val="auto"/>
        </w:rPr>
      </w:pPr>
      <w:r>
        <w:rPr>
          <w:rFonts w:ascii="Times New Roman" w:cs="Times New Roman" w:eastAsia="Times New Roman" w:hAnsi="Times New Roman"/>
          <w:sz w:val="18"/>
          <w:szCs w:val="18"/>
          <w:color w:val="auto"/>
        </w:rPr>
        <w:t>On occasion, we are required to maintain cash deposits with certain banks with respect to contractual obligations related to acquisitions, divestitures or other legal obligations. As of June 30, 2019 and December 31, 2018, the amount of such restricted cash was approximately $37 million and $60 million, respectively.</w:t>
      </w:r>
    </w:p>
    <w:p>
      <w:pPr>
        <w:spacing w:after="0" w:line="176" w:lineRule="exact"/>
        <w:rPr>
          <w:sz w:val="20"/>
          <w:szCs w:val="20"/>
          <w:color w:val="auto"/>
        </w:rPr>
      </w:pPr>
    </w:p>
    <w:p>
      <w:pPr>
        <w:ind w:right="60" w:firstLine="567"/>
        <w:spacing w:after="0" w:line="258" w:lineRule="auto"/>
        <w:rPr>
          <w:sz w:val="20"/>
          <w:szCs w:val="20"/>
          <w:color w:val="auto"/>
        </w:rPr>
      </w:pPr>
      <w:r>
        <w:rPr>
          <w:rFonts w:ascii="Times New Roman" w:cs="Times New Roman" w:eastAsia="Times New Roman" w:hAnsi="Times New Roman"/>
          <w:sz w:val="18"/>
          <w:szCs w:val="18"/>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of 51% at June 30, 2019 is down 200 basis points from December 31, 2018 and increased 500 basis points from June 30, 2018, primarily reflecting additional borrowings used to finance the acquisition of Rockwell Collins as well as the acquisition of Rockwell Collins' outstanding debt.</w:t>
      </w:r>
    </w:p>
    <w:p>
      <w:pPr>
        <w:spacing w:after="0" w:line="18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At June 30, 2019, we had credit agreements with various banks permitting aggregate borrowings of up to $10.35 billion, including: a $2.20 billion revolving credit agreement and a $2.15 billion multicurrency revolving credit agreement, both of which expire in August 2021; and a $2.0 billion revolving credit agreement and a $4.0 billion term credit agreement, both of which we entered into on March 15, 2019 and which will expire on March 15, 2021 or, if earlier, the date that is 180 days after the date on which each of the separations of Otis and Carrier have been consummated. On March 15, 2019, we terminated the $1.5 billion revolving credit agreement that we entered into on November 26, 2018. As of June 30, 2019, there were no borrowings under any of these agreements. The undrawn portions of these revolving credit agreements are also available to serve as backup facilities for the issuance of commercial paper.</w:t>
      </w:r>
    </w:p>
    <w:p>
      <w:pPr>
        <w:spacing w:after="0" w:line="189"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As of June 30, 2019, our maximum commercial paper borrowing limit was $6.35 billion. Commercial paper borrowings at June 30, 2019 include approximately €750 million ($855 million) of euro-denominated commercial paper. We use our commercial paper borrowings for general corporate purposes, including the funding of potential acquisitions,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had no debt issuances during the six months ended June 30, 2019 and had the following issuances of debt in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and Euro in millions)</w:t>
            </w: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18"/>
        </w:trPr>
        <w:tc>
          <w:tcPr>
            <w:tcW w:w="40" w:type="dxa"/>
            <w:vAlign w:val="bottom"/>
            <w:tcBorders>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36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5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269"/>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16, 2018:</w:t>
            </w:r>
          </w:p>
        </w:tc>
        <w:tc>
          <w:tcPr>
            <w:tcW w:w="5460" w:type="dxa"/>
            <w:vAlign w:val="bottom"/>
            <w:shd w:val="clear" w:color="auto" w:fill="CCEEFF"/>
          </w:tcPr>
          <w:p>
            <w:pPr>
              <w:ind w:left="360"/>
              <w:spacing w:after="0" w:line="269" w:lineRule="exact"/>
              <w:rPr>
                <w:sz w:val="20"/>
                <w:szCs w:val="20"/>
                <w:color w:val="auto"/>
              </w:rPr>
            </w:pPr>
            <w:r>
              <w:rPr>
                <w:rFonts w:ascii="Times New Roman" w:cs="Times New Roman" w:eastAsia="Times New Roman" w:hAnsi="Times New Roman"/>
                <w:sz w:val="18"/>
                <w:szCs w:val="18"/>
                <w:color w:val="auto"/>
              </w:rPr>
              <w:t>3.350% notes due 2021</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3.650% notes due 2023</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3.950% notes due 2025</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4.125% notes due 2028</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4.450% notes due 2038</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4.625% notes due 2048</w:t>
            </w:r>
            <w:r>
              <w:rPr>
                <w:rFonts w:ascii="Times New Roman" w:cs="Times New Roman" w:eastAsia="Times New Roman" w:hAnsi="Times New Roman"/>
                <w:sz w:val="25"/>
                <w:szCs w:val="25"/>
                <w:color w:val="auto"/>
                <w:vertAlign w:val="superscript"/>
              </w:rPr>
              <w:t>2</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LIBOR plus 0.65% floating rate notes due 2021</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162"/>
        </w:trPr>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18, 2018:</w:t>
            </w: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1.150% notes due 2024</w:t>
            </w:r>
            <w:r>
              <w:rPr>
                <w:rFonts w:ascii="Times New Roman" w:cs="Times New Roman" w:eastAsia="Times New Roman" w:hAnsi="Times New Roman"/>
                <w:sz w:val="25"/>
                <w:szCs w:val="25"/>
                <w:color w:val="auto"/>
                <w:vertAlign w:val="superscript"/>
              </w:rPr>
              <w:t>3</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2.150% notes due 2030</w:t>
            </w:r>
            <w:r>
              <w:rPr>
                <w:rFonts w:ascii="Times New Roman" w:cs="Times New Roman" w:eastAsia="Times New Roman" w:hAnsi="Times New Roman"/>
                <w:sz w:val="25"/>
                <w:szCs w:val="25"/>
                <w:color w:val="auto"/>
                <w:vertAlign w:val="superscript"/>
              </w:rPr>
              <w:t>3</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EURIBOR plus 0.20% floating rate notes due 2020</w:t>
            </w:r>
            <w:r>
              <w:rPr>
                <w:rFonts w:ascii="Times New Roman" w:cs="Times New Roman" w:eastAsia="Times New Roman" w:hAnsi="Times New Roman"/>
                <w:sz w:val="25"/>
                <w:szCs w:val="25"/>
                <w:color w:val="auto"/>
                <w:vertAlign w:val="superscript"/>
              </w:rPr>
              <w:t>3</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bl>
    <w:p>
      <w:pPr>
        <w:spacing w:after="0" w:line="139" w:lineRule="exact"/>
        <w:rPr>
          <w:sz w:val="20"/>
          <w:szCs w:val="20"/>
          <w:color w:val="auto"/>
        </w:rPr>
      </w:pPr>
    </w:p>
    <w:p>
      <w:pPr>
        <w:ind w:left="340" w:right="400" w:hanging="332"/>
        <w:spacing w:after="0" w:line="282" w:lineRule="auto"/>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received from these debt issuances were used to partially finance the cash consideration portion of the purchase price for Rockwell Collins and fees, expenses and other amounts related to the acquisition of Rockwell Collins.</w:t>
      </w:r>
    </w:p>
    <w:p>
      <w:pPr>
        <w:spacing w:after="0" w:line="54"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these debt issuances were used to fund the repayment of commercial paper and for other general corporate purposes.</w:t>
      </w:r>
    </w:p>
    <w:p>
      <w:pPr>
        <w:spacing w:after="0" w:line="10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The net proceeds received from these debt issuances were used for general corporate purposes.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had no debt payments during the six months ended June 30, 2019 and had the following repayments of debt in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and Euro in millions)</w:t>
            </w: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18"/>
        </w:trPr>
        <w:tc>
          <w:tcPr>
            <w:tcW w:w="40" w:type="dxa"/>
            <w:vAlign w:val="bottom"/>
            <w:tcBorders>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36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269"/>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14, 2018</w:t>
            </w:r>
          </w:p>
        </w:tc>
        <w:tc>
          <w:tcPr>
            <w:tcW w:w="5880" w:type="dxa"/>
            <w:vAlign w:val="bottom"/>
            <w:shd w:val="clear" w:color="auto" w:fill="CCEEFF"/>
          </w:tcPr>
          <w:p>
            <w:pPr>
              <w:ind w:left="360"/>
              <w:spacing w:after="0" w:line="269" w:lineRule="exact"/>
              <w:rPr>
                <w:sz w:val="20"/>
                <w:szCs w:val="20"/>
                <w:color w:val="auto"/>
              </w:rPr>
            </w:pPr>
            <w:r>
              <w:rPr>
                <w:rFonts w:ascii="Times New Roman" w:cs="Times New Roman" w:eastAsia="Times New Roman" w:hAnsi="Times New Roman"/>
                <w:sz w:val="18"/>
                <w:szCs w:val="18"/>
                <w:color w:val="auto"/>
              </w:rPr>
              <w:t>Variable-rate term loan due 2020 (1 month LIBOR plus 1.25%)</w:t>
            </w:r>
            <w:r>
              <w:rPr>
                <w:rFonts w:ascii="Times New Roman" w:cs="Times New Roman" w:eastAsia="Times New Roman" w:hAnsi="Times New Roman"/>
                <w:sz w:val="25"/>
                <w:szCs w:val="25"/>
                <w:color w:val="auto"/>
                <w:vertAlign w:val="superscript"/>
              </w:rPr>
              <w:t>1</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May 4, 2018</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1.778% junior subordinated notes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22, 2018</w:t>
            </w:r>
          </w:p>
        </w:tc>
        <w:tc>
          <w:tcPr>
            <w:tcW w:w="5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EURIBOR plus 0.80% floating rate notes</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February 1, 2018</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6.80% notes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w:t>
            </w:r>
          </w:p>
        </w:tc>
      </w:tr>
    </w:tbl>
    <w:p>
      <w:pPr>
        <w:spacing w:after="0" w:line="166"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term loan was assumed in connection with the Rockwell Collins acquisition and subsequently repaid.</w:t>
      </w:r>
    </w:p>
    <w:p>
      <w:pPr>
        <w:spacing w:after="0" w:line="168" w:lineRule="exact"/>
        <w:rPr>
          <w:sz w:val="20"/>
          <w:szCs w:val="20"/>
          <w:color w:val="auto"/>
        </w:rPr>
      </w:pPr>
    </w:p>
    <w:p>
      <w:pPr>
        <w:jc w:val="both"/>
        <w:ind w:right="420" w:firstLine="567"/>
        <w:spacing w:after="0" w:line="266" w:lineRule="auto"/>
        <w:rPr>
          <w:sz w:val="20"/>
          <w:szCs w:val="20"/>
          <w:color w:val="auto"/>
        </w:rPr>
      </w:pPr>
      <w:r>
        <w:rPr>
          <w:rFonts w:ascii="Times New Roman" w:cs="Times New Roman" w:eastAsia="Times New Roman" w:hAnsi="Times New Roman"/>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5"/>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3"/>
                <w:szCs w:val="23"/>
                <w:color w:val="auto"/>
              </w:rPr>
            </w:pPr>
          </w:p>
        </w:tc>
      </w:tr>
      <w:tr>
        <w:trPr>
          <w:trHeight w:val="262"/>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2,555</w:t>
            </w: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Cash generated from operating activities in the six months ended June 30, 2019 was $1,056 million higher than the same period in 2018 largely due to higher net income. Cash outflows for working capital improved $33 million in the six months ended June 30, 2019 over the prior period. Factoring activity resulted in a decrease of approximately $1.2 billion in cash flows from operating activities during the six months ended June 30, 2019, as compared to the prior year. This decline in factoring activity was primarily driven by Pratt &amp; Whitney partially offset by increased factoring at Collins Aerospace Systems. Factoring activity does not reflect the factoring of certain receivables performed at customer request for which we are compensated by the customer for the extended collection cycle.</w:t>
      </w:r>
    </w:p>
    <w:p>
      <w:pPr>
        <w:spacing w:after="0" w:line="188" w:lineRule="exact"/>
        <w:rPr>
          <w:sz w:val="20"/>
          <w:szCs w:val="20"/>
          <w:color w:val="auto"/>
        </w:rPr>
      </w:pPr>
    </w:p>
    <w:p>
      <w:pPr>
        <w:jc w:val="both"/>
        <w:ind w:right="100" w:firstLine="567"/>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2019, cash outflows from working capital were $456 million. Contract assets, current increased $491 million due to work performed in excess of billings at Pratt &amp; Whitney and Collins Aerospace Systems. Inventory increased $1.1 billion primarily driven by an increase to support higher sales volumes at Collins Aerospace Systems,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Geared Turbofan at Pratt &amp; Whitney, and seasonal build in the HVAC businesses at Carrier. These outflows were partially offset by decreases in Accounts receivable of $769 million primarily due to improved collections at Pratt &amp; Whitney and increases in Contract liabilities, current of $381 million primarily driven by Pratt &amp; Whitney billings in excess of work performed, higher advanced billings at Otis and by Collins Aerospace Systems.</w:t>
      </w:r>
    </w:p>
    <w:p>
      <w:pPr>
        <w:spacing w:after="0" w:line="6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2018, cash outflows from working capital were $489 million. Accounts receivables increased from an increase in sales volume driven by Carrier Residential &amp; Commercial HVAC businesses, Collins Aerospace Systems and Pratt &amp; Whitney. Contract assets increased due to costs in excess of billings primarily at Pratt &amp; Whitney driven by military engines, at Otis due to progression on major projects, and at Carrier in Commercial HVAC. Inventory increased in the quarter primarily driven by Carrier seasonal build and an increase in production work in process for the Geared Turbofan at Pratt &amp; Whitney. These increases were partially offset by increases in accounts payable and accrued liabilities, driven by the higher inventory purchasing activity and customer advances at Pratt &amp; Whitney as well as an increase in current contract liabilities driven by seasonal advanced billings and progress payments on major contracts at Otis and the timing of billings on aftermarket contracts at Pratt &amp; Whitney.</w:t>
      </w:r>
    </w:p>
    <w:p>
      <w:pPr>
        <w:spacing w:after="0" w:line="8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six months ended June 30, 2019 and 2018 were approximately $79 million and $59 million, respectively. Although our domestic pension plans are approximately 99% funded on a projected benefit obligation basis as of June 30, 2019, and we are not required to make additional contributions through the end of 2024, we may elect to make discretionary contributions in 2019. We expect to make total contributions of approximately $125 million to our global defined benefit pension plans in 2019, including $25 million to our domestic pension plans. Contributions to our global defined benefit pension plans in 2019 are expected to meet or exceed the current funding requirements.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2"/>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60" w:firstLine="567"/>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for the six months ended June 30, 2019 and 2018 primarily reflect capital expenditures, cash investments in customer financing assets, investments/dispositions of businesses, payments related to our collaboration intangible assets and contractual rights to provide product on new aircraft platforms, and settlements of derivative contracts. The $979 million increase in cash flows used in investing activities in the six months ended June 30, 2019 compared to June 30, 2018 primarily relates to the absence of $1 billion in proceeds from the sale of Taylor Company in June 2018 by Carrier.</w:t>
      </w:r>
    </w:p>
    <w:p>
      <w:pPr>
        <w:spacing w:after="0" w:line="184" w:lineRule="exact"/>
        <w:rPr>
          <w:sz w:val="20"/>
          <w:szCs w:val="20"/>
          <w:color w:val="auto"/>
        </w:rPr>
      </w:pPr>
    </w:p>
    <w:p>
      <w:pPr>
        <w:ind w:right="220" w:firstLine="567"/>
        <w:spacing w:after="0" w:line="282" w:lineRule="auto"/>
        <w:rPr>
          <w:sz w:val="20"/>
          <w:szCs w:val="20"/>
          <w:color w:val="auto"/>
        </w:rPr>
      </w:pPr>
      <w:r>
        <w:rPr>
          <w:rFonts w:ascii="Times New Roman" w:cs="Times New Roman" w:eastAsia="Times New Roman" w:hAnsi="Times New Roman"/>
          <w:sz w:val="18"/>
          <w:szCs w:val="18"/>
          <w:color w:val="auto"/>
        </w:rPr>
        <w:t>Capital expenditures for the six months ended June 30, 2019 of $830 million primarily relates to the Rockwell Merger as well as several projects at Collins Aerospace Systems and investments in production capacity at Pratt &amp; Whitney.</w:t>
      </w:r>
    </w:p>
    <w:p>
      <w:pPr>
        <w:spacing w:after="0" w:line="162"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Cash investments in businesses in the six months ended June 30, 2019 of $32 million consisted of small acquisitions at Otis. Dispositions of businesses in the six months ended June 30, 2019 of $133 million primarily consisted of the businesses held for sale associated with the Rockwell acquisition.</w:t>
      </w:r>
    </w:p>
    <w:p>
      <w:pPr>
        <w:spacing w:after="0" w:line="162" w:lineRule="exact"/>
        <w:rPr>
          <w:sz w:val="20"/>
          <w:szCs w:val="20"/>
          <w:color w:val="auto"/>
        </w:rPr>
      </w:pPr>
    </w:p>
    <w:p>
      <w:pPr>
        <w:ind w:right="160" w:firstLine="567"/>
        <w:spacing w:after="0" w:line="258" w:lineRule="auto"/>
        <w:rPr>
          <w:sz w:val="20"/>
          <w:szCs w:val="20"/>
          <w:color w:val="auto"/>
        </w:rPr>
      </w:pPr>
      <w:r>
        <w:rPr>
          <w:rFonts w:ascii="Times New Roman" w:cs="Times New Roman" w:eastAsia="Times New Roman" w:hAnsi="Times New Roman"/>
          <w:sz w:val="18"/>
          <w:szCs w:val="18"/>
          <w:color w:val="auto"/>
        </w:rPr>
        <w:t>Customer financing activities in the six months ended June 30, 2019 were a net use of cash of $331 million, primarily driven by additional Geared Turbofan engines to support customer fleets. We may also arrange for third parties to assume a portion of our commitments. We had commercial aerospace financing and other contractual commitments of approximately $15.9 billion at June 30, 2019 related to commercial aircraft and certain contractual rights to provide product on new aircraft platforms, of which up to $1.3 billion may be required to be disbursed during the remainder of 2019. We had commercial aerospace financing and other contractual commitments of approximately $15.5 billion at December 31, 2018.</w:t>
      </w:r>
    </w:p>
    <w:p>
      <w:pPr>
        <w:spacing w:after="0" w:line="184" w:lineRule="exact"/>
        <w:rPr>
          <w:sz w:val="20"/>
          <w:szCs w:val="20"/>
          <w:color w:val="auto"/>
        </w:rPr>
      </w:pPr>
    </w:p>
    <w:p>
      <w:pPr>
        <w:ind w:right="200" w:firstLine="567"/>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our collaboration intangible assets increased by approximately $169 million, which primarily relates to payments made under our 2012 agreement to acquire Rolls-Royce's collaboration interest in IAE.</w:t>
      </w:r>
    </w:p>
    <w:p>
      <w:pPr>
        <w:spacing w:after="0" w:line="162" w:lineRule="exact"/>
        <w:rPr>
          <w:sz w:val="20"/>
          <w:szCs w:val="20"/>
          <w:color w:val="auto"/>
        </w:rPr>
      </w:pPr>
    </w:p>
    <w:p>
      <w:pPr>
        <w:ind w:right="60" w:firstLine="540"/>
        <w:spacing w:after="0" w:line="261" w:lineRule="auto"/>
        <w:rPr>
          <w:sz w:val="20"/>
          <w:szCs w:val="20"/>
          <w:color w:val="auto"/>
        </w:rPr>
      </w:pPr>
      <w:r>
        <w:rPr>
          <w:rFonts w:ascii="Times New Roman" w:cs="Times New Roman" w:eastAsia="Times New Roman" w:hAnsi="Times New Roman"/>
          <w:sz w:val="18"/>
          <w:szCs w:val="18"/>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forward contracts and options to manage certain foreign currency, interest rate and commodity price exposures. The settlement of these derivative instruments resulted in a net cash inflow of approximately $61 million during the six months ended June 30, 2019 compared to a net cash inflow of $82 million during the six months ended June 30, 2018.</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5"/>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2"/>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567"/>
        <w:spacing w:after="0" w:line="261"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short term and long term debt, payment of dividends and stock repurchases. Net cash used in financing activities increased $1,555 million in the six months ended June 30, 2019 compared to the six months ended June 30, 2018, primarily due to a decrease in short term borrowings of $969 million, an increase in dividends paid on Common Stock of $149 million, and a reduction in net debt issuances of $346 million.</w:t>
      </w:r>
    </w:p>
    <w:p>
      <w:pPr>
        <w:spacing w:after="0" w:line="180" w:lineRule="exact"/>
        <w:rPr>
          <w:sz w:val="20"/>
          <w:szCs w:val="20"/>
          <w:color w:val="auto"/>
        </w:rPr>
      </w:pPr>
    </w:p>
    <w:p>
      <w:pPr>
        <w:ind w:right="80" w:firstLine="567"/>
        <w:spacing w:after="0" w:line="266" w:lineRule="auto"/>
        <w:rPr>
          <w:sz w:val="20"/>
          <w:szCs w:val="20"/>
          <w:color w:val="auto"/>
        </w:rPr>
      </w:pPr>
      <w:r>
        <w:rPr>
          <w:rFonts w:ascii="Times New Roman" w:cs="Times New Roman" w:eastAsia="Times New Roman" w:hAnsi="Times New Roman"/>
          <w:sz w:val="18"/>
          <w:szCs w:val="18"/>
          <w:color w:val="auto"/>
        </w:rPr>
        <w:t>Commercial paper borrowings and revolving credit facilities provide short-term liquidity to supplement operating cash flows and are used for general corporate purposes, including the funding of potential acquisitions and repurchases of our stock. We had approximately $855 million of outstanding commercial paper at June 30, 2019.</w:t>
      </w:r>
    </w:p>
    <w:p>
      <w:pPr>
        <w:spacing w:after="0" w:line="176" w:lineRule="exact"/>
        <w:rPr>
          <w:sz w:val="20"/>
          <w:szCs w:val="20"/>
          <w:color w:val="auto"/>
        </w:rPr>
      </w:pPr>
    </w:p>
    <w:p>
      <w:pPr>
        <w:ind w:right="40" w:firstLine="567"/>
        <w:spacing w:after="0" w:line="255" w:lineRule="auto"/>
        <w:rPr>
          <w:sz w:val="20"/>
          <w:szCs w:val="20"/>
          <w:color w:val="auto"/>
        </w:rPr>
      </w:pPr>
      <w:r>
        <w:rPr>
          <w:rFonts w:ascii="Times New Roman" w:cs="Times New Roman" w:eastAsia="Times New Roman" w:hAnsi="Times New Roman"/>
          <w:sz w:val="18"/>
          <w:szCs w:val="18"/>
          <w:color w:val="auto"/>
        </w:rPr>
        <w:t>At June 30, 2019, management had remaining authority to repurchase approximately $1.9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including restrictions arising from the pending merger transaction with Raytheon. We made cash payments of approximately $69 million to repurchase approximately 552 thousand shares of our common stock during the six months ended June 30, 2019.</w:t>
      </w:r>
    </w:p>
    <w:p>
      <w:pPr>
        <w:spacing w:after="0" w:line="189" w:lineRule="exact"/>
        <w:rPr>
          <w:sz w:val="20"/>
          <w:szCs w:val="20"/>
          <w:color w:val="auto"/>
        </w:rPr>
      </w:pPr>
    </w:p>
    <w:p>
      <w:pPr>
        <w:ind w:right="200" w:firstLine="567"/>
        <w:spacing w:after="0" w:line="266" w:lineRule="auto"/>
        <w:rPr>
          <w:sz w:val="20"/>
          <w:szCs w:val="20"/>
          <w:color w:val="auto"/>
        </w:rPr>
      </w:pPr>
      <w:r>
        <w:rPr>
          <w:rFonts w:ascii="Times New Roman" w:cs="Times New Roman" w:eastAsia="Times New Roman" w:hAnsi="Times New Roman"/>
          <w:sz w:val="18"/>
          <w:szCs w:val="18"/>
          <w:color w:val="auto"/>
        </w:rPr>
        <w:t>We paid dividends on common stock of $0.735 per share in the first and second quarter of 2019, totaling approximately $1,219 million in the aggregate for the six months ended June 30, 2019. On June 10, 2019, the Board of Directors declared a dividend of $0.735 per share payable September 10, 2019 to shareowners of record at the close of business on August 16, 2019</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previously had a universal shelf registration statement filed with the SEC, which expired on April 29, 2019. Our ability to renew our shelf registration statement may be limited as a result of the separation transactions as well as our proposed merger with Raytheon; as noted above, we entered into a new $2.0 billion revolving credit agreement and a $4.0 billion term credit agreement on March 15, 2019 to be used for general corporate purposes, including the repayment, repurchase or redemption of existing debt, and to serve as backup facilities to support additional issuances of commercial paper. We expect to renew our shelf registration statement following the separation transactions or earlier, as appropriate.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ind w:firstLine="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our 2018 Annual Report, incorporated by reference in our 2018 </w:t>
      </w:r>
      <w:hyperlink r:id="rId8">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we disclosed our off-balance sheet arrangements and contractual obligations. As of June 30, 2019, there have been no material changes to these off-balance sheet arrangements and contractual obligations outside the ordinary course of business.</w:t>
      </w: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six months ended June 30, 2019. For discussion of our exposure to market risk, refer to Part II, Item 7A, "Quantitative and Qualitative Disclosures About Market Risk," contained in our 2018 Form 10-K.</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June 30, 2019. There are inherent limitations to the effectiveness of any system of disclosure controls and procedures, including the possibility of human error and the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2019,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8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six months ended June 30,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118" w:right="29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R&amp;D spend, other measures of financial performance, potential future plans, strategies or transactions, credit ratings and net indebtedness, other anticipated benefits of the Rockwell Merger, the proposed merger with Raytheon or the spin-offs by United Technologies of Otis and Carrier into separate independent companies (the “separation transactions”), including estimated synergies and customer cost savings resulting from the proposed merger, the expected timing of completion of the proposed merger and the separation transactions, estimated costs associated with such transactions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99" w:lineRule="exact"/>
        <w:rPr>
          <w:sz w:val="20"/>
          <w:szCs w:val="20"/>
          <w:color w:val="auto"/>
        </w:rPr>
      </w:pPr>
    </w:p>
    <w:p>
      <w:pPr>
        <w:ind w:left="720" w:right="60" w:hanging="334"/>
        <w:spacing w:after="0" w:line="254"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conditions in the industries and markets in which we and Raytheon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the financial condition of our customers and suppliers, and the risks associated with U.S. government sales (including changes or shifts in defense spending due to budgetary constraints, spending cuts resulting from sequestration, a government shutdown, or otherwise, and uncertain funding of programs);</w:t>
      </w:r>
    </w:p>
    <w:p>
      <w:pPr>
        <w:ind w:left="720" w:right="20" w:hanging="334"/>
        <w:spacing w:after="0" w:line="25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support, performance and realization of the anticipated benefits (including our expected returns under customer contracts) of advanced technologies and new products and services;</w:t>
      </w:r>
    </w:p>
    <w:p>
      <w:pPr>
        <w:ind w:left="720" w:right="500" w:hanging="334"/>
        <w:spacing w:after="0" w:line="25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impact or timing of the proposed merger with Raytheon and the separation transactions and other merger, acquisition and divestiture activity, including among other things the integration of or with other businesses and realization of synergies and opportunities for growth and innovation and incurrence of related costs and expenses;</w:t>
      </w:r>
    </w:p>
    <w:p>
      <w:pPr>
        <w:spacing w:after="0" w:line="1" w:lineRule="exact"/>
        <w:rPr>
          <w:rFonts w:ascii="Times New Roman" w:cs="Times New Roman" w:eastAsia="Times New Roman" w:hAnsi="Times New Roman"/>
          <w:sz w:val="18"/>
          <w:szCs w:val="18"/>
          <w:color w:val="auto"/>
        </w:rPr>
      </w:pPr>
    </w:p>
    <w:p>
      <w:pPr>
        <w:ind w:left="720" w:hanging="334"/>
        <w:spacing w:after="0" w:line="25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indebtedness, including indebtedness that may be incurred in connection with the proposed merger with Raytheon and the separation transactions, and capital spending and research and development spending;</w:t>
      </w: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availability of credit and factors that may affect such availability, including credit market conditions and our capital structure;</w:t>
      </w:r>
    </w:p>
    <w:p>
      <w:pPr>
        <w:spacing w:after="0" w:line="9" w:lineRule="exact"/>
        <w:rPr>
          <w:rFonts w:ascii="Times New Roman" w:cs="Times New Roman" w:eastAsia="Times New Roman" w:hAnsi="Times New Roman"/>
          <w:sz w:val="18"/>
          <w:szCs w:val="18"/>
          <w:color w:val="auto"/>
        </w:rPr>
      </w:pPr>
    </w:p>
    <w:p>
      <w:pPr>
        <w:ind w:left="720" w:right="400" w:hanging="334"/>
        <w:spacing w:after="0" w:line="265" w:lineRule="auto"/>
        <w:tabs>
          <w:tab w:leader="none" w:pos="7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scope of future repurchases of our common stock, which may be suspended at any time due to various factors, including market conditions and the level of other investing activities and uses of cash, including in connection with the proposed merger with Raytheon;</w:t>
      </w: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 in delivery of materials and services from suppliers;</w:t>
      </w:r>
    </w:p>
    <w:p>
      <w:pPr>
        <w:spacing w:after="0" w:line="9" w:lineRule="exact"/>
        <w:rPr>
          <w:rFonts w:ascii="Times New Roman" w:cs="Times New Roman" w:eastAsia="Times New Roman" w:hAnsi="Times New Roman"/>
          <w:sz w:val="18"/>
          <w:szCs w:val="18"/>
          <w:color w:val="auto"/>
        </w:rPr>
      </w:pPr>
    </w:p>
    <w:p>
      <w:pPr>
        <w:ind w:left="720" w:right="220" w:hanging="334"/>
        <w:spacing w:after="0" w:line="25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customer-directed cost reduction efforts and restructuring costs and savings and other consequences thereof (including the potential termination of U.S. government contracts and performance under undefinitized contract awards and the potential inability to recover termination costs);</w:t>
      </w:r>
    </w:p>
    <w:p>
      <w:pPr>
        <w:spacing w:after="0" w:line="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and investment opportunities;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the intended benefits of organizational changes;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diversification and balance of operations across product lines, regions and industries;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investigations and other contingencies;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assumptions and future contributions;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negotiation of collective bargaining agreements and labor disputes;</w:t>
      </w:r>
    </w:p>
    <w:p>
      <w:pPr>
        <w:spacing w:after="0" w:line="9" w:lineRule="exact"/>
        <w:rPr>
          <w:rFonts w:ascii="Times New Roman" w:cs="Times New Roman" w:eastAsia="Times New Roman" w:hAnsi="Times New Roman"/>
          <w:sz w:val="18"/>
          <w:szCs w:val="18"/>
          <w:color w:val="auto"/>
        </w:rPr>
      </w:pPr>
    </w:p>
    <w:p>
      <w:pPr>
        <w:ind w:left="720" w:hanging="334"/>
        <w:spacing w:after="0" w:line="25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political conditions in the U.S. and other countries in which we and Raytheon and our businesses each operate, including the effect of changes in U.S. trade policies or the U.K.’s pending withdrawal from the European Union, on general market conditions, global trade policies and currency exchange rates in the near term and beyond;</w:t>
      </w:r>
    </w:p>
    <w:p>
      <w:pPr>
        <w:spacing w:after="0" w:line="1" w:lineRule="exact"/>
        <w:rPr>
          <w:rFonts w:ascii="Times New Roman" w:cs="Times New Roman" w:eastAsia="Times New Roman" w:hAnsi="Times New Roman"/>
          <w:sz w:val="18"/>
          <w:szCs w:val="18"/>
          <w:color w:val="auto"/>
        </w:rPr>
      </w:pPr>
    </w:p>
    <w:p>
      <w:pPr>
        <w:ind w:left="720" w:right="80" w:hanging="334"/>
        <w:spacing w:after="0" w:line="254"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tax (including U.S. tax reform enacted on December 22, 2017, which is commonly referred to as the Tax Cuts and Jobs Act of 2017),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720" w:right="260"/>
        <w:spacing w:after="0" w:line="284" w:lineRule="auto"/>
        <w:rPr>
          <w:sz w:val="20"/>
          <w:szCs w:val="20"/>
          <w:color w:val="auto"/>
        </w:rPr>
      </w:pPr>
      <w:r>
        <w:rPr>
          <w:rFonts w:ascii="Times New Roman" w:cs="Times New Roman" w:eastAsia="Times New Roman" w:hAnsi="Times New Roman"/>
          <w:sz w:val="18"/>
          <w:szCs w:val="18"/>
          <w:color w:val="auto"/>
        </w:rPr>
        <w:t>Act, industrial cooperation agreement obligations, and procurement and other regulations) in the U.S. and other countries in which we, Raytheon and our businesses each operate;</w:t>
      </w:r>
    </w:p>
    <w:p>
      <w:pPr>
        <w:spacing w:after="0" w:line="1" w:lineRule="exact"/>
        <w:rPr>
          <w:sz w:val="20"/>
          <w:szCs w:val="20"/>
          <w:color w:val="auto"/>
        </w:rPr>
      </w:pPr>
    </w:p>
    <w:p>
      <w:pPr>
        <w:ind w:left="720" w:right="180" w:hanging="334"/>
        <w:spacing w:after="0" w:line="258"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of the announcement or pendency of the proposed merger with Raytheon or the separation transactions on the market price of our and/or Raytheon’s respective common stock and/or on our respective financial performance;</w:t>
      </w:r>
    </w:p>
    <w:p>
      <w:pPr>
        <w:ind w:left="72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UTC and Raytheon to receive the required regulatory approvals for the proposed merger (and the risk that such approvals may result in the imposition of conditions that could adversely affect the combined company or the expected benefits of the transaction) and approvals of our shareowners and Raytheon’s shareholders and to satisfy the other conditions to the closing of the merger on a timely basis or at all;</w:t>
      </w:r>
    </w:p>
    <w:p>
      <w:pPr>
        <w:spacing w:after="0" w:line="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events that may give rise to a right of one or both of UTC or Raytheon to terminate the merger agreement;</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value of our shares to be issued in the proposed merger with Raytheon, significant transaction costs and/or unknown liabilities;</w:t>
      </w:r>
    </w:p>
    <w:p>
      <w:pPr>
        <w:spacing w:after="0" w:line="9" w:lineRule="exact"/>
        <w:rPr>
          <w:rFonts w:ascii="Times New Roman" w:cs="Times New Roman" w:eastAsia="Times New Roman" w:hAnsi="Times New Roman"/>
          <w:sz w:val="18"/>
          <w:szCs w:val="18"/>
          <w:color w:val="auto"/>
        </w:rPr>
      </w:pPr>
    </w:p>
    <w:p>
      <w:pPr>
        <w:ind w:left="72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from the proposed merger with Raytheon cannot be realized in full or at all or may take longer to realize than expected, including risks associated with third party contracts containing consent and/or other provisions that may be triggered by the proposed transaction;</w:t>
      </w:r>
    </w:p>
    <w:p>
      <w:pPr>
        <w:spacing w:after="0" w:line="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merger-related litigation;</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costs or difficulties related to the integration of UTC’s and Raytheon’s operations will be greater than expected;</w:t>
      </w:r>
    </w:p>
    <w:p>
      <w:pPr>
        <w:spacing w:after="0" w:line="9" w:lineRule="exact"/>
        <w:rPr>
          <w:rFonts w:ascii="Times New Roman" w:cs="Times New Roman" w:eastAsia="Times New Roman" w:hAnsi="Times New Roman"/>
          <w:sz w:val="18"/>
          <w:szCs w:val="18"/>
          <w:color w:val="auto"/>
        </w:rPr>
      </w:pPr>
    </w:p>
    <w:p>
      <w:pPr>
        <w:ind w:left="720" w:right="12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completed merger, acquisition and divestiture activity, including UTC’s integration of Rockwell Collins, including the risk that the integration may be more difficult, time-consuming or costly than expected or may not result in the achievement of estimated synergies within the contemplated time frame or at all;</w:t>
      </w:r>
    </w:p>
    <w:p>
      <w:pPr>
        <w:spacing w:after="0" w:line="1" w:lineRule="exact"/>
        <w:rPr>
          <w:rFonts w:ascii="Times New Roman" w:cs="Times New Roman" w:eastAsia="Times New Roman" w:hAnsi="Times New Roman"/>
          <w:sz w:val="18"/>
          <w:szCs w:val="18"/>
          <w:color w:val="auto"/>
        </w:rPr>
      </w:pPr>
    </w:p>
    <w:p>
      <w:pPr>
        <w:ind w:left="720" w:right="26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each of UTC, Raytheon, the companies resulting from the separation transactions and the combined company to retain and hire key personnel;</w:t>
      </w:r>
    </w:p>
    <w:p>
      <w:pPr>
        <w:ind w:left="720" w:right="6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and timing of the separation transactions, and the risk that conditions to the separation transactions will not be satisfied and/or that the separation transactions will not be completed within the expected time frame, on the expected terms or at all;</w:t>
      </w:r>
    </w:p>
    <w:p>
      <w:pPr>
        <w:ind w:left="720" w:right="88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(i) the merger as a tax-free reorganization and (ii) the separation transactions as tax-free to UTC and UTC’s shareowners, in each case, for U.S. federal income tax purposes;</w:t>
      </w:r>
    </w:p>
    <w:p>
      <w:pPr>
        <w:ind w:left="720" w:right="50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opinions, consents, approvals or rulings required in connection with the separation transactions will not be received or obtained within the expected time frame, on the expected terms or at all;</w:t>
      </w:r>
    </w:p>
    <w:p>
      <w:pPr>
        <w:ind w:left="720" w:right="62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financing transactions undertaken in connection with the proposed merger with Raytheon and the separation transactions and risks associated with additional indebtedness;</w:t>
      </w:r>
    </w:p>
    <w:p>
      <w:pPr>
        <w:ind w:left="720" w:right="120" w:hanging="334"/>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transactions will exceed our estimates; and</w:t>
      </w:r>
    </w:p>
    <w:p>
      <w:pPr>
        <w:ind w:left="720" w:hanging="334"/>
        <w:spacing w:after="0" w:line="255"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proposed merger and the separation transactions on the respective businesses of UTC and Raytheon and the risk that the separation transactions may be more difficult, time-consuming or costly than expected, including the impact on UTC’s resources, systems, procedures and controls and the impact on relationships with customers, suppliers, employees and other business counterparties.</w:t>
      </w:r>
    </w:p>
    <w:p>
      <w:pPr>
        <w:spacing w:after="0" w:line="78" w:lineRule="exact"/>
        <w:rPr>
          <w:sz w:val="20"/>
          <w:szCs w:val="20"/>
          <w:color w:val="auto"/>
        </w:rPr>
      </w:pPr>
    </w:p>
    <w:p>
      <w:pPr>
        <w:ind w:left="60" w:firstLine="648"/>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15: Contingent Liabilities," the section titled "Management's Discussion and Analysis of Financial Condition and Results of Operations" under the headings "Business Overview," "Critical Accounting Estimates," "Results of Operations," and "Liquidity and Financial Condition," and the sections titled "Legal Proceedings" and "Risk Factors" in this Form 10-Q and in our 2018 Annual Report and 2018 Form 10-K. Additional important information as to these factors is included in our 2018 Annual Report in the section titled "Management's Discussion and Analysis of Financial Condition and Results of Operations" under the headings "Restructuring Costs," "Environmental Matters" and "Governmental Matters", in our 2018 Form 10-K in the "Business" section under the headings "General," "Description of Business by Segment" and "Other Matters Relating to Our Business as a Whole" and in our Form S-4 Registration Statements (Registration No. 333-220883) and (Registrations No. 333-232696)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118" w:right="25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737 MAX Aircraft Litigation</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Multiple lawsuits have been filed in U.S. courts relating to the October 29, 2018 Lion Air Flight 610 and/or the March 10, 2019 Ethiopian Airlines Flight 302 accidents. Certain of our Collins Aerospace businesses have been named as a party, among others, in many of these lawsuits. Collins Aerospace sold certain aircraft parts and systems to The Boeing Company for the 737 MAX aircraft involved in these accidents. We are also fully supporting all ongoing governmental investigations and inquiries relating to the accidents. We do not expect that the lawsuits or governmental investigations or inquiries will have a material adverse effect on our financial position, results of operations or cash flows.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15: Contingent Liabilities, for discussion regarding other legal proceedings.</w:t>
      </w:r>
    </w:p>
    <w:p>
      <w:pPr>
        <w:spacing w:after="0" w:line="22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2018 Form 10-K and Part II - Other Information, Item 1. Legal Proceedings of our 2019 Form 10-Q for the quarter ended March 31, 2019.</w:t>
      </w: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70" w:lineRule="exact"/>
        <w:rPr>
          <w:sz w:val="20"/>
          <w:szCs w:val="20"/>
          <w:color w:val="auto"/>
        </w:rPr>
      </w:pPr>
    </w:p>
    <w:p>
      <w:pPr>
        <w:ind w:right="80" w:firstLine="459"/>
        <w:spacing w:after="0" w:line="282" w:lineRule="auto"/>
        <w:rPr>
          <w:sz w:val="20"/>
          <w:szCs w:val="20"/>
          <w:color w:val="auto"/>
        </w:rPr>
      </w:pPr>
      <w:r>
        <w:rPr>
          <w:rFonts w:ascii="Times New Roman" w:cs="Times New Roman" w:eastAsia="Times New Roman" w:hAnsi="Times New Roman"/>
          <w:sz w:val="18"/>
          <w:szCs w:val="18"/>
          <w:color w:val="auto"/>
        </w:rPr>
        <w:t>Except as noted below, there have been no material changes in the Company's risk factors from those disclosed in Part I, Item 1A, Risk Factors, in our 2018 Form 10-K.</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Relating to our Proposed Merger with Raytheon</w:t>
      </w:r>
    </w:p>
    <w:p>
      <w:pPr>
        <w:spacing w:after="0" w:line="22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complete the combination with Raytheon or complete the combination within the time frame we anticipate; the combined business may underperform relative to our expectations; the combination may cause our financial results to differ from our expectations or the expectations of the investment community; we may not be able to achieve anticipated cost savings or other anticipated benefits.</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completion of the combination with Raytheon is subject to a number of conditions. The failure to satisfy all of the required conditions could delay the completion of the combination for a significant period of time or prevent it from occurring at all. Any delay in completing the combination could cause UTC not to realize some or all of the benefits that UTC expects to achieve if the combination is successfully completed within the expected timeframe, or could cause UTC to realize such benefits on a different timeline than expected. In addition, the terms and conditions of the required regulatory authorizations and consents for the combination that are granted, if any, may impose requirements, limitations or costs or place restrictions on the conduct of the combined company’s business or may materially delay the completion of the combination. Moreover, the completion of the combination is subject to the completion of the spin-offs of Otis and Carrier, which are themselves subject to a number of conditions (subject to UTC’s agreement to consummate the distributions pursuant to, and subject to the terms and conditions of, the Raytheon merger agreement). Any delay in or prevention of the completion of the spin-offs could delay or prevent the completion of the combination.</w:t>
      </w:r>
    </w:p>
    <w:p>
      <w:pPr>
        <w:spacing w:after="0" w:line="18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success of the combination will depend, in part, on the combined company’s ability to successfully combine and integrate the businesses of UTC and Raytheon and realize the anticipated benefits, including synergies, cost savings, innovation opportunities and operational efficiencies, from the combination. If the combined company is unable to achieve these objectives within the anticipated time frame, or at all, the anticipated benefits may not be realized fully or at all, or may take longer to realize than expected, and the value of the combined company’s common stock may decline.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integration of the two companies may result in material challenges, including, without limitation:</w:t>
      </w:r>
    </w:p>
    <w:p>
      <w:pPr>
        <w:spacing w:after="0" w:line="225" w:lineRule="exact"/>
        <w:rPr>
          <w:sz w:val="20"/>
          <w:szCs w:val="20"/>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larger combined aerospace systems and defense businesses;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9" w:lineRule="exact"/>
        <w:rPr>
          <w:rFonts w:ascii="Times New Roman" w:cs="Times New Roman" w:eastAsia="Times New Roman" w:hAnsi="Times New Roman"/>
          <w:sz w:val="18"/>
          <w:szCs w:val="18"/>
          <w:color w:val="auto"/>
        </w:rPr>
      </w:pPr>
    </w:p>
    <w:p>
      <w:pPr>
        <w:jc w:val="both"/>
        <w:ind w:left="820" w:right="460" w:hanging="326"/>
        <w:spacing w:after="0" w:line="250"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business and operational relationships, including customers, suppliers and employees and other counterparties, as may be impacted by contracts containing consent and/or other provisions that may be triggered by the combination, and attracting new business and operational relationships;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faulty assumptions underlying expectations regarding the integration process;</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118" w:right="29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significant costs involved in connection with completing the merger, including costs to achieve expected synergies;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corporate and administrative infrastructures and eliminating duplicative operations;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separate organizations;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information technology, communications and other systems;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or delays associated with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during the quarter ended June 30, 2019 of equity securities that are registered by us pursuant to Section 12 of the Exchange Act.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137.54</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1 - May 31</w:t>
            </w:r>
          </w:p>
        </w:tc>
        <w:tc>
          <w:tcPr>
            <w:tcW w:w="1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132.35</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128.73</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132.82</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On October 14, 2015, our Board of Directors authorized a share repurchase program for up to $12 billion of our common stock, replacing the program announced on July 19, 2015. At June 30, 2019, the maximum dollar value of shares that may yet be purchased under this current program was approximately $1,893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including restrictions arising from the pending merger transaction with Raytheon. No shares were reacquired in transactions outside the program during the quarter ended June 30, 2019.</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10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86"/>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10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04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40" w:type="dxa"/>
            <w:vAlign w:val="bottom"/>
            <w:tcBorders>
              <w:top w:val="single" w:sz="8" w:color="auto"/>
              <w:bottom w:val="single" w:sz="8" w:color="0000FF"/>
            </w:tcBorders>
          </w:tcPr>
          <w:p>
            <w:pPr>
              <w:spacing w:after="0"/>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United Technologies Corporation Merger Severance Plan for Corporate Office Executives and Other Key Employees</w:t>
              </w:r>
            </w:hyperlink>
          </w:p>
        </w:tc>
        <w:tc>
          <w:tcPr>
            <w:tcW w:w="1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180" w:hanging="1010"/>
        <w:spacing w:after="0"/>
        <w:tabs>
          <w:tab w:leader="none" w:pos="1180" w:val="left"/>
        </w:tabs>
        <w:numPr>
          <w:ilvl w:val="0"/>
          <w:numId w:val="39"/>
        </w:numPr>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Letter re: unaudited interim financial information.*</w:t>
        </w:r>
      </w:hyperlink>
    </w:p>
    <w:p>
      <w:pPr>
        <w:spacing w:after="0" w:line="17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31.1</w:t>
            </w:r>
          </w:p>
        </w:tc>
        <w:tc>
          <w:tcPr>
            <w:tcW w:w="29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80">
              <w:r>
                <w:rPr>
                  <w:rFonts w:ascii="Times New Roman" w:cs="Times New Roman" w:eastAsia="Times New Roman" w:hAnsi="Times New Roman"/>
                  <w:sz w:val="18"/>
                  <w:szCs w:val="18"/>
                  <w:color w:val="0000FF"/>
                  <w:w w:val="99"/>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31.2</w:t>
            </w:r>
          </w:p>
        </w:tc>
        <w:tc>
          <w:tcPr>
            <w:tcW w:w="29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81">
              <w:r>
                <w:rPr>
                  <w:rFonts w:ascii="Times New Roman" w:cs="Times New Roman" w:eastAsia="Times New Roman" w:hAnsi="Times New Roman"/>
                  <w:sz w:val="18"/>
                  <w:szCs w:val="18"/>
                  <w:color w:val="0000FF"/>
                  <w:w w:val="99"/>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31.3</w:t>
            </w:r>
          </w:p>
        </w:tc>
        <w:tc>
          <w:tcPr>
            <w:tcW w:w="29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82">
              <w:r>
                <w:rPr>
                  <w:rFonts w:ascii="Times New Roman" w:cs="Times New Roman" w:eastAsia="Times New Roman" w:hAnsi="Times New Roman"/>
                  <w:sz w:val="18"/>
                  <w:szCs w:val="18"/>
                  <w:color w:val="0000FF"/>
                  <w:w w:val="99"/>
                </w:rPr>
                <w:t>Rule 13a-14(a)/15d-14(a) Certification.*</w:t>
              </w:r>
            </w:hyperlink>
          </w:p>
        </w:tc>
      </w:tr>
    </w:tbl>
    <w:p>
      <w:pPr>
        <w:spacing w:after="0" w:line="184" w:lineRule="exact"/>
        <w:rPr>
          <w:sz w:val="20"/>
          <w:szCs w:val="20"/>
          <w:color w:val="auto"/>
        </w:rPr>
      </w:pPr>
    </w:p>
    <w:p>
      <w:pPr>
        <w:ind w:left="1180" w:hanging="1010"/>
        <w:spacing w:after="0"/>
        <w:tabs>
          <w:tab w:leader="none" w:pos="1180" w:val="left"/>
        </w:tabs>
        <w:numPr>
          <w:ilvl w:val="0"/>
          <w:numId w:val="40"/>
        </w:numPr>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Section 1350 Certifications.*</w:t>
        </w:r>
      </w:hyperlink>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16"/>
        </w:trPr>
        <w:tc>
          <w:tcPr>
            <w:tcW w:w="90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utx-20190630.xsd)</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utx-20190630_cal.xml)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utx-20190630_def.xml)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utx-20190630_lab.xml)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utx-20190630_pre.xml)</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2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Condensed Consolidated Statements of Operations for the quarters and six months ended June 30, 2019 and 2018, (ii) Condensed Consolidated Statements of Comprehensive Income for the quarters and six months ended June 30, 2019 and 2018, (iii) Condensed Consolidated Balance Sheets as of June 30, 2019 and December 31, 2018,</w:t>
      </w:r>
    </w:p>
    <w:p>
      <w:pPr>
        <w:spacing w:after="0" w:line="2" w:lineRule="exact"/>
        <w:rPr>
          <w:sz w:val="20"/>
          <w:szCs w:val="20"/>
          <w:color w:val="auto"/>
        </w:rPr>
      </w:pPr>
    </w:p>
    <w:p>
      <w:pPr>
        <w:ind w:right="20" w:firstLine="8"/>
        <w:spacing w:after="0" w:line="261" w:lineRule="auto"/>
        <w:tabs>
          <w:tab w:leader="none" w:pos="3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six months ended June 30, 2019 and 2018, (v) Condensed Consolidated Statement of Changes in Equity for the quarters and six months ended June 30, 2019 and 2018 and (vi) Notes to Condensed Consolidated Financial Statements.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18" w:right="25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166"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July 26,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0"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Executive Vice President &amp; Chief Financial Officer</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360"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July 26,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0"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Corporate Vice President, Controller</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20"/>
          </w:cols>
          <w:pgMar w:left="240" w:top="11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center"/>
        <w:ind w:left="300" w:right="2380"/>
        <w:spacing w:after="0" w:line="259" w:lineRule="auto"/>
        <w:rPr>
          <w:sz w:val="20"/>
          <w:szCs w:val="20"/>
          <w:color w:val="auto"/>
        </w:rPr>
      </w:pPr>
      <w:r>
        <w:rPr>
          <w:rFonts w:ascii="Times New Roman" w:cs="Times New Roman" w:eastAsia="Times New Roman" w:hAnsi="Times New Roman"/>
          <w:sz w:val="22"/>
          <w:szCs w:val="22"/>
          <w:b w:val="1"/>
          <w:bCs w:val="1"/>
          <w:color w:val="auto"/>
        </w:rPr>
        <w:t>UNITED TECHNOLOGIES CORPORATION MERGER SEVERANCE FOR CORPORATE OFFICE EXECUTIVES AND OTHER KEY EMPLOYEES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PURPOSE OF THE PLAN</w:t>
      </w:r>
    </w:p>
    <w:p>
      <w:pPr>
        <w:spacing w:after="0" w:line="236"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The Compensation Committee of the Board of Directors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of United Technologies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recognizes that the proposed merger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of a subsidiary of the Company with Raytheon Company (“</w:t>
      </w:r>
      <w:r>
        <w:rPr>
          <w:rFonts w:ascii="Times New Roman" w:cs="Times New Roman" w:eastAsia="Times New Roman" w:hAnsi="Times New Roman"/>
          <w:sz w:val="22"/>
          <w:szCs w:val="22"/>
          <w:u w:val="single" w:color="auto"/>
          <w:color w:val="auto"/>
        </w:rPr>
        <w:t>Raytheon</w:t>
      </w:r>
      <w:r>
        <w:rPr>
          <w:rFonts w:ascii="Times New Roman" w:cs="Times New Roman" w:eastAsia="Times New Roman" w:hAnsi="Times New Roman"/>
          <w:sz w:val="22"/>
          <w:szCs w:val="22"/>
          <w:color w:val="auto"/>
        </w:rPr>
        <w:t>”) creates uncertainty that may result in the loss or distraction of employees of the Company to the detriment of the Company and its shareholders.</w:t>
      </w:r>
    </w:p>
    <w:p>
      <w:pPr>
        <w:spacing w:after="0" w:line="180" w:lineRule="exact"/>
        <w:rPr>
          <w:sz w:val="20"/>
          <w:szCs w:val="20"/>
          <w:color w:val="auto"/>
        </w:rPr>
      </w:pPr>
    </w:p>
    <w:p>
      <w:pPr>
        <w:ind w:right="460" w:firstLine="648"/>
        <w:spacing w:after="0" w:line="250" w:lineRule="auto"/>
        <w:rPr>
          <w:sz w:val="20"/>
          <w:szCs w:val="20"/>
          <w:color w:val="auto"/>
        </w:rPr>
      </w:pPr>
      <w:r>
        <w:rPr>
          <w:rFonts w:ascii="Times New Roman" w:cs="Times New Roman" w:eastAsia="Times New Roman" w:hAnsi="Times New Roman"/>
          <w:sz w:val="22"/>
          <w:szCs w:val="22"/>
          <w:color w:val="auto"/>
        </w:rPr>
        <w:t>The Compensation Committee considers the avoidance of such loss and distraction to be essential to protecting and enhancing the best interests of the Company and its shareholders. The Compensation Committee also believes that when the Merger is imminent, or is occurring, the Board of Directors of the Company should be able to receive and rely on disinterested service from employees in the best interests of the Company and its shareholders without concern that employees might be distracted or influenced by the personal uncertainties and risks created by the Merger.</w:t>
      </w:r>
    </w:p>
    <w:p>
      <w:pPr>
        <w:spacing w:after="0" w:line="18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Therefore, in order to fulfill the above purposes, this United Technologies Corporation Merger Severance Plan for Corporate Office Executives and Other Key Employees (this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has been developed and is hereby adopted to become effective as of the date on which the Merger closes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If the Agreement and Plan of Merger between the Company and Raytheon relating to the Merger is terminated for any reason without the occurrence of the Merger, then this Plan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6"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Certain terms used herein have the definitions given to them in the first place in which they are used. As used herein, the following words and phrases shall have the following respective meanings:</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Affiliated Entity</w:t>
      </w:r>
      <w:r>
        <w:rPr>
          <w:rFonts w:ascii="Times New Roman" w:cs="Times New Roman" w:eastAsia="Times New Roman" w:hAnsi="Times New Roman"/>
          <w:sz w:val="21"/>
          <w:szCs w:val="21"/>
          <w:color w:val="auto"/>
        </w:rPr>
        <w:t>” shall mean any entity controlled by, controlling or under common control with the Company.</w:t>
      </w:r>
    </w:p>
    <w:p>
      <w:pPr>
        <w:spacing w:after="0" w:line="260" w:lineRule="exact"/>
        <w:rPr>
          <w:sz w:val="20"/>
          <w:szCs w:val="20"/>
          <w:color w:val="auto"/>
        </w:rPr>
      </w:pPr>
    </w:p>
    <w:p>
      <w:pPr>
        <w:ind w:right="260" w:firstLine="648"/>
        <w:spacing w:after="0" w:line="252"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mean the annual base salary paid or payable, including any base salary that is subject to deferral, to the Participant by the Company or any of the Affiliated Entities at the rate in effect immediately prior to the Effective Date, or, if higher, immediately prior to the Date of Termination (disregarding any reduction thereto that is a basis for the Participant’s termination for Good Reason).</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Continuation Period</w:t>
      </w:r>
      <w:r>
        <w:rPr>
          <w:rFonts w:ascii="Times New Roman" w:cs="Times New Roman" w:eastAsia="Times New Roman" w:hAnsi="Times New Roman"/>
          <w:sz w:val="21"/>
          <w:szCs w:val="21"/>
          <w:color w:val="auto"/>
        </w:rPr>
        <w:t>” shall mean the period of twelve (12) months from the Date of Termination.</w:t>
      </w:r>
    </w:p>
    <w:p>
      <w:pPr>
        <w:spacing w:after="0" w:line="26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Carrier</w:t>
      </w:r>
      <w:r>
        <w:rPr>
          <w:rFonts w:ascii="Times New Roman" w:cs="Times New Roman" w:eastAsia="Times New Roman" w:hAnsi="Times New Roman"/>
          <w:sz w:val="21"/>
          <w:szCs w:val="21"/>
          <w:color w:val="auto"/>
        </w:rPr>
        <w:t>” shall mean Carrier Solutions Corporation.</w:t>
      </w:r>
    </w:p>
    <w:p>
      <w:pPr>
        <w:sectPr>
          <w:pgSz w:w="11900" w:h="16838" w:orient="portrait"/>
          <w:cols w:equalWidth="0" w:num="1">
            <w:col w:w="11420"/>
          </w:cols>
          <w:pgMar w:left="240" w:top="581" w:right="239" w:bottom="1440" w:gutter="0" w:footer="0" w:header="0"/>
        </w:sectPr>
      </w:pPr>
    </w:p>
    <w:bookmarkStart w:id="60" w:name="page61"/>
    <w:bookmarkEnd w:id="60"/>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any of the events specified in clauses (i) through (v) of the “Cause” definition in the Company’s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2018 Long-Term Incentive Plan, as in effect on the Effective Date.</w:t>
      </w:r>
    </w:p>
    <w:p>
      <w:pPr>
        <w:spacing w:after="0" w:line="23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from time to time.</w:t>
      </w:r>
    </w:p>
    <w:p>
      <w:pPr>
        <w:spacing w:after="0" w:line="25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u w:val="single" w:color="auto"/>
          <w:color w:val="auto"/>
        </w:rPr>
        <w:t>Corporate Office Executive</w:t>
      </w:r>
      <w:r>
        <w:rPr>
          <w:rFonts w:ascii="Times New Roman" w:cs="Times New Roman" w:eastAsia="Times New Roman" w:hAnsi="Times New Roman"/>
          <w:sz w:val="22"/>
          <w:szCs w:val="22"/>
          <w:color w:val="auto"/>
        </w:rPr>
        <w:t>” shall mean an executive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job grades E5 (including Executive Leadership Group (“</w:t>
      </w:r>
      <w:r>
        <w:rPr>
          <w:rFonts w:ascii="Times New Roman" w:cs="Times New Roman" w:eastAsia="Times New Roman" w:hAnsi="Times New Roman"/>
          <w:sz w:val="22"/>
          <w:szCs w:val="22"/>
          <w:u w:val="single" w:color="auto"/>
          <w:color w:val="auto"/>
        </w:rPr>
        <w:t>ELG</w:t>
      </w:r>
      <w:r>
        <w:rPr>
          <w:rFonts w:ascii="Times New Roman" w:cs="Times New Roman" w:eastAsia="Times New Roman" w:hAnsi="Times New Roman"/>
          <w:sz w:val="22"/>
          <w:szCs w:val="22"/>
          <w:color w:val="auto"/>
        </w:rPr>
        <w:t>”) members), E4, E3, E2 and E1) of the Company or an Affiliated Entity (other than Otis and Carrier and their respective subsidiaries) who is (a) on U.S. payroll and primarily provides services in the United States and (b) in a position (i) designated as a “corporate office” position by the Company or (ii) assigned to the UTC Research Center, in each case, as of immediately prior to the Effective Date.</w:t>
      </w:r>
    </w:p>
    <w:p>
      <w:pPr>
        <w:spacing w:after="0" w:line="22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the date of receipt of a Notice of Termination from the Company or the Participant, as applicable, or any later date specified in the Notice of Termination (subject to the notice and cure periods specified in the definition of “Good Reason”).</w:t>
      </w:r>
    </w:p>
    <w:p>
      <w:pPr>
        <w:spacing w:after="0" w:line="21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have the meaning given to such term in the Company’s 2018 Long-Term Incentive Plan, as in effect on the Effective Date.</w:t>
      </w:r>
    </w:p>
    <w:p>
      <w:pPr>
        <w:spacing w:after="0" w:line="198"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of any of the following without the Participant’s prior written consent during the two-year period following the Effective Date:</w:t>
      </w:r>
    </w:p>
    <w:p>
      <w:pPr>
        <w:spacing w:after="0" w:line="198" w:lineRule="exact"/>
        <w:rPr>
          <w:sz w:val="20"/>
          <w:szCs w:val="20"/>
          <w:color w:val="auto"/>
        </w:rPr>
      </w:pPr>
    </w:p>
    <w:p>
      <w:pPr>
        <w:ind w:left="660" w:firstLine="645"/>
        <w:spacing w:after="0" w:line="250" w:lineRule="auto"/>
        <w:tabs>
          <w:tab w:leader="none" w:pos="21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Participant’s duties, authority, or responsibilities from those in effect immediately prior to the Effective Date, as determined by the Plan Administrator in good faith and in its sole discretion (excluding any such diminution that is made in connection with, or otherwise results from, the distribution by the Company to its shareholders of all of the outstanding shares of Otis or Carrier, including any internal restructuring in anticipation thereof);</w:t>
      </w:r>
    </w:p>
    <w:p>
      <w:pPr>
        <w:spacing w:after="0" w:line="222" w:lineRule="exact"/>
        <w:rPr>
          <w:rFonts w:ascii="Times New Roman" w:cs="Times New Roman" w:eastAsia="Times New Roman" w:hAnsi="Times New Roman"/>
          <w:sz w:val="22"/>
          <w:szCs w:val="22"/>
          <w:color w:val="auto"/>
        </w:rPr>
      </w:pPr>
    </w:p>
    <w:p>
      <w:pPr>
        <w:ind w:left="660" w:right="460" w:firstLine="645"/>
        <w:spacing w:after="0" w:line="271" w:lineRule="auto"/>
        <w:tabs>
          <w:tab w:leader="none" w:pos="22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of the Participant’s annual rate of base salary from that in effect immediately prior to the Effective Date (or, if higher, that in effect any time thereafter);</w:t>
      </w:r>
    </w:p>
    <w:p>
      <w:pPr>
        <w:spacing w:after="0" w:line="198" w:lineRule="exact"/>
        <w:rPr>
          <w:rFonts w:ascii="Times New Roman" w:cs="Times New Roman" w:eastAsia="Times New Roman" w:hAnsi="Times New Roman"/>
          <w:sz w:val="22"/>
          <w:szCs w:val="22"/>
          <w:color w:val="auto"/>
        </w:rPr>
      </w:pPr>
    </w:p>
    <w:p>
      <w:pPr>
        <w:ind w:left="660" w:right="160" w:firstLine="645"/>
        <w:spacing w:after="0" w:line="257" w:lineRule="auto"/>
        <w:tabs>
          <w:tab w:leader="none" w:pos="21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the Participant’s target annual bonus opportunity (expressed as a dollar amount equal to target bonus percentage multiplied by base salary) of 15% or greater from that in effect immediately prior to the Effective Date (or, if higher, that in effect at any time thereafter);</w:t>
      </w:r>
    </w:p>
    <w:p>
      <w:pPr>
        <w:spacing w:after="0" w:line="213" w:lineRule="exact"/>
        <w:rPr>
          <w:rFonts w:ascii="Times New Roman" w:cs="Times New Roman" w:eastAsia="Times New Roman" w:hAnsi="Times New Roman"/>
          <w:sz w:val="22"/>
          <w:szCs w:val="22"/>
          <w:color w:val="auto"/>
        </w:rPr>
      </w:pPr>
    </w:p>
    <w:p>
      <w:pPr>
        <w:ind w:left="660" w:right="40" w:firstLine="645"/>
        <w:spacing w:after="0" w:line="252" w:lineRule="auto"/>
        <w:tabs>
          <w:tab w:leader="none" w:pos="22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Participant’s annual long-term incentive compensation opportunity, based on the Company’s established practices and procedures for granting long-term incentive awards as in effect prior to the Effective Date, as determined by rules established by the Plan Administrator prior to the Effective Date for the purpose of assessing a claim of material diminution;</w:t>
      </w:r>
    </w:p>
    <w:p>
      <w:pPr>
        <w:spacing w:after="0" w:line="220" w:lineRule="exact"/>
        <w:rPr>
          <w:rFonts w:ascii="Times New Roman" w:cs="Times New Roman" w:eastAsia="Times New Roman" w:hAnsi="Times New Roman"/>
          <w:sz w:val="22"/>
          <w:szCs w:val="22"/>
          <w:color w:val="auto"/>
        </w:rPr>
      </w:pPr>
    </w:p>
    <w:p>
      <w:pPr>
        <w:ind w:left="660" w:right="220" w:firstLine="645"/>
        <w:spacing w:after="0" w:line="250" w:lineRule="auto"/>
        <w:tabs>
          <w:tab w:leader="none" w:pos="21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each Tier 2 Participant and, solely to the extent provided by the applicable Participation Notice, a Tier 3 Participant, a change in the Participant’s principal place of employment to a location that (i) is more than fifty (50) miles from the location in effect immediately prior to the Effective Date and (ii) results in an increase in the Participant’s commute from his or her principal personal residence as of immediately prior to the Effective Date by more than twenty-five (25) miles; or</w:t>
      </w:r>
    </w:p>
    <w:p>
      <w:pPr>
        <w:sectPr>
          <w:pgSz w:w="11900" w:h="16838" w:orient="portrait"/>
          <w:cols w:equalWidth="0" w:num="1">
            <w:col w:w="11340"/>
          </w:cols>
          <w:pgMar w:left="240" w:top="585" w:right="319" w:bottom="1440" w:gutter="0" w:footer="0" w:header="0"/>
        </w:sectPr>
      </w:pPr>
    </w:p>
    <w:bookmarkStart w:id="61" w:name="page62"/>
    <w:bookmarkEnd w:id="61"/>
    <w:p>
      <w:pPr>
        <w:ind w:left="2160" w:hanging="855"/>
        <w:spacing w:after="0"/>
        <w:tabs>
          <w:tab w:leader="none" w:pos="21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action or event specified in the Participant’s Participation Notice.</w:t>
      </w:r>
    </w:p>
    <w:p>
      <w:pPr>
        <w:spacing w:after="0" w:line="260"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2"/>
          <w:szCs w:val="22"/>
          <w:color w:val="auto"/>
        </w:rPr>
        <w:t>In order to invoke a termination for Good Reason, the Participant must provide a Notice of Termination to the Company within ninety (90) days following the initial existence of an event or condition that the Participant believes constitutes Good Reason, describing such event or circumstance in reasonable detail, and, if the Company does not cure such event or condition within ninety (90) days following its receipt of such Notice of Termination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the Participant’s termination of employment must occur, if at all, within thirty (30) days from the earlier of (i) the end of the Cure Period, or (ii) the date the Company provides notice to the Participant that it does not intend to cure such event or condition. The Participant’s mental or physical incapacity following the occurrence of a condition or event described above in clauses (a) through (f) shall not affect the Participant’s ability to terminate employment for Good Reason and the Participant’s death following delivery of a Notice of Termination for Good Reason shall not affect the Participant’s estate’s entitlement to the severance payments and benefits provided hereunder upon a termination of employment for Good Reason.</w:t>
      </w:r>
    </w:p>
    <w:p>
      <w:pPr>
        <w:spacing w:after="0" w:line="18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Multiple</w:t>
      </w:r>
      <w:r>
        <w:rPr>
          <w:rFonts w:ascii="Times New Roman" w:cs="Times New Roman" w:eastAsia="Times New Roman" w:hAnsi="Times New Roman"/>
          <w:sz w:val="21"/>
          <w:szCs w:val="21"/>
          <w:color w:val="auto"/>
        </w:rPr>
        <w:t>” shall mean:</w:t>
      </w:r>
    </w:p>
    <w:p>
      <w:pPr>
        <w:spacing w:after="0" w:line="260" w:lineRule="exact"/>
        <w:rPr>
          <w:sz w:val="20"/>
          <w:szCs w:val="20"/>
          <w:color w:val="auto"/>
        </w:rPr>
      </w:pPr>
    </w:p>
    <w:p>
      <w:pPr>
        <w:ind w:left="660" w:right="740" w:firstLine="645"/>
        <w:spacing w:after="0" w:line="271" w:lineRule="auto"/>
        <w:tabs>
          <w:tab w:leader="none" w:pos="176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Tier 1 Participants, two (2) (or, if such Tier 1 Participant was party to a Senior Executive Severance Agreement that is superseded by this Plan, three (3));</w:t>
      </w:r>
    </w:p>
    <w:p>
      <w:pPr>
        <w:spacing w:after="0" w:line="198"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Tier 2 Participants, one and one-half (1.5); or</w:t>
      </w:r>
    </w:p>
    <w:p>
      <w:pPr>
        <w:spacing w:after="0" w:line="260" w:lineRule="exact"/>
        <w:rPr>
          <w:rFonts w:ascii="Times New Roman" w:cs="Times New Roman" w:eastAsia="Times New Roman" w:hAnsi="Times New Roman"/>
          <w:sz w:val="22"/>
          <w:szCs w:val="22"/>
          <w:color w:val="auto"/>
        </w:rPr>
      </w:pPr>
    </w:p>
    <w:p>
      <w:pPr>
        <w:jc w:val="both"/>
        <w:ind w:left="660" w:right="400" w:firstLine="645"/>
        <w:spacing w:after="0" w:line="257" w:lineRule="auto"/>
        <w:tabs>
          <w:tab w:leader="none" w:pos="176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Tier 3 Participants, a multiple greater than, or equal to, one (1) and less than, or equal to, two (2) that is determined by the Plan Administrator or the Company’s Chief Executive Officer and set forth in the Tier 3 Participant’s Participation Notice.</w:t>
      </w:r>
    </w:p>
    <w:p>
      <w:pPr>
        <w:spacing w:after="0" w:line="214"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mean a notice in writing (including an email communication) delivered to the other party during the two (2)-year period immediately following the Effective Date that (a) indicates the specific termination provision in this Plan relied upon, (b) to the extent applicable, sets forth in reasonable detail the facts and circumstances claimed to provide a basis for termination of the Participant’s employment under the provision so indicated, and (c) if the Date of Termination (as defined herein) is other than the date of receipt of such notice, specifies the Date of Termination (which Date of Termination shall be not more than one hundred and twenty (120) days after the date of the written notice, in the case of a termination by the Participant; it being understood that the Company may, at its election, designate an earlier Date of Termination). The failure by the Participant or the Company to set forth in the Notice of Termination any fact or circumstance that contributes to a showing of Good Reason or Cause shall not waive any right of the Participant or the Company, respectively, hereunder or preclude the Participant or the Company, respectively, from asserting such fact or circumstance in enforcing the Participant’s or the Company’s respective rights hereunder.</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u w:val="single" w:color="auto"/>
          <w:color w:val="auto"/>
        </w:rPr>
        <w:t>Other Key Employee</w:t>
      </w:r>
      <w:r>
        <w:rPr>
          <w:rFonts w:ascii="Times New Roman" w:cs="Times New Roman" w:eastAsia="Times New Roman" w:hAnsi="Times New Roman"/>
          <w:sz w:val="22"/>
          <w:szCs w:val="22"/>
          <w:color w:val="auto"/>
        </w:rPr>
        <w:t>” each employee of the Company or an Affiliated Entity who has been designated by the Chief Executive Officer of the Company as an “Other Key Employee” eligible to participate in this Plan, which designation has been documented in a Participation Notice setting forth the employee’s Multiple for purposes of this Plan.</w:t>
      </w:r>
    </w:p>
    <w:p>
      <w:pPr>
        <w:spacing w:after="0" w:line="21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Otis</w:t>
      </w:r>
      <w:r>
        <w:rPr>
          <w:rFonts w:ascii="Times New Roman" w:cs="Times New Roman" w:eastAsia="Times New Roman" w:hAnsi="Times New Roman"/>
          <w:sz w:val="21"/>
          <w:szCs w:val="21"/>
          <w:color w:val="auto"/>
        </w:rPr>
        <w:t>” shall mean Otis Worldwide Corporation.</w:t>
      </w:r>
    </w:p>
    <w:p>
      <w:pPr>
        <w:spacing w:after="0" w:line="26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shall mean each Corporate Office Executive and each Other Key Employee, excluding:</w:t>
      </w:r>
    </w:p>
    <w:p>
      <w:pPr>
        <w:sectPr>
          <w:pgSz w:w="11900" w:h="16838" w:orient="portrait"/>
          <w:cols w:equalWidth="0" w:num="1">
            <w:col w:w="11420"/>
          </w:cols>
          <w:pgMar w:left="240" w:top="585" w:right="239" w:bottom="1440" w:gutter="0" w:footer="0" w:header="0"/>
        </w:sectPr>
      </w:pPr>
    </w:p>
    <w:bookmarkStart w:id="62" w:name="page63"/>
    <w:bookmarkEnd w:id="62"/>
    <w:p>
      <w:pPr>
        <w:jc w:val="both"/>
        <w:ind w:left="660" w:right="300" w:firstLine="645"/>
        <w:spacing w:after="0" w:line="257" w:lineRule="auto"/>
        <w:tabs>
          <w:tab w:leader="none" w:pos="176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a Participation Notice, any individual who, prior to the Effective Date, was offered, through a written offer letter, a position with Otis or Carrier, or a subsidiary thereof, the terms of which offer did not meet the definition of “Good Reason”;</w:t>
      </w:r>
    </w:p>
    <w:p>
      <w:pPr>
        <w:spacing w:after="0" w:line="213" w:lineRule="exact"/>
        <w:rPr>
          <w:rFonts w:ascii="Times New Roman" w:cs="Times New Roman" w:eastAsia="Times New Roman" w:hAnsi="Times New Roman"/>
          <w:sz w:val="22"/>
          <w:szCs w:val="22"/>
          <w:color w:val="auto"/>
        </w:rPr>
      </w:pPr>
    </w:p>
    <w:p>
      <w:pPr>
        <w:ind w:left="660" w:right="480" w:firstLine="645"/>
        <w:spacing w:after="0" w:line="275" w:lineRule="auto"/>
        <w:tabs>
          <w:tab w:leader="none" w:pos="183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has received a formal communication (whether before or after the Effective Date), consistent with the Company’s usual practice for employee transfers, of such individual’s transfer to a position in a jurisdiction outside of the United States, the terms of which position do not meet the definition of “Good Reason”; and</w:t>
      </w:r>
    </w:p>
    <w:p>
      <w:pPr>
        <w:spacing w:after="0" w:line="196" w:lineRule="exact"/>
        <w:rPr>
          <w:rFonts w:ascii="Times New Roman" w:cs="Times New Roman" w:eastAsia="Times New Roman" w:hAnsi="Times New Roman"/>
          <w:sz w:val="21"/>
          <w:szCs w:val="21"/>
          <w:color w:val="auto"/>
        </w:rPr>
      </w:pPr>
    </w:p>
    <w:p>
      <w:pPr>
        <w:ind w:left="660" w:right="140" w:firstLine="645"/>
        <w:spacing w:after="0" w:line="252" w:lineRule="auto"/>
        <w:tabs>
          <w:tab w:leader="none" w:pos="181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who has received a formal communication (whether before or after the Effective Date), consistent with the Company’s usual practice for employee transfers, of such individual’s transfer to a position at a Company business unit that is not designated as a “corporate office” position and that is not assigned to the UTC Research Center, the terms of which position do not meet the definition of “Good Reason”; and</w:t>
      </w:r>
    </w:p>
    <w:p>
      <w:pPr>
        <w:spacing w:after="0" w:line="220"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Chief Executive Officer as of immediately prior to the Effective Date.</w:t>
      </w:r>
    </w:p>
    <w:p>
      <w:pPr>
        <w:spacing w:after="0" w:line="260"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Participation Notice</w:t>
      </w:r>
      <w:r>
        <w:rPr>
          <w:rFonts w:ascii="Times New Roman" w:cs="Times New Roman" w:eastAsia="Times New Roman" w:hAnsi="Times New Roman"/>
          <w:sz w:val="22"/>
          <w:szCs w:val="22"/>
          <w:color w:val="auto"/>
        </w:rPr>
        <w:t xml:space="preserve">” shall mean a notice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delivered by the Company to a Participant.</w:t>
      </w:r>
    </w:p>
    <w:p>
      <w:pPr>
        <w:spacing w:after="0" w:line="198"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xml:space="preserve">” shall mean the Company’s Chief Executive Officer or his or her duly authorized designee or designees;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each Participant who is an executive officer or ELG member of the Company as of immediately prior to the Effective Date, the Plan Administrator shall be the Compensation Committee of the Board.</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shall mean any termination of a Participant’s employment during the two (2)-year period beginning on the Effective Date, by the Participant for Good Reason or by the Company other than for Cause, death or Disability; it being understood that to constitute a Qualifying Termination, the Notice of Termination must be provided prior to the expiration of such period and the Date of Termination may occur outside of such period.</w:t>
      </w:r>
    </w:p>
    <w:p>
      <w:pPr>
        <w:spacing w:after="0" w:line="220"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21"/>
          <w:szCs w:val="21"/>
          <w:color w:val="auto"/>
        </w:rPr>
        <w:t>2.19 “</w:t>
      </w:r>
      <w:r>
        <w:rPr>
          <w:rFonts w:ascii="Times New Roman" w:cs="Times New Roman" w:eastAsia="Times New Roman" w:hAnsi="Times New Roman"/>
          <w:sz w:val="21"/>
          <w:szCs w:val="21"/>
          <w:u w:val="single" w:color="auto"/>
          <w:color w:val="auto"/>
        </w:rPr>
        <w:t>Target Annual Bonus</w:t>
      </w:r>
      <w:r>
        <w:rPr>
          <w:rFonts w:ascii="Times New Roman" w:cs="Times New Roman" w:eastAsia="Times New Roman" w:hAnsi="Times New Roman"/>
          <w:sz w:val="21"/>
          <w:szCs w:val="21"/>
          <w:color w:val="auto"/>
        </w:rPr>
        <w:t>” shall mean the Participant’s target annual bonus opportunity pursuant to the Company’s applicable annual bonus plan in effect immediately prior to the Effective Date, or, if higher, immediately prior to the Date of Termination (disregarding any reduction thereto that is a basis of the Participant’s termination for Good Reason).</w:t>
      </w:r>
    </w:p>
    <w:p>
      <w:pPr>
        <w:spacing w:after="0" w:line="196"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Tier 1 Participant</w:t>
      </w:r>
      <w:r>
        <w:rPr>
          <w:rFonts w:ascii="Times New Roman" w:cs="Times New Roman" w:eastAsia="Times New Roman" w:hAnsi="Times New Roman"/>
          <w:sz w:val="22"/>
          <w:szCs w:val="22"/>
          <w:color w:val="auto"/>
        </w:rPr>
        <w:t>” shall mean each Participant who holds a position in job grade E5 (including ELG members), E4 or E3, as of immediately prior to the Date of Termination (or immediately prior to a reduction in job grade that is a basis for the Participant’s termination for Good Reason).</w:t>
      </w:r>
    </w:p>
    <w:p>
      <w:pPr>
        <w:spacing w:after="0" w:line="21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u w:val="single" w:color="auto"/>
          <w:color w:val="auto"/>
        </w:rPr>
        <w:t>Tier 2 Participant</w:t>
      </w:r>
      <w:r>
        <w:rPr>
          <w:rFonts w:ascii="Times New Roman" w:cs="Times New Roman" w:eastAsia="Times New Roman" w:hAnsi="Times New Roman"/>
          <w:sz w:val="22"/>
          <w:szCs w:val="22"/>
          <w:color w:val="auto"/>
        </w:rPr>
        <w:t>” shall mean each Participant who holds a position in job grade E2 or E1 as of immediately prior to the Date of Termination (or immediately prior to a reduction in job grade that is a basis for the Participant’s termination for Good Reason).</w:t>
      </w:r>
    </w:p>
    <w:p>
      <w:pPr>
        <w:spacing w:after="0" w:line="21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Tier 3 Participant</w:t>
      </w:r>
      <w:r>
        <w:rPr>
          <w:rFonts w:ascii="Times New Roman" w:cs="Times New Roman" w:eastAsia="Times New Roman" w:hAnsi="Times New Roman"/>
          <w:sz w:val="21"/>
          <w:szCs w:val="21"/>
          <w:color w:val="auto"/>
        </w:rPr>
        <w:t>” shall mean each Participant who is an Other Key Employee.</w:t>
      </w:r>
    </w:p>
    <w:p>
      <w:pPr>
        <w:sectPr>
          <w:pgSz w:w="11900" w:h="16838" w:orient="portrait"/>
          <w:cols w:equalWidth="0" w:num="1">
            <w:col w:w="11400"/>
          </w:cols>
          <w:pgMar w:left="240" w:top="585" w:right="25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SEPARATION BENEFITS</w:t>
      </w:r>
    </w:p>
    <w:p>
      <w:pPr>
        <w:spacing w:after="0" w:line="200" w:lineRule="exact"/>
        <w:rPr>
          <w:sz w:val="20"/>
          <w:szCs w:val="20"/>
          <w:color w:val="auto"/>
        </w:rPr>
      </w:pPr>
    </w:p>
    <w:p>
      <w:pPr>
        <w:spacing w:after="0" w:line="293"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If a Participant experiences a Qualifying Termination, the Company shall pay or provide to the Participant the following payments and benefits at the time or times set forth below, subject to Section 8:</w:t>
      </w:r>
    </w:p>
    <w:p>
      <w:pPr>
        <w:spacing w:after="0" w:line="198" w:lineRule="exact"/>
        <w:rPr>
          <w:sz w:val="20"/>
          <w:szCs w:val="20"/>
          <w:color w:val="auto"/>
        </w:rPr>
      </w:pPr>
    </w:p>
    <w:p>
      <w:pPr>
        <w:ind w:left="660" w:right="100" w:firstLine="645"/>
        <w:spacing w:after="0" w:line="250" w:lineRule="auto"/>
        <w:tabs>
          <w:tab w:leader="none" w:pos="176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payment in cash, subject to (other than in the case of the Accrued Obligations and Other Benefits) the Participant’s execution and nonrevocation of a General Release of Claims and Restrictive Covenant Agreement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payable as soon as practicable following the date on which such agreement becomes effective and irrevocable and in any event no later than the seventieth (70th) following the Date of Termination, equal to the aggregate of the following amounts:</w:t>
      </w:r>
    </w:p>
    <w:p>
      <w:pPr>
        <w:spacing w:after="0" w:line="222" w:lineRule="exact"/>
        <w:rPr>
          <w:rFonts w:ascii="Times New Roman" w:cs="Times New Roman" w:eastAsia="Times New Roman" w:hAnsi="Times New Roman"/>
          <w:sz w:val="22"/>
          <w:szCs w:val="22"/>
          <w:color w:val="auto"/>
        </w:rPr>
      </w:pPr>
    </w:p>
    <w:p>
      <w:pPr>
        <w:ind w:left="660" w:firstLine="1293"/>
        <w:spacing w:after="0" w:line="259" w:lineRule="auto"/>
        <w:tabs>
          <w:tab w:leader="none" w:pos="237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Participant’s accrued Annual Base Salary through the Date of Termination, (B) any annual incentive payment earned by the Participant for a performance period that was completed prior to the Date of Termination, and (C) any business expenses incurred by the Participant that are unreimbursed as of the Date of Termination, in each case, to the extent not theretofore paid (the sum of the amounts described in clauses (A), (B), and (C) shall be hereinafter referred to as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the foregoing, in the case of</w:t>
      </w:r>
    </w:p>
    <w:p>
      <w:pPr>
        <w:spacing w:after="0" w:line="4" w:lineRule="exact"/>
        <w:rPr>
          <w:rFonts w:ascii="Times New Roman" w:cs="Times New Roman" w:eastAsia="Times New Roman" w:hAnsi="Times New Roman"/>
          <w:sz w:val="21"/>
          <w:szCs w:val="21"/>
          <w:color w:val="auto"/>
        </w:rPr>
      </w:pPr>
    </w:p>
    <w:p>
      <w:pPr>
        <w:ind w:left="660" w:right="14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clauses (A) and (B), if the Participant has made an irrevocable election under any deferred compensation arrangement subject to Section 409A of the Code to defer any portion of the Annual Base Salary or annual incentive payment described in clause (A) or (B) above, then for all purposes of this Section 3 (including, without limitation, Section 3.1(a)(ii)), such deferral election, and the terms of the applicable arrangement, shall apply to the same portion of the amount described in such clauses (A) or (B), and such portion shall not be considered as part of the “Accrued Obligations” but shall instead be an “Other Benefit” (as defined below);</w:t>
      </w:r>
    </w:p>
    <w:p>
      <w:pPr>
        <w:spacing w:after="0" w:line="2" w:lineRule="exact"/>
        <w:rPr>
          <w:rFonts w:ascii="Times New Roman" w:cs="Times New Roman" w:eastAsia="Times New Roman" w:hAnsi="Times New Roman"/>
          <w:sz w:val="21"/>
          <w:szCs w:val="21"/>
          <w:color w:val="auto"/>
        </w:rPr>
      </w:pPr>
    </w:p>
    <w:p>
      <w:pPr>
        <w:ind w:left="660" w:firstLine="1293"/>
        <w:spacing w:after="0" w:line="259" w:lineRule="auto"/>
        <w:tabs>
          <w:tab w:leader="none" w:pos="243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(A) the Target Annual Bonus and (B) a fraction, the numerator of which is the number of days in the fiscal year in which the Date of Termination occurs from the first (1st) day of such fiscal year to and including the Date of Termination, and the denominator of which is the total number of days in such fiscal year, reduced by any annual bonus payment to which the Participant has been paid or is otherwise entitled, in each case, for the same period of service, and subject to any applicable deferral election on the same basis as set forth in the proviso to Section 3.1(a)(i); and</w:t>
      </w:r>
    </w:p>
    <w:p>
      <w:pPr>
        <w:spacing w:after="0" w:line="212" w:lineRule="exact"/>
        <w:rPr>
          <w:rFonts w:ascii="Times New Roman" w:cs="Times New Roman" w:eastAsia="Times New Roman" w:hAnsi="Times New Roman"/>
          <w:sz w:val="21"/>
          <w:szCs w:val="21"/>
          <w:color w:val="auto"/>
        </w:rPr>
      </w:pPr>
    </w:p>
    <w:p>
      <w:pPr>
        <w:ind w:left="660" w:right="340" w:firstLine="1293"/>
        <w:spacing w:after="0" w:line="271" w:lineRule="auto"/>
        <w:tabs>
          <w:tab w:leader="none" w:pos="249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equal to the product of (A) the Multiple and (B) the sum of (1) the Participant’s Annual Base Salary and (2) the Participant’s Target Annual Bonus.</w:t>
      </w:r>
    </w:p>
    <w:p>
      <w:pPr>
        <w:spacing w:after="0" w:line="198" w:lineRule="exact"/>
        <w:rPr>
          <w:rFonts w:ascii="Times New Roman" w:cs="Times New Roman" w:eastAsia="Times New Roman" w:hAnsi="Times New Roman"/>
          <w:sz w:val="22"/>
          <w:szCs w:val="22"/>
          <w:color w:val="auto"/>
        </w:rPr>
      </w:pPr>
    </w:p>
    <w:p>
      <w:pPr>
        <w:ind w:left="660" w:right="20" w:firstLine="645"/>
        <w:spacing w:after="0" w:line="249" w:lineRule="auto"/>
        <w:tabs>
          <w:tab w:leader="none" w:pos="177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Healthcare Benefits</w:t>
      </w:r>
      <w:r>
        <w:rPr>
          <w:rFonts w:ascii="Times New Roman" w:cs="Times New Roman" w:eastAsia="Times New Roman" w:hAnsi="Times New Roman"/>
          <w:sz w:val="22"/>
          <w:szCs w:val="22"/>
          <w:color w:val="auto"/>
        </w:rPr>
        <w:t>. For the Benefit Continuation Period, the Company shall continue to provide to the Participant (and the Participant’s dependents who were covered by healthcare benefit coverage pursuant to a plan sponsored by the Company or an Affiliated Entity as of immediately prior to the Date of Termination, if any (the “</w:t>
      </w:r>
      <w:r>
        <w:rPr>
          <w:rFonts w:ascii="Times New Roman" w:cs="Times New Roman" w:eastAsia="Times New Roman" w:hAnsi="Times New Roman"/>
          <w:sz w:val="22"/>
          <w:szCs w:val="22"/>
          <w:u w:val="single" w:color="auto"/>
          <w:color w:val="auto"/>
        </w:rPr>
        <w:t>eligible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dependents</w:t>
      </w:r>
      <w:r>
        <w:rPr>
          <w:rFonts w:ascii="Times New Roman" w:cs="Times New Roman" w:eastAsia="Times New Roman" w:hAnsi="Times New Roman"/>
          <w:sz w:val="22"/>
          <w:szCs w:val="22"/>
          <w:color w:val="auto"/>
        </w:rPr>
        <w:t>”)), without any requirement for the Participant (or the eligible dependents) to pay a monthly premium, healthcare benefit coverage (including medical, prescription, dental, vision, basic life, and employee assistance program coverage and, for Participants who are ELG members, annual executive</w:t>
      </w:r>
    </w:p>
    <w:p>
      <w:pPr>
        <w:sectPr>
          <w:pgSz w:w="11900" w:h="16838" w:orient="portrait"/>
          <w:cols w:equalWidth="0" w:num="1">
            <w:col w:w="11400"/>
          </w:cols>
          <w:pgMar w:left="240" w:top="1094" w:right="259" w:bottom="1440" w:gutter="0" w:footer="0" w:header="0"/>
        </w:sectPr>
      </w:pPr>
    </w:p>
    <w:bookmarkStart w:id="64" w:name="page65"/>
    <w:bookmarkEnd w:id="64"/>
    <w:p>
      <w:pPr>
        <w:spacing w:after="0" w:line="245" w:lineRule="auto"/>
        <w:rPr>
          <w:sz w:val="20"/>
          <w:szCs w:val="20"/>
          <w:color w:val="auto"/>
        </w:rPr>
      </w:pPr>
      <w:r>
        <w:rPr>
          <w:rFonts w:ascii="Times New Roman" w:cs="Times New Roman" w:eastAsia="Times New Roman" w:hAnsi="Times New Roman"/>
          <w:sz w:val="22"/>
          <w:szCs w:val="22"/>
          <w:color w:val="auto"/>
        </w:rPr>
        <w:t xml:space="preserve">physicals) at least equal to the coverage that would have been provided to the Participant (and the Participant’s eligible dependents, if any) if the Participant had continued employment with the Company during the Benefit Continuation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 Participant becomes reemployed with another employer and is eligible to receive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types of healthcare benefits under another employer-provided plan, the healthcare benefit coverage that is duplicative of the type of coverage provided hereunder shall cease. The Participant shall promptly notify the Company that the Participant has become eligible to receive healthcare benefits under another employer-provided plan. The period for providing continuation coverage under the group health plans of the Company and the Affiliated Entities as described in Section 4980B of the Code (i.e., “COBRA” continuation benefits), if applicable, shall commence upon the expiration of the Benefits Continuation Period (or, if earlier, upon the cessation of the healthcare benefits coverage provided hereunder). For purposes of determining eligibility (but not the time of commencement of benefits) of the Participant for retiree benefits pursuant to any applicable plans, practices, programs and policies, the Participant shall be considered to have remained employed during the Benefit Continuation Period and to have retired on the last day of such period.</w:t>
      </w:r>
    </w:p>
    <w:p>
      <w:pPr>
        <w:spacing w:after="0" w:line="237" w:lineRule="exact"/>
        <w:rPr>
          <w:sz w:val="20"/>
          <w:szCs w:val="20"/>
          <w:color w:val="auto"/>
        </w:rPr>
      </w:pPr>
    </w:p>
    <w:p>
      <w:pPr>
        <w:jc w:val="both"/>
        <w:ind w:right="100" w:firstLine="645"/>
        <w:spacing w:after="0" w:line="257" w:lineRule="auto"/>
        <w:tabs>
          <w:tab w:leader="none" w:pos="110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Outplacement Services</w:t>
      </w:r>
      <w:r>
        <w:rPr>
          <w:rFonts w:ascii="Times New Roman" w:cs="Times New Roman" w:eastAsia="Times New Roman" w:hAnsi="Times New Roman"/>
          <w:sz w:val="22"/>
          <w:szCs w:val="22"/>
          <w:color w:val="auto"/>
        </w:rPr>
        <w:t>. The Company shall, at its expense, provide the Participant with outplacement services for a period of twelve (12) months following the Date of Termination, the scope and provider of which shall be determined by the Company.</w:t>
      </w:r>
    </w:p>
    <w:p>
      <w:pPr>
        <w:spacing w:after="0" w:line="213" w:lineRule="exact"/>
        <w:rPr>
          <w:rFonts w:ascii="Times New Roman" w:cs="Times New Roman" w:eastAsia="Times New Roman" w:hAnsi="Times New Roman"/>
          <w:sz w:val="22"/>
          <w:szCs w:val="22"/>
          <w:color w:val="auto"/>
        </w:rPr>
      </w:pPr>
    </w:p>
    <w:p>
      <w:pPr>
        <w:ind w:right="360" w:firstLine="645"/>
        <w:spacing w:after="0" w:line="263" w:lineRule="auto"/>
        <w:tabs>
          <w:tab w:leader="none" w:pos="111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Planning Services</w:t>
      </w:r>
      <w:r>
        <w:rPr>
          <w:rFonts w:ascii="Times New Roman" w:cs="Times New Roman" w:eastAsia="Times New Roman" w:hAnsi="Times New Roman"/>
          <w:sz w:val="21"/>
          <w:szCs w:val="21"/>
          <w:color w:val="auto"/>
        </w:rPr>
        <w:t xml:space="preserve">. The Company shall, at its expense as incurred, provide the Participant with continuation of financial planning services for a period of twelve (12) months following the Date of Termination, if the Participant is eligible for this benefit immediately prior to the Effective Date, the scope and provider of which shall be determined by the Participant in the Participant’s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cost of such services shall not exceed the maximum cost of such services available to the Participant as of immediately prior to the Effective Date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$16,000 for Participants who are ELG members and $14,000 for Participants who are other E5 executives).</w:t>
      </w:r>
    </w:p>
    <w:p>
      <w:pPr>
        <w:spacing w:after="0" w:line="208" w:lineRule="exact"/>
        <w:rPr>
          <w:rFonts w:ascii="Times New Roman" w:cs="Times New Roman" w:eastAsia="Times New Roman" w:hAnsi="Times New Roman"/>
          <w:sz w:val="21"/>
          <w:szCs w:val="21"/>
          <w:color w:val="auto"/>
        </w:rPr>
      </w:pPr>
    </w:p>
    <w:p>
      <w:pPr>
        <w:ind w:right="60" w:firstLine="645"/>
        <w:spacing w:after="0" w:line="259" w:lineRule="auto"/>
        <w:tabs>
          <w:tab w:leader="none" w:pos="110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Accelerated Vesting of Equity Awards</w:t>
      </w:r>
      <w:r>
        <w:rPr>
          <w:rFonts w:ascii="Times New Roman" w:cs="Times New Roman" w:eastAsia="Times New Roman" w:hAnsi="Times New Roman"/>
          <w:sz w:val="21"/>
          <w:szCs w:val="21"/>
          <w:color w:val="auto"/>
        </w:rPr>
        <w:t xml:space="preserve">. Unvested Company equity awards held by the Participant shall become fully vested as of the Date of Termination,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vesting of performance-based awards such as performance share units will remain subject to the achievement of the applicable performance goals, determined in the ordinary course following the applicable performance period. Each vested Company equity award held by the Participant as of the Date of Termination that is in the form of a stock option or stock appreciation right (including any such award that became vested pursuant to the preceding sentence) shall remain exercisable until the expiration of its full original term, and each other vested award shall be settled at the earliest time that settlement may occur without causing the imposition of an accelerated or additional tax or penalties under Section 409A of the Code (and, in the case of any award that was subject to a performance-based vesting condition as of the Date of Termination, no earlier than the date on which the actual level of achievement of the applicable performance goals is determined after the end of the applicable performance period).</w:t>
      </w:r>
    </w:p>
    <w:p>
      <w:pPr>
        <w:spacing w:after="0" w:line="216" w:lineRule="exact"/>
        <w:rPr>
          <w:rFonts w:ascii="Times New Roman" w:cs="Times New Roman" w:eastAsia="Times New Roman" w:hAnsi="Times New Roman"/>
          <w:sz w:val="21"/>
          <w:szCs w:val="21"/>
          <w:color w:val="auto"/>
        </w:rPr>
      </w:pPr>
    </w:p>
    <w:p>
      <w:pPr>
        <w:ind w:right="140" w:firstLine="645"/>
        <w:spacing w:after="0" w:line="250" w:lineRule="auto"/>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To the extent not theretofore paid or provided, the Company shall timely pay or provide to the Participant any other amounts or benefits required to be paid or provided or which the Participant is eligible to receive under any plan, program, policy or practice, or contract or agreement of the Company and the Affiliated Entities, including amounts credited to the Participant’s account under the Company Deferred Compensation Plan, as amended, or any successor plan, and, if the Participant participates in the Employee Scholar Program as of</w:t>
      </w:r>
    </w:p>
    <w:p>
      <w:pPr>
        <w:sectPr>
          <w:pgSz w:w="11900" w:h="16838" w:orient="portrait"/>
          <w:cols w:equalWidth="0" w:num="1">
            <w:col w:w="10760"/>
          </w:cols>
          <w:pgMar w:left="900" w:top="585" w:right="239" w:bottom="1440" w:gutter="0" w:footer="0" w:header="0"/>
        </w:sectPr>
      </w:pPr>
    </w:p>
    <w:bookmarkStart w:id="65" w:name="page66"/>
    <w:bookmarkEnd w:id="65"/>
    <w:p>
      <w:pPr>
        <w:ind w:left="660" w:right="360"/>
        <w:spacing w:after="0" w:line="271" w:lineRule="auto"/>
        <w:rPr>
          <w:sz w:val="20"/>
          <w:szCs w:val="20"/>
          <w:color w:val="auto"/>
        </w:rPr>
      </w:pPr>
      <w:r>
        <w:rPr>
          <w:rFonts w:ascii="Times New Roman" w:cs="Times New Roman" w:eastAsia="Times New Roman" w:hAnsi="Times New Roman"/>
          <w:sz w:val="22"/>
          <w:szCs w:val="22"/>
          <w:color w:val="auto"/>
        </w:rPr>
        <w:t>immediately prior to the Date of Termination, up to 12 months of continued participation in such program in accordance with its terms (such other amounts and benefits shall be hereinafter referred to as the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NONDUPLICATION; NO OFFSET; ENTIRE UNDERSTANDING</w:t>
      </w:r>
    </w:p>
    <w:p>
      <w:pPr>
        <w:spacing w:after="0" w:line="23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Nonduplication of Payments and Benefits</w:t>
      </w:r>
      <w:r>
        <w:rPr>
          <w:rFonts w:ascii="Times New Roman" w:cs="Times New Roman" w:eastAsia="Times New Roman" w:hAnsi="Times New Roman"/>
          <w:sz w:val="21"/>
          <w:szCs w:val="21"/>
          <w:color w:val="auto"/>
        </w:rPr>
        <w:t>. The amount of the payment under Section 3.1(a)(iii) of this Plan will be offset and reduced by the full amount and/or value, as determined by the Plan Administrator in its sole discretion, of any severance benefits, compensation and benefits provided during any notice period, pay in lieu of notice, mandated termination indemnities, or similar benefits that the Participant may separately be entitled to receive from the Company or any Affiliated Entity based on any employment agreement or other contractual obligation (whether individual or union/works council) or statutory scheme. If a Participant’s employment is terminated because of a plant shut-down or mass layoff or other event to which the Worker Adjustment and Retraining Notification Act of 1988 or similar state law (collectively, “</w:t>
      </w:r>
      <w:r>
        <w:rPr>
          <w:rFonts w:ascii="Times New Roman" w:cs="Times New Roman" w:eastAsia="Times New Roman" w:hAnsi="Times New Roman"/>
          <w:sz w:val="21"/>
          <w:szCs w:val="21"/>
          <w:u w:val="single" w:color="auto"/>
          <w:color w:val="auto"/>
        </w:rPr>
        <w:t>WARN</w:t>
      </w:r>
      <w:r>
        <w:rPr>
          <w:rFonts w:ascii="Times New Roman" w:cs="Times New Roman" w:eastAsia="Times New Roman" w:hAnsi="Times New Roman"/>
          <w:sz w:val="21"/>
          <w:szCs w:val="21"/>
          <w:color w:val="auto"/>
        </w:rPr>
        <w:t>”) applies, then the amount of the severance payment under Section 3.1(a)(iii) of this Plan to which the Participant is entitled shall be reduced, dollar for dollar, by the amount of any pay provided to the Participant in lieu of the notice required by WARN, and the Benefits Continuation Period shall be reduced for any period of benefits continuation or pay in lieu thereof provided to Participant due to the application of WARN.</w:t>
      </w:r>
    </w:p>
    <w:p>
      <w:pPr>
        <w:spacing w:after="0" w:line="217"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No Offset or Mitigation</w:t>
      </w:r>
      <w:r>
        <w:rPr>
          <w:rFonts w:ascii="Times New Roman" w:cs="Times New Roman" w:eastAsia="Times New Roman" w:hAnsi="Times New Roman"/>
          <w:sz w:val="22"/>
          <w:szCs w:val="22"/>
          <w:color w:val="auto"/>
        </w:rPr>
        <w:t>. Except as otherwise expressly provided in Section 4.1 or as specifically provided in the General Release of Claims and Restrictive Covenant Agreement, the Company’s obligation to provide the payments and benefits under this Plan and otherwise to perform its obligations hereunder shall be absolute and unconditional and shall not be affected by any setoff, counterclaim, recoupment, defense or other claim, right or action which the Company may have against a Participant or others. In no event shall a Participant be obligated to seek other employment or take any other action by way of mitigation of the amounts payable to such Participant under any of the provisions of this Plan and, except as provided in Section 3.1(b) regarding healthcare benefits, no payments or benefits received from other employment shall serve to mitigate the payments and benefits hereunder.</w:t>
      </w:r>
    </w:p>
    <w:p>
      <w:pPr>
        <w:spacing w:after="0" w:line="22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Entire Understanding</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660" w:firstLine="645"/>
        <w:spacing w:after="0" w:line="246" w:lineRule="auto"/>
        <w:tabs>
          <w:tab w:leader="none" w:pos="17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constitutes the entire understanding between the Company and each Participant as of the Effective Date relating to the severance payments or benefits to be paid or provided to the Participant by the Company upon a termination of employment that occurs on, or within two years after, the Effective Date, and supersedes all prior agreements and understandings with respect to the subject matter of this Plan during such period, except that the terms and conditions of Company equity awards shall continue in full force and effect and shall be supplemented by the additional benefits provided by Section 3.1(e). Each Participant’s eligibility to receive severance payments or benefits under this Plan during the two-year period following the Effective Date shall preclude the Participant from claiming severance benefits under any other contractual arrangement with the Company or any Affiliated Entity during such period, including without limitation any ELG agreement.</w:t>
      </w:r>
    </w:p>
    <w:p>
      <w:pPr>
        <w:spacing w:after="0" w:line="232" w:lineRule="exact"/>
        <w:rPr>
          <w:rFonts w:ascii="Times New Roman" w:cs="Times New Roman" w:eastAsia="Times New Roman" w:hAnsi="Times New Roman"/>
          <w:sz w:val="22"/>
          <w:szCs w:val="22"/>
          <w:color w:val="auto"/>
        </w:rPr>
      </w:pPr>
    </w:p>
    <w:p>
      <w:pPr>
        <w:ind w:left="660" w:right="20" w:firstLine="645"/>
        <w:spacing w:after="0" w:line="252" w:lineRule="auto"/>
        <w:tabs>
          <w:tab w:leader="none" w:pos="17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that are vested benefits or that a Participant and/or a Participant’s dependents are otherwise entitled to receive under any plan, policy, practice, program, agreement or arrangement of the Company or any of the Affiliated Entities shall be payable in accordance with such plan, policy, practice, program, agreement or arrangement. Without limiting the</w:t>
      </w:r>
    </w:p>
    <w:p>
      <w:pPr>
        <w:sectPr>
          <w:pgSz w:w="11900" w:h="16838" w:orient="portrait"/>
          <w:cols w:equalWidth="0" w:num="1">
            <w:col w:w="11420"/>
          </w:cols>
          <w:pgMar w:left="240" w:top="585" w:right="239" w:bottom="1440" w:gutter="0" w:footer="0" w:header="0"/>
        </w:sectPr>
      </w:pPr>
    </w:p>
    <w:bookmarkStart w:id="66" w:name="page67"/>
    <w:bookmarkEnd w:id="66"/>
    <w:p>
      <w:pPr>
        <w:ind w:left="660" w:right="60"/>
        <w:spacing w:after="0" w:line="249" w:lineRule="auto"/>
        <w:rPr>
          <w:sz w:val="20"/>
          <w:szCs w:val="20"/>
          <w:color w:val="auto"/>
        </w:rPr>
      </w:pPr>
      <w:r>
        <w:rPr>
          <w:rFonts w:ascii="Times New Roman" w:cs="Times New Roman" w:eastAsia="Times New Roman" w:hAnsi="Times New Roman"/>
          <w:sz w:val="22"/>
          <w:szCs w:val="22"/>
          <w:color w:val="auto"/>
        </w:rPr>
        <w:t>generality of the foregoing, the Participant’s resignation under this Plan, with or without Good Reason, shall in no way affect the Participant’s ability to terminate employment by reason of the Participant’s “retirement” under, or to be eligible to receive benefits under, any compensation and benefits plans, programs or arrangements of the Company or the Affiliated Entities, including, without limitation, any retirement or pension plans or arrangements or substitute plans adopted by the Company, the Affiliated Entities or their respective successors, and any termination which otherwise qualifies as Good Reason shall be treated as such even if it is also a “retirement” for purposes of any such plan.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AND TERMINATION</w:t>
      </w:r>
    </w:p>
    <w:p>
      <w:pPr>
        <w:spacing w:after="0" w:line="23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This Plan may be terminated or amended in any respect by resolution adopted by the Compensation 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Plan may not be terminated or amended after the Effective Date in any manner that would adversely affect the rights of any Participant hereunder without such Participant’s prior written consent.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ADMINISTRATION</w:t>
      </w:r>
    </w:p>
    <w:p>
      <w:pPr>
        <w:spacing w:after="0" w:line="23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The Plan Administrator is responsible for the general administration and management of this Plan and shall have all powers and duties necessary to fulfill its responsibilities, including, but not limited to, the discretion to interpret and apply the provisions of this Plan, to modify the provisions of this Plan, or the General Release of Claims and Restrictive Covenant Agreement, as applied to any Participant providing services outside of the United States to the extent necessary or appropriate in order to comply with any applicable legal or regulatory provisions and otherwise to carry out the intent and purpose of this Plan, and to determine all questions relating to eligibility for benefits under this Plan, to interpret or construe ambiguous, unclear, or implied (but omitted) terms in any fashion it deems to be appropriate, and to make any findings of fact needed in the administration of this Plan. All decisions, interpretations and other actions of the Plan Administrator shall be final, conclusive and binding on all parties who have an interest in this Plan. In the event of a civil action challenging any Plan Administrator decision, the standard of review shall be deferential rather than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and the Plan Administrator’s decisions may be overturned only if deemed unreasonable, arbitrary or capricious.</w:t>
      </w:r>
    </w:p>
    <w:p>
      <w:pPr>
        <w:spacing w:after="0" w:line="227" w:lineRule="exact"/>
        <w:rPr>
          <w:sz w:val="20"/>
          <w:szCs w:val="20"/>
          <w:color w:val="auto"/>
        </w:rPr>
      </w:pPr>
    </w:p>
    <w:p>
      <w:pPr>
        <w:ind w:right="2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This Plan (a) shall be considered to be an unfunded plan maintained by the Company primarily for the purpose of providing deferred compensation for a select group of management or highly compensated employees (a “</w:t>
      </w:r>
      <w:r>
        <w:rPr>
          <w:rFonts w:ascii="Times New Roman" w:cs="Times New Roman" w:eastAsia="Times New Roman" w:hAnsi="Times New Roman"/>
          <w:sz w:val="22"/>
          <w:szCs w:val="22"/>
          <w:u w:val="single" w:color="auto"/>
          <w:color w:val="auto"/>
        </w:rPr>
        <w:t>top-hat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(b) shall be administered in a manner that complies with the provisions of the Employee Retirement Income Security Act of 1974, as amended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that are applicable to top-hat plans.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Claims Procedure</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660" w:firstLine="645"/>
        <w:spacing w:after="0" w:line="249" w:lineRule="auto"/>
        <w:tabs>
          <w:tab w:leader="none" w:pos="17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Claims</w:t>
      </w:r>
      <w:r>
        <w:rPr>
          <w:rFonts w:ascii="Times New Roman" w:cs="Times New Roman" w:eastAsia="Times New Roman" w:hAnsi="Times New Roman"/>
          <w:sz w:val="22"/>
          <w:szCs w:val="22"/>
          <w:color w:val="auto"/>
        </w:rPr>
        <w:t>. A Participant who believes that such Participant is entitled to a payment under this Plan that has not been received may submit a written claim for benefits under this Plan within sixty (60) days after the Participant’s Date of Termination. If the Participant’s claim is denied, in whole or in part, such Participant will be furnished with written notice of the denial within ninety (90) days after the Plan Administrator’s receipt of the Participant’s written claim, unless special circumstances require an extension of time for processing the claim, in which case the decision period may be extended by up to an additional ninety (90) days. If such an</w:t>
      </w:r>
    </w:p>
    <w:p>
      <w:pPr>
        <w:sectPr>
          <w:pgSz w:w="11900" w:h="16838" w:orient="portrait"/>
          <w:cols w:equalWidth="0" w:num="1">
            <w:col w:w="11420"/>
          </w:cols>
          <w:pgMar w:left="240" w:top="585" w:right="239" w:bottom="1440" w:gutter="0" w:footer="0" w:header="0"/>
        </w:sectPr>
      </w:pPr>
    </w:p>
    <w:bookmarkStart w:id="67" w:name="page68"/>
    <w:bookmarkEnd w:id="67"/>
    <w:p>
      <w:pPr>
        <w:ind w:right="100"/>
        <w:spacing w:after="0" w:line="252" w:lineRule="auto"/>
        <w:rPr>
          <w:sz w:val="20"/>
          <w:szCs w:val="20"/>
          <w:color w:val="auto"/>
        </w:rPr>
      </w:pPr>
      <w:r>
        <w:rPr>
          <w:rFonts w:ascii="Times New Roman" w:cs="Times New Roman" w:eastAsia="Times New Roman" w:hAnsi="Times New Roman"/>
          <w:sz w:val="22"/>
          <w:szCs w:val="22"/>
          <w:color w:val="auto"/>
        </w:rPr>
        <w:t>extension of time is necessary, written notice of the extension will be furnished to the Participant before the termination of the initial ninety (90)-day period and will describe the circumstances requiring the extension and the date by which a decision is expected to be rendered. Written notice of the denial of the Participant’s claim will contain the following information:</w:t>
      </w:r>
    </w:p>
    <w:p>
      <w:pPr>
        <w:spacing w:after="0" w:line="220" w:lineRule="exact"/>
        <w:rPr>
          <w:sz w:val="20"/>
          <w:szCs w:val="20"/>
          <w:color w:val="auto"/>
        </w:rPr>
      </w:pPr>
    </w:p>
    <w:p>
      <w:pPr>
        <w:ind w:left="2140" w:hanging="847"/>
        <w:spacing w:after="0"/>
        <w:tabs>
          <w:tab w:leader="none" w:pos="21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 or reasons for the denial of the Participant’s claim;</w:t>
      </w:r>
    </w:p>
    <w:p>
      <w:pPr>
        <w:spacing w:after="0" w:line="260" w:lineRule="exact"/>
        <w:rPr>
          <w:rFonts w:ascii="Times New Roman" w:cs="Times New Roman" w:eastAsia="Times New Roman" w:hAnsi="Times New Roman"/>
          <w:sz w:val="22"/>
          <w:szCs w:val="22"/>
          <w:color w:val="auto"/>
        </w:rPr>
      </w:pPr>
    </w:p>
    <w:p>
      <w:pPr>
        <w:ind w:left="2200" w:hanging="907"/>
        <w:spacing w:after="0"/>
        <w:tabs>
          <w:tab w:leader="none" w:pos="22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Plan provisions on which the denial of the Participant’s claim was based;</w:t>
      </w:r>
    </w:p>
    <w:p>
      <w:pPr>
        <w:spacing w:after="0" w:line="260" w:lineRule="exact"/>
        <w:rPr>
          <w:rFonts w:ascii="Times New Roman" w:cs="Times New Roman" w:eastAsia="Times New Roman" w:hAnsi="Times New Roman"/>
          <w:sz w:val="22"/>
          <w:szCs w:val="22"/>
          <w:color w:val="auto"/>
        </w:rPr>
      </w:pPr>
    </w:p>
    <w:p>
      <w:pPr>
        <w:ind w:right="400" w:firstLine="1293"/>
        <w:spacing w:after="0" w:line="257" w:lineRule="auto"/>
        <w:tabs>
          <w:tab w:leader="none" w:pos="226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information or material required by the Plan Administrator to reconsider the Participant’s claim (to the extent applicable) and an explanation of why such material or information is necessary; and</w:t>
      </w:r>
    </w:p>
    <w:p>
      <w:pPr>
        <w:spacing w:after="0" w:line="213" w:lineRule="exact"/>
        <w:rPr>
          <w:rFonts w:ascii="Times New Roman" w:cs="Times New Roman" w:eastAsia="Times New Roman" w:hAnsi="Times New Roman"/>
          <w:sz w:val="22"/>
          <w:szCs w:val="22"/>
          <w:color w:val="auto"/>
        </w:rPr>
      </w:pPr>
    </w:p>
    <w:p>
      <w:pPr>
        <w:ind w:right="280" w:firstLine="1293"/>
        <w:spacing w:after="0" w:line="257" w:lineRule="auto"/>
        <w:tabs>
          <w:tab w:leader="none" w:pos="225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this Plan’s review procedures and time limits applicable to such procedures, including a statement of the Participant’s right to bring a civil action under Section 502(a) of ERISA following a benefit claim denial on review.</w:t>
      </w:r>
    </w:p>
    <w:p>
      <w:pPr>
        <w:spacing w:after="0" w:line="213" w:lineRule="exact"/>
        <w:rPr>
          <w:rFonts w:ascii="Times New Roman" w:cs="Times New Roman" w:eastAsia="Times New Roman" w:hAnsi="Times New Roman"/>
          <w:sz w:val="22"/>
          <w:szCs w:val="22"/>
          <w:color w:val="auto"/>
        </w:rPr>
      </w:pPr>
    </w:p>
    <w:p>
      <w:pPr>
        <w:ind w:right="140" w:firstLine="645"/>
        <w:spacing w:after="0" w:line="275" w:lineRule="auto"/>
        <w:tabs>
          <w:tab w:leader="none" w:pos="111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Appeal of Denied Claims</w:t>
      </w:r>
      <w:r>
        <w:rPr>
          <w:rFonts w:ascii="Times New Roman" w:cs="Times New Roman" w:eastAsia="Times New Roman" w:hAnsi="Times New Roman"/>
          <w:sz w:val="21"/>
          <w:szCs w:val="21"/>
          <w:color w:val="auto"/>
        </w:rPr>
        <w:t>. If the Participant’s claim is denied, the Participant (or the Participant’s authorized representative) may file a request for review of the claim in writing with the Plan Administrator. This request for review must be filed no later than sixty (60) days after the Participant has received written notification of the denial.</w:t>
      </w:r>
    </w:p>
    <w:p>
      <w:pPr>
        <w:spacing w:after="0" w:line="196" w:lineRule="exact"/>
        <w:rPr>
          <w:rFonts w:ascii="Times New Roman" w:cs="Times New Roman" w:eastAsia="Times New Roman" w:hAnsi="Times New Roman"/>
          <w:sz w:val="21"/>
          <w:szCs w:val="21"/>
          <w:color w:val="auto"/>
        </w:rPr>
      </w:pPr>
    </w:p>
    <w:p>
      <w:pPr>
        <w:ind w:right="20" w:firstLine="1293"/>
        <w:spacing w:after="0" w:line="271" w:lineRule="auto"/>
        <w:tabs>
          <w:tab w:leader="none" w:pos="171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request for review may include any comments, documents, records and other information relating to the Participant’s claim for benefits.</w:t>
      </w:r>
    </w:p>
    <w:p>
      <w:pPr>
        <w:spacing w:after="0" w:line="198" w:lineRule="exact"/>
        <w:rPr>
          <w:rFonts w:ascii="Times New Roman" w:cs="Times New Roman" w:eastAsia="Times New Roman" w:hAnsi="Times New Roman"/>
          <w:sz w:val="22"/>
          <w:szCs w:val="22"/>
          <w:color w:val="auto"/>
        </w:rPr>
      </w:pPr>
    </w:p>
    <w:p>
      <w:pPr>
        <w:ind w:firstLine="1293"/>
        <w:spacing w:after="0" w:line="295" w:lineRule="auto"/>
        <w:tabs>
          <w:tab w:leader="none" w:pos="1773"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has the right to be provided with, upon request and free of charge, reasonable access to and copies of all pertinent documents, records and other information that is relevant to the Participant’s claim for benefits.</w:t>
      </w:r>
    </w:p>
    <w:p>
      <w:pPr>
        <w:spacing w:after="0" w:line="176" w:lineRule="exact"/>
        <w:rPr>
          <w:rFonts w:ascii="Times New Roman" w:cs="Times New Roman" w:eastAsia="Times New Roman" w:hAnsi="Times New Roman"/>
          <w:sz w:val="21"/>
          <w:szCs w:val="21"/>
          <w:color w:val="auto"/>
        </w:rPr>
      </w:pPr>
    </w:p>
    <w:p>
      <w:pPr>
        <w:ind w:right="260" w:firstLine="1293"/>
        <w:spacing w:after="0" w:line="257" w:lineRule="auto"/>
        <w:tabs>
          <w:tab w:leader="none" w:pos="183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review of the denied claim will take into account all comments, documents, records and other information that the Participant submitted relating to the Participant’s claim, without regard to whether such information was submitted or considered in the initial denial of the Participant’s claim.</w:t>
      </w:r>
    </w:p>
    <w:p>
      <w:pPr>
        <w:spacing w:after="0" w:line="213" w:lineRule="exact"/>
        <w:rPr>
          <w:rFonts w:ascii="Times New Roman" w:cs="Times New Roman" w:eastAsia="Times New Roman" w:hAnsi="Times New Roman"/>
          <w:sz w:val="22"/>
          <w:szCs w:val="22"/>
          <w:color w:val="auto"/>
        </w:rPr>
      </w:pPr>
    </w:p>
    <w:p>
      <w:pPr>
        <w:ind w:right="80" w:firstLine="645"/>
        <w:spacing w:after="0" w:line="249" w:lineRule="auto"/>
        <w:tabs>
          <w:tab w:leader="none" w:pos="110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Administrator’s Response to Appeal</w:t>
      </w:r>
      <w:r>
        <w:rPr>
          <w:rFonts w:ascii="Times New Roman" w:cs="Times New Roman" w:eastAsia="Times New Roman" w:hAnsi="Times New Roman"/>
          <w:sz w:val="22"/>
          <w:szCs w:val="22"/>
          <w:color w:val="auto"/>
        </w:rPr>
        <w:t xml:space="preserve">. The Plan Administrator will notify the Participant of its decision within sixty (60) days after the Plan Administrator’s receipt of the Participant’s written claim for review;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Plan Administrator may extend the review period by up to sixty (60) additional days, if the Plan Administrator notifies the Participant in writing of the need for an extension (and the reason therefor) before the end of the initial sixty (60)-day period. If the Plan Administrator makes an adverse decision on appeal, the Plan Administrator shall communicate its decision in a writing that includes:</w:t>
      </w:r>
    </w:p>
    <w:p>
      <w:pPr>
        <w:spacing w:after="0" w:line="221" w:lineRule="exact"/>
        <w:rPr>
          <w:rFonts w:ascii="Times New Roman" w:cs="Times New Roman" w:eastAsia="Times New Roman" w:hAnsi="Times New Roman"/>
          <w:sz w:val="22"/>
          <w:szCs w:val="22"/>
          <w:color w:val="auto"/>
        </w:rPr>
      </w:pPr>
    </w:p>
    <w:p>
      <w:pPr>
        <w:ind w:left="1720" w:hanging="427"/>
        <w:spacing w:after="0"/>
        <w:tabs>
          <w:tab w:leader="none" w:pos="17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 or reasons for the denial of the Participant’s appeal;</w:t>
      </w:r>
    </w:p>
    <w:p>
      <w:pPr>
        <w:spacing w:after="0" w:line="260" w:lineRule="exact"/>
        <w:rPr>
          <w:rFonts w:ascii="Times New Roman" w:cs="Times New Roman" w:eastAsia="Times New Roman" w:hAnsi="Times New Roman"/>
          <w:sz w:val="22"/>
          <w:szCs w:val="22"/>
          <w:color w:val="auto"/>
        </w:rPr>
      </w:pPr>
    </w:p>
    <w:p>
      <w:pPr>
        <w:ind w:left="1780" w:hanging="487"/>
        <w:spacing w:after="0"/>
        <w:tabs>
          <w:tab w:leader="none" w:pos="178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the Plan provisions on which the denial of the Participant’s appeal is based;</w:t>
      </w:r>
    </w:p>
    <w:p>
      <w:pPr>
        <w:sectPr>
          <w:pgSz w:w="11900" w:h="16838" w:orient="portrait"/>
          <w:cols w:equalWidth="0" w:num="1">
            <w:col w:w="10660"/>
          </w:cols>
          <w:pgMar w:left="900" w:top="585" w:right="339" w:bottom="1440" w:gutter="0" w:footer="0" w:header="0"/>
        </w:sectPr>
      </w:pPr>
    </w:p>
    <w:bookmarkStart w:id="68" w:name="page69"/>
    <w:bookmarkEnd w:id="68"/>
    <w:p>
      <w:pPr>
        <w:ind w:left="660" w:right="300" w:firstLine="1293"/>
        <w:spacing w:after="0" w:line="257" w:lineRule="auto"/>
        <w:tabs>
          <w:tab w:leader="none" w:pos="249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Participant is entitled to receive, upon request and free of charge, reasonable access to, and copies of, this Plan and all documents, records and other information relevant to the Participant’s claim for benefits; and</w:t>
      </w:r>
    </w:p>
    <w:p>
      <w:pPr>
        <w:spacing w:after="0" w:line="213" w:lineRule="exact"/>
        <w:rPr>
          <w:rFonts w:ascii="Times New Roman" w:cs="Times New Roman" w:eastAsia="Times New Roman" w:hAnsi="Times New Roman"/>
          <w:sz w:val="22"/>
          <w:szCs w:val="22"/>
          <w:color w:val="auto"/>
        </w:rPr>
      </w:pPr>
    </w:p>
    <w:p>
      <w:pPr>
        <w:ind w:left="2480" w:hanging="527"/>
        <w:spacing w:after="0"/>
        <w:tabs>
          <w:tab w:leader="none" w:pos="24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describing the Participant’s right to bring an action under Section 502(a) of ERISA.</w:t>
      </w:r>
    </w:p>
    <w:p>
      <w:pPr>
        <w:spacing w:after="0" w:line="260" w:lineRule="exact"/>
        <w:rPr>
          <w:rFonts w:ascii="Times New Roman" w:cs="Times New Roman" w:eastAsia="Times New Roman" w:hAnsi="Times New Roman"/>
          <w:sz w:val="22"/>
          <w:szCs w:val="22"/>
          <w:color w:val="auto"/>
        </w:rPr>
      </w:pPr>
    </w:p>
    <w:p>
      <w:pPr>
        <w:ind w:left="660" w:firstLine="645"/>
        <w:spacing w:after="0" w:line="271" w:lineRule="auto"/>
        <w:tabs>
          <w:tab w:leader="none" w:pos="177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Exhaustion of Administrative Remedies</w:t>
      </w:r>
      <w:r>
        <w:rPr>
          <w:rFonts w:ascii="Times New Roman" w:cs="Times New Roman" w:eastAsia="Times New Roman" w:hAnsi="Times New Roman"/>
          <w:sz w:val="22"/>
          <w:szCs w:val="22"/>
          <w:color w:val="auto"/>
        </w:rPr>
        <w:t>. The exhaustion of these claims procedures is mandatory for resolving every claim and dispute arising under this Plan. As to such claims and disputes:</w:t>
      </w:r>
    </w:p>
    <w:p>
      <w:pPr>
        <w:spacing w:after="0" w:line="198" w:lineRule="exact"/>
        <w:rPr>
          <w:rFonts w:ascii="Times New Roman" w:cs="Times New Roman" w:eastAsia="Times New Roman" w:hAnsi="Times New Roman"/>
          <w:sz w:val="22"/>
          <w:szCs w:val="22"/>
          <w:color w:val="auto"/>
        </w:rPr>
      </w:pPr>
    </w:p>
    <w:p>
      <w:pPr>
        <w:ind w:left="660" w:right="120" w:firstLine="1293"/>
        <w:spacing w:after="0" w:line="257" w:lineRule="auto"/>
        <w:tabs>
          <w:tab w:leader="none" w:pos="237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claimant shall be permitted to commence any arbitration or legal action to recover benefits or to enforce or clarify rights under this Plan or under any provision of law until these claims procedures have been exhausted in their entirety;</w:t>
      </w:r>
    </w:p>
    <w:p>
      <w:pPr>
        <w:spacing w:after="0" w:line="213" w:lineRule="exact"/>
        <w:rPr>
          <w:rFonts w:ascii="Times New Roman" w:cs="Times New Roman" w:eastAsia="Times New Roman" w:hAnsi="Times New Roman"/>
          <w:sz w:val="22"/>
          <w:szCs w:val="22"/>
          <w:color w:val="auto"/>
        </w:rPr>
      </w:pPr>
    </w:p>
    <w:p>
      <w:pPr>
        <w:ind w:left="660" w:right="400" w:firstLine="1293"/>
        <w:spacing w:after="0" w:line="254" w:lineRule="auto"/>
        <w:tabs>
          <w:tab w:leader="none" w:pos="24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submit a claim, appeal or any required information by the applicable deadline under these claims procedures shall result in forfeiture of the benefits being claimed;</w:t>
      </w:r>
    </w:p>
    <w:p>
      <w:pPr>
        <w:spacing w:after="0" w:line="1" w:lineRule="exact"/>
        <w:rPr>
          <w:rFonts w:ascii="Times New Roman" w:cs="Times New Roman" w:eastAsia="Times New Roman" w:hAnsi="Times New Roman"/>
          <w:sz w:val="22"/>
          <w:szCs w:val="22"/>
          <w:color w:val="auto"/>
        </w:rPr>
      </w:pPr>
    </w:p>
    <w:p>
      <w:pPr>
        <w:ind w:left="660" w:right="180" w:firstLine="1293"/>
        <w:spacing w:after="0" w:line="244" w:lineRule="auto"/>
        <w:tabs>
          <w:tab w:leader="none" w:pos="249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civil action, arbitration or other agreed upon dispute resolution procedure, all explicit and implicit determinations by the Plan Administrator (including, but not limited to, interpretation of disputed plan terms, factual findings, and determinations as to whether the claim, or a request for a review of a denied claim, was timely filed) shall be afforded the maximum deference permitted by law and shall be overturned only if deemed unreasonable, arbitrary or capricious; and</w:t>
      </w:r>
    </w:p>
    <w:p>
      <w:pPr>
        <w:spacing w:after="0" w:line="229" w:lineRule="exact"/>
        <w:rPr>
          <w:rFonts w:ascii="Times New Roman" w:cs="Times New Roman" w:eastAsia="Times New Roman" w:hAnsi="Times New Roman"/>
          <w:sz w:val="22"/>
          <w:szCs w:val="22"/>
          <w:color w:val="auto"/>
        </w:rPr>
      </w:pPr>
    </w:p>
    <w:p>
      <w:pPr>
        <w:ind w:left="660" w:firstLine="1293"/>
        <w:spacing w:after="0" w:line="257" w:lineRule="auto"/>
        <w:tabs>
          <w:tab w:leader="none" w:pos="248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legal action or arbitration may be commenced by the Participant later than one hundred eighty (180) days subsequent to the date of the written response of the Plan Administrator to a Participant’s request for review pursuant to Section 6.3(c).</w:t>
      </w:r>
    </w:p>
    <w:p>
      <w:pPr>
        <w:spacing w:after="0" w:line="21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extent permitted by law, the Company shall indemnify the Plan Administrator from all claims for liability, loss or damage (including the payment of expenses in connection with defense against such claims) arising from any good faith action, or failure to act, by the Plan Administrator in connection with this Plan.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SUCCESSORS; ASSIGNMENTS</w:t>
      </w:r>
    </w:p>
    <w:p>
      <w:pPr>
        <w:spacing w:after="0" w:line="236"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Company shall require any corporation, entity, individual or other person who is the successor (whether direct or indirect, by purchase, merger, consolidation, reorganization or otherwise) to all or substantially all the business and/or assets of the Company to expressly assume and agree to perform, by a written agreement in form and in substance satisfactory to the Company, all of the obligations of the Company under this Plan. As used in this Plan, the term “Company” shall mean the Company as hereinbefore defined and any successor to its business and/or assets as aforesaid which assumes and agrees to perform this Plan by operation of law, written agreement or otherwise.</w:t>
      </w:r>
    </w:p>
    <w:p>
      <w:pPr>
        <w:spacing w:after="0" w:line="221"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Assignment of Rights</w:t>
      </w:r>
      <w:r>
        <w:rPr>
          <w:rFonts w:ascii="Times New Roman" w:cs="Times New Roman" w:eastAsia="Times New Roman" w:hAnsi="Times New Roman"/>
          <w:sz w:val="22"/>
          <w:szCs w:val="22"/>
          <w:color w:val="auto"/>
        </w:rPr>
        <w:t>. It is a condition of this Plan, and of all rights of each person eligible to receive benefits under this Plan, that no right or interest of any such person in this Plan shall be assignable or transferable in whole or in part, except by will or the laws of descent and distribution or</w:t>
      </w:r>
    </w:p>
    <w:p>
      <w:pPr>
        <w:sectPr>
          <w:pgSz w:w="11900" w:h="16838" w:orient="portrait"/>
          <w:cols w:equalWidth="0" w:num="1">
            <w:col w:w="11420"/>
          </w:cols>
          <w:pgMar w:left="240" w:top="585" w:right="239" w:bottom="1440" w:gutter="0" w:footer="0" w:header="0"/>
        </w:sectPr>
      </w:pPr>
    </w:p>
    <w:bookmarkStart w:id="69" w:name="page70"/>
    <w:bookmarkEnd w:id="69"/>
    <w:p>
      <w:pPr>
        <w:spacing w:after="0" w:line="271" w:lineRule="auto"/>
        <w:rPr>
          <w:sz w:val="20"/>
          <w:szCs w:val="20"/>
          <w:color w:val="auto"/>
        </w:rPr>
      </w:pPr>
      <w:r>
        <w:rPr>
          <w:rFonts w:ascii="Times New Roman" w:cs="Times New Roman" w:eastAsia="Times New Roman" w:hAnsi="Times New Roman"/>
          <w:sz w:val="22"/>
          <w:szCs w:val="22"/>
          <w:color w:val="auto"/>
        </w:rPr>
        <w:t>other operation of law, including, but not by way of limitation, lawful execution, levy, garnishment, attachment, pledge, bankruptcy, alimony, child support or qualified domestic relations order.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8</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409A OF THE CODE</w:t>
      </w:r>
    </w:p>
    <w:p>
      <w:pPr>
        <w:spacing w:after="0" w:line="23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obligations under this Plan are intended to comply with the requirements of Section 409A of the Code or an exemption or exclusion therefrom and shall in all respects be administered in accordance with Section 409A of the Code. Any payments that qualify for the “short-term deferral” exception, the separation pay exception or another exception under Section 409A of the Code shall be paid under the applicable exception to the maximum extent possible. For purposes of the limitations on nonqualified deferred compensation under Section 409A of the Code, each payment of compensation under this Plan shall be treated as a separate payment of compensation for purposes of applying the exclusion under Section 409A of the Code for short-term deferral amounts, the separation pay exception or any other exception or exclusion under Section 409A of the Code. All payments to be made upon a termination of employment under this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this Plan.</w:t>
      </w:r>
    </w:p>
    <w:p>
      <w:pPr>
        <w:spacing w:after="0" w:line="22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Reimbursements and In-Kind Benefits</w:t>
      </w:r>
      <w:r>
        <w:rPr>
          <w:rFonts w:ascii="Times New Roman" w:cs="Times New Roman" w:eastAsia="Times New Roman" w:hAnsi="Times New Roman"/>
          <w:sz w:val="22"/>
          <w:szCs w:val="22"/>
          <w:color w:val="auto"/>
        </w:rPr>
        <w:t xml:space="preserve">. Notwithstanding anything to the contrary in this Plan, all reimbursements and in-kind benefits provided under this Plan that are subject to Section 409A of the Code shall be made in accordance with the requirements of Section 409A of the Code, including without limitation, where applicable, the requirement that (a) in no event shall the Company’s obligations to make such reimbursements or to provide such in-kind benefits apply later than the Participant’s remaining lifetime (or if longer, through the twentieth (20th) anniversary of the Effective Date); (b) the amount of expenses eligible for reimbursement, or in-kind benefits provided, during a calendar year may not affect the expenses eligible for reimbursement, or in-kind benefits to be provided, in any other calendar year; (c) the reimbursement of eligible fees and expenses shall be made no later than the last day of the calendar year following the year in which the applicable fees and expenses were incurred;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Participant shall have submitted an invoice for such fees and expenses at least thirty (30) days before the end of the calendar year next following the calendar year in which such fees and expenses were incurred; and (d) the right to reimbursement or in-kind benefits is not subject to liquidation or exchange for another benefit.</w:t>
      </w:r>
    </w:p>
    <w:p>
      <w:pPr>
        <w:spacing w:after="0" w:line="22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Delay of Payments</w:t>
      </w:r>
      <w:r>
        <w:rPr>
          <w:rFonts w:ascii="Times New Roman" w:cs="Times New Roman" w:eastAsia="Times New Roman" w:hAnsi="Times New Roman"/>
          <w:sz w:val="22"/>
          <w:szCs w:val="22"/>
          <w:color w:val="auto"/>
        </w:rPr>
        <w:t>. Notwithstanding any other provision of this Plan to the contrary, if a Participant is considered a “specified employee” for purposes of Section 409A of the Code (as determined in accordance with the methodology established by the Company as in effect on the Date of Termination), any payment or benefit that constitutes nonqualified deferred compensation within the meaning of Section 409A of the Code that is otherwise due to be paid to such Participant under this Agreement during the six (6)-month period immediately following such Participant’s separation from service (as determined in accordance with Section 409A of the Code) because of such Participant’s separation from service shall be accumulated and paid to such Participant on the first (1st) business day of the seventh (7th) month following the Participant’s separation from service (the “</w:t>
      </w:r>
      <w:r>
        <w:rPr>
          <w:rFonts w:ascii="Times New Roman" w:cs="Times New Roman" w:eastAsia="Times New Roman" w:hAnsi="Times New Roman"/>
          <w:sz w:val="22"/>
          <w:szCs w:val="22"/>
          <w:u w:val="single" w:color="auto"/>
          <w:color w:val="auto"/>
        </w:rPr>
        <w:t>Delayed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to the extent necessary to avoid penalty taxes or accelerated taxation pursuant to Section 409A of the Code. If such Participant dies during the postponement period, the amounts and entitlements delayed on account of Section 409A of the Code shall be paid to the personal representative of his or her estate on the Delayed Payment Date.</w:t>
      </w:r>
    </w:p>
    <w:p>
      <w:pPr>
        <w:sectPr>
          <w:pgSz w:w="11900" w:h="16838" w:orient="portrait"/>
          <w:cols w:equalWidth="0" w:num="1">
            <w:col w:w="11420"/>
          </w:cols>
          <w:pgMar w:left="240" w:top="585" w:right="239" w:bottom="1440" w:gutter="0" w:footer="0" w:header="0"/>
        </w:sectPr>
      </w:pPr>
    </w:p>
    <w:bookmarkStart w:id="70" w:name="page71"/>
    <w:bookmarkEnd w:id="7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SECTION 9</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3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Controlling Law</w:t>
      </w:r>
      <w:r>
        <w:rPr>
          <w:rFonts w:ascii="Times New Roman" w:cs="Times New Roman" w:eastAsia="Times New Roman" w:hAnsi="Times New Roman"/>
          <w:sz w:val="22"/>
          <w:szCs w:val="22"/>
          <w:color w:val="auto"/>
        </w:rPr>
        <w:t>. To the extent not preempted by ERISA, this Plan shall be governed by and construed in accordance with the laws of the State of Connecticut, without giving effect to any choice of law or conflicting provision or rule (whether of the State of Connecticut or any other jurisdiction) that would cause the laws of any jurisdiction other than the State of Connecticut to be applied. In furtherance of the foregoing, the internal laws of the State of Connecticut will control the interpretation and construction of this Agreement, even if under such jurisdiction’s choice of law or conflict of law analysis, the substantive law of some other jurisdiction would ordinarily apply.</w:t>
      </w:r>
    </w:p>
    <w:p>
      <w:pPr>
        <w:spacing w:after="0" w:line="221"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may withhold from any amount payable or benefit provided under this Plan such federal, state, local, foreign and other taxes as are required to be withheld pursuant to any applicable law or regulation.</w:t>
      </w:r>
    </w:p>
    <w:p>
      <w:pPr>
        <w:spacing w:after="0" w:line="198"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Gender and Plurals</w:t>
      </w:r>
      <w:r>
        <w:rPr>
          <w:rFonts w:ascii="Times New Roman" w:cs="Times New Roman" w:eastAsia="Times New Roman" w:hAnsi="Times New Roman"/>
          <w:sz w:val="22"/>
          <w:szCs w:val="22"/>
          <w:color w:val="auto"/>
        </w:rPr>
        <w:t>. Wherever used in this Plan document, words in the masculine gender shall include masculine or feminine gender, and, unless the context otherwise requires, words in the singular shall include the plural, and words in the plural shall include the singular.</w:t>
      </w:r>
    </w:p>
    <w:p>
      <w:pPr>
        <w:spacing w:after="0" w:line="21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Plan Controls</w:t>
      </w:r>
      <w:r>
        <w:rPr>
          <w:rFonts w:ascii="Times New Roman" w:cs="Times New Roman" w:eastAsia="Times New Roman" w:hAnsi="Times New Roman"/>
          <w:sz w:val="22"/>
          <w:szCs w:val="22"/>
          <w:color w:val="auto"/>
        </w:rPr>
        <w:t>. In the event of any inconsistency between this Plan document and any other communication regarding this Plan, this Plan document controls. The captions in this Plan are not part of the provisions hereof and shall have no force or effect.</w:t>
      </w:r>
    </w:p>
    <w:p>
      <w:pPr>
        <w:spacing w:after="0" w:line="214"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Not an Employment Contract</w:t>
      </w:r>
      <w:r>
        <w:rPr>
          <w:rFonts w:ascii="Times New Roman" w:cs="Times New Roman" w:eastAsia="Times New Roman" w:hAnsi="Times New Roman"/>
          <w:sz w:val="22"/>
          <w:szCs w:val="22"/>
          <w:color w:val="auto"/>
        </w:rPr>
        <w:t>. Neither this Plan nor any action taken with respect to it shall confer upon any person the right to continued employment with the Company.</w:t>
      </w:r>
    </w:p>
    <w:p>
      <w:pPr>
        <w:spacing w:after="0" w:line="198" w:lineRule="exact"/>
        <w:rPr>
          <w:sz w:val="20"/>
          <w:szCs w:val="20"/>
          <w:color w:val="auto"/>
        </w:rPr>
      </w:pPr>
    </w:p>
    <w:p>
      <w:pPr>
        <w:ind w:right="2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other communication required to be delivered to the Company by a Participant hereunder (including, without limitation, any claim submitted by a Participant pursuant to Section 6 and the Plan Administrator’s response thereto) shall be properly delivered to the Company when delivered by electronic mail to the United Technologies Corporation Total Rewards Department:</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Attention: Corporate Vice President, Total Rewards</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Email Address: utccompben@utc.com</w:t>
      </w:r>
    </w:p>
    <w:p>
      <w:pPr>
        <w:spacing w:after="0" w:line="19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Any notice required to be delivered to the Participant by the Company hereunder shall be properly delivered to the Participant when the Company delivers such notice personally, by placing said notice in the U.S. mail, registered or certified mail, return receipt requested, postage prepaid to that person’s last known address as reflected on the books and records of the Company, or by sending said notice to the Participant’s Company email address prior to the Date of Termination and thereafter to the email address provided by the Participant to the Company.</w:t>
      </w:r>
    </w:p>
    <w:p>
      <w:pPr>
        <w:spacing w:after="0" w:line="181"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Plan is held invalid or unenforceable, its invalidity or unenforceability shall not affect any other provisions of this Plan, and this Plan shall be construed and enforced as if such provision had not been included in this Plan.</w:t>
      </w:r>
    </w:p>
    <w:p>
      <w:pPr>
        <w:sectPr>
          <w:pgSz w:w="11900" w:h="16838" w:orient="portrait"/>
          <w:cols w:equalWidth="0" w:num="1">
            <w:col w:w="11340"/>
          </w:cols>
          <w:pgMar w:left="240" w:top="581" w:right="319" w:bottom="1440" w:gutter="0" w:footer="0" w:header="0"/>
        </w:sectPr>
      </w:pPr>
    </w:p>
    <w:bookmarkStart w:id="71" w:name="page72"/>
    <w:bookmarkEnd w:id="71"/>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OF PARTICIPATION NOTICE</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Designation of Merger Severance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Participant: ____________________________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The Company recently adopted the United Technologies Corporation Merger Severance Plan for Corporate Office Executives and Other Key Employees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[You have been designated as an Other Key Employee eligible to participate in the Plan.]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Capitalized terms used and not otherwise defined in this notice shall have the meanings given to such terms in the Plan.</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Your eligibility to receive severance payments and benefits under the Plan during the two-year period following the Effective Date shall preclude you from claiming severance payments or benefits under any other contractual arrangement with the Company or any Affiliated Entity during such period, including without limitation any ELG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are hereby designated as a Tier 3 Participant with a Multiple of [•].]</w:t>
      </w:r>
    </w:p>
    <w:p>
      <w:pPr>
        <w:spacing w:after="0" w:line="220"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[For purposes of your participation in the Plan, the definition of “Good Reason” shall include the occurrence of the following without your prior consent: a change in your principal place of employment to a location that (a) is more than fifty (50) miles from the location in effect immediately prior to the Effective Date and (b) results in an increase in your commute from your principal personal residence as of immediately prior to the Effective Date by more than twenty-five (25) miles.]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Technologies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320"/>
          </w:cols>
          <w:pgMar w:left="240" w:top="581" w:right="339" w:bottom="1440" w:gutter="0" w:footer="0" w:header="0"/>
        </w:sectPr>
      </w:pPr>
    </w:p>
    <w:bookmarkStart w:id="72" w:name="page73"/>
    <w:bookmarkEnd w:id="72"/>
    <w:p>
      <w:pPr>
        <w:ind w:left="52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GENERAL RELEASE OF CLAIMS AND</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RESTRICTIVE COVENANT AGREEMENT</w:t>
      </w:r>
    </w:p>
    <w:p>
      <w:pPr>
        <w:spacing w:after="0" w:line="236"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THIS GENERAL RELEASE OF CLAIMS AND RESTRICTIVE COVENANT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and United Technologies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of [•]. Capitalized terms used and not defined herein shall have the meanings provided in the United Technologies Corporation Merger Severance Plan for the Corporate Office Executives and Other Key Employees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entering into and non-revocation of this Agreement is a condition to Employee’s right to receive the severance payments and benefits under Section 3.1 of the Plan (other than the Accrued Obligations and Other Benefits).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Employee and the Company agree as follows:</w:t>
      </w:r>
    </w:p>
    <w:p>
      <w:pPr>
        <w:spacing w:after="0" w:line="216"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u w:val="single" w:color="auto"/>
          <w:color w:val="auto"/>
        </w:rPr>
        <w:t>Release of Claims</w:t>
      </w:r>
      <w:r>
        <w:rPr>
          <w:rFonts w:ascii="Times New Roman" w:cs="Times New Roman" w:eastAsia="Times New Roman" w:hAnsi="Times New Roman"/>
          <w:sz w:val="22"/>
          <w:szCs w:val="22"/>
          <w:b w:val="1"/>
          <w:bCs w:val="1"/>
          <w:color w:val="auto"/>
        </w:rPr>
        <w:t>.</w:t>
      </w:r>
    </w:p>
    <w:p>
      <w:pPr>
        <w:spacing w:after="0" w:line="260" w:lineRule="exact"/>
        <w:rPr>
          <w:rFonts w:ascii="Times New Roman" w:cs="Times New Roman" w:eastAsia="Times New Roman" w:hAnsi="Times New Roman"/>
          <w:sz w:val="18"/>
          <w:szCs w:val="18"/>
          <w:color w:val="auto"/>
        </w:rPr>
      </w:pPr>
    </w:p>
    <w:p>
      <w:pPr>
        <w:ind w:left="660" w:firstLine="1293"/>
        <w:spacing w:after="0" w:line="244" w:lineRule="auto"/>
        <w:tabs>
          <w:tab w:leader="none" w:pos="284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Release of Claims</w:t>
      </w:r>
      <w:r>
        <w:rPr>
          <w:rFonts w:ascii="Times New Roman" w:cs="Times New Roman" w:eastAsia="Times New Roman" w:hAnsi="Times New Roman"/>
          <w:sz w:val="22"/>
          <w:szCs w:val="22"/>
          <w:color w:val="auto"/>
        </w:rPr>
        <w:t>. Employee, for Employee, Employee’s heirs, administrators,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representatives, executors, successors and assigns, hereby irrevocably and unconditionally releases, acquits and forever discharges and agrees not to sue the Company or any of its Affiliated Entities and their respective current and former directors, officers, shareholders, trustees, employees, consultants, independent contractors, successors and assigns, and all persons acting by, through or under or in concert with any of them, from all actions, damages, losses, costs and claims of any and every kind and nature whatsoever, at law or in equity, whether absolute or contingent, up to and including the date of this Agreement, arising from or relating to Employee’s employment with, or termination of employment from, the Company and its Affiliated Entities,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or local employment statute, law, order or ordinance, including any rights or claims arising under the Age Discrimination in Employment Act of 1967, as amended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Title VII of the Civil Rights Act of 1964, as amended; the Equal Pay Act of 1963, as amended; the Americans with Disabilities Act of 1990, as amended; the Employee Retirement Income Security Act of 1974, as amended; and any other federal, state or local laws or regulations prohibiting employment discrimination. This Agreement specifically excludes (i) Employee’s right to receive the amounts and benefits under the Plan and to enforce the terms of this Agreement, (ii) Employee’s rights to vested amounts and benefits under any employee benefit plan of the Company or its Affiliated Entities, (iii) any claims arising after the date hereof, and (iv) any claim or right Employee may have to indemnification or coverage under the Company’s or any of its Affiliated Entities’ respective bylaws or directors’ and officers’ insurance policies or any agreement to which Employee is a party or a third-party beneficiary. To the maximum extent permitted by law, Employee agrees that Employee has not filed, nor will Employee ever file, a lawsuit asserting any claims that are released by this Agreement, or to accept any benefit from any lawsuit that might be filed by another person or governmental entity based in whole or in part on any event, act, or omission that is the subject of the release contained in this Agreement.</w:t>
      </w:r>
    </w:p>
    <w:p>
      <w:pPr>
        <w:sectPr>
          <w:pgSz w:w="11900" w:h="16838" w:orient="portrait"/>
          <w:cols w:equalWidth="0" w:num="1">
            <w:col w:w="11400"/>
          </w:cols>
          <w:pgMar w:left="240" w:top="581" w:right="259" w:bottom="1440" w:gutter="0" w:footer="0" w:header="0"/>
        </w:sectPr>
      </w:pPr>
    </w:p>
    <w:bookmarkStart w:id="73" w:name="page74"/>
    <w:bookmarkEnd w:id="73"/>
    <w:p>
      <w:pPr>
        <w:jc w:val="both"/>
        <w:ind w:left="-656" w:right="220" w:firstLine="1305"/>
        <w:spacing w:after="0" w:line="254" w:lineRule="auto"/>
        <w:tabs>
          <w:tab w:leader="none" w:pos="15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EEOC</w:t>
      </w:r>
      <w:r>
        <w:rPr>
          <w:rFonts w:ascii="Times New Roman" w:cs="Times New Roman" w:eastAsia="Times New Roman" w:hAnsi="Times New Roman"/>
          <w:sz w:val="22"/>
          <w:szCs w:val="22"/>
          <w:color w:val="auto"/>
        </w:rPr>
        <w:t>. The parties agree that this Agreement shall not affect the rights and responsibilities of the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 Employment Opportunity Commission to enforce ADEA and other laws. Employee agrees, however, to waive the right to recover monetary damages in any charge, complaint or lawsuit filed by Employee or on Employee’s behalf with respect to any claims released in this Agreement.</w:t>
      </w:r>
    </w:p>
    <w:p>
      <w:pPr>
        <w:spacing w:after="0" w:line="212" w:lineRule="exact"/>
        <w:rPr>
          <w:rFonts w:ascii="Times New Roman" w:cs="Times New Roman" w:eastAsia="Times New Roman" w:hAnsi="Times New Roman"/>
          <w:sz w:val="22"/>
          <w:szCs w:val="22"/>
          <w:color w:val="auto"/>
        </w:rPr>
      </w:pPr>
    </w:p>
    <w:p>
      <w:pPr>
        <w:ind w:left="-656" w:right="280" w:firstLine="1305"/>
        <w:spacing w:after="0" w:line="275" w:lineRule="auto"/>
        <w:tabs>
          <w:tab w:leader="none" w:pos="152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1542 of the California Civil Code</w:t>
      </w:r>
      <w:r>
        <w:rPr>
          <w:rFonts w:ascii="Times New Roman" w:cs="Times New Roman" w:eastAsia="Times New Roman" w:hAnsi="Times New Roman"/>
          <w:sz w:val="22"/>
          <w:szCs w:val="22"/>
          <w:color w:val="auto"/>
        </w:rPr>
        <w:t>. The parties hereto expressly acknowledge and agree that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under Section 1542 of the California Civil Code are expressly waived. That section provides:</w:t>
      </w:r>
    </w:p>
    <w:p>
      <w:pPr>
        <w:spacing w:after="0" w:line="194" w:lineRule="exact"/>
        <w:rPr>
          <w:sz w:val="20"/>
          <w:szCs w:val="20"/>
          <w:color w:val="auto"/>
        </w:rPr>
      </w:pPr>
    </w:p>
    <w:p>
      <w:pPr>
        <w:ind w:left="324" w:right="240"/>
        <w:spacing w:after="0" w:line="252" w:lineRule="auto"/>
        <w:rPr>
          <w:sz w:val="20"/>
          <w:szCs w:val="20"/>
          <w:color w:val="auto"/>
        </w:rPr>
      </w:pPr>
      <w:r>
        <w:rPr>
          <w:rFonts w:ascii="Times New Roman" w:cs="Times New Roman" w:eastAsia="Times New Roman" w:hAnsi="Times New Roman"/>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6" w:lineRule="exact"/>
        <w:rPr>
          <w:sz w:val="20"/>
          <w:szCs w:val="20"/>
          <w:color w:val="auto"/>
        </w:rPr>
      </w:pPr>
    </w:p>
    <w:p>
      <w:pPr>
        <w:ind w:left="4" w:right="260" w:firstLine="645"/>
        <w:spacing w:after="0" w:line="277" w:lineRule="auto"/>
        <w:tabs>
          <w:tab w:leader="none" w:pos="95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Employee Acknowledgment. </w:t>
      </w:r>
      <w:r>
        <w:rPr>
          <w:rFonts w:ascii="Times New Roman" w:cs="Times New Roman" w:eastAsia="Times New Roman" w:hAnsi="Times New Roman"/>
          <w:sz w:val="21"/>
          <w:szCs w:val="21"/>
          <w:color w:val="auto"/>
        </w:rPr>
        <w:t>Employee shall take any action requested by the Company to ensure Employee’s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removal and termination, with effect from the Date of Termination, from all offices, directorships, board or committee memberships and fiduciary capacities in which Employee served at the Company and its Affiliated Entities.</w:t>
      </w:r>
    </w:p>
    <w:p>
      <w:pPr>
        <w:spacing w:after="0" w:line="190" w:lineRule="exact"/>
        <w:rPr>
          <w:rFonts w:ascii="Times New Roman" w:cs="Times New Roman" w:eastAsia="Times New Roman" w:hAnsi="Times New Roman"/>
          <w:sz w:val="21"/>
          <w:szCs w:val="21"/>
          <w:color w:val="auto"/>
        </w:rPr>
      </w:pPr>
    </w:p>
    <w:p>
      <w:pPr>
        <w:ind w:left="644" w:hanging="644"/>
        <w:spacing w:after="0"/>
        <w:tabs>
          <w:tab w:leader="none" w:pos="644"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w:t>
      </w:r>
    </w:p>
    <w:p>
      <w:pPr>
        <w:spacing w:after="0" w:line="260" w:lineRule="exact"/>
        <w:rPr>
          <w:rFonts w:ascii="Times New Roman" w:cs="Times New Roman" w:eastAsia="Times New Roman" w:hAnsi="Times New Roman"/>
          <w:sz w:val="22"/>
          <w:szCs w:val="22"/>
          <w:b w:val="1"/>
          <w:bCs w:val="1"/>
          <w:color w:val="auto"/>
        </w:rPr>
      </w:pPr>
    </w:p>
    <w:p>
      <w:pPr>
        <w:ind w:left="4" w:firstLine="645"/>
        <w:spacing w:after="0" w:line="257" w:lineRule="auto"/>
        <w:tabs>
          <w:tab w:leader="none" w:pos="110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Confidential Information. </w:t>
      </w:r>
      <w:r>
        <w:rPr>
          <w:rFonts w:ascii="Times New Roman" w:cs="Times New Roman" w:eastAsia="Times New Roman" w:hAnsi="Times New Roman"/>
          <w:sz w:val="21"/>
          <w:szCs w:val="21"/>
          <w:color w:val="auto"/>
        </w:rPr>
        <w:t>Employee shall hold in a fiduciary capacity for the benefit of the Company and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Affiliated Entities all secret or confidential information, knowledge, or data relating to the Company and its Affiliated Entities and businesses, which information, knowledge or data shall have been obtained by Employee during Employee’s employment by the Company or its Affiliated Entities and which information, knowledge or data shall not be or become public knowledge (other than by acts by Employee or representatives of Employee in violation of this Agreement) (collectively,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and Employee agrees not to provide such Confidential Information, directly or indirectly, to any third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information that: (i) is lawfully received by Employee from any third party without restriction on disclosure or use, or (ii) is required to be disclosed by law, shall not be deemed to be Confidential Information for purposes of this Section 2(a). Employee shall not, without the prior written consent of the Company or as may otherwise be required by law, use, communicate or divulge any such Confidential Information. Notwithstanding any other provisions of this Section 2(a), pursuant to 18 USC Section 1833(b), Employee shall not be held criminally or civilly liable under any federal or state trade secret law for the disclosure of any Confidential Information that is a trade secret that is made: (A) confidentially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If Employee files a lawsuit for retaliation by the Company for reporting a suspected violation of law, Employee may disclose such trade secret to Employee’s attorney and use the trade secret information in related court proceedings,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Employee files any document containing the trade secret information under seal and does not disclose the trade secret, except pursuant to court order. Notwithstanding any provision of this Agreement to the contrary, the provisions of this Agreement are not intended to, and shall be interpreted in a manner that does not, limit or restrict Employee from exercising any legally protected whistleblower rights (including pursuant to Rule 21F under the Securities Exchange Act of 1934).</w:t>
      </w:r>
    </w:p>
    <w:p>
      <w:pPr>
        <w:sectPr>
          <w:pgSz w:w="11900" w:h="16838" w:orient="portrait"/>
          <w:cols w:equalWidth="0" w:num="1">
            <w:col w:w="10684"/>
          </w:cols>
          <w:pgMar w:left="896" w:top="581" w:right="319" w:bottom="1440" w:gutter="0" w:footer="0" w:header="0"/>
        </w:sectPr>
      </w:pPr>
    </w:p>
    <w:bookmarkStart w:id="74" w:name="page75"/>
    <w:bookmarkEnd w:id="74"/>
    <w:p>
      <w:pPr>
        <w:ind w:left="-540" w:right="20" w:firstLine="645"/>
        <w:spacing w:after="0" w:line="247" w:lineRule="auto"/>
        <w:tabs>
          <w:tab w:leader="none" w:pos="5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To further ensure the protection of the Company’s confidential information, Employee agrees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for a period of one (1) year after Employee’s Date of Termination, Employee will not accept employment with or provide services in any form to (including serving as a director, partner or founder, or entering into a consulting relationship or similar arrangements) a business that (i) competes, directly or indirectly, with any of the Company’s principal business units as of the Date of Termination; or (ii) is a material customer of or a material supplier to any of the Company’s businesses as of the Date of Termination (a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it shall not be considered a breach of this Agreement for Employee to be a passive owner of not more than 5% of the outstanding stock or other securities or interests of a corporation or other entity that is a Competitive Business, so long as Employee has no direct or indirect active participation in the business or management of such corporation or entity.</w:t>
      </w:r>
    </w:p>
    <w:p>
      <w:pPr>
        <w:spacing w:after="0" w:line="222" w:lineRule="exact"/>
        <w:rPr>
          <w:rFonts w:ascii="Times New Roman" w:cs="Times New Roman" w:eastAsia="Times New Roman" w:hAnsi="Times New Roman"/>
          <w:sz w:val="22"/>
          <w:szCs w:val="22"/>
          <w:color w:val="auto"/>
        </w:rPr>
      </w:pPr>
    </w:p>
    <w:p>
      <w:pPr>
        <w:ind w:left="-540" w:right="80" w:firstLine="645"/>
        <w:spacing w:after="0" w:line="260" w:lineRule="exact"/>
        <w:tabs>
          <w:tab w:leader="none" w:pos="56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and Customer Nonsolicitation</w:t>
      </w:r>
      <w:r>
        <w:rPr>
          <w:rFonts w:ascii="Times New Roman" w:cs="Times New Roman" w:eastAsia="Times New Roman" w:hAnsi="Times New Roman"/>
          <w:sz w:val="22"/>
          <w:szCs w:val="22"/>
          <w:color w:val="auto"/>
        </w:rPr>
        <w:t>. Employee agrees that for a period of two (2) years after Employee’s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of Termination, Employee shall not, directly or indirectly: (i) solicit any individual who is, at the time of such solicitation (or was during the three (3)-month period prior to the date of such solicitation), employed by the Company or one of its Affiliated Entities with whom Employee had direct contact (other than incidental) during the two (2)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prior to the Date of Termination to terminate or refrain from rendering services to the Company or its Affiliated Entities for the purpose of becoming employed by, or becoming a consultant to, any individual or entity other than the Company or its Affiliated Entities, or (ii) induce or attempt to induce any current customer, investor, supplier, licensee or other business relation of the Company or any of its Affiliated Entities with whom or which Employee had direct contact (other than incidental) during the two (2)-year period prior to the Date of Termination (“</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to cease doing business with the Company or its Affiliated Entities, or in any way interfere with the relationship between any such Customer, on the one hand, and the Company or any of its Affiliated Entities, on the other hand.</w:t>
      </w:r>
    </w:p>
    <w:p>
      <w:pPr>
        <w:spacing w:after="0" w:line="226" w:lineRule="exact"/>
        <w:rPr>
          <w:rFonts w:ascii="Times New Roman" w:cs="Times New Roman" w:eastAsia="Times New Roman" w:hAnsi="Times New Roman"/>
          <w:sz w:val="22"/>
          <w:szCs w:val="22"/>
          <w:color w:val="auto"/>
        </w:rPr>
      </w:pPr>
    </w:p>
    <w:p>
      <w:pPr>
        <w:ind w:left="-540" w:right="20" w:firstLine="645"/>
        <w:spacing w:after="0" w:line="263" w:lineRule="auto"/>
        <w:tabs>
          <w:tab w:leader="none" w:pos="63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Non-disparagement</w:t>
      </w:r>
      <w:r>
        <w:rPr>
          <w:rFonts w:ascii="Times New Roman" w:cs="Times New Roman" w:eastAsia="Times New Roman" w:hAnsi="Times New Roman"/>
          <w:sz w:val="21"/>
          <w:szCs w:val="21"/>
          <w:color w:val="auto"/>
        </w:rPr>
        <w:t>. Employee agrees not to disparage or defame, through any public medium (including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social media) the business reputation, technology, products, practices or conduct of the Company or its Affiliated Entities or any member of the board of directors or any executive officer of the Company in their capacity as such. Nothing in this Agreement or elsewhere shall prevent Employee from making statements in confidence to an immediate family member or to an attorney for the purpose of seeking legal advice, or from making truthful statements when required by law, subpoena or the like, or in arbitration or other proceeding permitted under this Agreement and/or the Plan, as applicable.</w:t>
      </w:r>
    </w:p>
    <w:p>
      <w:pPr>
        <w:spacing w:after="0" w:line="208" w:lineRule="exact"/>
        <w:rPr>
          <w:rFonts w:ascii="Times New Roman" w:cs="Times New Roman" w:eastAsia="Times New Roman" w:hAnsi="Times New Roman"/>
          <w:sz w:val="21"/>
          <w:szCs w:val="21"/>
          <w:color w:val="auto"/>
        </w:rPr>
      </w:pPr>
    </w:p>
    <w:p>
      <w:pPr>
        <w:ind w:left="-540" w:firstLine="645"/>
        <w:spacing w:after="0" w:line="246" w:lineRule="auto"/>
        <w:tabs>
          <w:tab w:leader="none" w:pos="56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Acknowledgment. </w:t>
      </w:r>
      <w:r>
        <w:rPr>
          <w:rFonts w:ascii="Times New Roman" w:cs="Times New Roman" w:eastAsia="Times New Roman" w:hAnsi="Times New Roman"/>
          <w:sz w:val="22"/>
          <w:szCs w:val="22"/>
          <w:color w:val="auto"/>
        </w:rPr>
        <w:t>Employee acknowledges that Employee’s agreement to comply with the covenants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this Section 2 is in consideration for the payments and benefits to be received by Employee under Section 3.1 of the Plan. Employee understands that the covenants in this Section 2 may limit Employee’s ability to work in a business similar to the business of the Company and its Affiliated Entities;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Employee agrees that, in light of Employee’s education, skills, abilities and financial resources, Employee shall not assert, and it shall not be relevant nor admissible as evidence in any dispute arising in respect of the covenants in this Section 2, that any provisions of such covenants prevent Employee from earning a living. Employee acknowledges that the Intellectual Property Agreement between Employee and the Company, and all restrictive covenants applicable to the Participant pursuant to the Company’s 2018 Long-Term Incentive Plan or Long-Term Incentive Plan, or any schedule of terms thereunder, including any related forfeiture and recoupment provisions, will continue in full force</w:t>
      </w:r>
    </w:p>
    <w:p>
      <w:pPr>
        <w:sectPr>
          <w:pgSz w:w="11900" w:h="16838" w:orient="portrait"/>
          <w:cols w:equalWidth="0" w:num="1">
            <w:col w:w="10200"/>
          </w:cols>
          <w:pgMar w:left="1440" w:top="581" w:right="25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22"/>
          <w:szCs w:val="22"/>
          <w:color w:val="auto"/>
        </w:rPr>
        <w:t>and effect following the Date of Termination and are in addition to Employee’s obligations hereunder.</w:t>
      </w:r>
    </w:p>
    <w:p>
      <w:pPr>
        <w:spacing w:after="0" w:line="256" w:lineRule="exact"/>
        <w:rPr>
          <w:sz w:val="20"/>
          <w:szCs w:val="20"/>
          <w:color w:val="auto"/>
        </w:rPr>
      </w:pPr>
    </w:p>
    <w:p>
      <w:pPr>
        <w:ind w:left="660" w:right="160" w:firstLine="645"/>
        <w:spacing w:after="0" w:line="249" w:lineRule="auto"/>
        <w:tabs>
          <w:tab w:leader="none" w:pos="17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Remedies</w:t>
      </w:r>
      <w:r>
        <w:rPr>
          <w:rFonts w:ascii="Times New Roman" w:cs="Times New Roman" w:eastAsia="Times New Roman" w:hAnsi="Times New Roman"/>
          <w:sz w:val="22"/>
          <w:szCs w:val="22"/>
          <w:color w:val="auto"/>
        </w:rPr>
        <w:t>. Employee acknowledges that the Company and its Affiliated Entities would be irreparably injured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 violation of Section 2(a), (b), (c) or (d), and Employee agrees that the Company and such Affiliated Entities, in addition to any other remedies available, shall be entitled to (i) a preliminary injunction, temporary restraining order or other equivalent relief, restraining Employee from any actual or threatened material breach of any of Sections 2(a), (b), (c) or (d), or (ii) to cause the Employee to forfeit any remaining unvested Company equity awards or remaining unpaid severance payments or benefits upon any material breach of any of Sections 2(a), (b), (c) or (d).</w:t>
      </w:r>
    </w:p>
    <w:p>
      <w:pPr>
        <w:spacing w:after="0" w:line="221" w:lineRule="exact"/>
        <w:rPr>
          <w:rFonts w:ascii="Times New Roman" w:cs="Times New Roman" w:eastAsia="Times New Roman" w:hAnsi="Times New Roman"/>
          <w:sz w:val="22"/>
          <w:szCs w:val="22"/>
          <w:color w:val="auto"/>
        </w:rPr>
      </w:pPr>
    </w:p>
    <w:p>
      <w:pPr>
        <w:ind w:left="660" w:right="100" w:firstLine="645"/>
        <w:spacing w:after="0" w:line="261" w:lineRule="auto"/>
        <w:tabs>
          <w:tab w:leader="none" w:pos="177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Severability; Blue Pencil</w:t>
      </w:r>
      <w:r>
        <w:rPr>
          <w:rFonts w:ascii="Times New Roman" w:cs="Times New Roman" w:eastAsia="Times New Roman" w:hAnsi="Times New Roman"/>
          <w:sz w:val="21"/>
          <w:szCs w:val="21"/>
          <w:color w:val="auto"/>
        </w:rPr>
        <w:t>. Employee acknowledges and agrees that Employee has had the opportunity to seek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advice of counsel in connection with this Agreement, and the restrictive covenants contained herein are reasonable in geographic scope, temporal duration, and in all other respects. If it is determined that any provision of this Section 2 is invalid or unenforceable, the remainder of the provisions of this Section 2 shall not thereby be affected and shall be given full effect, without regard to the invalid portions. If any court or other decision-maker of competent jurisdiction determines that any covenant in this Section 2 is unenforceable because of the duration or geographic scope of such covenant, then, after such determination becomes final and unappealable, the duration or scope of such provision, as the case may be, shall be reduced so that such provision becomes enforceable, and that, in its reduced form, such covenant shall be enforced.</w:t>
      </w:r>
    </w:p>
    <w:p>
      <w:pPr>
        <w:spacing w:after="0" w:line="20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Timing for Consideration</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Employee acknowledges that the Company has specifically advised Employee of the right to seek the advice of an attorney concerning the terms and conditions of this Agreement. Employee further acknowledges that Employee has been furnished with a copy of this Agreement, and Employee has been afforded [twenty-one (21)][OR][forty-five (45)] calendar days in which to consider the terms and conditions of this Agreement. By executing this Agreement, Employee affirmatively states that Employee has had sufficient and reasonable time to review this Agreement and to consult with an attorney concerning his legal rights prior to the final execution of this Agreement. Employee further agrees that Employee has carefully read this Agreement and fully understands its terms. Employee acknowledges that Employee has entered into this Agreement, knowingly, freely and voluntarily. Employee understands that Employee may revoke this Agreement within seven (7) calendar days after signing this Agreement. Revocation of this Agreement must be made in writing and must be received by the Corporate Vice President, Total Rewards of the Company, at utccompben@utc.com, within the time period set forth above.</w:t>
      </w:r>
    </w:p>
    <w:p>
      <w:pPr>
        <w:spacing w:after="0" w:line="18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Effectiveness of Agreement</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This Agreement shall become effective and enforceable on the eighth (8th) day following Employee’s delivery of a copy of this executed Agreement to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Employee does not timely exercise Employee’s right of revocation as described in Section 3 above. If Employee fails to timely sign and deliver this Agreement or timely revokes this Agreement, this Agreement will be without force or effect, and Employee shall not be entitled to the payments or benefits described in Section 3.1 of the Plan (other than the Accrued Obligations and Other Benefits).</w:t>
      </w:r>
    </w:p>
    <w:p>
      <w:pPr>
        <w:sectPr>
          <w:pgSz w:w="11900" w:h="16838" w:orient="portrait"/>
          <w:cols w:equalWidth="0" w:num="1">
            <w:col w:w="11400"/>
          </w:cols>
          <w:pgMar w:left="240" w:top="585" w:right="259" w:bottom="1440" w:gutter="0" w:footer="0" w:header="0"/>
        </w:sectPr>
      </w:pPr>
    </w:p>
    <w:bookmarkStart w:id="76" w:name="page77"/>
    <w:bookmarkEnd w:id="76"/>
    <w:p>
      <w:pPr>
        <w:ind w:left="644" w:hanging="644"/>
        <w:spacing w:after="0"/>
        <w:tabs>
          <w:tab w:leader="none" w:pos="644"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60" w:lineRule="exact"/>
        <w:rPr>
          <w:rFonts w:ascii="Times New Roman" w:cs="Times New Roman" w:eastAsia="Times New Roman" w:hAnsi="Times New Roman"/>
          <w:sz w:val="22"/>
          <w:szCs w:val="22"/>
          <w:b w:val="1"/>
          <w:bCs w:val="1"/>
          <w:color w:val="auto"/>
        </w:rPr>
      </w:pPr>
    </w:p>
    <w:p>
      <w:pPr>
        <w:ind w:left="4" w:firstLine="645"/>
        <w:spacing w:after="0" w:line="249" w:lineRule="auto"/>
        <w:tabs>
          <w:tab w:leader="none" w:pos="110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will be governed by and construed in accordance with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Connecticut, without giving effect to any choice of law or conflicting provision or rule (whether of the State of Connecticut or any other jurisdiction) that would cause the laws of any jurisdiction other than the State of Connecticut to be applied. In furtherance of the foregoing, the internal laws of the State of Connecticut will control the interpretation and construction of this Agreement, even if under such jurisdiction’s choice of law or conflict of law analysis, the substantive law of some other jurisdiction would ordinarily apply.</w:t>
      </w:r>
    </w:p>
    <w:p>
      <w:pPr>
        <w:spacing w:after="0" w:line="221" w:lineRule="exact"/>
        <w:rPr>
          <w:rFonts w:ascii="Times New Roman" w:cs="Times New Roman" w:eastAsia="Times New Roman" w:hAnsi="Times New Roman"/>
          <w:sz w:val="22"/>
          <w:szCs w:val="22"/>
          <w:color w:val="auto"/>
        </w:rPr>
      </w:pPr>
    </w:p>
    <w:p>
      <w:pPr>
        <w:ind w:left="4" w:right="220" w:firstLine="645"/>
        <w:spacing w:after="0" w:line="275" w:lineRule="auto"/>
        <w:tabs>
          <w:tab w:leader="none" w:pos="11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Severability. </w:t>
      </w:r>
      <w:r>
        <w:rPr>
          <w:rFonts w:ascii="Times New Roman" w:cs="Times New Roman" w:eastAsia="Times New Roman" w:hAnsi="Times New Roman"/>
          <w:sz w:val="22"/>
          <w:szCs w:val="22"/>
          <w:color w:val="auto"/>
        </w:rPr>
        <w:t>The provisions of this Agreement and obligations of the parties are severable, and if any part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portion of it is found to be unenforceable, the other paragraphs shall remain fully valid and enforceable.</w:t>
      </w:r>
    </w:p>
    <w:p>
      <w:pPr>
        <w:spacing w:after="0" w:line="190" w:lineRule="exact"/>
        <w:rPr>
          <w:rFonts w:ascii="Times New Roman" w:cs="Times New Roman" w:eastAsia="Times New Roman" w:hAnsi="Times New Roman"/>
          <w:sz w:val="22"/>
          <w:szCs w:val="22"/>
          <w:color w:val="auto"/>
        </w:rPr>
      </w:pPr>
    </w:p>
    <w:p>
      <w:pPr>
        <w:ind w:left="4" w:right="80" w:firstLine="645"/>
        <w:spacing w:after="0" w:line="259" w:lineRule="auto"/>
        <w:tabs>
          <w:tab w:leader="none" w:pos="110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Entire Agreement; Amendment. </w:t>
      </w:r>
      <w:r>
        <w:rPr>
          <w:rFonts w:ascii="Times New Roman" w:cs="Times New Roman" w:eastAsia="Times New Roman" w:hAnsi="Times New Roman"/>
          <w:sz w:val="22"/>
          <w:szCs w:val="22"/>
          <w:color w:val="auto"/>
        </w:rPr>
        <w:t>This Agreement constitutes the entire agreement between the parties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the subject matter of this Agreement. No amendment to this Agreement shall be binding upon either party unless in writing and signed by or on behalf of such party.</w:t>
      </w:r>
    </w:p>
    <w:p>
      <w:pPr>
        <w:spacing w:after="0" w:line="207" w:lineRule="exact"/>
        <w:rPr>
          <w:rFonts w:ascii="Times New Roman" w:cs="Times New Roman" w:eastAsia="Times New Roman" w:hAnsi="Times New Roman"/>
          <w:sz w:val="22"/>
          <w:szCs w:val="22"/>
          <w:color w:val="auto"/>
        </w:rPr>
      </w:pPr>
    </w:p>
    <w:p>
      <w:pPr>
        <w:ind w:left="4" w:right="220" w:firstLine="645"/>
        <w:spacing w:after="0" w:line="259" w:lineRule="auto"/>
        <w:tabs>
          <w:tab w:leader="none" w:pos="112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Dispute Resolution</w:t>
      </w:r>
      <w:r>
        <w:rPr>
          <w:rFonts w:ascii="Times New Roman" w:cs="Times New Roman" w:eastAsia="Times New Roman" w:hAnsi="Times New Roman"/>
          <w:sz w:val="21"/>
          <w:szCs w:val="21"/>
          <w:color w:val="auto"/>
        </w:rPr>
        <w:t>. Except with respect to claims for breach of the obligations under Section 2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for which the Company may seek enforcement in any court having competent jurisdiction at its election, any dispute arising between the Company and Employee with respect to the validity, performance or interpretation of this Agreement shall be submitted to and determined in binding arbitration in Hartford, Connecticut, for resolution in accordance with the rules of the American Arbitration Association, modified to provide that the decision of the arbitrator shall be binding on the parties; shall be furnished in writing, separately and specifically stating the findings of fact and conclusions of law on which the decision is based; shall be kept confidential by the arbitrator and the parties; and shall be rendered within sixty (60) days following the arbitrator being impaneled. Costs and expenses of the arbitration shall be borne by the Company regardless of the outcome, and each party shall be responsible for its own attorneys’ fees and expenses. The arbitrator shall be selected in accordance with the rules of the American Arbitration Association.</w:t>
      </w:r>
    </w:p>
    <w:p>
      <w:pPr>
        <w:spacing w:after="0" w:line="216" w:lineRule="exact"/>
        <w:rPr>
          <w:rFonts w:ascii="Times New Roman" w:cs="Times New Roman" w:eastAsia="Times New Roman" w:hAnsi="Times New Roman"/>
          <w:sz w:val="21"/>
          <w:szCs w:val="21"/>
          <w:color w:val="auto"/>
        </w:rPr>
      </w:pPr>
    </w:p>
    <w:p>
      <w:pPr>
        <w:ind w:left="4" w:right="260" w:firstLine="645"/>
        <w:spacing w:after="0" w:line="277" w:lineRule="auto"/>
        <w:tabs>
          <w:tab w:leader="none" w:pos="1108"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Assignment</w:t>
      </w:r>
      <w:r>
        <w:rPr>
          <w:rFonts w:ascii="Times New Roman" w:cs="Times New Roman" w:eastAsia="Times New Roman" w:hAnsi="Times New Roman"/>
          <w:sz w:val="21"/>
          <w:szCs w:val="21"/>
          <w:color w:val="auto"/>
        </w:rPr>
        <w:t>. Without the prior written consent of Employee, this Agreement shall not be assignable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This Agreement shall inure to the benefit of and be enforceable by Employee’s heirs and legal representatives. This Agreement shall inure to the benefit of and be binding upon the Company and its successors and assigns.</w:t>
      </w:r>
    </w:p>
    <w:p>
      <w:pPr>
        <w:spacing w:after="0" w:line="190" w:lineRule="exact"/>
        <w:rPr>
          <w:sz w:val="20"/>
          <w:szCs w:val="20"/>
          <w:color w:val="auto"/>
        </w:rPr>
      </w:pPr>
    </w:p>
    <w:p>
      <w:pPr>
        <w:ind w:left="3904"/>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0724"/>
          </w:cols>
          <w:pgMar w:left="896" w:top="581" w:right="279" w:bottom="1440" w:gutter="0" w:footer="0" w:header="0"/>
        </w:sectPr>
      </w:pPr>
    </w:p>
    <w:bookmarkStart w:id="77" w:name="page78"/>
    <w:bookmarkEnd w:id="77"/>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 BY: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22"/>
          <w:szCs w:val="22"/>
          <w:color w:val="auto"/>
        </w:rPr>
        <w:t>Date: _______________________</w:t>
      </w:r>
      <w:r>
        <w:rPr>
          <w:sz w:val="20"/>
          <w:szCs w:val="20"/>
          <w:color w:val="auto"/>
        </w:rPr>
        <w:tab/>
      </w:r>
      <w:r>
        <w:rPr>
          <w:rFonts w:ascii="Times New Roman" w:cs="Times New Roman" w:eastAsia="Times New Roman" w:hAnsi="Times New Roman"/>
          <w:sz w:val="18"/>
          <w:szCs w:val="18"/>
          <w:color w:val="auto"/>
        </w:rPr>
        <w:t>____________________________________________</w:t>
      </w:r>
    </w:p>
    <w:p>
      <w:pPr>
        <w:spacing w:after="0" w:line="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[Employee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2"/>
          <w:szCs w:val="22"/>
          <w:b w:val="1"/>
          <w:bCs w:val="1"/>
          <w:color w:val="auto"/>
        </w:rPr>
        <w:t>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i w:val="1"/>
          <w:iCs w:val="1"/>
          <w:color w:val="auto"/>
        </w:rPr>
        <w:t>[Signature Page]</w:t>
      </w:r>
    </w:p>
    <w:p>
      <w:pPr>
        <w:sectPr>
          <w:pgSz w:w="11900" w:h="16838" w:orient="portrait"/>
          <w:cols w:equalWidth="0" w:num="1">
            <w:col w:w="10219"/>
          </w:cols>
          <w:pgMar w:left="240" w:top="144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aware that our report dated July 26, 2019 on our review of interim financial information of United Technologies Corporation, which appears in this Quarterly Report on Form 10-Q, is incorporated by reference in the Registration Statements on Form S-8 (Nos. 333-228649, 333-225839, 333-207193, 333-197704, 333-183123, 333-177517, 333-175781, 333-150643, 333-125293, 333-110020, 333-100724, 333-100723, 333-100718 and 033-51385) of 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ectPr>
          <w:pgSz w:w="11900" w:h="16838" w:orient="portrait"/>
          <w:cols w:equalWidth="0" w:num="1">
            <w:col w:w="11420"/>
          </w:cols>
          <w:pgMar w:left="240" w:top="576"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July 26, 2019</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420"/>
          </w:cols>
          <w:pgMar w:left="240" w:top="576"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July 26, 2019</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ectPr>
          <w:pgSz w:w="11900" w:h="16838" w:orient="portrait"/>
          <w:cols w:equalWidth="0" w:num="1">
            <w:col w:w="11420"/>
          </w:cols>
          <w:pgMar w:left="240" w:top="576"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July 26, 2019</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Corporate Vice President, Controller</w:t>
      </w:r>
    </w:p>
    <w:p>
      <w:pPr>
        <w:sectPr>
          <w:pgSz w:w="11900" w:h="16838" w:orient="portrait"/>
          <w:cols w:equalWidth="0" w:num="1">
            <w:col w:w="11420"/>
          </w:cols>
          <w:pgMar w:left="240" w:top="576"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162"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2019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1"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26, 2019</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26, 2019</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26, 2019</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Corporate Vice President, Controller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bullet"/>
      <w:start w:val="1"/>
    </w:lvl>
  </w:abstractNum>
  <w:abstractNum w:abstractNumId="3">
    <w:nsid w:val="5577F8E1"/>
    <w:multiLevelType w:val="hybridMultilevel"/>
    <w:lvl w:ilvl="0">
      <w:lvlJc w:val="left"/>
      <w:lvlText w:val="2"/>
      <w:numFmt w:val="bullet"/>
      <w:start w:val="1"/>
    </w:lvl>
  </w:abstractNum>
  <w:abstractNum w:abstractNumId="4">
    <w:nsid w:val="440BADFC"/>
    <w:multiLevelType w:val="hybridMultilevel"/>
    <w:lvl w:ilvl="0">
      <w:lvlJc w:val="left"/>
      <w:lvlText w:val="3"/>
      <w:numFmt w:val="bullet"/>
      <w:start w:val="1"/>
    </w:lvl>
  </w:abstractNum>
  <w:abstractNum w:abstractNumId="5">
    <w:nsid w:val="5072367"/>
    <w:multiLevelType w:val="hybridMultilevel"/>
    <w:lvl w:ilvl="0">
      <w:lvlJc w:val="left"/>
      <w:lvlText w:val="4"/>
      <w:numFmt w:val="bullet"/>
      <w:start w:val="1"/>
    </w:lvl>
  </w:abstractNum>
  <w:abstractNum w:abstractNumId="6">
    <w:nsid w:val="3804823E"/>
    <w:multiLevelType w:val="hybridMultilevel"/>
    <w:lvl w:ilvl="0">
      <w:lvlJc w:val="left"/>
      <w:lvlText w:val="5"/>
      <w:numFmt w:val="bullet"/>
      <w:start w:val="1"/>
    </w:lvl>
  </w:abstractNum>
  <w:abstractNum w:abstractNumId="7">
    <w:nsid w:val="77465F01"/>
    <w:multiLevelType w:val="hybridMultilevel"/>
    <w:lvl w:ilvl="0">
      <w:lvlJc w:val="left"/>
      <w:lvlText w:val="6"/>
      <w:numFmt w:val="bullet"/>
      <w:start w:val="1"/>
    </w:lvl>
  </w:abstractNum>
  <w:abstractNum w:abstractNumId="8">
    <w:nsid w:val="7724C67E"/>
    <w:multiLevelType w:val="hybridMultilevel"/>
    <w:lvl w:ilvl="0">
      <w:lvlJc w:val="left"/>
      <w:lvlText w:val="7"/>
      <w:numFmt w:val="bullet"/>
      <w:start w:val="1"/>
    </w:lvl>
  </w:abstractNum>
  <w:abstractNum w:abstractNumId="9">
    <w:nsid w:val="5C482A97"/>
    <w:multiLevelType w:val="hybridMultilevel"/>
    <w:lvl w:ilvl="0">
      <w:lvlJc w:val="left"/>
      <w:lvlText w:val="8"/>
      <w:numFmt w:val="bullet"/>
      <w:start w:val="1"/>
    </w:lvl>
  </w:abstractNum>
  <w:abstractNum w:abstractNumId="10">
    <w:nsid w:val="2463B9EA"/>
    <w:multiLevelType w:val="hybridMultilevel"/>
    <w:lvl w:ilvl="0">
      <w:lvlJc w:val="left"/>
      <w:lvlText w:val="9"/>
      <w:numFmt w:val="bullet"/>
      <w:start w:val="1"/>
    </w:lvl>
  </w:abstractNum>
  <w:abstractNum w:abstractNumId="11">
    <w:nsid w:val="5E884ADC"/>
    <w:multiLevelType w:val="hybridMultilevel"/>
    <w:lvl w:ilvl="0">
      <w:lvlJc w:val="left"/>
      <w:lvlText w:val="1"/>
      <w:numFmt w:val="bullet"/>
      <w:start w:val="1"/>
    </w:lvl>
  </w:abstractNum>
  <w:abstractNum w:abstractNumId="12">
    <w:nsid w:val="51EAD36B"/>
    <w:multiLevelType w:val="hybridMultilevel"/>
    <w:lvl w:ilvl="0">
      <w:lvlJc w:val="left"/>
      <w:lvlText w:val="2"/>
      <w:numFmt w:val="bullet"/>
      <w:start w:val="1"/>
    </w:lvl>
  </w:abstractNum>
  <w:abstractNum w:abstractNumId="13">
    <w:nsid w:val="2D517796"/>
    <w:multiLevelType w:val="hybridMultilevel"/>
    <w:lvl w:ilvl="0">
      <w:lvlJc w:val="left"/>
      <w:lvlText w:val="3"/>
      <w:numFmt w:val="bullet"/>
      <w:start w:val="1"/>
    </w:lvl>
  </w:abstractNum>
  <w:abstractNum w:abstractNumId="14">
    <w:nsid w:val="580BD78F"/>
    <w:multiLevelType w:val="hybridMultilevel"/>
    <w:lvl w:ilvl="0">
      <w:lvlJc w:val="left"/>
      <w:lvlText w:val="4"/>
      <w:numFmt w:val="bullet"/>
      <w:start w:val="1"/>
    </w:lvl>
  </w:abstractNum>
  <w:abstractNum w:abstractNumId="15">
    <w:nsid w:val="153EA438"/>
    <w:multiLevelType w:val="hybridMultilevel"/>
    <w:lvl w:ilvl="0">
      <w:lvlJc w:val="left"/>
      <w:lvlText w:val="5"/>
      <w:numFmt w:val="bullet"/>
      <w:start w:val="1"/>
    </w:lvl>
  </w:abstractNum>
  <w:abstractNum w:abstractNumId="16">
    <w:nsid w:val="3855585C"/>
    <w:multiLevelType w:val="hybridMultilevel"/>
    <w:lvl w:ilvl="0">
      <w:lvlJc w:val="left"/>
      <w:lvlText w:val="1"/>
      <w:numFmt w:val="bullet"/>
      <w:start w:val="1"/>
    </w:lvl>
  </w:abstractNum>
  <w:abstractNum w:abstractNumId="17">
    <w:nsid w:val="70A64E2A"/>
    <w:multiLevelType w:val="hybridMultilevel"/>
    <w:lvl w:ilvl="0">
      <w:lvlJc w:val="left"/>
      <w:lvlText w:val="2"/>
      <w:numFmt w:val="bullet"/>
      <w:start w:val="1"/>
    </w:lvl>
  </w:abstractNum>
  <w:abstractNum w:abstractNumId="18">
    <w:nsid w:val="6A2342EC"/>
    <w:multiLevelType w:val="hybridMultilevel"/>
    <w:lvl w:ilvl="0">
      <w:lvlJc w:val="left"/>
      <w:lvlText w:val="1"/>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bullet"/>
      <w:start w:val="1"/>
    </w:lvl>
  </w:abstractNum>
  <w:abstractNum w:abstractNumId="32">
    <w:nsid w:val="579478FE"/>
    <w:multiLevelType w:val="hybridMultilevel"/>
    <w:lvl w:ilvl="0">
      <w:lvlJc w:val="left"/>
      <w:lvlText w:val="2"/>
      <w:numFmt w:val="bullet"/>
      <w:start w:val="1"/>
    </w:lvl>
  </w:abstractNum>
  <w:abstractNum w:abstractNumId="33">
    <w:nsid w:val="749ABB43"/>
    <w:multiLevelType w:val="hybridMultilevel"/>
    <w:lvl w:ilvl="0">
      <w:lvlJc w:val="left"/>
      <w:lvlText w:val="1"/>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15"/>
    </w:lvl>
  </w:abstractNum>
  <w:abstractNum w:abstractNumId="39">
    <w:nsid w:val="70C6A529"/>
    <w:multiLevelType w:val="hybridMultilevel"/>
    <w:lvl w:ilvl="0">
      <w:lvlJc w:val="left"/>
      <w:lvlText w:val="%1"/>
      <w:numFmt w:val="decimal"/>
      <w:start w:val="32"/>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lowerRoman"/>
      <w:start w:val="4"/>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6"/>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lowerLetter"/>
      <w:start w:val="1"/>
    </w:lvl>
    <w:lvl w:ilvl="1">
      <w:lvlJc w:val="left"/>
      <w:lvlText w:val="(%2)"/>
      <w:numFmt w:val="lowerRoman"/>
      <w:start w:val="1"/>
    </w:lvl>
  </w:abstractNum>
  <w:abstractNum w:abstractNumId="47">
    <w:nsid w:val="1CF10FD8"/>
    <w:multiLevelType w:val="hybridMultilevel"/>
    <w:lvl w:ilvl="0">
      <w:lvlJc w:val="left"/>
      <w:lvlText w:val="(%1)"/>
      <w:numFmt w:val="lowerLetter"/>
      <w:start w:val="3"/>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lowerLetter"/>
      <w:start w:val="1"/>
    </w:lvl>
    <w:lvl w:ilvl="1">
      <w:lvlJc w:val="left"/>
      <w:lvlText w:val="(%2)"/>
      <w:numFmt w:val="lowerRoman"/>
      <w:start w:val="1"/>
    </w:lvl>
  </w:abstractNum>
  <w:abstractNum w:abstractNumId="51">
    <w:nsid w:val="354FE9F9"/>
    <w:multiLevelType w:val="hybridMultilevel"/>
    <w:lvl w:ilvl="0">
      <w:lvlJc w:val="left"/>
      <w:lvlText w:val="(%1)"/>
      <w:numFmt w:val="lowerLetter"/>
      <w:start w:val="2"/>
    </w:lvl>
    <w:lvl w:ilvl="1">
      <w:lvlJc w:val="left"/>
      <w:lvlText w:val="(%2)"/>
      <w:numFmt w:val="lowerRoman"/>
      <w:start w:val="1"/>
    </w:lvl>
  </w:abstractNum>
  <w:abstractNum w:abstractNumId="52">
    <w:nsid w:val="15B5AF5C"/>
    <w:multiLevelType w:val="hybridMultilevel"/>
    <w:lvl w:ilvl="0">
      <w:lvlJc w:val="left"/>
      <w:lvlText w:val="%1"/>
      <w:numFmt w:val="lowerLetter"/>
      <w:start w:val="1"/>
    </w:lvl>
    <w:lvl w:ilvl="1">
      <w:lvlJc w:val="left"/>
      <w:lvlText w:val="(%2)"/>
      <w:numFmt w:val="lowerRoman"/>
      <w:start w:val="3"/>
    </w:lvl>
  </w:abstractNum>
  <w:abstractNum w:abstractNumId="53">
    <w:nsid w:val="741226BB"/>
    <w:multiLevelType w:val="hybridMultilevel"/>
    <w:lvl w:ilvl="0">
      <w:lvlJc w:val="left"/>
      <w:lvlText w:val="(%1)"/>
      <w:numFmt w:val="lowerLetter"/>
      <w:start w:val="4"/>
    </w:lvl>
    <w:lvl w:ilvl="1">
      <w:lvlJc w:val="left"/>
      <w:lvlText w:val="(%2)"/>
      <w:numFmt w:val="lowerRoman"/>
      <w:start w:val="1"/>
    </w:lvl>
  </w:abstractNum>
  <w:abstractNum w:abstractNumId="54">
    <w:nsid w:val="D34B6A8"/>
    <w:multiLevelType w:val="hybridMultilevel"/>
    <w:lvl w:ilvl="0">
      <w:lvlJc w:val="left"/>
      <w:lvlText w:val="%1."/>
      <w:numFmt w:val="decimal"/>
      <w:start w:val="1"/>
    </w:lvl>
    <w:lvl w:ilvl="1">
      <w:lvlJc w:val="left"/>
      <w:lvlText w:val="(%2)"/>
      <w:numFmt w:val="lowerLetter"/>
      <w:start w:val="1"/>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decimal"/>
      <w:start w:val="1"/>
    </w:lvl>
    <w:lvl w:ilvl="1">
      <w:lvlJc w:val="left"/>
      <w:lvlText w:val="(%2)"/>
      <w:numFmt w:val="lowerLetter"/>
      <w:start w:val="4"/>
    </w:lvl>
  </w:abstractNum>
  <w:abstractNum w:abstractNumId="57">
    <w:nsid w:val="61574095"/>
    <w:multiLevelType w:val="hybridMultilevel"/>
    <w:lvl w:ilvl="0">
      <w:lvlJc w:val="left"/>
      <w:lvlText w:val="%1."/>
      <w:numFmt w:val="decimal"/>
      <w:start w:val="2"/>
    </w:lvl>
    <w:lvl w:ilvl="1">
      <w:lvlJc w:val="left"/>
      <w:lvlText w:val="(%2)"/>
      <w:numFmt w:val="lowerLetter"/>
      <w:start w:val="1"/>
    </w:lvl>
  </w:abstractNum>
  <w:abstractNum w:abstractNumId="58">
    <w:nsid w:val="7E0C57B1"/>
    <w:multiLevelType w:val="hybridMultilevel"/>
    <w:lvl w:ilvl="0">
      <w:lvlJc w:val="left"/>
      <w:lvlText w:val="(%1)"/>
      <w:numFmt w:val="lowerLetter"/>
      <w:start w:val="2"/>
    </w:lvl>
  </w:abstractNum>
  <w:abstractNum w:abstractNumId="59">
    <w:nsid w:val="77AE35EB"/>
    <w:multiLevelType w:val="hybridMultilevel"/>
    <w:lvl w:ilvl="0">
      <w:lvlJc w:val="left"/>
      <w:lvlText w:val="%1"/>
      <w:numFmt w:val="decimal"/>
      <w:start w:val="1"/>
    </w:lvl>
    <w:lvl w:ilvl="1">
      <w:lvlJc w:val="left"/>
      <w:lvlText w:val="(%2)"/>
      <w:numFmt w:val="lowerLetter"/>
      <w:start w:val="6"/>
    </w:lvl>
  </w:abstractNum>
  <w:abstractNum w:abstractNumId="60">
    <w:nsid w:val="579BE4F1"/>
    <w:multiLevelType w:val="hybridMultilevel"/>
    <w:lvl w:ilvl="0">
      <w:lvlJc w:val="left"/>
      <w:lvlText w:val="%1."/>
      <w:numFmt w:val="decimal"/>
      <w:start w:val="3"/>
    </w:lvl>
    <w:lvl w:ilvl="1">
      <w:lvlJc w:val="left"/>
      <w:lvlText w:val="%2"/>
      <w:numFmt w:val="lowerLetter"/>
      <w:start w:val="1"/>
    </w:lvl>
  </w:abstractNum>
  <w:abstractNum w:abstractNumId="61">
    <w:nsid w:val="310C50B3"/>
    <w:multiLevelType w:val="hybridMultilevel"/>
    <w:lvl w:ilvl="0">
      <w:lvlJc w:val="left"/>
      <w:lvlText w:val="%1."/>
      <w:numFmt w:val="decimal"/>
      <w:start w:val="4"/>
    </w:lvl>
  </w:abstractNum>
  <w:abstractNum w:abstractNumId="62">
    <w:nsid w:val="5FF87E05"/>
    <w:multiLevelType w:val="hybridMultilevel"/>
    <w:lvl w:ilvl="0">
      <w:lvlJc w:val="left"/>
      <w:lvlText w:val="%1."/>
      <w:numFmt w:val="decimal"/>
      <w:start w:val="5"/>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8" Type="http://schemas.openxmlformats.org/officeDocument/2006/relationships/hyperlink" Target="http://www.sec.gov/Archives/edgar/data/101829/000010182919000007/a2018-12x3110xkexhibit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2019-12-28T10:15:20Z</dcterms:created>
  <dcterms:modified xsi:type="dcterms:W3CDTF">2019-12-28T10:15:20Z</dcterms:modified>
</cp:coreProperties>
</file>