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June 30, 2013 there were 917,509,315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2013</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2"/>
        </w:trPr>
        <w:tc>
          <w:tcPr>
            <w:tcW w:w="140" w:type="dxa"/>
            <w:vAlign w:val="bottom"/>
            <w:tcBorders>
              <w:top w:val="single" w:sz="8" w:color="0000FF"/>
            </w:tcBorders>
          </w:tcPr>
          <w:p>
            <w:pPr>
              <w:spacing w:after="0"/>
              <w:rPr>
                <w:sz w:val="24"/>
                <w:szCs w:val="24"/>
                <w:color w:val="auto"/>
              </w:rPr>
            </w:pPr>
          </w:p>
        </w:tc>
        <w:tc>
          <w:tcPr>
            <w:tcW w:w="21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720" w:type="dxa"/>
            <w:vAlign w:val="bottom"/>
            <w:tcBorders>
              <w:top w:val="single" w:sz="8" w:color="0000FF"/>
            </w:tcBorders>
            <w:gridSpan w:val="3"/>
          </w:tcPr>
          <w:p>
            <w:pPr>
              <w:spacing w:after="0"/>
              <w:rPr>
                <w:sz w:val="24"/>
                <w:szCs w:val="24"/>
                <w:color w:val="auto"/>
              </w:rPr>
            </w:pPr>
          </w:p>
        </w:tc>
        <w:tc>
          <w:tcPr>
            <w:tcW w:w="774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 of Comprehensive Income for the quarters ended June 30, 2013 and 2012</w:t>
              </w:r>
            </w:hyperlink>
          </w:p>
        </w:tc>
        <w:tc>
          <w:tcPr>
            <w:tcW w:w="246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 of Comprehensive Income for the six months ended June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 at June 30, 2013 and December 31, 2012</w:t>
              </w:r>
            </w:hyperlink>
          </w:p>
        </w:tc>
        <w:tc>
          <w:tcPr>
            <w:tcW w:w="2240" w:type="dxa"/>
            <w:vAlign w:val="bottom"/>
            <w:tcBorders>
              <w:top w:val="single" w:sz="8" w:color="0000FF"/>
            </w:tcBorders>
            <w:gridSpan w:val="4"/>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Cash Flows for the six months ended June 30, 2013 and 2012</w:t>
              </w:r>
            </w:hyperlink>
          </w:p>
        </w:tc>
        <w:tc>
          <w:tcPr>
            <w:tcW w:w="312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3"/>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Item 3. Quantitative and Qualitative Disclosures About Market Risk</w:t>
              </w:r>
            </w:hyperlink>
          </w:p>
        </w:tc>
        <w:tc>
          <w:tcPr>
            <w:tcW w:w="2080" w:type="dxa"/>
            <w:vAlign w:val="bottom"/>
            <w:gridSpan w:val="2"/>
          </w:tcPr>
          <w:p>
            <w:pPr>
              <w:spacing w:after="0"/>
              <w:rPr>
                <w:sz w:val="24"/>
                <w:szCs w:val="24"/>
                <w:color w:val="auto"/>
              </w:rPr>
            </w:pPr>
          </w:p>
        </w:tc>
        <w:tc>
          <w:tcPr>
            <w:tcW w:w="35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7"/>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PART II – OTHER INFORMATION</w:t>
              </w:r>
            </w:hyperlink>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w w:val="87"/>
              </w:rPr>
            </w:pPr>
            <w:hyperlink w:anchor="page55">
              <w:r>
                <w:rPr>
                  <w:rFonts w:ascii="Arial" w:cs="Arial" w:eastAsia="Arial" w:hAnsi="Arial"/>
                  <w:sz w:val="18"/>
                  <w:szCs w:val="18"/>
                  <w:color w:val="0000FF"/>
                  <w:w w:val="87"/>
                </w:rPr>
                <w:t>Item 1. Legal Proceedings</w:t>
              </w:r>
            </w:hyperlink>
          </w:p>
        </w:tc>
        <w:tc>
          <w:tcPr>
            <w:tcW w:w="660" w:type="dxa"/>
            <w:vAlign w:val="bottom"/>
            <w:gridSpan w:val="3"/>
          </w:tcPr>
          <w:p>
            <w:pPr>
              <w:spacing w:after="0"/>
              <w:rPr>
                <w:sz w:val="24"/>
                <w:szCs w:val="24"/>
                <w:color w:val="auto"/>
              </w:rPr>
            </w:pPr>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1A. Risk Factors</w:t>
              </w:r>
            </w:hyperlink>
          </w:p>
        </w:tc>
        <w:tc>
          <w:tcPr>
            <w:tcW w:w="280" w:type="dxa"/>
            <w:vAlign w:val="bottom"/>
          </w:tcPr>
          <w:p>
            <w:pPr>
              <w:spacing w:after="0"/>
              <w:rPr>
                <w:sz w:val="24"/>
                <w:szCs w:val="24"/>
                <w:color w:val="auto"/>
              </w:rPr>
            </w:pPr>
          </w:p>
        </w:tc>
        <w:tc>
          <w:tcPr>
            <w:tcW w:w="870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3"/>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Item 2. Unregistered Sales of Equity Securities and Use of Proceeds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3. Defaults Upon Senior Securities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Item 5. Other Information</w:t>
              </w:r>
            </w:hyperlink>
          </w:p>
        </w:tc>
        <w:tc>
          <w:tcPr>
            <w:tcW w:w="1000" w:type="dxa"/>
            <w:vAlign w:val="bottom"/>
            <w:gridSpan w:val="5"/>
          </w:tcPr>
          <w:p>
            <w:pPr>
              <w:spacing w:after="0"/>
              <w:rPr>
                <w:sz w:val="24"/>
                <w:szCs w:val="24"/>
                <w:color w:val="auto"/>
              </w:rPr>
            </w:pPr>
          </w:p>
        </w:tc>
        <w:tc>
          <w:tcPr>
            <w:tcW w:w="770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Item 6. Exhibits</w:t>
              </w:r>
            </w:hyperlink>
          </w:p>
        </w:tc>
        <w:tc>
          <w:tcPr>
            <w:tcW w:w="870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65">
              <w:r>
                <w:rPr>
                  <w:rFonts w:ascii="Arial" w:cs="Arial" w:eastAsia="Arial" w:hAnsi="Arial"/>
                  <w:sz w:val="18"/>
                  <w:szCs w:val="18"/>
                  <w:color w:val="0000FF"/>
                  <w:w w:val="95"/>
                </w:rPr>
                <w:t>EXHIBIT INDEX</w:t>
              </w:r>
            </w:hyperlink>
          </w:p>
        </w:tc>
        <w:tc>
          <w:tcPr>
            <w:tcW w:w="942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Quarter Ended June 30,</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1,560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1,328</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654</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22,971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2,826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1,658</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1,625</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1,473</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40" w:type="dxa"/>
            <w:vAlign w:val="bottom"/>
            <w:gridSpan w:val="4"/>
            <w:shd w:val="clear" w:color="auto" w:fill="CCEEFF"/>
          </w:tcPr>
          <w:p>
            <w:pPr>
              <w:jc w:val="center"/>
              <w:ind w:right="3980"/>
              <w:spacing w:after="0" w:line="189" w:lineRule="exact"/>
              <w:rPr>
                <w:sz w:val="20"/>
                <w:szCs w:val="20"/>
                <w:color w:val="auto"/>
              </w:rPr>
            </w:pPr>
            <w:r>
              <w:rPr>
                <w:rFonts w:ascii="Arial" w:cs="Arial" w:eastAsia="Arial" w:hAnsi="Arial"/>
                <w:sz w:val="17"/>
                <w:szCs w:val="17"/>
                <w:b w:val="1"/>
                <w:bCs w:val="1"/>
                <w:color w:val="auto"/>
                <w:w w:val="82"/>
              </w:rPr>
              <w:t>Assets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4,909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4,819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11,099</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10,232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9,537</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Assets held for sale</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28,790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29,610</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Future income tax benefits</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1,596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18,065</w:t>
            </w: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(9,547)</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Fixed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8,518</w:t>
            </w:r>
          </w:p>
        </w:tc>
        <w:tc>
          <w:tcPr>
            <w:tcW w:w="0" w:type="dxa"/>
            <w:vAlign w:val="bottom"/>
          </w:tcPr>
          <w:p>
            <w:pPr>
              <w:spacing w:after="0"/>
              <w:rPr>
                <w:sz w:val="1"/>
                <w:szCs w:val="1"/>
                <w:color w:val="auto"/>
              </w:rPr>
            </w:pPr>
          </w:p>
        </w:tc>
      </w:tr>
      <w:tr>
        <w:trPr>
          <w:trHeight w:val="21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27,835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27,801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15,189</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gridSpan w:val="6"/>
            <w:vMerge w:val="restart"/>
          </w:tcPr>
          <w:p>
            <w:pPr>
              <w:jc w:val="center"/>
              <w:ind w:right="100"/>
              <w:spacing w:after="0" w:line="183" w:lineRule="exact"/>
              <w:rPr>
                <w:sz w:val="20"/>
                <w:szCs w:val="20"/>
                <w:color w:val="auto"/>
              </w:rPr>
            </w:pPr>
            <w:r>
              <w:rPr>
                <w:rFonts w:ascii="Arial" w:cs="Arial" w:eastAsia="Arial" w:hAnsi="Arial"/>
                <w:sz w:val="17"/>
                <w:szCs w:val="17"/>
                <w:b w:val="1"/>
                <w:bCs w:val="1"/>
                <w:color w:val="auto"/>
                <w:w w:val="92"/>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3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6,645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6,431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15,310</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Liabilities held for sale</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23,164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23,786</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21,597</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7,520</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9,199</w:t>
            </w:r>
          </w:p>
        </w:tc>
        <w:tc>
          <w:tcPr>
            <w:tcW w:w="0" w:type="dxa"/>
            <w:vAlign w:val="bottom"/>
          </w:tcPr>
          <w:p>
            <w:pPr>
              <w:spacing w:after="0"/>
              <w:rPr>
                <w:sz w:val="1"/>
                <w:szCs w:val="1"/>
                <w:color w:val="auto"/>
              </w:rPr>
            </w:pPr>
          </w:p>
        </w:tc>
      </w:tr>
      <w:tr>
        <w:trPr>
          <w:trHeight w:val="21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Total Liabilities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60,201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62,102</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13)</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Common Stock</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14,398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13,976</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(19,251)</w:t>
            </w: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38,629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36,776</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Unearned ESOP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9"/>
        </w:trPr>
        <w:tc>
          <w:tcPr>
            <w:tcW w:w="8320" w:type="dxa"/>
            <w:vAlign w:val="bottom"/>
            <w:gridSpan w:val="6"/>
          </w:tcPr>
          <w:p>
            <w:pPr>
              <w:ind w:left="7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(5,448)</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26,987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25,914</w:t>
            </w:r>
          </w:p>
        </w:tc>
        <w:tc>
          <w:tcPr>
            <w:tcW w:w="0" w:type="dxa"/>
            <w:vAlign w:val="bottom"/>
          </w:tcPr>
          <w:p>
            <w:pPr>
              <w:spacing w:after="0"/>
              <w:rPr>
                <w:sz w:val="1"/>
                <w:szCs w:val="1"/>
                <w:color w:val="auto"/>
              </w:rPr>
            </w:pPr>
          </w:p>
        </w:tc>
      </w:tr>
      <w:tr>
        <w:trPr>
          <w:trHeight w:val="239"/>
        </w:trPr>
        <w:tc>
          <w:tcPr>
            <w:tcW w:w="8320" w:type="dxa"/>
            <w:vAlign w:val="bottom"/>
            <w:gridSpan w:val="6"/>
          </w:tcPr>
          <w:p>
            <w:pPr>
              <w:ind w:left="40"/>
              <w:spacing w:after="0"/>
              <w:rPr>
                <w:sz w:val="20"/>
                <w:szCs w:val="20"/>
                <w:color w:val="auto"/>
              </w:rPr>
            </w:pPr>
            <w:r>
              <w:rPr>
                <w:rFonts w:ascii="Arial" w:cs="Arial" w:eastAsia="Arial" w:hAnsi="Arial"/>
                <w:sz w:val="17"/>
                <w:szCs w:val="17"/>
                <w:color w:val="auto"/>
              </w:rPr>
              <w:t>Noncontrolling interest</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27,069</w:t>
            </w:r>
          </w:p>
        </w:tc>
        <w:tc>
          <w:tcPr>
            <w:tcW w:w="0" w:type="dxa"/>
            <w:vAlign w:val="bottom"/>
          </w:tcPr>
          <w:p>
            <w:pPr>
              <w:spacing w:after="0"/>
              <w:rPr>
                <w:sz w:val="1"/>
                <w:szCs w:val="1"/>
                <w:color w:val="auto"/>
              </w:rPr>
            </w:pPr>
          </w:p>
        </w:tc>
      </w:tr>
      <w:tr>
        <w:trPr>
          <w:trHeight w:val="219"/>
        </w:trPr>
        <w:tc>
          <w:tcPr>
            <w:tcW w:w="8320" w:type="dxa"/>
            <w:vAlign w:val="bottom"/>
            <w:gridSpan w:val="6"/>
          </w:tcPr>
          <w:p>
            <w:pPr>
              <w:ind w:left="38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88,744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2" w:right="25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2,822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Adjustments to reconcile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43"/>
        </w:trPr>
        <w:tc>
          <w:tcPr>
            <w:tcW w:w="8320" w:type="dxa"/>
            <w:vAlign w:val="bottom"/>
            <w:gridSpan w:val="2"/>
          </w:tcPr>
          <w:p>
            <w:pPr>
              <w:ind w:left="9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3,026</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Increase in restricted cash,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provided by (used in) investing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(Repayment) issuance of long-term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10,784</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Decrease in short-term borrowings,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9,377</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5,960</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Cash and cash equivalents of businesses held for sale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5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of continuing operations,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5,966</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Condensed Consolidated Financial Statements at June 30, 2013 and for the quarters and six months ended June 30, 2013 and 2012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(2012 Annual Report) incorporated by reference to our Annual Report on Form 10-K for calendar year 2012 (2012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first six months of 2013, our cash investment in business acquisitions was $66 million,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a number of small acquisitions, primarily in our commercial businesses.</w:t>
      </w:r>
    </w:p>
    <w:p>
      <w:pPr>
        <w:spacing w:after="0" w:line="166"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On May 17, 2013, we completed the sale of the Pratt &amp; Whitney Power Systems business to Mitsubishi Heavy Industries (MHI) and entered into a long-term engineering and manufacturing agreement with MHI. The sale generated a pre-tax gain of approximately $193 million ($132 million after tax). Cash received in connection with the sale was $432 million, excluding contingent consideration valued at approximately $200 million. Pratt &amp; Whitney Power Systems has not been reclassified to Discontinued Operations due to our level of continuing involvement in the business post-sale.</w:t>
      </w:r>
    </w:p>
    <w:p>
      <w:pPr>
        <w:spacing w:after="0" w:line="15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February 7, 2013, we completed the acquisition of Grupo Ascensores Enor, S.A. (Enor), a privately held company headquartered in Spain with operations in Spain and Portugal, which designs, manufactures, installs and services elevators. Enor's 2012 sales were approximately $50 million. Under the terms of the transaction, Zardoya Otis, S.A. (ZOSA), a non-wholly owned subsidiary of the Company, exchanged publicly traded shares of ZOSA with a fair value of approximately $240 million as of the transaction completion date for all of the shares of Enor.</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On July 26, 2012, UTC acquired Goodrich Corporation (Goodrich), a global supplier of systems and services to the aerospace and defense industry with 2011 sales of $8.1 billion. Goodrich products include aircraft nacelles and interior, actuation, landing and electronic systems. Under the terms of the agreement, Goodrich shareholders received $127.50 in cash for each share of Goodrich common stock they owned on July 26, 2012. This equated to a total enterprise value of $18.3 billion, including $1.9 billion in net debt assumed. The acquired Goodrich businesses were combined with the legacy Hamilton Sundstrand businesses to form the new UTC Aerospace Systems segment. The Goodrich acquisition and the formation of UTC Aerospace Systems provides increased scale, financial strength and complementary product offerings, allowing us to significantly strengthen our position in the aerospace and defense industry, create aftermarket efficiencies for our customers, accelerate our ability to drive innovation within the aerospace industry, and enhance our ability to support our customers with more integrated systems. This acquisition, coupled with our acquisition of an additional interest in IAE International Aero Engines AG (IAE), as discussed below, further advances UTC's strategy of focusing on our core businesses.</w:t>
      </w:r>
    </w:p>
    <w:p>
      <w:pPr>
        <w:spacing w:after="0" w:line="167"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To finance the cash consideration for the Goodrich acquisition and pay related fees, expenses and other amounts due and payable, we utilized the previously disclosed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under our April 24, 2012 term loan credit agreement. For the remainder of the cash consideration, we utilized approximately $0.5 billion of cash and cash equivalents generated from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 to Net Assets Acquired:</w:t>
      </w:r>
    </w:p>
    <w:p>
      <w:pPr>
        <w:spacing w:after="0" w:line="229"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The following amounts represent the final determination of the fair value of identifiable assets acquired and liabilities assumed from the Goodrich acquisition, through completion of the one year measurement period from the date of acquisition as required by the Financial Accounting Standards Board (FASB) Accounting Standards Codification (ASC) Topic 805, “Business Combinations” (ASC Topic 805). Measurement period adjustments were not significant and were not retroactively reclassified to prior periods.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0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31"/>
        </w:trPr>
        <w:tc>
          <w:tcPr>
            <w:tcW w:w="1006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Inventories and contracts in progress, net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Future income tax benefits, current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 current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2,209</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Customer relationships and related program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8,550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Trademarks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Future pension and postretirement benefit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Customer contractual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43"/>
        </w:trPr>
        <w:tc>
          <w:tcPr>
            <w:tcW w:w="40" w:type="dxa"/>
            <w:vAlign w:val="bottom"/>
          </w:tcPr>
          <w:p>
            <w:pPr>
              <w:spacing w:after="0"/>
              <w:rPr>
                <w:sz w:val="21"/>
                <w:szCs w:val="21"/>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40" w:type="dxa"/>
            <w:vAlign w:val="bottom"/>
          </w:tcPr>
          <w:p>
            <w:pPr>
              <w:spacing w:after="0"/>
              <w:rPr>
                <w:sz w:val="20"/>
                <w:szCs w:val="20"/>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Total identifiable net assets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11,580</w:t>
            </w:r>
          </w:p>
        </w:tc>
      </w:tr>
      <w:tr>
        <w:trPr>
          <w:trHeight w:val="257"/>
        </w:trPr>
        <w:tc>
          <w:tcPr>
            <w:tcW w:w="40" w:type="dxa"/>
            <w:vAlign w:val="bottom"/>
          </w:tcPr>
          <w:p>
            <w:pPr>
              <w:spacing w:after="0"/>
              <w:rPr>
                <w:sz w:val="22"/>
                <w:szCs w:val="22"/>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Total consideration transferred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16,420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In order to allocate the consideration transferred for Goodrich, the fair values of all identifiable assets and liabilities needed to be established. For accounting and financial reporting purposes, fair value is defined under FASB ASC Topic 820, “Fair Value Measurements and Disclosures” (ASC Topic 820)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Additionally, fair value measurements for an asset assume the highest and best use of that asset by market participants. Use of different estimates and judgments could yield different results.</w:t>
      </w:r>
    </w:p>
    <w:p>
      <w:pPr>
        <w:spacing w:after="0" w:line="18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determining the fair value of identifiable assets acquired and liabilities assumed, a review was conducted for any significant contingent assets or liabilities existing as of the acquisition date. As of June 30, 2013, no significant contingencies related to existing legal or government action have been identified which existed as of the opening balance sheet date. Based upon our existing practices and phase II environmental assessments done on a number of Goodrich sites, we have determined that environmental liability obligations of $325 million were assumed in connection with the Goodrich acquisition.</w:t>
      </w:r>
    </w:p>
    <w:p>
      <w:pPr>
        <w:spacing w:after="0" w:line="15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fair values of the customer relationships and related program intangible assets, which include the related aerospace program original equipment manufacturing (OEM) and aftermarket cash flows, were determined by using an “income approach” which is the most common valuation approach utilized.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 on a straight-line basis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(which approximates the economic pattern of benefits) over the estimated economic life of the underlying programs of 10 to 25 years.</w:t>
      </w:r>
    </w:p>
    <w:p>
      <w:pPr>
        <w:spacing w:after="0" w:line="225"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We also identified customer contractual obligations on certain OEM development programs where the expected costs exceed the expected revenue under contract. We measured these liabilities under the measurement provisions of ASC Topic 820, which is based on the price to transfer the obligation to a market participant at the measurement date, assuming that the liability will remain outstanding in the marketplace. Based on the estimated net cash outflows of the OEM developmental programs plus a reasonable contracting profit margin required to transfer the contracts to market participants, we recorded assumed liabilities of approximately $2.2 billion. These liabilities will be liquidated in accordance with the underlying economic pattern of obligations, as reflected by the net cash outflows incurred on the OEM developmental programs. Total consumption of the contractual obligation for the quarter and six months ended June 30, 2013 was approximately $71 million and $150 million, respectively. Total consumption of the contractual obligation is expected to be as follows: $134 million remaining in 2013, $286 million in 2014, $218 million in 2015, $239 million in 2016, $236 million in 2017 and $873 million thereafter.</w:t>
      </w:r>
    </w:p>
    <w:p>
      <w:pPr>
        <w:spacing w:after="0" w:line="19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Goodrich had not recorded an income tax liability on the unremitted earnings of its non-U.S. subsidiaries, which were approximately $853 million as of December 31, 2011. In connection with the Goodrich acquisition, UTC made a determination to repatriate certain of these unremitted earnings, making such amounts subject to both U.S. and non-U.S. income taxes. Accordingly, an income tax liability of $219 million was recorded in purchase accounting for the unremitted earnings no longer considered permanently reinvested.</w:t>
      </w:r>
    </w:p>
    <w:p>
      <w:pPr>
        <w:spacing w:after="0" w:line="187"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In 2010, Pratt &amp; Whitney entered into a preferred supplier contract with Goodrich for the development and subsequent production of nacelles for the PW1500G (Bombardier C Series) and PW1200G (Mitsubishi Regional Jet). That preferred supplier contract replaced previous contracts and preliminary Memorandum of Understandings entered into in 2006 and 2008. Under the 2010 agreement, Pratt &amp; Whitney agreed to fund Goodrich's non-recurring development effort and established a recurring price for the production nacelles. Prior to the date of the Goodrich acquisition, Pratt &amp; Whitney and Goodrich had asserted claims against each other in a contractual dispute and would have ultimately arbitrated the matter were it not for the acquisition. In accordance with ASC Topic 805, pre-existing relationships must be effectively settled at acquisition as the relationships become intercompany relationships upon acquisition and are eliminated in the post-combination financial statements. Any resulting settlement gains or losses should be measured at fair value and recorded on the acquisition date. Accordingly, a $46 million gain was recorded in other income by Pratt &amp; Whitney in the quarter ended September 30, 2012 based upon a third party determination of the probability-weighted outcome had the matter gone to arbitration. No additional gain or loss was recorded in connection with the settlement of these pre-existing relationships as we determined that the terms of these two contracts were consistent with other similar market transactions at the time of our acquisition of Goodrich.</w:t>
      </w:r>
    </w:p>
    <w:p>
      <w:pPr>
        <w:spacing w:after="0" w:line="18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Goodrich's pre-existing management continuity arrangements (MCAs), we assumed change-in-control obligations related to certain executives at Goodrich. We evaluated the change-in-control provisions governed by the MCAs and for certain of the executives, we determined that we had assumed liabilities of approximately $74 million as the benefit payments were effectively single trigger arrangements in substance. We measured the assumed liability based on fair value concepts of ASC Topic 820, using weighted average techniques of possible outcomes of the employees electing to receive such benefits. We expensed approximately $12 million in the quarter ended September 30, 2012 for MCAs where we amended the term of the MCAs beyond the original expiration date for certain executives. We incurred expense of approximately $9 million in connection with MCA payments made during the quarter ended June 30,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Data:</w:t>
      </w:r>
    </w:p>
    <w:p>
      <w:pPr>
        <w:spacing w:after="0" w:line="121" w:lineRule="exact"/>
        <w:rPr>
          <w:sz w:val="20"/>
          <w:szCs w:val="20"/>
          <w:color w:val="auto"/>
        </w:rPr>
      </w:pPr>
    </w:p>
    <w:p>
      <w:pPr>
        <w:ind w:firstLine="540"/>
        <w:spacing w:after="0" w:line="297" w:lineRule="auto"/>
        <w:rPr>
          <w:sz w:val="20"/>
          <w:szCs w:val="20"/>
          <w:color w:val="auto"/>
        </w:rPr>
      </w:pPr>
      <w:r>
        <w:rPr>
          <w:rFonts w:ascii="Arial" w:cs="Arial" w:eastAsia="Arial" w:hAnsi="Arial"/>
          <w:sz w:val="16"/>
          <w:szCs w:val="16"/>
          <w:color w:val="auto"/>
        </w:rPr>
        <w:t>Goodrich's results of operations have been included in UTC's financial statements for the periods subsequent to the completion of the acquisition on July 26, 2012. The following unaudited supplemental pro-forma data for the quarter and six months ended June 30, 2012 presents consolidated information as if the acquisition had been completed on January 1, 2011. There were no significant pro-forma adjustments required for the quarter and six months ended June 30, 2013. The pro-forma results were calculated by combining the results of UTC with the stand-alone results of Goodrich for the pre-acquisition periods, which were adjusted to account for certain costs which would have been incurred during this pre-acquisition period:</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50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 Ended June</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Six Months Ended June</w:t>
            </w:r>
          </w:p>
        </w:tc>
        <w:tc>
          <w:tcPr>
            <w:tcW w:w="0" w:type="dxa"/>
            <w:vAlign w:val="bottom"/>
          </w:tcPr>
          <w:p>
            <w:pPr>
              <w:spacing w:after="0"/>
              <w:rPr>
                <w:sz w:val="1"/>
                <w:szCs w:val="1"/>
                <w:color w:val="auto"/>
              </w:rPr>
            </w:pPr>
          </w:p>
        </w:tc>
      </w:tr>
      <w:tr>
        <w:trPr>
          <w:trHeight w:val="158"/>
        </w:trPr>
        <w:tc>
          <w:tcPr>
            <w:tcW w:w="5580" w:type="dxa"/>
            <w:vAlign w:val="bottom"/>
            <w:gridSpan w:val="3"/>
            <w:vMerge w:val="continue"/>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30, 2012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30, 2012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15,802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30,218</w:t>
            </w:r>
          </w:p>
        </w:tc>
        <w:tc>
          <w:tcPr>
            <w:tcW w:w="0" w:type="dxa"/>
            <w:vAlign w:val="bottom"/>
          </w:tcPr>
          <w:p>
            <w:pPr>
              <w:spacing w:after="0"/>
              <w:rPr>
                <w:sz w:val="1"/>
                <w:szCs w:val="1"/>
                <w:color w:val="auto"/>
              </w:rPr>
            </w:pPr>
          </w:p>
        </w:tc>
      </w:tr>
      <w:tr>
        <w:trPr>
          <w:trHeight w:val="243"/>
        </w:trPr>
        <w:tc>
          <w:tcPr>
            <w:tcW w:w="5580" w:type="dxa"/>
            <w:vAlign w:val="bottom"/>
            <w:gridSpan w:val="3"/>
          </w:tcPr>
          <w:p>
            <w:pPr>
              <w:ind w:left="20"/>
              <w:spacing w:after="0"/>
              <w:rPr>
                <w:sz w:val="20"/>
                <w:szCs w:val="20"/>
                <w:color w:val="auto"/>
              </w:rPr>
            </w:pPr>
            <w:r>
              <w:rPr>
                <w:rFonts w:ascii="Arial" w:cs="Arial" w:eastAsia="Arial" w:hAnsi="Arial"/>
                <w:sz w:val="18"/>
                <w:szCs w:val="18"/>
                <w:color w:val="auto"/>
                <w:w w:val="91"/>
              </w:rPr>
              <w:t>Net income attributable to common shareowners from continuing operations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Basic earnings per share of common stock from continuing operations</w:t>
            </w:r>
          </w:p>
        </w:tc>
        <w:tc>
          <w:tcPr>
            <w:tcW w:w="2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5580" w:type="dxa"/>
            <w:vAlign w:val="bottom"/>
            <w:gridSpan w:val="3"/>
          </w:tcPr>
          <w:p>
            <w:pPr>
              <w:ind w:left="20"/>
              <w:spacing w:after="0"/>
              <w:rPr>
                <w:sz w:val="20"/>
                <w:szCs w:val="20"/>
                <w:color w:val="auto"/>
              </w:rPr>
            </w:pPr>
            <w:r>
              <w:rPr>
                <w:rFonts w:ascii="Arial" w:cs="Arial" w:eastAsia="Arial" w:hAnsi="Arial"/>
                <w:sz w:val="18"/>
                <w:szCs w:val="18"/>
                <w:color w:val="auto"/>
                <w:w w:val="97"/>
              </w:rPr>
              <w:t>Diluted earnings per share of common stock from continuing operations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00" w:type="dxa"/>
            <w:vAlign w:val="bottom"/>
          </w:tcPr>
          <w:p>
            <w:pPr>
              <w:jc w:val="right"/>
              <w:ind w:right="227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2011, as adjusted for the applicable tax impact: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 Ended June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w:t>
            </w:r>
          </w:p>
        </w:tc>
        <w:tc>
          <w:tcPr>
            <w:tcW w:w="0" w:type="dxa"/>
            <w:vAlign w:val="bottom"/>
          </w:tcPr>
          <w:p>
            <w:pPr>
              <w:spacing w:after="0"/>
              <w:rPr>
                <w:sz w:val="1"/>
                <w:szCs w:val="1"/>
                <w:color w:val="auto"/>
              </w:rPr>
            </w:pPr>
          </w:p>
        </w:tc>
      </w:tr>
      <w:tr>
        <w:trPr>
          <w:trHeight w:val="158"/>
        </w:trPr>
        <w:tc>
          <w:tcPr>
            <w:tcW w:w="81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30, 2012</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30, 2012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acquired Goodrich intangible assets, net</w:t>
            </w:r>
            <w:r>
              <w:rPr>
                <w:rFonts w:ascii="Arial" w:cs="Arial" w:eastAsia="Arial" w:hAnsi="Arial"/>
                <w:sz w:val="25"/>
                <w:szCs w:val="25"/>
                <w:color w:val="auto"/>
                <w:vertAlign w:val="superscript"/>
              </w:rPr>
              <w:t>1</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61"/>
        </w:trPr>
        <w:tc>
          <w:tcPr>
            <w:tcW w:w="4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68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vMerge w:val="continue"/>
            <w:shd w:val="clear" w:color="auto" w:fill="CCEEFF"/>
          </w:tcPr>
          <w:p>
            <w:pPr>
              <w:spacing w:after="0"/>
              <w:rPr>
                <w:sz w:val="5"/>
                <w:szCs w:val="5"/>
                <w:color w:val="auto"/>
              </w:rPr>
            </w:pPr>
          </w:p>
        </w:tc>
        <w:tc>
          <w:tcPr>
            <w:tcW w:w="12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12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Utilization of contractual customer obligation</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UTC/Goodrich fees for advisory, legal, accounting services</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41"/>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Interest expense incurred on acquisition financing, net</w:t>
            </w:r>
            <w:r>
              <w:rPr>
                <w:rFonts w:ascii="Arial" w:cs="Arial" w:eastAsia="Arial" w:hAnsi="Arial"/>
                <w:sz w:val="25"/>
                <w:szCs w:val="25"/>
                <w:color w:val="auto"/>
                <w:vertAlign w:val="superscript"/>
              </w:rPr>
              <w:t>4</w:t>
            </w:r>
          </w:p>
        </w:tc>
        <w:tc>
          <w:tcPr>
            <w:tcW w:w="3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right="600" w:hanging="161"/>
        <w:spacing w:after="0" w:line="277" w:lineRule="auto"/>
        <w:rPr>
          <w:sz w:val="20"/>
          <w:szCs w:val="20"/>
          <w:color w:val="auto"/>
        </w:rPr>
      </w:pPr>
      <w:r>
        <w:rPr>
          <w:rFonts w:ascii="Arial" w:cs="Arial" w:eastAsia="Arial" w:hAnsi="Arial"/>
          <w:sz w:val="18"/>
          <w:szCs w:val="18"/>
          <w:color w:val="auto"/>
        </w:rPr>
        <w:t>1 Added the additional amortization of the acquired Goodrich intangible assets recognized at fair value in purchase accounting and eliminated the historical Goodrich intangible asset amortization expense.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Added the additional utilization of the Goodrich contractual customer obligation recognized in purchase accounting.</w:t>
      </w:r>
    </w:p>
    <w:p>
      <w:pPr>
        <w:spacing w:after="0" w:line="63" w:lineRule="exact"/>
        <w:rPr>
          <w:sz w:val="20"/>
          <w:szCs w:val="20"/>
          <w:color w:val="auto"/>
        </w:rPr>
      </w:pPr>
    </w:p>
    <w:p>
      <w:pPr>
        <w:ind w:left="500" w:right="140" w:hanging="161"/>
        <w:spacing w:after="0" w:line="277" w:lineRule="auto"/>
        <w:rPr>
          <w:sz w:val="20"/>
          <w:szCs w:val="20"/>
          <w:color w:val="auto"/>
        </w:rPr>
      </w:pPr>
      <w:r>
        <w:rPr>
          <w:rFonts w:ascii="Arial" w:cs="Arial" w:eastAsia="Arial" w:hAnsi="Arial"/>
          <w:sz w:val="18"/>
          <w:szCs w:val="18"/>
          <w:color w:val="auto"/>
        </w:rPr>
        <w:t>3 Removed the UTC/Goodrich fees that were incurred in connection with the acquisition of Goodrich from the first quarter and six months of 2012, and considered those fees as incurred during the corresponding periods of 2011.</w:t>
      </w:r>
    </w:p>
    <w:p>
      <w:pPr>
        <w:spacing w:after="0" w:line="8" w:lineRule="exact"/>
        <w:rPr>
          <w:sz w:val="20"/>
          <w:szCs w:val="20"/>
          <w:color w:val="auto"/>
        </w:rPr>
      </w:pPr>
    </w:p>
    <w:p>
      <w:pPr>
        <w:ind w:left="500" w:right="80" w:hanging="161"/>
        <w:spacing w:after="0" w:line="277" w:lineRule="auto"/>
        <w:rPr>
          <w:sz w:val="20"/>
          <w:szCs w:val="20"/>
          <w:color w:val="auto"/>
        </w:rPr>
      </w:pPr>
      <w:r>
        <w:rPr>
          <w:rFonts w:ascii="Arial" w:cs="Arial" w:eastAsia="Arial" w:hAnsi="Arial"/>
          <w:sz w:val="18"/>
          <w:szCs w:val="18"/>
          <w:color w:val="auto"/>
        </w:rPr>
        <w:t>4 Added the additional interest expense for the indebtedness we incurred to finance the acquisition of Goodrich and reduced interest expense for the debt fair value adjustment which would have been amortized.</w:t>
      </w:r>
    </w:p>
    <w:p>
      <w:pPr>
        <w:spacing w:after="0" w:line="130"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relating to the integration of the two companies. Further, the pro-forma data should not be considered indicative of the results that would have occurred if the acquisition and related financing had been consummated on January 1, 2011, nor are they indicative of future results.</w:t>
      </w:r>
    </w:p>
    <w:p>
      <w:pPr>
        <w:spacing w:after="0" w:line="141" w:lineRule="exact"/>
        <w:rPr>
          <w:sz w:val="20"/>
          <w:szCs w:val="20"/>
          <w:color w:val="auto"/>
        </w:rPr>
      </w:pPr>
    </w:p>
    <w:p>
      <w:pPr>
        <w:ind w:right="120" w:firstLine="540"/>
        <w:spacing w:after="0" w:line="276" w:lineRule="auto"/>
        <w:rPr>
          <w:sz w:val="20"/>
          <w:szCs w:val="20"/>
          <w:color w:val="auto"/>
        </w:rPr>
      </w:pPr>
      <w:r>
        <w:rPr>
          <w:rFonts w:ascii="Arial" w:cs="Arial" w:eastAsia="Arial" w:hAnsi="Arial"/>
          <w:sz w:val="17"/>
          <w:szCs w:val="17"/>
          <w:color w:val="auto"/>
        </w:rPr>
        <w:t>In connection with regulatory approval of UTC's acquisition of Goodrich, regulatory authorities required UTC to dispose of the Goodrich electric power systems and the Goodrich pumps and engine controls businesses. Pursuant to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132"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Cash generated from these divestitures is being used to repay debt incurred to finance the acquisition of Goodrich. See Note 2 for further discussion.</w:t>
      </w:r>
    </w:p>
    <w:p>
      <w:pPr>
        <w:spacing w:after="0" w:line="130" w:lineRule="exact"/>
        <w:rPr>
          <w:sz w:val="20"/>
          <w:szCs w:val="20"/>
          <w:color w:val="auto"/>
        </w:rPr>
      </w:pPr>
    </w:p>
    <w:p>
      <w:pPr>
        <w:ind w:right="20" w:firstLine="540"/>
        <w:spacing w:after="0" w:line="268" w:lineRule="auto"/>
        <w:rPr>
          <w:sz w:val="20"/>
          <w:szCs w:val="20"/>
          <w:color w:val="auto"/>
        </w:rPr>
      </w:pPr>
      <w:r>
        <w:rPr>
          <w:rFonts w:ascii="Arial" w:cs="Arial" w:eastAsia="Arial" w:hAnsi="Arial"/>
          <w:sz w:val="17"/>
          <w:szCs w:val="17"/>
          <w:color w:val="auto"/>
        </w:rPr>
        <w:t>On June 29, 2012, Pratt &amp; Whitney, Rolls Royce plc (Rolls-Royce), MTU Aero Engines AG (MTU), and Japanese Aero Engines Corporation (JAEC), participants in the IAE collaboration, completed a restructuring of their interests in IAE. Under the terms of the agreement, Rolls-Royce sold its ownership and collaboration interests in IAE to Pratt &amp; Whitney, while also entering into an agreement to license its V2500 intellectual property to Pratt &amp; Whitney. In exchange for the increased ownership and collaboration interests and intellectual property license, Pratt &amp; Whitney paid Rolls-Royce $1.5 billion at closing with additional payments due to Rolls-Royce during the fifteen year period following closing of the purchase, conditional upon each hour flown by V2500-powered aircraft in service at the closing. The collaboration interest and intellectual property licenses are reflected as intangible assets and will be amortized in relation to the economic benefits received over the remaining estimated 30 year life of the V2500 program. As a result of these transactions, Pratt &amp; Whitney holds a 61% net interest in the collaboration and a 49.5% ownership interest in IAE.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we have determined that IAE is a variable interest entity, and Pratt &amp; Whitney its primary beneficiary under the criteria established in the FASB ASC Topic 810 “Consolidations” and has, therefore, been consolidated. The carrying amounts and classification of assets and liabilities for IAE in our Consolidated Balance Sheet as of June 30, 2013 are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0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55"/>
        </w:trPr>
        <w:tc>
          <w:tcPr>
            <w:tcW w:w="1006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Noncurrent assets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961</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1006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1,678</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r>
      <w:tr>
        <w:trPr>
          <w:trHeight w:val="237"/>
        </w:trPr>
        <w:tc>
          <w:tcPr>
            <w:tcW w:w="40" w:type="dxa"/>
            <w:vAlign w:val="bottom"/>
          </w:tcPr>
          <w:p>
            <w:pPr>
              <w:spacing w:after="0"/>
              <w:rPr>
                <w:sz w:val="20"/>
                <w:szCs w:val="20"/>
                <w:color w:val="auto"/>
              </w:rPr>
            </w:pPr>
          </w:p>
        </w:tc>
        <w:tc>
          <w:tcPr>
            <w:tcW w:w="1002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2013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Goodwill</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Balance as of</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resulting from</w:t>
            </w:r>
          </w:p>
        </w:tc>
        <w:tc>
          <w:tcPr>
            <w:tcW w:w="1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7"/>
              </w:rPr>
              <w:t>Balance as of</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business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January 1, 2013</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combinations</w:t>
            </w:r>
          </w:p>
        </w:tc>
        <w:tc>
          <w:tcPr>
            <w:tcW w:w="14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translation and other</w:t>
            </w:r>
          </w:p>
        </w:tc>
        <w:tc>
          <w:tcPr>
            <w:tcW w:w="180" w:type="dxa"/>
            <w:vAlign w:val="bottom"/>
          </w:tcPr>
          <w:p>
            <w:pPr>
              <w:spacing w:after="0"/>
              <w:rPr>
                <w:sz w:val="13"/>
                <w:szCs w:val="13"/>
                <w:color w:val="auto"/>
              </w:rPr>
            </w:pPr>
          </w:p>
        </w:tc>
        <w:tc>
          <w:tcPr>
            <w:tcW w:w="118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w w:val="98"/>
              </w:rPr>
              <w:t>June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27,796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customer relationships intangible assets include payments made to our customers to secure certain contractual rights and are being amortized on a straight-line basis, as it approximates the underlying economic pattern of benefits. In accordance with the FASB ASC Topic 605, “Customer Payments and Incentives,” we classify amortization of such payments as a reduction of sales. The IAE collaboration intangible asset is being amortized based upon the economic pattern of benefits as represented by the underlying cash flows. As these cash flows have been negative to date, no amortization has yet been recorded. Amortization of intangible assets for the quarter and six months ended June 30, 2013 was $176 million and $351 million respectively, compared with $96 million and $195 million for the same periods of 2012. The following is the expected amortization of intangible assets for the years 2013 through 2018:</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2013</w:t>
            </w:r>
          </w:p>
        </w:tc>
        <w:tc>
          <w:tcPr>
            <w:tcW w:w="240" w:type="dxa"/>
            <w:vAlign w:val="bottom"/>
          </w:tcPr>
          <w:p>
            <w:pPr>
              <w:spacing w:after="0"/>
              <w:rPr>
                <w:sz w:val="14"/>
                <w:szCs w:val="14"/>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9"/>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3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0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which were completed with the sale of Pratt &amp; Whitney Rocketdyne (Rocketdyne), as discussed below. Cash generated from these divestitures has been used to repay debt incurred to finance the Goodrich acquisition.</w:t>
      </w:r>
    </w:p>
    <w:p>
      <w:pPr>
        <w:spacing w:after="0" w:line="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June 14, 2013, we completed the sale of substantially all operations of Rocketdyne to GenCorp Inc. The sale generated a pre-tax loss of approximately $17 million ($10 million after tax) which has been included in discontinued operations in the Condensed Consolidated Statement of Comprehensive Income. We had previously recorded pre-tax goodwill impairment charges of approximately $360 million ($220 million after tax) during the six months ended June 30, 2012 related to Rocketdyne.</w:t>
      </w:r>
    </w:p>
    <w:p>
      <w:pPr>
        <w:spacing w:after="0" w:line="24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On February 12, 2013, we completed the disposition of UTC Power to ClearEdge Power. The disposition resulted in payments by UTC totaling $48 million, which included capitalization of the business prior to the sale and interim funding of operations as the buyer took control of a loss generating business. We have no continuing involvement with the UTC Power business post disposition.</w:t>
      </w:r>
    </w:p>
    <w:p>
      <w:pPr>
        <w:spacing w:after="0" w:line="12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legacy Hamilton Sundstrand Industrial businesses, as well as Clipper Windpower (Clipper), Rocketdyne and UTC Power all met the "held-for-sale" criteria in 2012. The results of operations, including the net realized gains and losses on disposition, and the related cash flows which result from these non-core businesses, have been reclassified to Discontinued Operations in our Condensed Consolidated Statements of Comprehensive Income and Cash Flows. The dispositions of Clipper and the legacy Hamilton Sundstrand Industrial businesses were completed in 2012.</w:t>
      </w:r>
    </w:p>
    <w:p>
      <w:pPr>
        <w:spacing w:after="0" w:line="117"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following summarized financial information for our discontinued operations businesses, up to the point of sale, has been segregated from continuing operations and reported as Discontinued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1,086</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Income (loss) from operations, net of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Loss on disposal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 w:type="dxa"/>
            <w:vAlign w:val="bottom"/>
          </w:tcPr>
          <w:p>
            <w:pPr>
              <w:spacing w:after="0"/>
              <w:rPr>
                <w:sz w:val="22"/>
                <w:szCs w:val="22"/>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(loss) on discontinued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Income (loss) from operations of discontinued operations for the quarter and six months ended June 30, 2012 includes pre-tax impairment charges of approximately $179 million and $1,135 million, respectively. These amounts were previously included in loss on disposal of discontinued operations and have been reclassified for consistency of presentation.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901.0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awards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of Common Stock - Basic:</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(Loss) Per Share of Common Stock -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ended June 30, 2013 there were no anti-dilutive stock awards excluded from the computation. For the quarter ended June 30, 2012, there were 6.2 million anti-dilutive stock awards excluded from the computation. For the six months ended June 30, 2013 and 2012 there were no anti-dilutive stock awards excluded from the computation. There was no impact on diluted earnings per share due to our equity unit offering in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June 30, 2013 and December 31, 2012, inventories include capitalized contract development costs of $837 million and $823 million, respectively, related to certain aerospace programs. These capitalized costs are liquidated as production units are delivered to the customer. The capitalized contract development costs within inventories principally relate to costs capitalized on Sikorsky’s CH-148 contract with the Canadian Government. The CH-148 is a derivative of the H-92, a military variant of the S-92.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96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At June 30, 2013, we had revolving credit agreements with various banks permitting aggregate borrowings of up to $4 billion pursuant to a $2 billion revolving credit agreement and a $2 billion multicurrency revolving credit agreement, both of which expire in November 2016. As of June 30, 2013, there were no borrowings under either of these revolving credit agreements. The undrawn portions of these revolving credit agreements are also available to serve as backup facilities for the issuance of commercial paper. As of June 30, 2013, our maximum commercial paper borrowing authority as set by our Board of Directors was $4 billion. We use our commercial paper borrowings for general corporate purposes, including the funding of potential acquisitions, debt refinancing, and repurchases of our common stock.</w:t>
      </w:r>
    </w:p>
    <w:p>
      <w:pPr>
        <w:spacing w:after="0" w:line="19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May 7, 2013, we commenced cash tender offers for two series of outstanding notes issued by Goodrich and the 1.200% Senior Notes issued by UTC. These offers expired on June 4, 2013. Holders validly tendering their notes by May 21, 2013 received consideration determined by reference to a fixed spread over the yield to maturity of the applicable U.S. Treasury security with the same maturity as the note being tendered, plus an early tender payment of $50 per $1,000 principal amount of notes accepted for purchase. Holders validly tendering their notes after May 21, 2013 but prior to June 4, 2013 received consideration determined by reference to a fixed spread over the yield to maturity of the applicable U.S. Treasury security with the same maturity as the notes being tendered. A total of $874 million principal amount of all notes subject to the tender offers, and $36 million of the fair value adjustment related to the notes assumed in the Goodrich acquisition, were repaid, including approximately $103 million principal amount of the 2016 Goodrich 6.290% notes, approximately $98 million principal amount of the 2019 Goodrich 6.125% notes, and approximately $674 million principal amount of the 2015 UTC Senior Notes. An extinguishment loss of approximately $18 million was recognized within Interest expense, net in the accompanying Condensed Consolidated Statements of Comprehensive Income.</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June 24, 2013, we redeemed all remaining outstanding 1.200% Senior Notes due 2015, representing $327 million in aggregate principal, under our redemption notice issued on May 24, 2013. An extinguishment loss of approximately $6 million was recognized within Interest expense, net in the accompanying Condensed Consolidated Statements of Comprehensive Income.</w:t>
      </w:r>
    </w:p>
    <w:p>
      <w:pPr>
        <w:spacing w:after="0" w:line="181"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On July 24, 2013, we called for redemption of all outstanding 6.125% notes due March 1, 2019 issued by Goodrich, representing approximately $202 million in aggregate principal, to be redeemed in August 2013. These Goodrich notes are being refinanced to achieve future interest savings.</w:t>
      </w:r>
    </w:p>
    <w:p>
      <w:pPr>
        <w:spacing w:after="0" w:line="14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previously disclosed, on December 6, 2012, we announced that we had commenced cash tender offers for six series of outstanding notes issued by Goodrich. These offers expired on January 7, 2013. Approximately $637 million in aggregate principal amount of notes subject to the tender offers and $126 million of the fair value adjustment were repaid, with $635 million in aggregate principal amount being eligible for the early tender premium and approximately $2 million in aggregate principal amount being paid on January 8, 2013. An extinguishment loss of approximately $26 million was recognized within Interest expense, net during 2012.</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58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line="20" w:lineRule="exact"/>
              <w:rPr>
                <w:sz w:val="1"/>
                <w:szCs w:val="1"/>
                <w:color w:val="auto"/>
              </w:rPr>
            </w:pPr>
          </w:p>
        </w:tc>
      </w:tr>
      <w:tr>
        <w:trPr>
          <w:trHeight w:val="538"/>
        </w:trPr>
        <w:tc>
          <w:tcPr>
            <w:tcW w:w="85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5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58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0.270% floating rate notes due 2013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1.200% notes due 2015*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4.875% notes due 2015*</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6.290% notes due 2016</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5.375% notes due 2017*</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1.800% notes due 2017*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6.125% notes due 2019</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6.125% notes due 2019*</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4.500% notes due 2020*</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3.600% notes due 2021</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3.100% notes due 2022*</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7.500% notes due 2029*</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5.400% notes due 2035*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6.050% notes due 2036*</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6.125% notes due 2038*</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5.700% notes due 2040*</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4.500% notes due 2042*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Project financing obligations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(including capitalized leases and discounts)</w:t>
            </w:r>
            <w:r>
              <w:rPr>
                <w:rFonts w:ascii="Arial" w:cs="Arial" w:eastAsia="Arial" w:hAnsi="Arial"/>
                <w:sz w:val="25"/>
                <w:szCs w:val="25"/>
                <w:color w:val="auto"/>
                <w:vertAlign w:val="superscript"/>
              </w:rPr>
              <w:t>‡</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Total principal long-term debt</w:t>
            </w: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Other (fair market value adjustment)</w:t>
            </w:r>
            <w:r>
              <w:rPr>
                <w:rFonts w:ascii="Arial" w:cs="Arial" w:eastAsia="Arial" w:hAnsi="Arial"/>
                <w:sz w:val="25"/>
                <w:szCs w:val="25"/>
                <w:color w:val="auto"/>
                <w:vertAlign w:val="superscript"/>
              </w:rPr>
              <w:t>‡</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22,718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57"/>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20,375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60" w:right="100" w:hanging="652"/>
        <w:spacing w:after="0" w:line="27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36" w:lineRule="exact"/>
        <w:rPr>
          <w:sz w:val="20"/>
          <w:szCs w:val="20"/>
          <w:color w:val="auto"/>
        </w:rPr>
      </w:pPr>
    </w:p>
    <w:p>
      <w:pPr>
        <w:ind w:left="660" w:right="120" w:hanging="652"/>
        <w:spacing w:after="0" w:line="255" w:lineRule="auto"/>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5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660" w:hanging="652"/>
        <w:spacing w:after="0" w:line="22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June 30, 2013 was approximately 0.3%.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2000.</w:t>
      </w:r>
    </w:p>
    <w:p>
      <w:pPr>
        <w:spacing w:after="0" w:line="188"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78"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It is reasonably possible that over the next twelve months the amount of unrecognized tax benefits may change within a range of a net increase of $30 million to a net decrease of $450 million as a result of additional worldwide uncertain tax positions, the revaluation of current uncertain tax positions arising from developments in examinations, in appeals or in the courts, or the closure of tax statutes. A portion of this net change may impact the Company's income tax expense. Not included in the range is €237 million (approximately $310 million) of tax benefits related to certain deductions claimed in France for tax years 2008 through 2011 that the French Revenue Authority has proposed to disallow. This amount includes a €61 million adjustment for tax year 2011 proposed during the quarter ended June 30, 2013. This is a recurring issue and it is expected that similar challenges will be raised in subsequent tax years until the issue is resolved. Resolution discussions with the French Revenue Authority on this matter have been unsuccessful to date and UTC may be required to pursue the defense of the issue through litigation, which could be commenced within the next twelve months. UTC intends to assert a vigorous defense and believes it should prevail on the issue. Accordingly, no tax expense has been accrued for this matter. Also, not included in the range is €203 million (approximately $266 million) of tax benefits that we have claimed related to a 1998 German reorganization. A portion of these tax benefits was denied by the German Tax Office on July 5, 2012, as a result of the audit of tax years 1999 to 2000. On August 3, 2012, the Company filed suit in the German Tax Court and expects to litigate this case.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UTC tax years 2006 through 2008 are currently before the Appeals Division of the IRS (IRS Appeals) for resolution discussions regarding certain proposed adjustments with which UTC does not agree and are currently expected to continue into 2014. Tax years 2009 and 2010 are under review by the Examination Division of the IRS (IRS Examination), which is expected to continue into 2014. During the quarter ended June 30, 2013, the Company recognized a settlement gain of approximately $34 million for interest relating to the closure of IRS audits of UTC through 2005. This gain includes cash and non-cash components in the amounts of approximately $10 million and $24 million, respectively.</w:t>
      </w:r>
    </w:p>
    <w:p>
      <w:pPr>
        <w:spacing w:after="0" w:line="188"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Company is currently engaged in litigation regarding the proper timing of certain deductions taken by Goodrich in its tax years 2001 and 2002, prior to its acquisition by UTC, which is expected to continue through 2013. The Company is also engaged in litigation with respect to a separate issue involving the proper timing of deductions taken by Goodrich Corporation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its tax years 2005 and 2006, prior to its acquisition by UTC, which is currently expected to continue into 2014. This is a recurring issue and it is expected that the IRS will continue to challenge it in subsequent tax years, potentially including post-acquisition years, until the issue is resolved. Goodrich pre-acquisition tax years 2007 and 2008 are currently before IRS Appeals for resolution discussions regarding certain disputed proposed adjustments, including the recurring timing issue described above, and are currently expected to continue into 2014. During the quarter, the IRS completed examination activity of Goodrich pre-acquisition tax years 2009 and 2010 and transferred the case to IRS Appeals for resolution discussions regarding certain proposed adjustments with which the Company does not agree, including the recurring timing issue described above. The completion of 2009 and 2010 examination activity resulted in a non-cash settlement gain of approximately $24 million, including $2 million of interest, during the quarter ended June 30, 2013.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As part of our acquisition of Goodrich on July 26, 2012, we assumed approximately $1.5 billion of pension and postretirement benefit plan obligations. Contributions to our plans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gridSpan w:val="3"/>
            <w:vMerge w:val="continue"/>
          </w:tcPr>
          <w:p>
            <w:pPr>
              <w:spacing w:after="0"/>
              <w:rPr>
                <w:sz w:val="19"/>
                <w:szCs w:val="19"/>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to our domestic defined benefit pension plans in the first six months of 2013 and 2012.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center"/>
              <w:ind w:left="437"/>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84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r>
      <w:tr>
        <w:trPr>
          <w:trHeight w:val="593"/>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Net settlements and curtailment gains for pension benefits include curtailment gains of approximately $19 million and $24 million related to, and recorded in, discontinued operations for the quarter and six months ended June 30,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respectively. Net settlements and curtailment losses for pension benefits include curtailment losses of approximately $3 million and $24 million related to, and recorded in, discontinued operations for the quarter and six months ended June 30,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six months ended June 30, 2013, we recorded net pre-tax restructuring costs totaling $240 million for new and ongoing restructuring actions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net costs included $101 million recorded in cost of sales, $140 million in selling, general and administrative expenses, $1 million in other income, net, and ($2) million in discontinued operations. As described below, these costs primarily relate to actions initiated during 2013 and 2012.</w:t>
      </w:r>
    </w:p>
    <w:p>
      <w:pPr>
        <w:spacing w:after="0" w:line="143"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During the six months ended June 30, 2013,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field operations. We recorded net pre-tax restructuring costs totaling $202 million, including $68 million in cost of sales and $134 million in selling, general and administrative expenses.</w:t>
      </w:r>
    </w:p>
    <w:p>
      <w:pPr>
        <w:spacing w:after="0" w:line="18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expect the actions initiated in the six months ended June 30, 2013 to result in net workforce reductions of approximately 2,400 hourly and salaried employees, the exiting of approximately 400 thousand net square feet of facilities and the disposal of assets associated with exited facilities. As of June 30, 2013, we have completed net workforce reductions of approximately 700 employees. We are targeting the majority of the remaining workforce and all facility related cost reduction actions for completion during 2013 and 2014. No specific plans for significant other actions have been finalized at this time.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accrual balances and utilization by cost type for the 2013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March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June 30,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 quarter ended March 31, 2013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incurred - quarter ended June 30, 2013</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June 30,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segment: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2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Costs incurred</w:t>
            </w: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24"/>
                <w:szCs w:val="2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5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Quarter ended June</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gridSpan w:val="4"/>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March 31, 2013</w:t>
            </w:r>
          </w:p>
        </w:tc>
        <w:tc>
          <w:tcPr>
            <w:tcW w:w="160" w:type="dxa"/>
            <w:vAlign w:val="bottom"/>
          </w:tcPr>
          <w:p>
            <w:pPr>
              <w:spacing w:after="0"/>
              <w:rPr>
                <w:sz w:val="13"/>
                <w:szCs w:val="13"/>
                <w:color w:val="auto"/>
              </w:rPr>
            </w:pPr>
          </w:p>
        </w:tc>
        <w:tc>
          <w:tcPr>
            <w:tcW w:w="120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1"/>
              </w:rPr>
              <w:t>30, 2013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 xml:space="preserve">2012 Actions. </w:t>
      </w:r>
      <w:r>
        <w:rPr>
          <w:rFonts w:ascii="Arial" w:cs="Arial" w:eastAsia="Arial" w:hAnsi="Arial"/>
          <w:sz w:val="17"/>
          <w:szCs w:val="17"/>
          <w:color w:val="auto"/>
        </w:rPr>
        <w:t>During the six months ended June 30, 2013, we recorded net pre-tax restructuring costs totaling $38 million for restructuring actions initiated</w:t>
      </w:r>
      <w:r>
        <w:rPr>
          <w:rFonts w:ascii="Arial" w:cs="Arial" w:eastAsia="Arial" w:hAnsi="Arial"/>
          <w:sz w:val="17"/>
          <w:szCs w:val="17"/>
          <w:b w:val="1"/>
          <w:bCs w:val="1"/>
          <w:color w:val="auto"/>
        </w:rPr>
        <w:t xml:space="preserve"> </w:t>
      </w:r>
      <w:r>
        <w:rPr>
          <w:rFonts w:ascii="Arial" w:cs="Arial" w:eastAsia="Arial" w:hAnsi="Arial"/>
          <w:sz w:val="17"/>
          <w:szCs w:val="17"/>
          <w:color w:val="auto"/>
        </w:rPr>
        <w:t>in 2012, including $31 million in cost of sales, $6 million in selling, general and administrative expenses, and $1 million in other income, net. The 2012 actions relate to ongoing cost reduction efforts, including workforce reductions and the consolidation of field operations.</w:t>
      </w:r>
    </w:p>
    <w:p>
      <w:pPr>
        <w:spacing w:after="0" w:line="16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As of June 30, 2013, we have completed net workforce reductions of approximately 5,900 employees of an expected 7,100 employees, and have exited approximately 1.4 million net square feet of facilities of an expected 3 million net square feet. We are targeting the majority of the remaining workforce and facility related cost reduction actions for completion during 2013 and 2014.</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accrual balances and utilization by cost type for the 2012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March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Balance at June 30,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through December 31, 2012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incurred - quarter ended March 31, 2013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Costs incurred - quarter ended June 30, 2013</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color w:val="auto"/>
              </w:rPr>
              <w:t>Balance at June 30, 2013</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segment: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78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Costs incurred</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24"/>
                <w:szCs w:val="2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37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through</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80" w:type="dxa"/>
            <w:vAlign w:val="bottom"/>
            <w:gridSpan w:val="4"/>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December 31, 2012</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March 31, 2013</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June 30, 2013</w:t>
            </w:r>
          </w:p>
        </w:tc>
        <w:tc>
          <w:tcPr>
            <w:tcW w:w="140" w:type="dxa"/>
            <w:vAlign w:val="bottom"/>
          </w:tcPr>
          <w:p>
            <w:pPr>
              <w:spacing w:after="0"/>
              <w:rPr>
                <w:sz w:val="13"/>
                <w:szCs w:val="13"/>
                <w:color w:val="auto"/>
              </w:rPr>
            </w:pPr>
          </w:p>
        </w:tc>
        <w:tc>
          <w:tcPr>
            <w:tcW w:w="134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Eliminations and other</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657</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As of June 30, 2013, we have approximately $17 million of accrual balances remaining related to 2011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Foreign Currency Forward Contracts. </w:t>
      </w:r>
      <w:r>
        <w:rPr>
          <w:rFonts w:ascii="Arial" w:cs="Arial" w:eastAsia="Arial" w:hAnsi="Arial"/>
          <w:sz w:val="17"/>
          <w:szCs w:val="17"/>
          <w:color w:val="auto"/>
        </w:rPr>
        <w:t>We manage our foreign currency transaction risks to acceptable limits through the use of derivatives that hedge</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7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$12.5 billion and $11.8 billion at June 30, 2013 and December 31, 2012, respectively.</w:t>
      </w:r>
    </w:p>
    <w:p>
      <w:pPr>
        <w:spacing w:after="0" w:line="1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enter into transactions that are subject to arrangements designed to provide for netting of offsetting obligations in the event of the insolvency or default of a counterparty. However, we have not elected to offset multiple contracts with a single counterparty and, as a result, the fair value of the derivative instruments in a loss position is not offset against the fair value of derivative instruments in a gain position.</w:t>
      </w:r>
    </w:p>
    <w:p>
      <w:pPr>
        <w:spacing w:after="0" w:line="7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June 30, 2013 and December 31, 2012 which consist solely of foreign exchange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Derivatives</w:t>
            </w:r>
          </w:p>
        </w:tc>
        <w:tc>
          <w:tcPr>
            <w:tcW w:w="160" w:type="dxa"/>
            <w:vAlign w:val="bottom"/>
          </w:tcPr>
          <w:p>
            <w:pPr>
              <w:spacing w:after="0"/>
              <w:rPr>
                <w:sz w:val="13"/>
                <w:szCs w:val="13"/>
                <w:color w:val="auto"/>
              </w:rPr>
            </w:pPr>
          </w:p>
        </w:tc>
        <w:tc>
          <w:tcPr>
            <w:tcW w:w="12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3"/>
              </w:rPr>
              <w:t>Derivatives not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Derivatives</w:t>
            </w:r>
          </w:p>
        </w:tc>
        <w:tc>
          <w:tcPr>
            <w:tcW w:w="160" w:type="dxa"/>
            <w:vAlign w:val="bottom"/>
          </w:tcPr>
          <w:p>
            <w:pPr>
              <w:spacing w:after="0"/>
              <w:rPr>
                <w:sz w:val="13"/>
                <w:szCs w:val="13"/>
                <w:color w:val="auto"/>
              </w:rPr>
            </w:pPr>
          </w:p>
        </w:tc>
        <w:tc>
          <w:tcPr>
            <w:tcW w:w="120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Derivatives not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designated</w:t>
            </w: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designated 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designated</w:t>
            </w: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designated as</w:t>
            </w: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as hedging</w:t>
            </w:r>
          </w:p>
        </w:tc>
        <w:tc>
          <w:tcPr>
            <w:tcW w:w="16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as hedging</w:t>
            </w:r>
          </w:p>
        </w:tc>
        <w:tc>
          <w:tcPr>
            <w:tcW w:w="160" w:type="dxa"/>
            <w:vAlign w:val="bottom"/>
          </w:tcPr>
          <w:p>
            <w:pPr>
              <w:spacing w:after="0"/>
              <w:rPr>
                <w:sz w:val="12"/>
                <w:szCs w:val="12"/>
                <w:color w:val="auto"/>
              </w:rPr>
            </w:pPr>
          </w:p>
        </w:tc>
        <w:tc>
          <w:tcPr>
            <w:tcW w:w="12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hedging</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20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20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89"/>
              </w:rPr>
              <w:t>instruments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Sheet Asset Locations: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Other assets,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 Derivative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Balance Sheet Liability Locations:</w:t>
            </w: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Total Liability Derivative Contracts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Quarter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recorded in Accumulated other comprehensive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93"/>
              </w:rPr>
              <w:t>Loss reclassified from Accumulated other comprehensive loss into Product</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20" w:type="dxa"/>
            <w:vAlign w:val="bottom"/>
            <w:gridSpan w:val="3"/>
            <w:vMerge w:val="continue"/>
          </w:tcPr>
          <w:p>
            <w:pPr>
              <w:spacing w:after="0"/>
              <w:rPr>
                <w:sz w:val="15"/>
                <w:szCs w:val="15"/>
                <w:color w:val="auto"/>
              </w:rPr>
            </w:pPr>
          </w:p>
        </w:tc>
        <w:tc>
          <w:tcPr>
            <w:tcW w:w="940" w:type="dxa"/>
            <w:vAlign w:val="bottom"/>
            <w:vMerge w:val="restart"/>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860" w:type="dxa"/>
            <w:vAlign w:val="bottom"/>
            <w:vMerge w:val="restart"/>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sales (effective portion)</w:t>
            </w:r>
          </w:p>
        </w:tc>
        <w:tc>
          <w:tcPr>
            <w:tcW w:w="94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$21 million pre-tax loss is expected to be reclassified from Accumulated other comprehensive loss into Product sales to reflect the fixed prices obtained from foreign exchange hedging within the next 12 months. At June 30, 2013, all derivative contracts accounted for as cash flow hedges will mature by July 2015.</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effect on the Condensed Consolidated Statement of Comprehensive Income from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Quarter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gain recognized in Other income, net</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The following table provides the valuation hierarchy classification of assets and liabilities that are carried at fair value and measured on</w:t>
      </w:r>
      <w:r>
        <w:rPr>
          <w:rFonts w:ascii="Arial" w:cs="Arial" w:eastAsia="Arial" w:hAnsi="Arial"/>
          <w:sz w:val="18"/>
          <w:szCs w:val="18"/>
          <w:b w:val="1"/>
          <w:bCs w:val="1"/>
          <w:color w:val="auto"/>
        </w:rPr>
        <w:t xml:space="preserve"> </w:t>
      </w:r>
      <w:r>
        <w:rPr>
          <w:rFonts w:ascii="Arial" w:cs="Arial" w:eastAsia="Arial" w:hAnsi="Arial"/>
          <w:sz w:val="18"/>
          <w:szCs w:val="18"/>
          <w:color w:val="auto"/>
        </w:rPr>
        <w:t>a recurring and nonrecurring basis in our Condensed Consolidated Balance Sheet as of June 30, 2013 and December 31, 2012: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Total Carrying</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Quoted price in</w:t>
            </w:r>
          </w:p>
        </w:tc>
        <w:tc>
          <w:tcPr>
            <w:tcW w:w="200" w:type="dxa"/>
            <w:vAlign w:val="bottom"/>
          </w:tcPr>
          <w:p>
            <w:pPr>
              <w:spacing w:after="0"/>
              <w:rPr>
                <w:sz w:val="14"/>
                <w:szCs w:val="14"/>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Significant other</w:t>
            </w:r>
          </w:p>
        </w:tc>
        <w:tc>
          <w:tcPr>
            <w:tcW w:w="11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Value at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00" w:type="dxa"/>
            <w:vAlign w:val="bottom"/>
          </w:tcPr>
          <w:p>
            <w:pPr>
              <w:spacing w:after="0"/>
              <w:rPr>
                <w:sz w:val="12"/>
                <w:szCs w:val="12"/>
                <w:color w:val="auto"/>
              </w:rPr>
            </w:pPr>
          </w:p>
        </w:tc>
        <w:tc>
          <w:tcPr>
            <w:tcW w:w="16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2013</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3"/>
                <w:szCs w:val="13"/>
                <w:color w:val="auto"/>
              </w:rPr>
            </w:pPr>
          </w:p>
        </w:tc>
        <w:tc>
          <w:tcPr>
            <w:tcW w:w="168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(Level 2)</w:t>
            </w:r>
          </w:p>
        </w:tc>
        <w:tc>
          <w:tcPr>
            <w:tcW w:w="1180" w:type="dxa"/>
            <w:vAlign w:val="bottom"/>
          </w:tcPr>
          <w:p>
            <w:pPr>
              <w:jc w:val="center"/>
              <w:ind w:right="118"/>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Business dispositions</w:t>
            </w:r>
          </w:p>
        </w:tc>
        <w:tc>
          <w:tcPr>
            <w:tcW w:w="1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the six months ended June 30, 2013, we recorded an approximately $38 million net gain from UTC Climate, Controls &amp; Security's ongoing portfolio transformation, primarily due to a gain on the sale of a business in Hong Kong. In addition, we recorded an approximately $193 million gain from the sale of the Pratt &amp; Whitney Power Systems business (see Note 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1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Quoted price in</w:t>
            </w:r>
          </w:p>
        </w:tc>
        <w:tc>
          <w:tcPr>
            <w:tcW w:w="180" w:type="dxa"/>
            <w:vAlign w:val="bottom"/>
          </w:tcPr>
          <w:p>
            <w:pPr>
              <w:spacing w:after="0"/>
              <w:rPr>
                <w:sz w:val="24"/>
                <w:szCs w:val="24"/>
                <w:color w:val="auto"/>
              </w:rPr>
            </w:pPr>
          </w:p>
        </w:tc>
        <w:tc>
          <w:tcPr>
            <w:tcW w:w="16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Significant other</w:t>
            </w: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2"/>
                <w:szCs w:val="12"/>
                <w:color w:val="auto"/>
              </w:rPr>
            </w:pPr>
          </w:p>
        </w:tc>
        <w:tc>
          <w:tcPr>
            <w:tcW w:w="16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inputs</w:t>
            </w: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18"/>
              <w:spacing w:after="0" w:line="158"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62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(Level 2)</w:t>
            </w:r>
          </w:p>
        </w:tc>
        <w:tc>
          <w:tcPr>
            <w:tcW w:w="126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Equity method investment</w:t>
            </w:r>
          </w:p>
        </w:tc>
        <w:tc>
          <w:tcPr>
            <w:tcW w:w="20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Business dispositions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six months ended June 30, 2012, we recorded net gains on nonrecurring fair value measurements of approximately $222 million within Other income, net from UTC Climate, Controls &amp; Security's ongoing portfolio transformation efforts. These net gains include approximately $357 million from the sales of controlling interests in manufacturing and distribution joint ventures in Asia and Canada, of which approximately $272 million were non-cash. These gains were partially offset by $103 million of other-than-temporary impairment charges related to business dispositions and a $32 million loss on the disposition of the U.S. fire and security branch operations.</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They are measured at fair value using closing stock prices from active markets and are classified within Level 1 of the valuation hierarchy. Our derivative assets and liabilities are managed on the basis of net exposure to market and credit risks of each of the counterparties. The fair value for these derivative assets and liabilities is measured at the price that would be received on a net asset position for a particular risk or to transfer a net liability position for a particular risk in an orderly transaction between market participants at the measurement date.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June 30, 2013, there were no significant transfers in and out of Level 1 and Level 2.</w:t>
      </w:r>
    </w:p>
    <w:p>
      <w:pPr>
        <w:spacing w:after="0" w:line="164"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June 30, 2013,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2013 and December 31,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June 30,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14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Total Fair</w:t>
            </w:r>
          </w:p>
        </w:tc>
        <w:tc>
          <w:tcPr>
            <w:tcW w:w="180" w:type="dxa"/>
            <w:vAlign w:val="bottom"/>
          </w:tcPr>
          <w:p>
            <w:pPr>
              <w:spacing w:after="0"/>
              <w:rPr>
                <w:sz w:val="24"/>
                <w:szCs w:val="24"/>
                <w:color w:val="auto"/>
              </w:rPr>
            </w:pPr>
          </w:p>
        </w:tc>
        <w:tc>
          <w:tcPr>
            <w:tcW w:w="15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3"/>
              </w:rPr>
              <w:t>Quoted price in</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 other</w:t>
            </w:r>
          </w:p>
        </w:tc>
        <w:tc>
          <w:tcPr>
            <w:tcW w:w="220" w:type="dxa"/>
            <w:vAlign w:val="bottom"/>
          </w:tcPr>
          <w:p>
            <w:pPr>
              <w:spacing w:after="0"/>
              <w:rPr>
                <w:sz w:val="24"/>
                <w:szCs w:val="24"/>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5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20" w:type="dxa"/>
            <w:vAlign w:val="bottom"/>
          </w:tcPr>
          <w:p>
            <w:pPr>
              <w:spacing w:after="0"/>
              <w:rPr>
                <w:sz w:val="12"/>
                <w:szCs w:val="12"/>
                <w:color w:val="auto"/>
              </w:rPr>
            </w:pPr>
          </w:p>
        </w:tc>
        <w:tc>
          <w:tcPr>
            <w:tcW w:w="12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14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198"/>
              <w:spacing w:after="0" w:line="158"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3"/>
                <w:szCs w:val="13"/>
                <w:color w:val="auto"/>
              </w:rPr>
            </w:pPr>
          </w:p>
        </w:tc>
        <w:tc>
          <w:tcPr>
            <w:tcW w:w="1260" w:type="dxa"/>
            <w:vAlign w:val="bottom"/>
          </w:tcPr>
          <w:p>
            <w:pPr>
              <w:jc w:val="center"/>
              <w:ind w:right="157"/>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Customer financing notes receivable</w:t>
            </w:r>
          </w:p>
        </w:tc>
        <w:tc>
          <w:tcPr>
            <w:tcW w:w="2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long-term receivables and customer financing notes receivable include our commercial and aerospace long-term trade,</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and other receivables, leases, and notes receivable. Our long-term receivables and customer financing notes receivable are measured and presented in the table above at fair value using an income approach based on the present value of the contractual, promised or most likely cash flows discounted at observed or estimated market rate for comparable assets or liabilities that are traded in the market. Based on these inputs, long-term receivables and customer financing notes receivable are presented in the table above within Level 2 of the valuation hierarchy. Our short-term borrowings include commercial paper and other international credit facility agreements. Our long-term debt includes domestic and international notes. Commercial paper and domestic long-term notes are measured and presented in the table above at fair values based on comparable transactions and current market interest rates quoted in active markets for similar assets, and are classified within Level 2 of the valuation hierarchy. Foreign short-term borrowings and foreign long-term notes are measured and presented in the table above at fair value based on comparable transactions and rates calculated from the respective countries’ yield curves. Based on these inputs, foreign borrowings and foreign long-term notes are classified within Level 3 of the valuation hierarchy. The fair values of Accounts receivable and Accounts payable approximate the carrying amounts due to the short-term maturities of these instruments.</w:t>
      </w:r>
    </w:p>
    <w:p>
      <w:pPr>
        <w:spacing w:after="0" w:line="16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had commercial aerospace financing and other contractual commitments totaling approximately $12.1 billion at June 30, 2013, including approximately $6.5 billion of IAE commitments, related to commercial aircraft and certain contractual rights to provide product on new aircraft platforms. We had commercial aerospace financing and other contractual commitments of approximately $10.9 billion at December 31, 2012, which included approximately $5.8 billion of IAE commitments.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Quality of Long-Term Receivables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8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June 30, 2013 and 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85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6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June 30, 2013 and December 31, 2012, we did not have any significant balances that are considered to be delinquent, on non-accrual status, past due 90 days or more, or considered to be impaired.</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following table provides the balance of aerospace industry long-term receivables and summarizes the associated changes in the reserve for estimated credit losses and exposure for the six months ended June 30, 2013 and 2012,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 of the reserve for credit losses and exposure as of January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Recoveries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8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w w:val="94"/>
              </w:rPr>
              <w:t>Ending balance of the reserve for credit losses and exposure: individually evaluated for impairment as of June 30</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r>
      <w:tr>
        <w:trPr>
          <w:trHeight w:val="251"/>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of long-term receivables: individually evaluated for impairment as of June 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credit risk profile by creditworthiness category for aerospace long-term receivable balances at June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Long-term</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Notes and</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Long-term</w:t>
            </w: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88"/>
              </w:rPr>
              <w:t>Notes and</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trade accounts</w:t>
            </w:r>
          </w:p>
        </w:tc>
        <w:tc>
          <w:tcPr>
            <w:tcW w:w="3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trade accounts</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receivable</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3"/>
                <w:szCs w:val="13"/>
                <w:color w:val="auto"/>
              </w:rPr>
            </w:pPr>
          </w:p>
        </w:tc>
        <w:tc>
          <w:tcPr>
            <w:tcW w:w="1120" w:type="dxa"/>
            <w:vAlign w:val="bottom"/>
          </w:tcPr>
          <w:p>
            <w:pPr>
              <w:jc w:val="center"/>
              <w:ind w:right="177"/>
              <w:spacing w:after="0" w:line="158"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 (low risk, collateralized/uncollateralized)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 - (moderate risk, collateralized/uncollateralized)</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 - (high risk, collateralized/uncollateralized)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 (in default, uncollateralized)</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six months ended June 30, 2013 and 2012 is provided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Share-owners’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3"/>
                <w:szCs w:val="13"/>
                <w:color w:val="auto"/>
              </w:rPr>
            </w:pPr>
          </w:p>
        </w:tc>
        <w:tc>
          <w:tcPr>
            <w:tcW w:w="9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3"/>
                <w:szCs w:val="13"/>
                <w:color w:val="auto"/>
              </w:rPr>
            </w:pPr>
          </w:p>
        </w:tc>
        <w:tc>
          <w:tcPr>
            <w:tcW w:w="820" w:type="dxa"/>
            <w:vAlign w:val="bottom"/>
          </w:tcPr>
          <w:p>
            <w:pPr>
              <w:jc w:val="right"/>
              <w:ind w:right="23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 (loss) for the period:</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loss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Equity Units Issuance</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Purchase of subsidiary shares from noncontrolling</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 of subsidiary shares in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Acquisition of noncontrolling interest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in subsidiaries’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in total other</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Change in redemption value of put options</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reclassification to</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28,369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22,604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Comprehensive income (loss)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70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Equity Units Issuance</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Dividends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Purchase of subsidiary shares from noncontrolling</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Sale of subsidiary shares in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Redeemable noncontrolling interest in subsidiaries’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 in total 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380"/>
              <w:spacing w:after="0"/>
              <w:rPr>
                <w:sz w:val="20"/>
                <w:szCs w:val="20"/>
                <w:color w:val="auto"/>
              </w:rPr>
            </w:pPr>
            <w:r>
              <w:rPr>
                <w:rFonts w:ascii="Arial" w:cs="Arial" w:eastAsia="Arial" w:hAnsi="Arial"/>
                <w:sz w:val="18"/>
                <w:szCs w:val="18"/>
                <w:color w:val="auto"/>
              </w:rPr>
              <w:t>Change in redemption value of put options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 reclassification to</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gridSpan w:val="3"/>
          </w:tcPr>
          <w:p>
            <w:pPr>
              <w:ind w:left="2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26,987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28,369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of January 1, 2013, we adopted the provisions of the FASB issued Accounting Standards Update ("ASU") No. 2013-02, "Reporting of Amounts Reclassified Out of Accumulated Other Comprehensive Income." As a result of this adoption, we have disclosed below the significant items reclassified to net income in their entirety during the period.</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six months ended June 30, 2013 are provided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Unrealized Gains</w:t>
            </w:r>
          </w:p>
        </w:tc>
        <w:tc>
          <w:tcPr>
            <w:tcW w:w="2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0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9"/>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7"/>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Balance at June 30, 2013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26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Details of the reclassification out of accumulated other comprehensive loss for the quarter and six months ended June 30, 2013 is provided below:</w:t>
      </w:r>
    </w:p>
    <w:p>
      <w:pPr>
        <w:sectPr>
          <w:pgSz w:w="11900" w:h="16838" w:orient="portrait"/>
          <w:cols w:equalWidth="0" w:num="1">
            <w:col w:w="11420"/>
          </w:cols>
          <w:pgMar w:left="240" w:top="121" w:right="239" w:bottom="1440" w:gutter="0" w:footer="0" w:header="0"/>
        </w:sectPr>
      </w:pPr>
    </w:p>
    <w:p>
      <w:pPr>
        <w:spacing w:after="0" w:line="307" w:lineRule="exact"/>
        <w:rPr>
          <w:sz w:val="20"/>
          <w:szCs w:val="20"/>
          <w:color w:val="auto"/>
        </w:rPr>
      </w:pPr>
    </w:p>
    <w:p>
      <w:pPr>
        <w:ind w:left="40" w:right="1360"/>
        <w:spacing w:after="0"/>
        <w:rPr>
          <w:sz w:val="20"/>
          <w:szCs w:val="20"/>
          <w:color w:val="auto"/>
        </w:rPr>
      </w:pPr>
      <w:r>
        <w:rPr>
          <w:rFonts w:ascii="Arial" w:cs="Arial" w:eastAsia="Arial" w:hAnsi="Arial"/>
          <w:sz w:val="14"/>
          <w:szCs w:val="14"/>
          <w:b w:val="1"/>
          <w:bCs w:val="1"/>
          <w:color w:val="auto"/>
        </w:rPr>
        <w:t>Details about Accumulated Other Comprehensive Loss Components Reclassified to Net Income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13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Quarter Ended June 30,</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 June</w:t>
            </w:r>
          </w:p>
        </w:tc>
        <w:tc>
          <w:tcPr>
            <w:tcW w:w="24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3"/>
              </w:rPr>
              <w:t>Affected Line item in the Condensed</w:t>
            </w:r>
          </w:p>
        </w:tc>
        <w:tc>
          <w:tcPr>
            <w:tcW w:w="0" w:type="dxa"/>
            <w:vAlign w:val="bottom"/>
          </w:tcPr>
          <w:p>
            <w:pPr>
              <w:spacing w:after="0"/>
              <w:rPr>
                <w:sz w:val="1"/>
                <w:szCs w:val="1"/>
                <w:color w:val="auto"/>
              </w:rPr>
            </w:pPr>
          </w:p>
        </w:tc>
      </w:tr>
      <w:tr>
        <w:trPr>
          <w:trHeight w:val="138"/>
        </w:trPr>
        <w:tc>
          <w:tcPr>
            <w:tcW w:w="16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1"/>
              </w:rPr>
              <w:t>30, 2013</w:t>
            </w:r>
          </w:p>
        </w:tc>
        <w:tc>
          <w:tcPr>
            <w:tcW w:w="2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480" w:type="dxa"/>
            <w:vAlign w:val="bottom"/>
            <w:vMerge w:val="restart"/>
          </w:tcPr>
          <w:p>
            <w:pPr>
              <w:jc w:val="center"/>
              <w:ind w:left="148"/>
              <w:spacing w:after="0" w:line="133" w:lineRule="exact"/>
              <w:rPr>
                <w:sz w:val="20"/>
                <w:szCs w:val="20"/>
                <w:color w:val="auto"/>
              </w:rPr>
            </w:pPr>
            <w:r>
              <w:rPr>
                <w:rFonts w:ascii="Arial" w:cs="Arial" w:eastAsia="Arial" w:hAnsi="Arial"/>
                <w:sz w:val="14"/>
                <w:szCs w:val="14"/>
                <w:b w:val="1"/>
                <w:bCs w:val="1"/>
                <w:color w:val="auto"/>
                <w:w w:val="91"/>
              </w:rPr>
              <w:t>Consolidated Statement of</w:t>
            </w:r>
          </w:p>
        </w:tc>
        <w:tc>
          <w:tcPr>
            <w:tcW w:w="0" w:type="dxa"/>
            <w:vAlign w:val="bottom"/>
          </w:tcPr>
          <w:p>
            <w:pPr>
              <w:spacing w:after="0"/>
              <w:rPr>
                <w:sz w:val="1"/>
                <w:szCs w:val="1"/>
                <w:color w:val="auto"/>
              </w:rPr>
            </w:pPr>
          </w:p>
        </w:tc>
      </w:tr>
      <w:tr>
        <w:trPr>
          <w:trHeight w:val="52"/>
        </w:trPr>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Income (Expense)</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(Expense)</w:t>
            </w: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72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48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756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780" w:space="720"/>
            <w:col w:w="59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Recognized due to business disposition</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rPr>
              <w:t>Defined Benefit Pension and Post-retirement Plans:</w:t>
            </w: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prior-service costs and transition obligation</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Recognized actuarial net loss</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2600" w:type="dxa"/>
            <w:vAlign w:val="bottom"/>
          </w:tcPr>
          <w:p>
            <w:pPr>
              <w:ind w:left="12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Tax benefit</w:t>
            </w:r>
          </w:p>
        </w:tc>
        <w:tc>
          <w:tcPr>
            <w:tcW w:w="6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 on sale of securities, before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Tax expense</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Unrealized Hedging (Losses) Gains: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 contracts</w:t>
            </w:r>
          </w:p>
        </w:tc>
        <w:tc>
          <w:tcPr>
            <w:tcW w:w="6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60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Tax benefit</w:t>
            </w:r>
          </w:p>
        </w:tc>
        <w:tc>
          <w:tcPr>
            <w:tcW w:w="6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right="600" w:hanging="244"/>
        <w:spacing w:after="0" w:line="277" w:lineRule="auto"/>
        <w:tabs>
          <w:tab w:leader="none" w:pos="9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7 for additional details).</w:t>
      </w:r>
    </w:p>
    <w:p>
      <w:pPr>
        <w:spacing w:after="0" w:line="27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and six months ended June 30, 2013 and 2012 is provided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Purchase of subsidiary shares from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Disposition of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redemption value of put options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9"/>
        </w:trPr>
        <w:tc>
          <w:tcPr>
            <w:tcW w:w="40" w:type="dxa"/>
            <w:vAlign w:val="bottom"/>
          </w:tcPr>
          <w:p>
            <w:pPr>
              <w:spacing w:after="0"/>
              <w:rPr>
                <w:sz w:val="19"/>
                <w:szCs w:val="19"/>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w w:val="97"/>
              </w:rPr>
              <w:t>Redeemable noncontrolling interest reclassification to noncontrolling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A summary of these changes in ownership interests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subsidiaries and the effect on shareowners’ equity for the quarters and six months ended June 30, 2013 and 2012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2"/>
              </w:rPr>
              <w:t>Change from net income attributable to common shareowners and transfers</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 noncontrolling interests</w:t>
            </w:r>
          </w:p>
        </w:tc>
        <w:tc>
          <w:tcPr>
            <w:tcW w:w="3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22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extend a variety of financial, market value and product performance guarantees to third parties. As disclosed in Note 2, on June 14, 2013 we completed the sale of substantially all operations of Rocketdyne to GenCorp Inc. Following the sale, certain guarantees of Rocketdyne's performance under existing contracts remain in place, which resulted in an increase in our performance guarantees of approximately $123 million, with no associated significant carrying amount of a liability as of June 30, 2013. There have been no other material changes to guarantees outstanding since December 31, 2012.</w:t>
      </w:r>
    </w:p>
    <w:p>
      <w:pPr>
        <w:spacing w:after="0" w:line="4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2013 and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1,468</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decrease reflected in “Other” during the six months ended June 30, 2012 primarily reflects the impact of warranty reserves reclassified to Liabilities held for sale, as part of the Clipper disposition. See Note 2 for further discussion.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2012 Annual Report, incorporated by reference in our 2012 Form 10-K, updated as applicable.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non-U.S.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conjunction with the completion of our acquisition of Goodrich on July 26, 2012, we recorded additional environmental reserves of $325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further discussion.</w:t>
      </w:r>
    </w:p>
    <w:p>
      <w:pPr>
        <w:spacing w:after="0" w:line="207"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ind w:right="340"/>
        <w:spacing w:after="0" w:line="277" w:lineRule="auto"/>
        <w:rPr>
          <w:sz w:val="20"/>
          <w:szCs w:val="20"/>
          <w:color w:val="auto"/>
        </w:rPr>
      </w:pPr>
      <w:r>
        <w:rPr>
          <w:rFonts w:ascii="Arial" w:cs="Arial" w:eastAsia="Arial" w:hAnsi="Arial"/>
          <w:sz w:val="18"/>
          <w:szCs w:val="18"/>
          <w:color w:val="auto"/>
        </w:rPr>
        <w:t>fine and debar us from new U.S. Government contracting for a period generally not to exceed three years. The U.S. Government could void any contracts found to be tainted by fraud.</w:t>
      </w:r>
    </w:p>
    <w:p>
      <w:pPr>
        <w:spacing w:after="0" w:line="17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have settled some allegations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3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under the False Claims Act, but remanded the case to the trial court for further proceedings on the issues of False Claims Act damages and common law liability and damages.</w:t>
      </w:r>
    </w:p>
    <w:p>
      <w:pPr>
        <w:spacing w:after="0" w:line="12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3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strongly disagree with the trial court's analysis and conclusions. We will file an appeal from the judgment to the United States Court of Appeals for the Sixth Circuit on or before September 1,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possible loss from approximately $24 million to $657 million in excess of amounts previously accrued, plus postjudgment interest. The outcome of this matter could result in a material adverse effect on our results of operations in the period in which a liability would be recognized and cash flows for the period in which damages would be paid.</w:t>
      </w:r>
    </w:p>
    <w:p>
      <w:pPr>
        <w:spacing w:after="0" w:line="59"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$95 million (including interest through March 31, 2013).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DOD has appealed this decision. We do not believe the ultimate resolution of this matter will have a material adverse effect on our competitive position, results of operations, cash flows or financial condition.</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33" w:right="259" w:bottom="1440" w:gutter="0" w:footer="0" w:header="0"/>
        </w:sectPr>
      </w:pPr>
    </w:p>
    <w:bookmarkStart w:id="29" w:name="page30"/>
    <w:bookmarkEnd w:id="29"/>
    <w:p>
      <w:pPr>
        <w:ind w:firstLine="432"/>
        <w:spacing w:after="0" w:line="255" w:lineRule="auto"/>
        <w:rPr>
          <w:sz w:val="20"/>
          <w:szCs w:val="20"/>
          <w:color w:val="auto"/>
        </w:rPr>
      </w:pPr>
      <w:r>
        <w:rPr>
          <w:rFonts w:ascii="Arial" w:cs="Arial" w:eastAsia="Arial" w:hAnsi="Arial"/>
          <w:sz w:val="18"/>
          <w:szCs w:val="18"/>
          <w:color w:val="auto"/>
        </w:rPr>
        <w:t>As previously disclosed, UTC has been involved in administrative review proceedings with the German Tax Office concerning €203 million (approximately $266 million) of tax benefits that we have claimed related to a 1998 reorganization of the corporate structure of Otis operations in Germany. A portion of these tax benefits were disallowed by the local German Tax Office on July 5, 2012, as a result of the audit of tax years 1999 to 2000. The legal and factual issues relating to the denial of the tax benefits center on the interpretation and application of a German tax law. On August 3, 2012, the Company filed suit in the local German tax court and intends to litigate vigorously the matter to conclusion. We do not believe the resolution of this matter will have a material adverse effect on our results of operations, cash flows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accrued our estimate of the liability that may result under these guarantees and for service costs that are probable and can be reasonably estimated.</w:t>
      </w:r>
    </w:p>
    <w:p>
      <w:pPr>
        <w:spacing w:after="0" w:line="23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Like many other industrial companies in recent years, we or our subsidiaries are named as a defendant in lawsuits alleging personal injury as a result of exposure to asbestos integrated into certain of our products or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covered by insurance or other forms of indemnity or have been dismissed without payment. The remainder of the closed cases have been resolved for amounts that are not material individually or in the aggregate. While insurance coverage litigation is pending against a number of Goodrich insurers, based on information currently available we do not believe that resolution of asbestos-related matters will have a material adverse effect upon our competitive position, results of operations, cash flows or financial condition.</w:t>
      </w:r>
    </w:p>
    <w:p>
      <w:pPr>
        <w:spacing w:after="0" w:line="16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are involved in a number of other legal proceedings, investigations and other contingency matters, including government audit matters, environmental investigatory, remediation, operating and maintenance costs, performance guarantees, self-insurance programs and matters arising out of the normal course of business. We are also subject to a number of routine lawsuits, investigations and claims (some of which involve substantial amounts) arising out of the ordinary course of our business. Many of these proceedings are at preliminary stages, and many of these cases seek an indeterminate amount of damages. We regularly evaluate the status of legal proceedings in which we are involved, to assess whether a loss is probable and reasonably estimable in light of the facts and circumstances known to us at a particular point in time or there is a reasonable possibility that a loss or additional loss may have been incurred and determine if accruals and related disclosures are appropriate. The Company has established reserves for several hundred of its legal proceedings and other matters. We accrue contingencies based upon a range of possible outcomes. If no amount within this range is a better estimate than any other, then we accrue the minimum amount. With respect to any additional losses that may be incurred in excess of those accrued, either they are considered not material or we do not believe that a range of reasonably possible losses (defined by the relevant accounting literature to include all potential losses other than those deemed “remote”) can be determined. We do not believe that these matters will have a material adverse effect upon our competitive position, results of operations, cash flows or financial condition.</w:t>
      </w:r>
    </w:p>
    <w:p>
      <w:pPr>
        <w:spacing w:after="0" w:line="18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All forward-looking statements concerning the possible or anticipated outcome of environmental, investigatory, litigation proceedings and other contingency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2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 Subsequent to the completion of our acquisition of Goodrich on July 26, 2012, the Goodrich businesses were combined with the legacy Hamilton Sundstrand businesses to form the new UTC Aerospace Systems segment. Effective July 1, 2012, the Auxiliary Power Unit (APU) business of UTC Aerospace Systems was transferred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June 30, 2013 and 2012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six months ended June 30, 2013 and 2012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8 to the Condensed Consolidated Financial Statements for a discussion of restructuring costs included in segment operating results.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 of Assets within a Foreign Entity or of an Investment in a Foreign Entity." This ASU is intended to eliminate diversity in practice on the release of cumulative translation adjustment into net income when a parent either sells a part or all of its investment in a foreign entity or no longer holds a controlling financial interest. In addition, the amendments in this ASU resolve the diversity in practice for the treatment of business combinations achieved in stages (sometimes also referred to as step acquisitions) involving a foreign entity. The provisions of this ASU are effective for interim and annual periods beginning after December 15, 2013 and must be applied prospectively. This ASU is not expected to have a material impact on our financial statements or disclosures.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2013 and 2012, PricewaterhouseCoopers LLP (PricewaterhouseCoopers) reported that it has applied limited procedures in accordance with professional standards for a review of such information. However, its report dated July 26, 2013,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40" w:firstLine="3453"/>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June 30, 2013 and the related condensed consolidated statement of comprehensive income for the three-month and six-month periods ended June 30, 2013 and 2012 and the condensed consolidated statement of cash flows for the six-month periods ended June 30, 2013 and 2012. This interim financial information is the responsibility of the Corporation's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2012, and the related consolidated statements of operations, of cash flows, and of changes in equity for the year then ended (not presented herein), and in our report dated February 7, 2013, we expressed an unqualified opinion on those consolidated financial statements. In our opinion, the information set forth in the accompanying condensed consolidated balance sheet as of December 31, 2012, is fairly stated in all material respects in relation to the consolidated balance sheet from which it has been derived.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July 26, 2012, UTC acquired Goodrich Corporation (Goodrich) pursuant to a merger agreement dated September 21, 2011. As a result of the acquisition, Goodrich became a wholly-owned subsidiary of UTC. The acquired Goodrich business and the legacy Hamilton Sundstrand business have been combined to form a new segment named UTC Aerospace Systems. The results of the acquired Goodrich business have been included in UTC’s financial statements only for periods subsequent to the completion of the acquisition. The acquisition resulted in the inclusion of Goodrich’s assets and liabilities as of the acquisition date at their respective fair values. Accordingly, the acquisition materially affected UTC’s results of operations and financial position.</w:t>
      </w:r>
    </w:p>
    <w:p>
      <w:pPr>
        <w:spacing w:after="0" w:line="15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The current status of significant factors impacting our business environment in 2013 is discussed below. For additional discussion, refer to the “Business Overview” section in Management’s Discussion and Analysis of Financial Condition and Results of Operations in our 2012 Annual Report, which is incorporated by reference in our 2012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Growth in emerging markets continues to be led by China where gross domestic product is expected to grow 7.5% in 2013. European economic conditions continue to stagnate with weak consumer confidence and unemployment rates over 12%. During the first six months of 2013, organic sales in Europe declined 3% across our commercial businesses. The European market, together with U.S. Government defense spending, represents over 40% of UTC sales. Despite recent volatility in the face of potential federal interest rate increases, the economic environment in the U.S. has continued to rebound on improving consumer sentiment, lower unemployment rates, an improving housing market, and increasing commercial construction.</w:t>
      </w:r>
    </w:p>
    <w:p>
      <w:pPr>
        <w:spacing w:after="0" w:line="17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U.S. Government deficit reduction measures are expected to continue to pressure U.S. Department of Defense spending and adversely affect our military businesses during 2013. Total sales to the U.S. Government were $2.4 billion and $2.4 billion, or 15% and 18% of total UTC sales in the second quarter of 2013 and 2012, respectively. Our participation in long-term production and development programs for the U.S. Government has, and is expected to contribute positively to our results in 2013. In July 2012, the U.S. Government and Sikorsky signed a five-year multiservice contract (Multi-year 8) for approximately 650 H-60 helicopters. Actual production quantities will be determined year-by-year over the life of the program based on funding allocations set by Congress and Pentagon acquisition priorities. Sikorsky's commercial business has benefited from increases in off-shore oil platform activity and those benefits are projected to continue throughout 2013. Although U.S. Government sequestration has not yet had a substantial effect on our military aerospace businesses, it may in future periods.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Disposition Activity</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On March 14, 2012, the Board of Directors of the Company approved a plan for the divestiture of a number of non-core businesses. Cash generated from these divestitures has been used to repay debt incurred to finance the acquisition of Goodrich. The legacy Hamilton Sundstrand Industrial businesses, as well as Clipper Windpower (Clipper), Pratt &amp; Whitney Rocketdyne (Rocketdyne) and UTC Power all met the "held-for-sale" criteria in 2012. The results of operations, including the net realized gain and losses on disposition, and the related cash flows which result from these non-core businesses have been reclassified to Discontinued Operations in our Condensed Consolidated Statements of Comprehensive Income and Cash Flows. The dispositions of Clipper and the legacy Hamilton Sundstrand Industrial businesses were completed in 2012. On February 12, 2013, we completed the disposition of UTC Power to ClearEdge Power. The UTC Power disposition resulted in payments by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UTC totaling $48 million, which included capitalization of the business prior to the sale and interim funding of operations as the buyer took control of a loss generating business. We have no continuing involvement with the UTC Power business.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June 14, 2013, we completed the sale of substantially all operations of Rocketdyne to GenCorp Inc. for $411 million. The sale generated a pre-tax loss of approximately $17 million ($10 million after tax) which has been included in discontinued operations in the accompanying Condensed Consolidated Statement of Comprehensive Income. On May 17, 2013, we completed the sale of the Pratt &amp; Whitney Power Systems business to Mitsubishi Heavy Industries (MHI) and entered into a long-term engineering and manufacturing agreement with MHI. The sale generated a pre-tax gain of approximately $193 million ($132 million after tax). Cash received in connection with the sale was $432 million, and excludes contingent consideration valued at approximately $200 million. Pratt &amp; Whitney Power Systems has not been reclassified to Discontinued Operations due to our level of continuing involvement in the business post-sale.</w:t>
      </w:r>
    </w:p>
    <w:p>
      <w:pPr>
        <w:spacing w:after="0" w:line="18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In connection with regulatory approval of the Goodrich acquisition, regulatory authorities required UTC to dispose of the Goodrich electric power systems and the pumps and engine controls businesses. Pursuant to these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173"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As discussed below in “Results of Operations,” our results include the impact from non-recurring items such as the beneficial impact of gains from business divestiture activities, including those related to the ongoing portfolio transformation at UTC Climate, Controls &amp; Security.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On February 7, 2013, we completed the acquisition of Grupo Ascensores Enor, S.A. (Enor), a privately held company headquartered in Spain with operations in Spain and Portugal, which designs, manufactures, installs and services elevators. Enor's 2012 sales were approximately $50 million. Under the terms of the transaction, Zardoya Otis, S.A. (ZOSA), a non-wholly owned subsidiary of the Company, exchanged publicly traded shares of ZOSA with a fair value of approximately $240 million as of the transaction completion date for all of the shares of Enor.</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six months ended June 30, 2013, our cash investment in business acquisitions was approximately $66 million and consisted of a number of additional small acquisitions primarily in our commercial businesses. We expect cash investment in businesses of approximately $1 billion in 2013. However, actual acquisition spending may vary depending upon the timing, availability and value of acquisition opportunities.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2013. See Part II, Item 1A, “Risk Factors” in this Form 10-Q for further discussion.</w:t>
      </w:r>
    </w:p>
    <w:p>
      <w:pPr>
        <w:spacing w:after="0" w:line="166"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following activities are disclosed as required by Section 13(r)(1)(D)(iii) of the Securities Exchange Act of 1934, as amended (Exchange Act), as transactions or dealings with the government of Iran that have not been specifically authorized by a U.S. federal department or agency:</w:t>
      </w:r>
    </w:p>
    <w:p>
      <w:pPr>
        <w:spacing w:after="0" w:line="14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2012 and 2013, Delta Security Solutions S.A., a company organized under the laws of France and an indirect wholly-owned non-U.S. subsidiary (part of United Technologies Climate, Controls &amp; Security group of companies), provided alarm monitoring services and on-site maintenance inspections to the Paris branch of Bank Melli Iran. The Paris branch of Bank Melli Iran has been a customer of Delta Security Solutions (and its predecessors) since at least 2000. Bank Melli Iran is an entity identified by the U.S. Department of the Treasury's Office of Foreign Assets Control (OFAC) on the Specially Designated Nationals and Blocked Persons List pursuant to Executive Order 13382.</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In August 2010, Delta Security Solutions entered into two service contracts with the Paris branch of Bank Melli Iran. Pursuant to those contracts, Delta Security Solutions provided remote monitoring of the Paris branch's electronic alarm system as well as related maintenance services to verify the proper functioning of the branch's intrusion detection equipment. In 2012, Delta Security Solutions received total payments and net profit of $3,747 and $2,323, respectively, under these contracts. In 2013, Delta Security Solutions received total payments and net profit of $3,835 and $2,378, respectively, under these contracts. Neither these contracts nor the services to be provided thereunder were prohibited by applicable law when the contracts were executed. However, a portion of the services performed by Delta Security Solutions took place after the President issued Executive Order 13628 on October 9, 2012, which implemented Section 218 of the Iran Threat Reduction and Syria Human Rights Act by prohibiting any entity owned or controlled by a U.S. person and established or maintained outside the U.S. from knowingly engaging in any transaction, directly or indirectly, with the Government of Iran. Accordingly, UTC Climate, Controls &amp; Security has filed an appropriate disclosure with OFAC. Delta Security Solutions has notified the Paris branch of Bank Melli Iran that the two contracts have been terminated. Delta Security Solutions does not intend to do any further business with Bank Melli Iran.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2012 Annual Report, incorporated by reference in our 2012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16,006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13,807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30,405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26,223</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six months ended June 30, 2013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Quarter Ended June 30,</w:t>
            </w:r>
          </w:p>
        </w:tc>
        <w:tc>
          <w:tcPr>
            <w:tcW w:w="170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Six Months Ended June</w:t>
            </w:r>
          </w:p>
        </w:tc>
      </w:tr>
      <w:tr>
        <w:trPr>
          <w:trHeight w:val="192"/>
        </w:trPr>
        <w:tc>
          <w:tcPr>
            <w:tcW w:w="68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30, 2013</w:t>
            </w: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8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6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4"/>
              </w:rPr>
              <w:t>16%</w:t>
            </w:r>
          </w:p>
        </w:tc>
        <w:tc>
          <w:tcPr>
            <w:tcW w:w="1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Other</w:t>
            </w:r>
          </w:p>
        </w:tc>
        <w:tc>
          <w:tcPr>
            <w:tcW w:w="28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6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4"/>
              </w:rPr>
              <w:t>16%</w:t>
            </w:r>
          </w:p>
        </w:tc>
        <w:tc>
          <w:tcPr>
            <w:tcW w:w="1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During the second quarter of 2013, organic sales growth at Otis (4%), UTC Climate, Controls &amp; Security (1%) and UTC Aerospace Systems (1%), was offset by organic sales contraction at Pratt &amp; Whitney (5%) and Sikorsky (3%). Organic sales growth at Otis was led by higher new equipment sales volume in China and Russia, while the organic sales decline at Pratt &amp; Whitney was driven by lower military engine sales.</w:t>
      </w:r>
    </w:p>
    <w:p>
      <w:pPr>
        <w:spacing w:after="0" w:line="16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During the six months ended June 30, 2013, Otis experienced organic sales growth of 3% driven by higher new equipment sales, while UTC Aerospace Systems realized organic sales growth of 1% on higher commercial aerospace OEM volume. These increases were more than offset by a contraction in Sikorsky organic sales (5%) driven by lower aftermarket sales to the U.S. Government, organic sales contraction at Pratt &amp; Whitney (4%) driven by lower commercial spares and military business volume, and organic sales contraction at UTC Climate, Controls &amp; Security (1%).</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sales increase from acquisitions for the quarter and six months ended June 30, 2013 was primarily a result of the acquisitions of Goodrich and IAE, partially offset by the ongoing portfolio transformation initiatives at UTC Climate, Controls &amp; Security.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8,712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13,446</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5,418</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11,552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22,017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18,864</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for the quarter and six months ended June 30, 2013 in total cost of products and services sold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920" w:type="dxa"/>
            <w:vAlign w:val="bottom"/>
            <w:gridSpan w:val="2"/>
          </w:tcPr>
          <w:p>
            <w:pPr>
              <w:ind w:left="100"/>
              <w:spacing w:after="0"/>
              <w:rPr>
                <w:sz w:val="20"/>
                <w:szCs w:val="20"/>
                <w:color w:val="auto"/>
              </w:rPr>
            </w:pPr>
            <w:r>
              <w:rPr>
                <w:rFonts w:ascii="Arial" w:cs="Arial" w:eastAsia="Arial" w:hAnsi="Arial"/>
                <w:sz w:val="14"/>
                <w:szCs w:val="14"/>
                <w:b w:val="1"/>
                <w:bCs w:val="1"/>
                <w:color w:val="auto"/>
              </w:rPr>
              <w:t>Quarter Ended June 30,</w:t>
            </w:r>
          </w:p>
        </w:tc>
        <w:tc>
          <w:tcPr>
            <w:tcW w:w="170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Six Months Ended June</w:t>
            </w:r>
          </w:p>
        </w:tc>
      </w:tr>
      <w:tr>
        <w:trPr>
          <w:trHeight w:val="192"/>
        </w:trPr>
        <w:tc>
          <w:tcPr>
            <w:tcW w:w="68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30, 2013</w:t>
            </w: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920" w:type="dxa"/>
            <w:vAlign w:val="bottom"/>
            <w:gridSpan w:val="2"/>
          </w:tcPr>
          <w:p>
            <w:pPr>
              <w:jc w:val="right"/>
              <w:ind w:right="14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2920" w:type="dxa"/>
            <w:vAlign w:val="bottom"/>
            <w:gridSpan w:val="2"/>
          </w:tcPr>
          <w:p>
            <w:pPr>
              <w:jc w:val="right"/>
              <w:ind w:right="14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CCEEFF"/>
            </w:tcBorders>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7"/>
        </w:trPr>
        <w:tc>
          <w:tcPr>
            <w:tcW w:w="68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8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6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organic decline in cost of sales was driven by lower commodity costs and factory productivity, particularly within UTC Climate, Controls &amp; Security. The increase in “Acquisitions and divestitures, net” (17%) is largely attributable to the acquisitions of Goodrich and IAE, partially offset by the ongoing portfolio transformation initiatives at UTC Climate, Controls &amp; Security.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organic decrease in total cost of products and services sold (1%) in the first six months of 2013 corresponded to the organic sales decline</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 noted above. The increase in “Acquisitions and divestitures, net” (18%) is largely attributable to the acquisitions of Goodrich and IAE, partially offset by the ongoing portfolio transformation initiatives at UTC Climate, Controls &amp; Security. The year-over-year increase in cost of products sold, as a percentage of product sales, reflects the higher proportion of commercial aerospace OEM sales as a result of lower commercial aerospace spares sales volume during the first six months of 2013.</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7,359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r>
    </w:tbl>
    <w:p>
      <w:pPr>
        <w:spacing w:after="0" w:line="121"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30 basis point decline in gross margin as a percentage of sales for the second quarter of 2013 is due to the adverse gross margin impact of a higher proportion of commercial aerospace OEM sales as a result of lower military engine sales volume at Pratt &amp; Whitney, the adverse impact of the Multi-year 8 pricing and reset provisions at Sikorsky, and pricing pressure at Otis, primarily in Europe and China, during the second quarter of 2013.</w:t>
      </w:r>
    </w:p>
    <w:p>
      <w:pPr>
        <w:spacing w:after="0" w:line="147"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The 50 basis point decline in gross margin as a percentage of sales for the first six months of 2013 is largely due to the adverse gross margin impact of a higher proportion of commercial and military aerospace OEM sales at Pratt &amp; Whitney and Sikorsky during the first six months of 2013.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1,241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1,093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637</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(20%) in the second quarter of 2013 primarily reflects an increase at UTC Aerospace Systems as a result of incremental research and development spending related to the Goodrich businesses (23%), partially offset by lower research and development spending at Pratt &amp; Whitney (3%) primarily related to the development of multiple geared turbofan platforms. The increase in customer-funded research and development (76%) is due to incremental customer-funded spending related to the Goodrich businesses (57%) and at Pratt &amp; Whitney on military (7%) and commercial (5%) programs.</w:t>
      </w:r>
    </w:p>
    <w:p>
      <w:pPr>
        <w:spacing w:after="0" w:line="18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year-over-year increase in company-funded research and development (16%) in the first six months of 2013 primarily reflects an increase at UTC Aerospace Systems as a result of incremental research and development spending related to the Goodrich businesses (23%), partially offset by lower research and development spending at Pratt &amp; Whitney related to the development of multiple geared turbofan platforms (4%). The increase in customer-funded research and development (72%) is due to incremental customer-funded spending related to the Goodrich businesses (53%) and at Pratt &amp; Whitney on military programs (12%).</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company-funded research and development for the full year 2013 to increase approximately $225 million, as compared with 2012.</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3,038</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Selling, general and administrative expenses increased 15% in the second quarter of 2013 due to the impact of acquisitions, net of divestitures, completed over the preceding twelve months (9%) and higher restructuring costs (5%). Higher pension costs were offset by savings from previous restructuring actions. Selling, general and administrative expenses as a percentage of sales in the second quarter of 2013 is consistent with the prior year.</w:t>
      </w:r>
    </w:p>
    <w:p>
      <w:pPr>
        <w:spacing w:after="0" w:line="14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Selling, general and administrative expenses increased 11% in the first six months of 2013 due primarily to the impact of acquisitions, net of divestitures, completed over the preceding twelve months (9%), and higher restructuring costs (2%). Higher pension and export compliance costs (combined 1%) were largely offset by savings from previous restructuring actions. The 50 basis point year-over-year decrease as a percentage of sales reflects higher sales volume as a result of the Goodrich acquisition and the benefits from previous restructuring actions.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increase in other income, net in the second quarter of 2013, is a result of the gain on the sale of Pratt &amp; Whitney Power Systems (57%), offset by the absence of net gains present in the prior year related to the ongoing UTC Climate, Controls &amp; Security portfolio transformation (32%). The remaining increase in other income, net is attributable to normal recurring operational activity as disclosed above.</w:t>
      </w:r>
    </w:p>
    <w:p>
      <w:pPr>
        <w:spacing w:after="0" w:line="15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year-over-year increase in other income, net in the first six months of 2013, is a result of a gain on the sale of Pratt &amp; Whitney Power Systems (30%), the benefit of a settlement with an engine program partner (6%), and lower acquisitions and</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divestiture costs (5%). This was partially offset by a decline in net gains related to the ongoing UTC Climate, Controls &amp; Security portfolio transformation (29%), which included a net gain in the first quarter of 2013 of $38 million primarily from the sale of a business in Hong Kong, compared to a net gain of $222 million during the first six months of 2012. The remaining increase in other income, net is attributable primarily to higher equity earnings in unconsolidated entities (3%) and normal recurring operational activity as disclosed above.</w:t>
      </w:r>
    </w:p>
    <w:p>
      <w:pPr>
        <w:spacing w:after="0" w:line="18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increase in interest expense in the second quarter of 2013 is a result of higher average debt balances associated with the financing of our acquisition of Goodrich. The increase in interest income in the second quarter of 2013 reflects $36 million of favorable pre-tax interest adjustments related to settlements for the Company's tax years prior to 2006, as well as the conclusion of certain IRS examinations of the 2009 and 2010 tax years.</w:t>
      </w:r>
    </w:p>
    <w:p>
      <w:pPr>
        <w:spacing w:after="0" w:line="16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increase in interest expense in the first six months of 2013 is a result of higher average debt balances associated with the financing of our acquisition of Goodrich. The increase in interest income in the first six months of 2013 reflects $36 million of favorable pre-tax interest adjustments related to settlements for the Company's tax years prior to 2006, as well as the conclusion of certain IRS examinations of the 2009 and 2010 tax years, all of which was partially offset by the absence of approximately $15 million of favorable pre-tax interest adjustments related to the conclusion of the IRS's examination of our tax returns for the years 2006 to 2008, which were recognized in the first six months of 2012.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20" w:type="dxa"/>
            <w:vAlign w:val="bottom"/>
          </w:tcPr>
          <w:p>
            <w:pPr>
              <w:jc w:val="right"/>
              <w:ind w:right="479"/>
              <w:spacing w:after="0"/>
              <w:rPr>
                <w:sz w:val="20"/>
                <w:szCs w:val="20"/>
                <w:color w:val="auto"/>
              </w:rPr>
            </w:pPr>
            <w:r>
              <w:rPr>
                <w:rFonts w:ascii="Arial" w:cs="Arial" w:eastAsia="Arial" w:hAnsi="Arial"/>
                <w:sz w:val="14"/>
                <w:szCs w:val="14"/>
                <w:b w:val="1"/>
                <w:bCs w:val="1"/>
                <w:color w:val="auto"/>
              </w:rPr>
              <w:t>2012</w:t>
            </w:r>
          </w:p>
        </w:tc>
      </w:tr>
      <w:tr>
        <w:trPr>
          <w:trHeight w:val="243"/>
        </w:trPr>
        <w:tc>
          <w:tcPr>
            <w:tcW w:w="5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8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28.2%</w:t>
            </w:r>
          </w:p>
        </w:tc>
        <w:tc>
          <w:tcPr>
            <w:tcW w:w="10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w:t>
            </w:r>
          </w:p>
        </w:tc>
        <w:tc>
          <w:tcPr>
            <w:tcW w:w="1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increase in the effective tax rate for the quarter ended June 30, 2013, primarily reflects the absence of a favorable non-cash income tax adjustment of $168 million, recorded in the second quarter of 2012, related to the release of valuation allowances resulting from internal legal entity reorganizations. The increase also reflects the absence of favorable tax impacts related to net gains associated with the UTC Climate, Controls &amp; Security portfolio transformation recorded in the second quarter of 2012. This increase is partially offset by a favorable non-cash income tax adjustment of $22 million, recorded in the second quarter of 2013, related to the conclusion of the IRS's examination of Goodrich's 2009 - 2010 tax years.</w:t>
      </w:r>
    </w:p>
    <w:p>
      <w:pPr>
        <w:spacing w:after="0" w:line="1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addition to the items noted above, the increase in the effective tax rate for the six months ended June 30, 2013, reflects the absence of the favorable non-cash tax adjustment of $203 million, recorded in the first quarter of 2012, related to the conclusion of the IRS's examination of the Company's 2006 - 2008 tax years. This increase is partially offset by the favorable tax impact of $95 million associated with the legislative corporate tax extenders enacted in January 2013, as part of the American Taxpayer Relief Act of 2012. This adjustment relates to the 2012 retroactive impact of the law and was recorded in the first quarter of 2013.</w:t>
      </w:r>
    </w:p>
    <w:p>
      <w:pPr>
        <w:spacing w:after="0" w:line="18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anticipate that our full year annual effective income tax rate in 2013 will be approximately 29%, absent one-time adjustments. We anticipate some variability in the tax rate quarter to quarter in 2013.</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6"/>
                <w:szCs w:val="16"/>
                <w:color w:val="auto"/>
              </w:rPr>
            </w:pPr>
          </w:p>
        </w:tc>
        <w:tc>
          <w:tcPr>
            <w:tcW w:w="21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29"/>
        </w:trPr>
        <w:tc>
          <w:tcPr>
            <w:tcW w:w="6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2,655</w:t>
            </w:r>
          </w:p>
        </w:tc>
      </w:tr>
      <w:tr>
        <w:trPr>
          <w:trHeight w:val="243"/>
        </w:trPr>
        <w:tc>
          <w:tcPr>
            <w:tcW w:w="650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2.94</w:t>
            </w:r>
          </w:p>
        </w:tc>
      </w:tr>
    </w:tbl>
    <w:p>
      <w:pPr>
        <w:spacing w:after="0" w:line="12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Net income attributable to common shareowners from continuing operations for the second quarter of 2013 includes restructuring charges, net of tax benefit, of $127 million as well as a benefit from non-recurring items, net of tax expense, of</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$177 million. The net benefit on diluted earnings per share of non-recurring items in excess of restructuring charges was $0.05 per share. The results for the second quarter of 2012 included a net $0.10 per share benefit from non-recurring items, partially offset by $0.06 per share of restructuring charges. The impact of foreign currency translation and hedging generated an adverse impact of $0.01 per diluted share on our operational performance in the second quarter of 2013.</w:t>
      </w:r>
    </w:p>
    <w:p>
      <w:pPr>
        <w:spacing w:after="0" w:line="18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Net income attributable to common shareowners from continuing operations for the first six months of 2013 includes restructuring charges, net of tax benefit, of $162 million as well as a benefit from non-recurring items, net of tax expense, of $309 million. The net benefit on diluted earnings per share of non-recurring items in excess of restructuring charges was $0.16 per share. The results for the first six months of 2012 included a net $0.40 per share benefit from non-recurring items, partially offset by $0.15 per share of restructuring charges. The impact of foreign currency translation and hedging generated an adverse impact of $0.02 per diluted share on our operational performance in the first six months of 2013.</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Gain (Loss) Attributable to Common Shareowners from Discontinued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16"/>
              <w:spacing w:after="0"/>
              <w:rPr>
                <w:sz w:val="20"/>
                <w:szCs w:val="20"/>
                <w:color w:val="auto"/>
              </w:rPr>
            </w:pPr>
            <w:r>
              <w:rPr>
                <w:rFonts w:ascii="Arial" w:cs="Arial" w:eastAsia="Arial" w:hAnsi="Arial"/>
                <w:sz w:val="14"/>
                <w:szCs w:val="14"/>
                <w:b w:val="1"/>
                <w:bCs w:val="1"/>
                <w:color w:val="auto"/>
              </w:rPr>
              <w:t>Quarter Ended June 30,</w:t>
            </w: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9"/>
                <w:szCs w:val="19"/>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Net gain (loss) attributable to common shareowners from discontinued operations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Diluted earnings (loss) per share from discontinued operations</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12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Diluted earnings per share from discontinued operations for the second quarter of 2013 includes $0.02 earnings per share from the results of operations of the discontinued entities offset by $0.01 loss per share on the sale of the Rocketdyne. Diluted loss per share from discontinued operations for the second quarter of 2012 includes $0.12 per share of net asset impairment charges at UTC Power. A warranty charge of $0.07 per share for potential costs associated with certain components of wind turbines previously installed by our Clipper business offset a $0.07 per share benefit from the results of operations of discontinued entities in the quarter.</w:t>
      </w:r>
    </w:p>
    <w:p>
      <w:pPr>
        <w:spacing w:after="0" w:line="18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Diluted earnings per share from discontinued operations for the first six months of 2013 includes $0.03 earnings per share from the results of operations of the discontinued entities offset by $0.02 loss per share on the sales of Rocketdyne and UTC Power. Diluted loss per share from discontinued operations for the first six months of 2012 includes $0.82 per share of goodwill impairment charges related to Rocketdyne and Clipper and net asset impairment charges at UTC Power, and $0.26 per share unfavorable income tax adjustments related to the recognition of a deferred tax liability on the existing difference between the accounting versus tax gain on the planned disposition of Hamilton Sundstrand’s Industrial businesses. A $0.09 per share benefit from the results of operations of discontinued entities was partially offset by the $0.07 per share Clipper warranty charge noted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recorded net pre-tax restructuring costs totaling $240 million and $232 million in the first six months of 2013 and 2012, respectively, for new and ongoing restructuring actions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3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3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3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3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39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costs for the first six months of 2013 and 2012 were recorded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described below, the charges incurred in the first six months of 2013 primarily relate to actions initiated during 2013 and 2012, while the charges incurred in the first six months of 2012 primarily relate to actions initiated during 2012 and 2011.</w:t>
      </w:r>
    </w:p>
    <w:p>
      <w:pPr>
        <w:spacing w:after="0" w:line="166"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 xml:space="preserve">2013 Actions. </w:t>
      </w:r>
      <w:r>
        <w:rPr>
          <w:rFonts w:ascii="Arial" w:cs="Arial" w:eastAsia="Arial" w:hAnsi="Arial"/>
          <w:sz w:val="17"/>
          <w:szCs w:val="17"/>
          <w:color w:val="auto"/>
        </w:rPr>
        <w:t>During the six months ended June 30, 2013, we initiated restructuring actions relating to ongoing cost reduction efforts, including workforce</w:t>
      </w:r>
      <w:r>
        <w:rPr>
          <w:rFonts w:ascii="Arial" w:cs="Arial" w:eastAsia="Arial" w:hAnsi="Arial"/>
          <w:sz w:val="17"/>
          <w:szCs w:val="17"/>
          <w:b w:val="1"/>
          <w:bCs w:val="1"/>
          <w:color w:val="auto"/>
        </w:rPr>
        <w:t xml:space="preserve"> </w:t>
      </w:r>
      <w:r>
        <w:rPr>
          <w:rFonts w:ascii="Arial" w:cs="Arial" w:eastAsia="Arial" w:hAnsi="Arial"/>
          <w:sz w:val="17"/>
          <w:szCs w:val="17"/>
          <w:color w:val="auto"/>
        </w:rPr>
        <w:t>reductions and the consolidation of field operations. We incurred net pre-tax restructuring costs totaling $202 million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58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4"/>
              <w:spacing w:after="0" w:line="158" w:lineRule="exact"/>
              <w:rPr>
                <w:sz w:val="20"/>
                <w:szCs w:val="20"/>
                <w:color w:val="auto"/>
              </w:rPr>
            </w:pPr>
            <w:r>
              <w:rPr>
                <w:rFonts w:ascii="Arial" w:cs="Arial" w:eastAsia="Arial" w:hAnsi="Arial"/>
                <w:sz w:val="14"/>
                <w:szCs w:val="14"/>
                <w:b w:val="1"/>
                <w:bCs w:val="1"/>
                <w:color w:val="auto"/>
                <w:w w:val="91"/>
              </w:rPr>
              <w:t>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80" w:type="dxa"/>
            <w:vAlign w:val="bottom"/>
            <w:gridSpan w:val="2"/>
            <w:vMerge w:val="restart"/>
          </w:tcPr>
          <w:p>
            <w:pPr>
              <w:ind w:left="400"/>
              <w:spacing w:after="0"/>
              <w:rPr>
                <w:sz w:val="20"/>
                <w:szCs w:val="20"/>
                <w:color w:val="auto"/>
              </w:rPr>
            </w:pPr>
            <w:r>
              <w:rPr>
                <w:rFonts w:ascii="Arial" w:cs="Arial" w:eastAsia="Arial" w:hAnsi="Arial"/>
                <w:sz w:val="18"/>
                <w:szCs w:val="18"/>
                <w:color w:val="auto"/>
              </w:rPr>
              <w:t>The following table summarizes the charges associated with the 2013 restructuring actions: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9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158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4"/>
              <w:spacing w:after="0" w:line="158" w:lineRule="exact"/>
              <w:rPr>
                <w:sz w:val="20"/>
                <w:szCs w:val="20"/>
                <w:color w:val="auto"/>
              </w:rPr>
            </w:pPr>
            <w:r>
              <w:rPr>
                <w:rFonts w:ascii="Arial" w:cs="Arial" w:eastAsia="Arial" w:hAnsi="Arial"/>
                <w:sz w:val="14"/>
                <w:szCs w:val="14"/>
                <w:b w:val="1"/>
                <w:bCs w:val="1"/>
                <w:color w:val="auto"/>
                <w:w w:val="91"/>
              </w:rPr>
              <w:t>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68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The following table summarizes the charges associated with the 2013 restructuring actions by cost type: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9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158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4"/>
              <w:spacing w:after="0" w:line="158" w:lineRule="exact"/>
              <w:rPr>
                <w:sz w:val="20"/>
                <w:szCs w:val="20"/>
                <w:color w:val="auto"/>
              </w:rPr>
            </w:pPr>
            <w:r>
              <w:rPr>
                <w:rFonts w:ascii="Arial" w:cs="Arial" w:eastAsia="Arial" w:hAnsi="Arial"/>
                <w:sz w:val="14"/>
                <w:szCs w:val="14"/>
                <w:b w:val="1"/>
                <w:bCs w:val="1"/>
                <w:color w:val="auto"/>
                <w:w w:val="91"/>
              </w:rPr>
              <w:t>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Asset write-downs</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exit, lease termination and other costs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expect the 2013 actions that were initiated in the first six months to result in net workforce reductions of approximately 2,400 hourly and salaried employees, the exiting of approximately 400 thousand net square feet and the disposal of assets associated with exited facilities. As of June 30, 2013, we have completed net workforce reductions of approximately 700 employees. We are targeting the majority of the remaining workforce and all facility related cost reduction actions for completion during 2013 and 2014. Approximately 80% of the total pre-tax charge will require cash payments, which we expect to fund with cash generated from operations. During the six months ended June 30, 2013, we had cash outflows of approximately $23 million related to the 2013 actions. We expect to incur additional restructuring costs of $58 million to complete these actions. We expect recurring pre-tax savings to increase over the two-year period subsequent to initiating these actions to approximately $237 million annually.</w:t>
      </w:r>
    </w:p>
    <w:p>
      <w:pPr>
        <w:sectPr>
          <w:pgSz w:w="11900" w:h="16838" w:orient="portrait"/>
          <w:cols w:equalWidth="0" w:num="1">
            <w:col w:w="11420"/>
          </w:cols>
          <w:pgMar w:left="240" w:top="122"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right="400"/>
        <w:spacing w:after="0" w:line="314" w:lineRule="auto"/>
        <w:rPr>
          <w:sz w:val="20"/>
          <w:szCs w:val="20"/>
          <w:color w:val="auto"/>
        </w:rPr>
      </w:pPr>
      <w:r>
        <w:rPr>
          <w:rFonts w:ascii="Arial" w:cs="Arial" w:eastAsia="Arial" w:hAnsi="Arial"/>
          <w:sz w:val="16"/>
          <w:szCs w:val="16"/>
          <w:b w:val="1"/>
          <w:bCs w:val="1"/>
          <w:color w:val="auto"/>
        </w:rPr>
        <w:t xml:space="preserve">2012 Actions. </w:t>
      </w:r>
      <w:r>
        <w:rPr>
          <w:rFonts w:ascii="Arial" w:cs="Arial" w:eastAsia="Arial" w:hAnsi="Arial"/>
          <w:sz w:val="16"/>
          <w:szCs w:val="16"/>
          <w:color w:val="auto"/>
        </w:rPr>
        <w:t>During the six months ended June 30, 2013 and 2012, we recorded net pre-tax restructuring costs totaling $38 million and $187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for restructuring actions initiated in 2012. The 2012 actions relate to ongoing cost reduction efforts, including workforce reductions and the consolidation of field operations. We incurred net pre-tax restructuring costs for the six months ended June 30, 2013 and 2012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charges for the six months ended June 30, 2013 and 2012 associated with the 2012 restructuring actions: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11360" w:type="dxa"/>
            <w:vAlign w:val="bottom"/>
            <w:gridSpan w:val="7"/>
          </w:tcPr>
          <w:p>
            <w:pPr>
              <w:jc w:val="right"/>
              <w:ind w:right="213"/>
              <w:spacing w:after="0"/>
              <w:rPr>
                <w:sz w:val="20"/>
                <w:szCs w:val="20"/>
                <w:color w:val="auto"/>
              </w:rPr>
            </w:pPr>
            <w:r>
              <w:rPr>
                <w:rFonts w:ascii="Arial" w:cs="Arial" w:eastAsia="Arial" w:hAnsi="Arial"/>
                <w:sz w:val="18"/>
                <w:szCs w:val="18"/>
                <w:color w:val="auto"/>
                <w:w w:val="93"/>
              </w:rPr>
              <w:t>The following table summarizes the charges for the six months ended June 30, 2013 and 2012 associated with the 2012 restructuring actions by cost</w:t>
            </w: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type: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Asset write-downs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exit, lease termination and other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37"/>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expect the 2012 actions to result in net workforce reductions of approximately 7,100 hourly and salaried employees, the exiting of approximately 3 million net square feet of facilities and the disposal of assets associated with the exited facilities. As of June 30, 2013, we completed net workforce reductions of approximately 5,900 employees and exited approximately 1.4 million net square feet of facilities. We are targeting the majority of the remaining workforce and facility related cost reduction actions for completion during 2013 and 2014. Approximately 85% of the total pre-tax charge will require cash payments, which we expect to fund with cash generated from operations. During the six months ended June 30, 2013, we had cash outflows of approximately $181 million related to the 2012 actions. We expect to incur additional restructuring costs of $43 million to complete these actions. We expect recurring pre-tax savings to increase over the two-year period subsequent to initiating these actions to approximately $555 million annually.</w:t>
      </w:r>
    </w:p>
    <w:p>
      <w:pPr>
        <w:spacing w:after="0" w:line="16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Additional 2013 Actions. </w:t>
      </w:r>
      <w:r>
        <w:rPr>
          <w:rFonts w:ascii="Arial" w:cs="Arial" w:eastAsia="Arial" w:hAnsi="Arial"/>
          <w:sz w:val="18"/>
          <w:szCs w:val="18"/>
          <w:color w:val="auto"/>
        </w:rPr>
        <w:t>We expect to initiate additional restructuring actions during the remainder of 2013.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now expect full year 2013 restructuring costs from continuing operations of approximately $450 million, including the $240 million of charges incurred during the first six months of 2013. The expected adverse impact on full year earnings in 2013 from anticipated restructuring costs is expected to be offset by the beneficial impact from net non-recurring items. Except for those actions described above, no specific plans for significant other actions have been finalized at this time.</w:t>
      </w:r>
    </w:p>
    <w:p>
      <w:pPr>
        <w:sectPr>
          <w:pgSz w:w="11900" w:h="16838" w:orient="portrait"/>
          <w:cols w:equalWidth="0" w:num="1">
            <w:col w:w="11400"/>
          </w:cols>
          <w:pgMar w:left="240" w:top="122" w:right="25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2" w:right="25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Segments are generally based on the management structure of the businesses and the grouping of similar operating companies, where each management organization has general operating autonomy over diversified products and services. Subsequent to the completion of our acquisition of Goodrich on July 26, 2012, we combined the Goodrich businesses with the legacy Hamilton Sundstrand businesses to form the UTC Aerospace Systems segment. Adjustments to reconcile segment reporting to the consolidated results for the quarters and six months ended June 30, 2013 and 2012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although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7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North American residential heating, ventilation, and air conditioning (HVAC) orders increased 19% in the second quarter of 2013, due largely to an improving housing market. Globally, commercial HVAC orders declined (2%) in the second quarter with growth in Asia offset by declines in North America and Europe. Order growth in the Transicold business (6%) was offset by order declines in the Commercial Refrigeration business (6%).</w:t>
      </w:r>
    </w:p>
    <w:p>
      <w:pPr>
        <w:spacing w:after="0" w:line="16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Within the Otis segment, new equipment orders increased 23% in the second quarter of 2013 with growth in Asia led by China (39%) and the Americas (29%). Orders declined in Europe (6%) with growth in the United Kingdom and Germany more than offset by declines in southern Europe. Otis continues to face pricing pressures, primarily in the European service business and in the new equipment business in China.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June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748"/>
              <w:spacing w:after="0"/>
              <w:rPr>
                <w:sz w:val="20"/>
                <w:szCs w:val="20"/>
                <w:color w:val="auto"/>
              </w:rPr>
            </w:pPr>
            <w:r>
              <w:rPr>
                <w:rFonts w:ascii="Arial" w:cs="Arial" w:eastAsia="Arial" w:hAnsi="Arial"/>
                <w:sz w:val="14"/>
                <w:szCs w:val="14"/>
                <w:b w:val="1"/>
                <w:bCs w:val="1"/>
                <w:color w:val="auto"/>
              </w:rPr>
              <w:t>UTC Climate, Controls &amp; Security</w:t>
            </w:r>
          </w:p>
        </w:tc>
        <w:tc>
          <w:tcPr>
            <w:tcW w:w="0" w:type="dxa"/>
            <w:vAlign w:val="bottom"/>
          </w:tcPr>
          <w:p>
            <w:pPr>
              <w:spacing w:after="0"/>
              <w:rPr>
                <w:sz w:val="1"/>
                <w:szCs w:val="1"/>
                <w:color w:val="auto"/>
              </w:rPr>
            </w:pP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220" w:type="dxa"/>
            <w:vAlign w:val="bottom"/>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3,027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4,572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1,986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3,271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512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789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9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six months ended June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739"/>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220" w:type="dxa"/>
            <w:vAlign w:val="bottom"/>
          </w:tcPr>
          <w:p>
            <w:pPr>
              <w:jc w:val="right"/>
              <w:ind w:right="299"/>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5,797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8,684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3,814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6,267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766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1,084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1,217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gridSpan w:val="3"/>
          </w:tcPr>
          <w:p>
            <w:pPr>
              <w:jc w:val="right"/>
              <w:ind w:right="448"/>
              <w:spacing w:after="0"/>
              <w:rPr>
                <w:sz w:val="20"/>
                <w:szCs w:val="20"/>
                <w:color w:val="auto"/>
              </w:rPr>
            </w:pPr>
            <w:r>
              <w:rPr>
                <w:rFonts w:ascii="Arial" w:cs="Arial" w:eastAsia="Arial" w:hAnsi="Arial"/>
                <w:sz w:val="18"/>
                <w:szCs w:val="18"/>
                <w:color w:val="auto"/>
              </w:rPr>
              <w:t>15.2%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15.4%</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342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7"/>
              </w:rPr>
              <w:t>Quarter ended June 30, 2013 Compared with Quarter ended June 30, 2012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4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Factors contributing to total % Change</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14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22"/>
              <w:spacing w:after="0" w:line="153" w:lineRule="exact"/>
              <w:rPr>
                <w:sz w:val="20"/>
                <w:szCs w:val="20"/>
                <w:color w:val="auto"/>
              </w:rPr>
            </w:pPr>
            <w:r>
              <w:rPr>
                <w:rFonts w:ascii="Arial" w:cs="Arial" w:eastAsia="Arial" w:hAnsi="Arial"/>
                <w:sz w:val="14"/>
                <w:szCs w:val="14"/>
                <w:b w:val="1"/>
                <w:bCs w:val="1"/>
                <w:color w:val="auto"/>
              </w:rPr>
              <w:t>FX</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4"/>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87"/>
              </w:rPr>
              <w:t>Costs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organic sales increase in the quarter (4%) was due to higher new equipment sales (3%) primarily in China (3%) and Russia and North America (combined 1%), partially offset by a decline in South Korea (1%). Higher service sales (1%) due to increases in Asia and the Americas (combined 1%), were partially offset by decreases in Europe.</w:t>
      </w:r>
    </w:p>
    <w:p>
      <w:pPr>
        <w:spacing w:after="0" w:line="18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Operational profit in the quarter remained unchanged. New equipment contribution increased (3%) due to higher volume, cost reduction actions, and the impact of lower commodity costs, partially offset by additional costs associated with factory transformation projects. The higher new equipment contribution was offset by lower service contribution (3%) primarily due to continued pricing pressures.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organic sales increase in the first six months (3%) is due to higher new equipment sales (3%) primarily in China (2%), North America and Russia (combined 1%), slightly offset by a decline in South Korea (1%). Higher service sales (1%) primarily in Asia and the Americas (combined 1%), were slightly offset by decreases in Europe.</w:t>
      </w:r>
    </w:p>
    <w:p>
      <w:pPr>
        <w:spacing w:after="0" w:line="181" w:lineRule="exact"/>
        <w:rPr>
          <w:sz w:val="20"/>
          <w:szCs w:val="20"/>
          <w:color w:val="auto"/>
        </w:rPr>
      </w:pPr>
    </w:p>
    <w:p>
      <w:pPr>
        <w:jc w:val="both"/>
        <w:ind w:right="360" w:firstLine="432"/>
        <w:spacing w:after="0" w:line="279" w:lineRule="auto"/>
        <w:rPr>
          <w:sz w:val="20"/>
          <w:szCs w:val="20"/>
          <w:color w:val="auto"/>
        </w:rPr>
      </w:pPr>
      <w:r>
        <w:rPr>
          <w:rFonts w:ascii="Arial" w:cs="Arial" w:eastAsia="Arial" w:hAnsi="Arial"/>
          <w:sz w:val="17"/>
          <w:szCs w:val="17"/>
          <w:color w:val="auto"/>
        </w:rPr>
        <w:t>The operational profit decrease in the first six months (2%) is due to lower service contribution (3%) and higher selling, general and administrative expenses principally in Asia (2%), partially offset by favorable new equipment contribution (2%). The decline in service contribution is primarily due to continued pricing pressures, while the increase in new equipment contribution is a result of higher volume, cost reduction actions and the impact of lower commodity costs, partially offset by additional costs associated with factory transformation projects.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2013 Compared with Quarter ended June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28"/>
              <w:spacing w:after="0" w:line="153" w:lineRule="exact"/>
              <w:rPr>
                <w:sz w:val="20"/>
                <w:szCs w:val="20"/>
                <w:color w:val="auto"/>
              </w:rPr>
            </w:pPr>
            <w:r>
              <w:rPr>
                <w:rFonts w:ascii="Arial" w:cs="Arial" w:eastAsia="Arial" w:hAnsi="Arial"/>
                <w:sz w:val="14"/>
                <w:szCs w:val="14"/>
                <w:b w:val="1"/>
                <w:bCs w:val="1"/>
                <w:color w:val="auto"/>
              </w:rPr>
              <w:t>FX</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62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Translation</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20" w:type="dxa"/>
            <w:vAlign w:val="bottom"/>
            <w:gridSpan w:val="3"/>
          </w:tcPr>
          <w:p>
            <w:pPr>
              <w:jc w:val="right"/>
              <w:ind w:right="134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Organic sales increased (1%) reflecting growth in the Americas (1%) driven by the U.S. residential HVAC and fire safety businesses, and growth in the transport refrigeration business (1%), partially offset by lower volumes in Europe (1%) reflecting weak markets in the region. The decrease in "Acquisitions and divestitures, net" (2%) reflects the year over year impact of divestitures completed in the preceding twelve months associated with UTC Climate, Controls &amp; Security's ongoing portfolio transformation.</w:t>
      </w:r>
    </w:p>
    <w:p>
      <w:pPr>
        <w:spacing w:after="0" w:line="18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5% operational profit increase was driven largely by the benefits of restructuring actions and cost productivity (combined 2%), lower commodities costs (2%), and favorable pricing and volume partially offset by unfavorable mix (combined 1%). The decrease in "Other" primarily reflects the absence of prior year portfolio transformation activity including an approximately $142 million gain from the sale of a controlling interest in the Canadian distribution business, partially offset by a $32 million loss on the disposition of the U.S. fire and security branch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rPr>
              <w:t>FX</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Organic sales decreased 1% primarily driven by lower volumes in Europe (1%) reflecting weak markets in the region, partly offset by growth in the Americas driven by the U.S. residential HVAC and fire safety businesses. The decrease in "Acquisitions and divestitures, net" (3%) reflects the year over year impact of divestitures completed in the preceding twelve months associated with UTC Climate, Controls &amp; Security's ongoing portfolio transformation.</w:t>
      </w:r>
    </w:p>
    <w:p>
      <w:pPr>
        <w:spacing w:after="0" w:line="14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6% operational profit increase was driven largely by the benefits of restructuring actions and cost productivity (combined 4%), and favorable commodity costs (2%). The decrease in "Other" primarily reflects the net year-over-year impact of transactions associated with ongoing portfolio transformation activities. This includes an approximately $38 million net gain in the first quarter of 2013 primarily from the sale of a business in Hong Kong. Prior year portfolio transformation included approximately $215 million of gains primarily from the sale of a majority interest in a manufacturing and distribution joint venture in Thailand, and approximately $142 million gain from the sale of a controlling interest in the Canadian distribution business. These gains were partially offset by approximately $103 million of impairment charges for assets which had been classified as held for sale and by a $32 million loss on the disposition of the U.S. fire and security branch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Effective July 1, 2012, we transferred the auxiliary power unit business (APU) of the UTC Aerospace Systems business segment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commercial airline industry has remained generally strong for the last three years. Airline traffic, as measured by RPMs, grew 5.5% in 2012 and we expect airline traffic RPM growth of between 4% and 6% in 2013. Although airlines generally remain profitable, high fuel prices continue to challenge the airlines to consider the need for more fuel efficient aircraft. Pratt &amp; Whitney continues to invest in engineering and development of five separate geared turbofan platforms to meet demand for new engines which are fuel efficient and have reduced noise levels and exhaust emissions. Excluding orders at IAE, commercial aerospace spares orders at Pratt &amp; Whitney’s large commercial engine business increased 15% in the second quarter of 2013. Excluding Goodrich, UTC Aerospace Systems commercial aerospace spares orders increased 4% in the second quarter of 2013 as compared with the second quarter of 2012.</w:t>
      </w:r>
    </w:p>
    <w:p>
      <w:pPr>
        <w:spacing w:after="0" w:line="18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Accounting Standards Codification. The net increase in operating profit as a result of significant changes in aerospace contract estimates was $49 million and $81 million in the quarter and six months ended June 30, 2013, respectively.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June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Pratt &amp; Whitney</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1"/>
              </w:rPr>
              <w:t>UTC Aerospace Systems</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2"/>
              </w:rPr>
              <w:t>Sikorsky</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1,620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1,296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w w:val="96"/>
              </w:rPr>
              <w:t>Operating Expenses and Other</w:t>
            </w:r>
          </w:p>
        </w:tc>
        <w:tc>
          <w:tcPr>
            <w:tcW w:w="220" w:type="dxa"/>
            <w:vAlign w:val="bottom"/>
          </w:tcPr>
          <w:p>
            <w:pPr>
              <w:spacing w:after="0"/>
              <w:rPr>
                <w:sz w:val="21"/>
                <w:szCs w:val="21"/>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567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six months ended June 30,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8"/>
          </w:tcPr>
          <w:p>
            <w:pPr>
              <w:jc w:val="right"/>
              <w:ind w:right="848"/>
              <w:spacing w:after="0"/>
              <w:rPr>
                <w:sz w:val="20"/>
                <w:szCs w:val="20"/>
                <w:color w:val="auto"/>
              </w:rPr>
            </w:pPr>
            <w:r>
              <w:rPr>
                <w:rFonts w:ascii="Arial" w:cs="Arial" w:eastAsia="Arial" w:hAnsi="Arial"/>
                <w:sz w:val="14"/>
                <w:szCs w:val="14"/>
                <w:b w:val="1"/>
                <w:bCs w:val="1"/>
                <w:color w:val="auto"/>
                <w:w w:val="97"/>
              </w:rPr>
              <w:t>Pratt &amp; Whitney</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90"/>
              </w:rPr>
              <w:t>UTC Aerospace Systems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Sikorsky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9"/>
                <w:szCs w:val="19"/>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9"/>
                <w:szCs w:val="19"/>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800" w:type="dxa"/>
            <w:vAlign w:val="bottom"/>
          </w:tcPr>
          <w:p>
            <w:pPr>
              <w:jc w:val="right"/>
              <w:ind w:right="76"/>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6,499</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6,584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52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5,434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4,832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4,694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6"/>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1,667</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1,890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9"/>
              </w:rPr>
              <w:t>Operating Expenses and Other</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851</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6"/>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816</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3"/>
              </w:rPr>
              <w:t>1,000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gridSpan w:val="16"/>
          </w:tcPr>
          <w:p>
            <w:pPr>
              <w:spacing w:after="0"/>
              <w:rPr>
                <w:sz w:val="20"/>
                <w:szCs w:val="20"/>
                <w:color w:val="auto"/>
              </w:rPr>
            </w:pPr>
            <w:r>
              <w:rPr>
                <w:rFonts w:ascii="Arial" w:cs="Arial" w:eastAsia="Arial" w:hAnsi="Arial"/>
                <w:sz w:val="18"/>
                <w:szCs w:val="18"/>
                <w:b w:val="1"/>
                <w:bCs w:val="1"/>
                <w:i w:val="1"/>
                <w:iCs w:val="1"/>
                <w:color w:val="auto"/>
                <w:w w:val="92"/>
              </w:rPr>
              <w:t>Quarter ended June 30, 2013 Compared with Quarter ended June 30, 2012</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center"/>
              <w:ind w:left="214"/>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Organic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FX</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7"/>
          </w:tcPr>
          <w:p>
            <w:pPr>
              <w:jc w:val="center"/>
              <w:ind w:right="5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20" w:type="dxa"/>
            <w:vAlign w:val="bottom"/>
          </w:tcPr>
          <w:p>
            <w:pPr>
              <w:spacing w:after="0"/>
              <w:rPr>
                <w:sz w:val="13"/>
                <w:szCs w:val="13"/>
                <w:color w:val="auto"/>
              </w:rPr>
            </w:pPr>
          </w:p>
        </w:tc>
        <w:tc>
          <w:tcPr>
            <w:tcW w:w="1220" w:type="dxa"/>
            <w:vAlign w:val="bottom"/>
            <w:gridSpan w:val="4"/>
          </w:tcPr>
          <w:p>
            <w:pPr>
              <w:jc w:val="right"/>
              <w:ind w:right="26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vMerge w:val="restart"/>
          </w:tcPr>
          <w:p>
            <w:pPr>
              <w:jc w:val="right"/>
              <w:ind w:right="456"/>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Operational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6"/>
          </w:tcPr>
          <w:p>
            <w:pPr>
              <w:ind w:left="38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9"/>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34%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organic sales decrease (5%) was driven by a volume decrease in the military business (7%) and the absence of the benefit of prior year sales to third party aftermarket parts companies (2%), partially offset by higher commercial engine and commercial spare volume (combined 4%). The increase in "Acquisitions and divestitures, net" (11%) reflects the consolidation of IAE, and the transfer of the APU business to Pratt &amp; Whitney from UTC Aerospace Systems, partially offset by the divestiture of Pratt &amp; Whitney Power Systems.</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operational profit increase (11%) was primarily driven by increased commercial spares volume (10%), higher Pratt &amp; Whitney Canada (P&amp;WC) engine volume and mix (6%), a benefit from a commercial contract closeout (9%) and lower research and development (3%), partially offset by lower engine volume in the military business (8%) and the absence of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benefit of sales to third party aftermarket parts companies (9%) that occurred in the second quarter of 2012. Higher pension costs (3%) were offset by savings from previous restructuring actions. The increase in "Acquisitions and divestitures, net" (10%) reflects the consolidation of IAE, and transfer of the APU business to Pratt &amp; Whitney from UTC Aerospace Systems, partially offset by the divestiture of Pratt &amp; Whitney Power Systems. The "Other" reflects a gain on the sale of Pratt &amp; Whitney Power Systems (45%) and a gain on the sale of land (1%) offset by the absence of both a gain on the sale of an equity interest in a commercial aftermarket venture (6%) and a gain due to the change in control resulting from the restructuring of interests in IAE (5%) in 2012.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jc w:val="center"/>
              <w:ind w:left="1099"/>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Pratt &amp; Whitney Canada (P&amp;WC) has been netted against the translational foreign exchange impact for presentation purposes in the above table.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193"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organic sales decrease (4%) is driven by lower military engine deliveries (5%) and commercial aftermarket sales (3%), partially offset by higher commercial engine volume (3%) and military spares sales (1%). The increase in "Acquisitions and divestitures, net" (12%) reflects the consolidation of IAE and the transfer of the APU business to Pratt &amp; Whitney from UTC Aerospace Systems, offset by the divestiture of Pratt &amp; Whitney Power Systems.</w:t>
      </w:r>
    </w:p>
    <w:p>
      <w:pPr>
        <w:spacing w:after="0" w:line="147" w:lineRule="exact"/>
        <w:rPr>
          <w:sz w:val="20"/>
          <w:szCs w:val="20"/>
          <w:color w:val="auto"/>
        </w:rPr>
      </w:pPr>
    </w:p>
    <w:p>
      <w:pPr>
        <w:jc w:val="both"/>
        <w:ind w:right="220" w:firstLine="432"/>
        <w:spacing w:after="0" w:line="273" w:lineRule="auto"/>
        <w:rPr>
          <w:sz w:val="20"/>
          <w:szCs w:val="20"/>
          <w:color w:val="auto"/>
        </w:rPr>
      </w:pPr>
      <w:r>
        <w:rPr>
          <w:rFonts w:ascii="Arial" w:cs="Arial" w:eastAsia="Arial" w:hAnsi="Arial"/>
          <w:sz w:val="17"/>
          <w:szCs w:val="17"/>
          <w:color w:val="auto"/>
        </w:rPr>
        <w:t>There was no operational profit growth in the first six months of 2013. The lower commercial spares and military engine volume (13%) noted above was offset by lower research and development (6%), higher military spares volume (3%) and higher engine volume and favorable mix at P&amp;WC (5%). The increase in "Acquisitions and divestitures, net" (11%) reflects the consolidation of IAE and the transfer of the APU business to Pratt &amp; Whitney from UTC Aerospace Systems, partially offset by the divestiture of Pratt &amp; Whitney Power Systems. The "Other" reflects a gain on the sale of Pratt &amp; Whitney Power Systems (24%), offset by the absence of a gain on the sale of intellectual property (2%) in 2012, a gain on the sale of an equity interest in a venture (3%) in 2012, and a gain due to the change in control resulting from the restructuring of interests in IAE (3%) in 2012.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2013 Compared with Quarter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jc w:val="center"/>
              <w:ind w:left="1039"/>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200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organic sales growth (1%) primarily reflects an increase in commercial aerospace OEM sales volume (4%), partially offset by lower military OEM volumes (3%).</w:t>
      </w:r>
    </w:p>
    <w:p>
      <w:pPr>
        <w:spacing w:after="0" w:line="17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Operational profit primarily reflects the profit contribution from higher commercial aerospace OEM sales volume, net of adverse mix (1%) and higher licensing income (8%), offset by lower military OEM volume and adverse mix (8%). “Acquisitions and divestitures, net” is principally a result of the acquisition of Goodrich, partially offset by the transfer of APU business to Pratt &amp; Whitney from UTC Aerospace Systems.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rPr>
              <w:t>FX</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organic sales growth (1%) primarily reflects an increase in commercial aerospace OEM sales volume (4%) partially offset by lower military OEM volume (2%) and lower military aftermarket sales volume (1%).</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organic decrease in operational profit (3%) primarily reflects the impact of lower military OEM and military aftermarket volume and adverse mix (combined 8%), partially offset by the profit contribution from higher commercial aerospace OEM sales volumes, net of adverse mix (3%) and higher licensing income (3%). “Acquisitions and divestitures, net” is principally a result of the acquisition of Goodrich, partially offset by the transfer of APU business to Pratt &amp; Whitney from UTC Aerospace Systems.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2013 Compared with Quarter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70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Organic /</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The organic sales decrease (3%) reflects decreased international military sales (5%), lower volume on customer funded development programs (2%) and decreased aftermarket sales (7%) due primarily to lower military spares activity. These decreases were partially offset by increased commercial aircraft sales (9%) due to increased S-92 sales and S-76D aircraft volume and higher U.S. Government sales (1%) primarily on higher Black Hawk deliveries.</w:t>
      </w:r>
    </w:p>
    <w:p>
      <w:pPr>
        <w:spacing w:after="0" w:line="14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operational profit decrease (24%) reflects lower profitability from U.S. Government contracts (13%) due to Multi-year 8 pricing and reset provisions, lower profitability in aftermarket (9%) due to lower military spares volume, increased selling, general and administrative expenses due largely to higher export compliance costs (9%), higher pension costs (4%), and lower profits from customer funded development programs (5%). These decreases were partially offset by increased profitability from commercial operations (16%) due to increased S-92 aircraft sales and completions volume.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70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Organic /</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organic sales decrease (5%) reflects decreased international military sales (5%), decreased U.S. Government sales (1%) due to unfavorable Multi-year 8 pricing provisions and decreased aftermarket sales (7%) due to lower military spares activity. These decreases were partially offset by increased commercial aircraft deliveries (9%) due to increased S-92 aircraft sales volume and completion services and higher S-76D aircraft volume.</w:t>
      </w:r>
    </w:p>
    <w:p>
      <w:pPr>
        <w:spacing w:after="0" w:line="14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operational profit decrease (27%) reflects lower profitability from the U.S. Government (24%) due to Multi-year 8 pricing and reset provisions, lower profitability in aftermarket (9%) due to lower military spares volume, higher pension costs (4%) and increased selling, general and administrative expenses (8%) due largely to increased export compliance costs. These decreases were partially offset by increased profitability from commercial operations (15%) due to increased S-92 aircraft sales and completions volume, and lower research and development spending (2%).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Operating Profits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gridSpan w:val="5"/>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gridSpan w:val="4"/>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gridSpan w:val="5"/>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180" w:type="dxa"/>
            <w:vAlign w:val="bottom"/>
          </w:tcPr>
          <w:p>
            <w:pPr>
              <w:spacing w:after="0"/>
              <w:rPr>
                <w:sz w:val="16"/>
                <w:szCs w:val="16"/>
                <w:color w:val="auto"/>
              </w:rPr>
            </w:pPr>
          </w:p>
        </w:tc>
        <w:tc>
          <w:tcPr>
            <w:tcW w:w="19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80"/>
        </w:trPr>
        <w:tc>
          <w:tcPr>
            <w:tcW w:w="2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02"/>
        </w:trPr>
        <w:tc>
          <w:tcPr>
            <w:tcW w:w="40" w:type="dxa"/>
            <w:vAlign w:val="bottom"/>
            <w:tcBorders>
              <w:bottom w:val="single" w:sz="8" w:color="CCEEFF"/>
            </w:tcBorders>
          </w:tcPr>
          <w:p>
            <w:pPr>
              <w:spacing w:after="0"/>
              <w:rPr>
                <w:sz w:val="8"/>
                <w:szCs w:val="8"/>
                <w:color w:val="auto"/>
              </w:rPr>
            </w:pPr>
          </w:p>
        </w:tc>
        <w:tc>
          <w:tcPr>
            <w:tcW w:w="1220" w:type="dxa"/>
            <w:vAlign w:val="bottom"/>
            <w:tcBorders>
              <w:top w:val="single" w:sz="8" w:color="auto"/>
              <w:bottom w:val="single" w:sz="8" w:color="CCEEFF"/>
            </w:tcBorders>
          </w:tcPr>
          <w:p>
            <w:pPr>
              <w:spacing w:after="0"/>
              <w:rPr>
                <w:sz w:val="8"/>
                <w:szCs w:val="8"/>
                <w:color w:val="auto"/>
              </w:rPr>
            </w:pPr>
          </w:p>
        </w:tc>
        <w:tc>
          <w:tcPr>
            <w:tcW w:w="11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change in sales for the quarter and six months ended June 30, 2013, as compared with the same periods of 2012, reflects an increase in the amount of inter-segment sales eliminations, due in part to the acquisition of Goodrich. The year-over-year change in operating profit for the second quarter of 2013, as compared with the same period of 2012, primarily reflects lower acquisitions and divestiture costs of $6 million. Similarly, the year-over-year change in operating profit for the six months ended June 30, 2013, as compared with the same period of 2012, reflects lower acquisitions and divestiture costs of $33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FINANCIAL CONDITION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8"/>
        </w:trPr>
        <w:tc>
          <w:tcPr>
            <w:tcW w:w="65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21,656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23,221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28,369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27,069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44,446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45,116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45,471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38,480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For the full year of 2013, we expect operating cash flows of continuing operations less capital expenditures to exceed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8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Improvement in the global economy remains uneven. In the U.S., economic indicators have generally been strengthening, but U.S. Government spending and the impact of sequestration have increased market uncertainties. There continues to be fiscal uncertainty in Europe, while emerging markets have shown continued but modest strength. In light of these circumstances, we continue to assess our current business and closely monitor the impact of global economic conditions on our customers and suppliers. We have determined that these circumstances have not had a significant impact on our financial position, results of operations or liquidity during the first six months of 2013.</w:t>
      </w:r>
    </w:p>
    <w:p>
      <w:pPr>
        <w:spacing w:after="0" w:line="17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domestic pension funds experienced a positive return on assets of 1.13% during the first six months of 2013.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continued recognition of prior pension losses and the impact of a lower discount rate, partially offset by additional funding, the sunset of the final average earning (FAE) provision for the legacy Goodrich salaried employees' plan, and the positive returns experienced during 2012, are expected to result in increased pension expense in 2013 of approximately $225 million as compared to 2012.</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including our issuance of $9.8 billion of long-term debt in June 2012. Our ability to obtain debt financing at comparable risk-based interest rates is partly a function of our existing debt-to-total-capitalization level as well as our current credit standing.</w:t>
      </w:r>
    </w:p>
    <w:p>
      <w:pPr>
        <w:spacing w:after="0" w:line="18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The purchase price of Goodrich of $127.50 per share in cash equated to a total enterprise value of $18.3 billion, including $1.9 billion in net debt assumed. To finance the cash consideration for the Goodrich acquisition and pay related fees, expenses and other amounts due and payable as a result of the acquisition, we utilized the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on July 26, 2012 pursuant to our April 24, 2012 term loan credit agreement. We prepaid all of the $2.0 billion borrowed pursuant to this term loan credit agreement in November and December 2012. For the remainder of the cash consideration, we utilized approximately $0.5 billion of cash and cash equivalents generated from operating activities.</w:t>
      </w:r>
    </w:p>
    <w:p>
      <w:pPr>
        <w:spacing w:after="0" w:line="178"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On May 7, 2013, we commenced cash tender offers for two series of outstanding notes issued by Goodrich and the 1.200% Senior Notes due 2015 issued by UTC. These offers expired on June 4, 2013. Approximately $874.2 million in aggregate principal amount of these outstanding notes were tendered pursuant to these tender offers, including notes validly tendered prior to an early tender date in May 2013 and thereby eligible for an early tender premium. Total payments under these tender offers were approximately $935 million including principal, premium and interest. On June 24, 2013 we redeemed all remaining outstanding 1.200% Senior Notes due 2015, representing $327 million in aggregate principal, under our redemption notice issued on May 24, 2013. We expect full year 2013 debt repayments to be approximately $2.5 billion. We expect full year 2014 debt repayments to be approximately $1 billion.</w:t>
      </w:r>
    </w:p>
    <w:p>
      <w:pPr>
        <w:spacing w:after="0" w:line="16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December 6, 2012, we commenced cash tender offers for six series of outstanding notes originally issued by Goodrich. These offers expired on January 7, 2013. Approximately $635 million in aggregate principal amount of the outstanding Goodrich notes were tendered pursuant to these tender offers prior to an early tender date in December 2012 and, as a result, were eligible for an early tender premium. Additionally, approximately $2 million in aggregate principal amount of the outstanding Goodrich notes not eligible for an early tender premium were tendered prior to the January 7, 2013 expiration date. Total payments under these tender offers were approximately $790 million including principal, premium and interest.</w:t>
      </w:r>
    </w:p>
    <w:p>
      <w:pPr>
        <w:spacing w:after="0" w:line="1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2012, we approved plans for the divestiture of a number of non-core businesses. On December 13, 2012, we completed the sale of the legacy Hamilton Sundstrand Industrial businesses to a private limited liability company formed by affiliates of BC Partners and affiliates of The Carlyle Group for $3.4 billion. The tax expense associated with this transaction was approximately $1.2 billion. Approximately $715 million of the tax was included in our net tax payments during the six months ended June 30, 2013, and a significant portion of these taxes will be included in our net tax payments for the remainder of 2013. On February 12, 2013 we completed the disposition of our UTC Power unit to ClearEdge Power. In connection with regulatory approval of the Goodrich acquisition, we completed the sale of the Goodrich pumps and engine controls business to Triumph Group, Inc. and the sale of the Goodrich electric power systems business to Safran S.A. for combined proceeds of approximately $600 million. We completed these transactions on March 18, 2013 and March 26, 2013, respectively. On May 17, 2013, we completed the sale of our Pratt &amp; Whitney Power Systems business to MHI and entered into a long-term engineering and manufacturing agreement with MHI. Cash received in connection with the sale was $432 million, excluding contingent consideration valued at approximately $200 million. On June 14, 2013, we completed the sale of Rocketdyne to GenCorp Inc. Cash generated from these divestitures is being used to repay debt incurred to finance the Goodrich acquisition.</w:t>
      </w:r>
    </w:p>
    <w:p>
      <w:pPr>
        <w:spacing w:after="0" w:line="18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To manage the cash flow and liquidity impact of the Goodrich acquisition, we suspended share repurchases during 2012. In 2013, we resumed share repurchase activity and repurchased approximately $670 million of our common stock in the six months ended June 30, 2013. We expect 2013 full year share repurchases to be approximately $1.2 billion.</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At June 30, 2013, we had revolving credit agreements with various banks permitting aggregate borrowings of up to $4 billion pursuant to a $2 billion revolving credit agreement and a $2 billion multicurrency revolving credit agreement, both of which expire in November 2016. As of June 30, 2013, there were no borrowings under either of these revolving credit agreements. The undrawn portions of our revolving credit agreements are also available to serve as backup facilities for the issuance of commercial paper. As of June 30, 2013, our maximum commercial paper borrowing authority as set by our Board of Directors was $4 billion. We use our commercial paper borrowings for general corporate purposes, including the funding of potential acquisitions and repurchases of our common stock.</w:t>
      </w:r>
    </w:p>
    <w:p>
      <w:pPr>
        <w:spacing w:after="0" w:line="193"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On July 24, 2013, we called for redemption of all outstanding 6.125% notes due March 1, 2019 issued by Goodrich, representing approximately $202 million in aggregate principal, to be redeemed in August 2013. These Goodrich notes are being refinanced to achieve future interest savings.</w:t>
      </w:r>
    </w:p>
    <w:p>
      <w:pPr>
        <w:spacing w:after="0" w:line="14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sufficient operating flexibility, cash reserves and funding sources to maintain adequate amounts of liquidity and to meet our future operating cash needs.</w:t>
      </w:r>
    </w:p>
    <w:p>
      <w:pPr>
        <w:spacing w:after="0" w:line="248"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93"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June 30, 2013 and December 31, 2012, the amount of such restricted cash was approximately $39 million and $35 million, respectively, and is primarily included in current assets.</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despite our higher debt levels incurred to finance the Goodrich acquisition in 2012, our ability to obtain debt or equity financing, as well as the availability under committed credit lines, provides additional potential sources of liquidity should they be required or appropriate.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3,348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3,026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Cash generated from operating activities of continuing operations in the first six months of 2013 was $322 million higher than the same period in 2012, driven primarily by higher income from continuing operations of $175 million and non-cash depreciation and amortization charges of $258 million. During the first six months of 2013, the net increase in working capital resulted in a cash outflow of $264 million, an increase of $163 million over the first six months of 2012. The 2013 cash outflows were primarily driven by increases in inventory to support deliveries and other contractual commitments at Pratt &amp; Whitney and Sikorsky, as well as contracts in progress at Otis and UTC Climate, Controls &amp; Security, increases in accounts receivable primarily at Pratt &amp; Whitney and UTC Aerospace Systems, driven primarily by volume, partially offset by increases in accounts payable and accrued liabilities primarily at Pratt &amp; Whitney, Otis and UTC Climate, Controls &amp; Security.</w:t>
      </w:r>
    </w:p>
    <w:p>
      <w:pPr>
        <w:spacing w:after="0" w:line="18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six months of 2013 and 2012 were $51 million and $24 million, respectively. We expect to make total cash contributions of approximately $200 million to our global defined benefit pension plans in 2013. Our domestic pension plans are approximately 91% funded on a projected benefit obligation basis as of June 30, 2013 and we are not required to make additional contributions through the end of 2013. Contributions to our global defined benefit pension plans in 2013 are expected to meet or exceed the current funding requirements.</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investing activities of continuing operations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Cash flows provided by investing activities of continuing operations for the six months ended June 30, 2013 primarily reflect the net proceeds of approximately $1.3 billion from dispositions of certain businesses, partially offset by capital expenditures of approximately $660 million and payments related to our collaboration intangible assets and contractual rights to provide product on new aircraft platforms of approximately $410 million. The dispositions of certain businesses include the sale of the legacy Goodrich pumps and engine controls business to Triumph Group, Inc. on March 18, 2013, the sale of the legacy Goodrich electric power systems business to Safran S.A. on March 26, 2013, and the sale of Pratt &amp; Whitney Power Systems to Mitsubishi Heavy Industries on May 17, 2013.</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During the six months ended June 30, 2013, we increased our collaboration intangible assets by approximately $300 million, including net payments of $157 million made under our 2012 agreement to acquire Rolls-Royce's collaboration interest in IAE. Capital expenditures for the six months ended June 30, 2013 primarily relate to investments in new programs at Pratt &amp; Whitney, and continuing Goodrich integration activities at UTC Aerospace Systems.</w:t>
      </w:r>
    </w:p>
    <w:p>
      <w:pPr>
        <w:spacing w:after="0" w:line="14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Investments in businesses in the first six months of 2013 included a number of small acquisitions, primarily in our commercial businesses. We expect total cash investments for acquisitions in 2013 to be approximately $1 billion, including acquisitions completed during the first six months of 2013. However, actual acquisition spending may vary depending upon the timing, availability and appropriate value of acquisition opportunities.</w:t>
      </w:r>
    </w:p>
    <w:p>
      <w:pPr>
        <w:spacing w:after="0" w:line="166"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Customer financing activities were a net use of cash of $27 million for the first six months of 2013 and a net source of cash of $26 million for the first six months of 2012. While we expect that 2013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$12.1 billion, which now includes approximately $6.5 billion of IAE commitments, related to commercial aircraft and certain contractual rights to provide product on new aircraft platforms at June 30, 2013, of which as much as $2 billion may be required to be disbursed during the remainder of 2013. We had commercial aerospace financing and other contractual commitments of approximately $10.9 billion at December 31, 2012.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9,377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timing and levels of certain cash flow activities, such as acquisitions and repurchases of our stock, have resulted in the issuance of both long-term and short-term debt. In June 2012, we issued $9.8 billion of long-term debt and $1.1 billion of Equity Units, and in July 2012, we borrowed $2.0 billion from our term loan credit agreement and issued $3.2 billion of commercial paper primarily to partially finance our acquisition of Goodrich and pay related fees, expenses and other amounts due and payable by UTC as a result of the acquisition. Commercial paper borrowings and revolving credit facilities provide short-term liquidity to supplement operating cash flows and are used for general corporate purposes, including the funding of potential acquisitions and repurchases of our stock. We had approximately $50 million of outstanding commercial paper at June 30, 2013.</w:t>
      </w:r>
    </w:p>
    <w:p>
      <w:pPr>
        <w:spacing w:after="0" w:line="17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At June 30, 2013, management had authority to repurchase approximately 56.4 million shares under the share repurchase program announced on February 4, 2013. Under this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In connection with our acquisition of Goodrich, we suspended share repurchases during 2012. During the six months ended June 30, 2013, we resumed repurchase activity and repurchased approximately 7.5 million shares of our common stock for approximately $670 million. Our share repurchase levels are influenced by various factors, including the level of other investing activities.</w:t>
      </w:r>
    </w:p>
    <w:p>
      <w:pPr>
        <w:spacing w:after="0" w:line="189"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We paid dividends on Common Stock of $0.535 per share in the first quarter of 2013 totaling $465 million in the aggregate and $0.535 per share in the second quarter of 2013 totaling $465 million in the aggregate. On June 12, 2013, the Board of Directors declared, effective as of July 5, 2013, a dividend of $0.535 per share payable September 10, 2013 to shareowners of record at the close of business on August 16, 2013.</w:t>
      </w:r>
    </w:p>
    <w:p>
      <w:pPr>
        <w:spacing w:after="0" w:line="166"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45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4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51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right="180" w:firstLine="540"/>
        <w:spacing w:after="0" w:line="272" w:lineRule="auto"/>
        <w:rPr>
          <w:sz w:val="20"/>
          <w:szCs w:val="20"/>
          <w:color w:val="auto"/>
        </w:rPr>
      </w:pPr>
      <w:r>
        <w:rPr>
          <w:rFonts w:ascii="Arial" w:cs="Arial" w:eastAsia="Arial" w:hAnsi="Arial"/>
          <w:sz w:val="17"/>
          <w:szCs w:val="17"/>
          <w:color w:val="auto"/>
        </w:rPr>
        <w:t>Cash flows used in discontinued operations primarily relate to the completed divestitures of the legacy Hamilton Sundstrand Industrial businesses in December 2012 and Rocketdyne on June 14, 2013. In connection with the sale of the legacy Hamilton Sundstrand Industrial businesses, tax payments of approximately $715 million were made during the six months ended June 30, 2013. A significant portion of the remaining taxes associated with this sale is expected to be included in our tax payments for the remainder of 2013. Net cash flows used in discontinued operations for the six months ended June 30, 2013 includes positive cash flows of approximately $400 million related to the sale of Rocketdyne, and cash flows from the operating activities of Rocketdyne and of UTC Power, through its date of disposition of February 12, 2013, as well as payments made in settlement of liabilities, transaction costs, and interim funding of UTC Power and of Clipper, which was divested in 2012.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our 2012 Annual Report, incorporated by reference in our 2012 Form 10-K, we disclosed our off-balance sheet arrangements and contractual obligations. As of June 30, 2013, there have been no material changes to these off-balance sheet arrangements and contractual obligations outside the ordinary course of business except as otherwise disclosed.</w:t>
      </w:r>
    </w:p>
    <w:p>
      <w:pPr>
        <w:spacing w:after="0" w:line="18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finalizing the purchase accounting for the acquisition of Goodrich, we finalized the fair value measurement of our existing customer contractual obligations which resulted in an incremental $200 million of obligations recognized during the second quarter of 2013. Based on the estimated net cash outflows of the OEM developmental programs plus a reasonable contracting profit margin required to transfer the contracts to market participants, we recorded total assumed liabilities of approximately $2.2 billion. These liabilities will be liquidated in accordance with the underlying economic pattern of obligations, as reflected by the net cash outflows incurred on the OEM contracts. Total consumption of the contractual obligation through the next five years is expected to be as follows: $134 million remaining in 2013, $286 million in 2014, $218 million in 2015, $239 million in 2016, $236 million in 2017 and $873 million thereafter.</w:t>
      </w:r>
    </w:p>
    <w:p>
      <w:pPr>
        <w:spacing w:after="0" w:line="18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June 14, 2013 we completed the sale of substantially all operations of Rocketdyne to GenCorp Inc. Following the sale, certain guarantees of Rocketdyne's performance under existing contracts remain in place, which resulted in an increase in our performance guarantees of approximately $123 million, with no associated significant carrying amount of a liability as of June 30, 2013. There have been no other material changes to guarantees outstanding since December 31,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2013. For discussion of our exposure to market risk, refer to Part II, Item 7A, “Quantitative and Qualitative Disclosures About Market Risk,” contained in our 2012 Form 10-K.</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&amp; Chief Executive Officer (CEO), the Senior Vice President and Chief Financial Officer (CFO) and the Acting Controller and Assistant Controller, Financial Reporting (Controller), of the effectiveness of the design and operation of our disclosure controls and procedures as of June 30, 2013.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2013,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three months ended June 30, 2013, that has materially affected, or is reasonably likely to materially affect, our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1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69" w:lineRule="exact"/>
        <w:rPr>
          <w:sz w:val="20"/>
          <w:szCs w:val="20"/>
          <w:color w:val="auto"/>
        </w:rPr>
      </w:pPr>
    </w:p>
    <w:p>
      <w:pPr>
        <w:ind w:left="820" w:right="60" w:hanging="326"/>
        <w:spacing w:after="0" w:line="25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8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the acquired Goodrich operations and to realize synergies and opportunities for growth and innovation;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other acquisition, divestiture and joint venture activity, including integration of acquired businesses into our existing businesses;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customer driven cost and product efficiency initiatives;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225"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U.S. and other countries in which we operate.</w:t>
      </w:r>
    </w:p>
    <w:p>
      <w:pPr>
        <w:spacing w:after="0" w:line="17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Operations,” and “Liquidity and Financial Condition,” and the section titled “Risk Factors” in this Form 10-Q and in our 2012 Form 10-K.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w:t>
      </w:r>
    </w:p>
    <w:p>
      <w:pPr>
        <w:sectPr>
          <w:pgSz w:w="11900" w:h="16838" w:orient="portrait"/>
          <w:cols w:equalWidth="0" w:num="1">
            <w:col w:w="11320"/>
          </w:cols>
          <w:pgMar w:left="240" w:top="122" w:right="339" w:bottom="1440" w:gutter="0" w:footer="0" w:header="0"/>
        </w:sect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20"/>
          </w:cols>
          <w:pgMar w:left="24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2012 Annual Report in the section titled “Management’s Discussion and Analysis of Financial Condition and Results of Operations” under the headings “Environmental Matters” and “Restructuring Costs.” The forward-looking statements speak only as of the date of this Form 10-Q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26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under the False Claims Act, but remanded the case to the trial court for further proceedings on the issues of False Claims Act damages and common law liability and damages.</w:t>
      </w:r>
    </w:p>
    <w:p>
      <w:pPr>
        <w:spacing w:after="0" w:line="12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3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strongly disagree with the trial court's analysis and conclusions. We will file an appeal from the judgment to the United States Court of Appeals for the Sixth Circuit on or before September 1,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possible loss from approximately $24 million to $657 million in excess of amounts previously accrued, plus postjudgment interest. The outcome of this matter could result in a material adverse effect on our results of operations in the period in which a liability would be recognized and cash flows for the period in which damages would be paid.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October 31, 2012, a shareholder filed a stockholder derivative action in the Delaware Court of Chancery against all of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UTC's current directors. The complaint centers on the June 28, 2012 guilty plea of P&amp;WC to violations of the U.S. Arms Export Control Act and International Traffic in Arms Regulations, and making false statements in connection with its illegal export to China of U.S.-origin military software used in the development of a Chinese military attack helicopter, the Z-10. The complaint alleges, among other things, that UTC's directors breached their fiduciary duties owed to UTC and its shareholders and committed “corporate waste” by failing to oversee adequately UTC's export control compliance. The complaint also alleges that UTC's directors “failed to ensure” that there were adequate internal controls to assure compliance. The complaint seeks declaratory and injunctive relief against UTC, including an order removing and replacing the directors, and asserts a claim for unspecified money damages against only the directors. On June 18, 2013, the Chancery Court issued an order granting the directors' motion to dismiss the case, with prejudice. The shareholder has appealed this decision. We do not believe the resolution of this matter will have a material adverse effect on our competitive position, results of operations, cash flows or financial condition.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Defense Cost Accounting Standards Claim</w:t>
      </w:r>
    </w:p>
    <w:p>
      <w:pPr>
        <w:spacing w:after="0" w:line="18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$95 million (including interest through March 31, 2013).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DOD has appealed this decision. We do not believe the ultimate resolution of this matter will have a material adverse effect on our competitive position, results of operations, cash flows or financial condition.</w:t>
      </w:r>
    </w:p>
    <w:p>
      <w:pPr>
        <w:spacing w:after="0" w:line="247"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2012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Over the past few years, market and economic conditions in the U.S. and globally have been highly challenging with tighter credit conditions and slower economic growth. The U.S. economy has experienced a recession and faces continued concerns about the systemic impacts of adverse economic conditions such as the growing U.S. deficit, high energy costs, geopolitical issues, the availability and cost of credit, and an unstable real estate market. In 2012, the global economy improved as compared to 2011 and continued to show signs of a gradual recovery from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However, despite positive economic indicators seen since the beginning of 2011, uncertainty continues to exist as to the overall rate and stability of the recovery. Despite a recent slowdown in growth rates in China and other emerging economies, global gross domestic product growth continues to be led by emerging markets, particularly Brazil, Russia, India and China. In the developed economies, particularly in Europe, recovery remains uncertain due to persistent high unemployment in the U.S. and Europe, slow recovery of the U.S. and European housing markets, government budget reduction plans, the unwinding of fiscal stimuli, and concerns over the continuing European sovereign debt crisis. Further disruptions in Europe or in other economies could affect our sales or liquidity.</w:t>
      </w:r>
    </w:p>
    <w:p>
      <w:pPr>
        <w:spacing w:after="0" w:line="18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Improvement in the global economy remains uneven. In the U.S., economic indicators have generally been strengthening, but U.S. Government spending and the impact of sequestration have increased market uncertainties. There continues to be fiscal uncertainty in Europe while emerging markets have shown continued but modest strength.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airlines and business jet operators, and government procurement. Strengthening of the rate of exchange for the U.S. Dollar against certain major currencies such as the Euro, the Canadian Dollar and other currencies also adversely affects our results, as the majority of our sales are non-U.S. based.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51 percent of our consolidated sales in 2012, are influenced by a number of external factors including fluctuations in residential and commercial construction activity, regulatory changes, interest rates, labor costs, foreign currency exchange rates, customer attrition, raw material and energy costs, the tightening of global credit markets, and other global and political factors. For example, a slowdown in building and remodeling activity can adversely affect the financial performance of Otis and UTC Climate, Controls &amp; Security. In addition, the financial performance of UTC Climate, Controls &amp; Security can also be influenced by production and utilization of transport equipment and, particularly in its residential business, weather conditions.</w:t>
      </w:r>
    </w:p>
    <w:p>
      <w:pPr>
        <w:spacing w:after="0" w:line="193"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results of our commercial and military aerospace businesses, which generated approximately 49 percent of our consolidated sales in 2012, are directly tied to the economic conditions in the commercial aviation and defense industries, which are cyclical in nature. Although the operating environment currently faced by commercial airlines has shown signs of gradual improvement since 2011,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the aftermarket sales and margins of our aerospace businesses. Other factors, including future terrorist actions, pandemic health issues or major natural disasters, could also dramatically reduce the demand for air travel, which could negatively impact the aftermarket sales and margins of our aerospace businesses. Additionally, because a substantial portion of the backlog for commercial aerospace customers is scheduled for delivery beyond 2013,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as further described below), the U.S. Government could suspend us from bidding on or receiving awards of new U.S. Government contracts pending the completion of legal proceedings. If convicted or found liable, the U.S. Government could subject us to fines, penalties, repayments and treble and other damages, and/or bar us from bidding on or receiving new awards of U.S. Government contracts. The U.S. Government could void any contracts found to be tainted by fraud. The U.S. Government also reserves the right to debar a contractor from</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receiving new government contracts for fraudulent, criminal or other seriously improper conduct. Debarment generally does not exceed three years. We are also sensitive to U.S. military budgets, which may be impacted by numerous economic and political factors and which may fluctuate based on the policies of the current administration or Congress. In addition, the specific government programs in which we participate or in which we may seek to participate in the future, compete with other programs for consideration during the budget formulation and appropriation processes. One or more of the programs that we currently support could be phased-out or terminated. Reductions in these existing programs, unless offset by other programs and opportunities, could have a material adverse effect on our competitive position, results of operations, cash flows or financial condition.</w:t>
      </w:r>
    </w:p>
    <w:p>
      <w:pPr>
        <w:spacing w:after="0" w:line="2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70"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We conduct our business on a global basis, with approximately 60 percent of our 2012 consolidated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7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majority of sales in the aerospace businesses are transacted in U.S. Dollars, consistent with established industry practice, while the majority of costs at locations outside the U.S. are incurred in the applicable local currency (principally the Euro, the Canadian Dollar, and the Polish Zloty). For operating units with U.S. Dollar sales and local currency costs, there is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14 to the Consolidated Financial Statements in our 2012 Annual Report and Note 9 to the Condensed Consolidated Financial Statements in this Form 10-Q for further discussion of our hedging strategies.</w:t>
      </w:r>
    </w:p>
    <w:p>
      <w:pPr>
        <w:spacing w:after="0" w:line="17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8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as part of our globalization strategy, we have invested in certain countries, including Argentina, Brazil, China, India, Mexico, Russia, South Africa and countries in the Middle East, that carry high levels of currency, political, compliance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competitive position, results of operations, cash flows or financial condition.</w:t>
      </w:r>
    </w:p>
    <w:p>
      <w:pPr>
        <w:spacing w:after="0" w:line="2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29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124"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on June 29, 2012, Pratt &amp; Whitney acquired Rolls-Royce's ownership and collaboration interests in IAE, and on July 26, 2012, we completed our acquisition of Goodrich. Further, on October 12, 2011 Pratt &amp; Whitney and Rolls-Royce announced an agreement, subject to regulatory approval and other closing conditions, to form a new joint venture to develop new engines to power the next generation of 120 to 230 passenger mid-size aircraft that will replace the existing fleet of mid-size aircraft currently in service or in development and MTU and JAEC subsequently agreed to join this new venture.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For example, we completed the disposition of UTC Power to ClearEdge Power in February 2013, the disposition of the legacy Hamilton Sundstrand Industrial businesses to affiliates of BC Partners and The Carlyle Group in December 2012, and the disposition of Clipper to a private equity acquirer in August 2012. Additionally, in June 2013 we completed the sale of substantially all operations of our Pratt &amp; Whitney Rocketdyne business to GenCorp Inc., and in May 2013 we completed the sale of our Pratt &amp; Whitney Power Systems unit to Mitsubishi Heavy Industries. Our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have a material adverse effect on our competitive position, results of operations, cash flows or financial condition. The success of future acquisitions and divestitures will depend on the satisfaction of conditions precedent to, and consummation of, the pending transactions, the timing of consummation of these pending transactions, and the ability of the parties to secure any required regulatory approvals in a timely manner.</w:t>
      </w: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Acquired Goodrich Business May Underperform Relative to Our Expectations; The Transaction May Cause Our Financial Results to Differ From Our Expectations or the Expectations of the Investment Community; We May Not Be Able to Achieve Anticipated Cost Savings or Other Anticipated Synergies.</w:t>
      </w:r>
    </w:p>
    <w:p>
      <w:pPr>
        <w:spacing w:after="0" w:line="181"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color w:val="auto"/>
        </w:rPr>
        <w:t>The success of the Goodrich acquisition will continue to depend, in part, on our ability to realize the anticipated synergies, cost savings and growth opportunities from the integration of Goodrich with our existing businesses. The integration process is complex, costly and time-consuming. The potential difficulties of integrating the operations of Goodrich and realizing our expectations for the acquisition include, among others:</w:t>
      </w:r>
    </w:p>
    <w:p>
      <w:pPr>
        <w:spacing w:after="0" w:line="220"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risks inherent in the Goodrich business and our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key customers, suppliers and employees;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and obtaining required regulatory approvals, licenses and permits;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the combined business due to divestitures imposed by antitrust regulators;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Debt Has Increased As a Result of the Goodrich Acquisition and Will Increase If We Incur Additional Debt in the Future and Do Not Retire Existing Debt.</w:t>
      </w:r>
    </w:p>
    <w:p>
      <w:pPr>
        <w:spacing w:after="0" w:line="17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have outstanding debt and other financial obligations and significant unused borrowing capacity. We have incurred substantial additional debt as a result of the Goodrich acquisition. As of June 30, 2013, we had approximately $21.7 billion of total debt on a consolidated basis. Our debt level and related debt service obligations could have negative consequences, including, among others:</w:t>
      </w:r>
    </w:p>
    <w:p>
      <w:pPr>
        <w:spacing w:after="0" w:line="181" w:lineRule="exact"/>
        <w:rPr>
          <w:sz w:val="20"/>
          <w:szCs w:val="20"/>
          <w:color w:val="auto"/>
        </w:rPr>
      </w:pPr>
    </w:p>
    <w:p>
      <w:pPr>
        <w:ind w:left="900" w:right="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which would reduce the funds we have available for other purposes, such as acquisitions and reinvestment in our businesses;</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interest rate risk since a portion of our debt obligations are at variable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may incur significantly more debt in the future. If we add new debt and do not retire existing debt, the risks described above could increase.</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global and domestic revolving credit facilities impose restrictions on us, including certain restrictions on our ability to incur liens on our assets. Our revolving credit facilities are available for general corporate purposes. There are currently no amounts outstanding under these credit facilities. Our long-term debt obligations include covenants that may adversely affect our ability to incur certain secured indebtedness or engage in certain types of sale and leaseback transactions. Our ability to comply with these restrictions and covenants may be affected by events beyond our control. If we breach any of these restrictions or covenants and do not obtain a waiver from the lenders, then, subject to applicable cure periods, our outstanding indebtedness could be declared immediately due and payable.</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7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For example, certain of our aerospace products are incorporated into larger systems and end products manufactured by our customers. These systems and end products may incorporate additional technologies manufactured by third parties and involve additional risks and uncertainties. As a result, the performance and market acceptance of these larger systems and end products could affect the level of customer interest and acceptance of our own products in the marketplace.</w:t>
      </w:r>
    </w:p>
    <w:p>
      <w:pPr>
        <w:spacing w:after="0" w:line="18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we may in the future experience delays in completing the development and introduction of new products. Any delays could result in increased development costs or deflect resources from other projects. In particular,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competitive position, results of operations, cash flows or financial condition.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Exports of Certain of Our Products Are Subject to Various Export Control Regulations and May Require a License From the U.S. Department of State, the U.S. Department of Commerce or the U.S. Department of the Treasury.</w:t>
      </w:r>
    </w:p>
    <w:p>
      <w:pPr>
        <w:spacing w:after="0" w:line="1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As an exporter, we must comply with various laws and regulations relating to the export of products, services and technology from the U.S. and other countries having jurisdiction over our operations. In the U.S., these laws include, among others, the U.S. Export Administration Regulations (EAR) administered by the U.S. Department of Commerce, Bureau of Industry and Security, the International Traffic in Arms Regulations (ITAR) administered by the U.S. Department of State, Directorate of Defense Trade Controls (DDTC), and trade sanctions, regulations and embargoes administered by the U.S. Department of the Treasury, Office of Foreign Assets Control. Certain of our products have military or strategic applications and are on the munitions list of the ITAR, or represent so-called “dual use” items governed by the EAR. As a result, these products require individual validated licenses in order to be exported to certain jurisdictions. Any failures to comply with these laws and regulations could result in civil or criminal penalties, fines, investigations, adverse publicity and restrictions on our ability to export our products, and repeat failures could carry more significant penalties. As previously disclosed, on June 28, 2012, we entered into a consent agreement with the DDTC and a deferred prosecution agreement with the U.S. Department of Justice regarding separate but related export licensing compliance violations, both of which impose significant continuing obligations. In connection with the foregoing, we entered into an administrative agreement with the Department of the Army Suspension and Debarment Official, in which Army officials determined that we are presently responsible and that further action is not necessary pursuant to the Federal Acquisition Regulation and National Defense Appropriations Act. Any changes in export regulations may further restrict the export of our products. The length of time required by the licensing processes can vary, potentially delaying the shipment of products and the recognition of the corresponding revenue. Any restrictions on the export of our products or product lines could have a material adverse effect on our competitive position, results of operations, cash flows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22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We are subject to a variety of litigation, tax and other legal compliance risks. These risks include, among other things, possible liability relating to product liability matters, personal injuries, intellectual property rights, contract-related claims, government contracts, taxes,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7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or there is a reasonable possibility that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 loss or additional loss may have been incurred and determine if accruals and related disclosures are appropriate. Subsequent developments in legal proceedings may affect our assessment and estimates of the loss contingency recorded as a liability or as a reserve against assets in our financial statements and could result in a material adverse effect on our results of operations in the period in which a liability would be recognized or cash flows or financial position for the period in which damages would be paid. For a description of current legal proceedings, see Part I, Item 3 “Legal Proceedings,” in our Form</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10-K, as updated from time to time in subsequent filings, including this Form 10-Q. For income tax risks, we recognize tax benefits based on our assessment that a tax benefit has a greater than 50 percent likelihood of being sustained upon ultimate settlement with the applicable taxing authority that has full knowledge of all relevant facts. For those income tax positions where we assess that there is not a greater than 50 percent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6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 Foreign Corrupt Practices Act (FCPA) and similar worldwide anti-bribery laws in non-U.S. jurisdictions generally prohibit companies and their intermediaries from making improper payments to non-U.S. officials for the purpose of obtaining or retaining business. The FCPA applies to companies, individual directors, officers, employees and agents. Under the FCPA, U.S. companies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such anti-bribery laws. Our policies mandate compliance with these anti-bribery laws. Despite meaningful measures that we undertake to facilitate lawful conduct, which include training and internal control policies, these measures may not always prevent our employees or agents from violating the FCPA or similar laws. As a result, we could be subject to criminal and civil penalties, disgorgement, further changes or enhancements to our procedures, policies and controls, personnel changes or other remedial actions. Violations of these laws, or allegations of such violations, could disrupt our operations, involve significant management distraction and result in a material adverse effect on our competitive position, results of operations, cash flows or financial condition.</w:t>
      </w:r>
    </w:p>
    <w:p>
      <w:pPr>
        <w:spacing w:after="0" w:line="2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competitive position, results of operations, cash flows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Performance May Be Adversely Affected By Information Technology and Other Business Disruptions.</w:t>
      </w:r>
    </w:p>
    <w:p>
      <w:pPr>
        <w:spacing w:after="0" w:line="27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business may be impacted by disruptions, including information technology attacks or failures, threats to physical security, as well as damaging weather or other acts of nature, pandemics or other public health crises.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(our own or that of third parties). We have experienced cybersecurity attacks and may continue to experience them going forward, potentially with more frequency. We believe that we have adopted appropriate measures to mitigate potential risks to our technology and our operations from these information technology-related and other potential disruptions. However, given the unpredictability of the timing, nature and scope of such disruptions, we could potentially be subject to production downtimes, operational delays, other detrimental impacts on our operations or ability to provide products and services to our customers, the compromising of confidential or otherwise protected information, misappropriation, destruction or corruption of data, security breaches, other manipulation or improper use of our systems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networks, financial losses from remedial actions, loss of business or potential liability, and/or damage to our reputation, any of which could have a material adverse effect on our competitive position, results of operations, cash flows or financial condition.</w:t>
      </w:r>
    </w:p>
    <w:p>
      <w:pPr>
        <w:spacing w:after="0" w:line="170"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4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have a material negative impact on our sales volume and therefore could have a material adverse effect on our competitive position, results of operations, cash flows or financial condition. We may also be subject to disruptions, losses and liability resulting from various cybersecurity attacks or information technology failures, as described above.</w:t>
      </w:r>
    </w:p>
    <w:p>
      <w:pPr>
        <w:spacing w:after="0" w:line="178"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3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June 30, 2013 of equity securities that are registered by us pursuant to Section 12 of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Number of Shares</w:t>
            </w: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Average Price Paid per</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206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Program</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(000's)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3,607</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$92.91</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3,606</w:t>
            </w:r>
          </w:p>
        </w:tc>
        <w:tc>
          <w:tcPr>
            <w:tcW w:w="1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56,394</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56,394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w:t>
            </w:r>
          </w:p>
        </w:tc>
        <w:tc>
          <w:tcPr>
            <w:tcW w:w="20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56,394</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3,607</w:t>
            </w:r>
          </w:p>
        </w:tc>
        <w:tc>
          <w:tcPr>
            <w:tcW w:w="2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$92.91</w:t>
            </w:r>
          </w:p>
        </w:tc>
        <w:tc>
          <w:tcPr>
            <w:tcW w:w="24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3,606</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repurchase shares under a program announced on February 4, 2013, which authorized the repurchase of up to 60 million shares of our common stock. Under this current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Approximately 1,000 shares were reacquired in transactions outside the program during the quarter ended June 30, 2013.</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July 24, 2013, United Technologies Corporation issued a press release announcing that it called for redemption of all outstanding Goodrich 6.125% notes due March 1, 2019.</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press release issued July 24, 2013 is furnished herewith as Exhibit No. 99 to this Report, and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to be incorporated by reference into any filing by the Company under the Securities Act of 1933, as amended, or the Exchange Act, except as shall be expressly set forth by specific reference in such a filing.</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6"/>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auto"/>
            </w:tcBorders>
          </w:tcPr>
          <w:p>
            <w:pPr>
              <w:jc w:val="center"/>
              <w:ind w:right="397"/>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jc w:val="center"/>
              <w:ind w:right="397"/>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99</w:t>
            </w:r>
          </w:p>
        </w:tc>
        <w:tc>
          <w:tcPr>
            <w:tcW w:w="6020" w:type="dxa"/>
            <w:vAlign w:val="bottom"/>
          </w:tcPr>
          <w:p>
            <w:pPr>
              <w:ind w:left="240"/>
              <w:spacing w:after="0"/>
              <w:rPr>
                <w:sz w:val="20"/>
                <w:szCs w:val="20"/>
                <w:color w:val="auto"/>
              </w:rPr>
            </w:pPr>
            <w:r>
              <w:rPr>
                <w:rFonts w:ascii="Arial" w:cs="Arial" w:eastAsia="Arial" w:hAnsi="Arial"/>
                <w:sz w:val="18"/>
                <w:szCs w:val="18"/>
                <w:color w:val="auto"/>
                <w:w w:val="89"/>
              </w:rPr>
              <w:t>Press release, dated July 24, 2013, issued by United Technologies Corporation.*</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60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six months ended June 30, 2013 and 2012, (ii) Condensed Consolidated Balance Sheet as of June 30, 2013 and December 31, 2012, (iii) Condensed Consolidated Statement of Cash Flows for the six months ended June 30, 2013 and 2012, and (iv) 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Gregory J. Hayes</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jc w:val="center"/>
        <w:ind w:left="5340"/>
        <w:spacing w:after="0"/>
        <w:rPr>
          <w:sz w:val="20"/>
          <w:szCs w:val="20"/>
          <w:color w:val="auto"/>
        </w:rPr>
      </w:pPr>
      <w:r>
        <w:rPr>
          <w:rFonts w:ascii="Arial" w:cs="Arial" w:eastAsia="Arial" w:hAnsi="Arial"/>
          <w:sz w:val="16"/>
          <w:szCs w:val="16"/>
          <w:color w:val="auto"/>
        </w:rPr>
        <w:t>(on behalf of the Registrant and as the Registrant’s Principal Financial Officer and</w:t>
      </w:r>
    </w:p>
    <w:p>
      <w:pPr>
        <w:spacing w:after="0" w:line="46"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Principal Accounting Officer)</w:t>
      </w:r>
    </w:p>
    <w:p>
      <w:pPr>
        <w:spacing w:after="0" w:line="346" w:lineRule="exact"/>
        <w:rPr>
          <w:sz w:val="20"/>
          <w:szCs w:val="20"/>
          <w:color w:val="auto"/>
        </w:rPr>
      </w:pPr>
    </w:p>
    <w:p>
      <w:pPr>
        <w:ind w:left="40"/>
        <w:spacing w:after="0"/>
        <w:tabs>
          <w:tab w:leader="none" w:pos="820" w:val="left"/>
          <w:tab w:leader="none" w:pos="4940" w:val="left"/>
          <w:tab w:leader="none" w:pos="75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John E. Stantial</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Acting Controller and Assistant Controller, Financial Reporting</w:t>
      </w:r>
    </w:p>
    <w:p>
      <w:pPr>
        <w:spacing w:after="0" w:line="23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(on behalf of the Registrant)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122"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jc w:val="right"/>
              <w:ind w:right="579"/>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99</w:t>
            </w:r>
          </w:p>
        </w:tc>
        <w:tc>
          <w:tcPr>
            <w:tcW w:w="6020" w:type="dxa"/>
            <w:vAlign w:val="bottom"/>
          </w:tcPr>
          <w:p>
            <w:pPr>
              <w:ind w:left="240"/>
              <w:spacing w:after="0"/>
              <w:rPr>
                <w:sz w:val="20"/>
                <w:szCs w:val="20"/>
                <w:color w:val="auto"/>
              </w:rPr>
            </w:pPr>
            <w:r>
              <w:rPr>
                <w:rFonts w:ascii="Arial" w:cs="Arial" w:eastAsia="Arial" w:hAnsi="Arial"/>
                <w:sz w:val="18"/>
                <w:szCs w:val="18"/>
                <w:color w:val="auto"/>
                <w:w w:val="89"/>
              </w:rPr>
              <w:t>Press release, dated July 24, 2013, issued by United Technologies Corporation.*</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60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60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90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(File name: utx-20130630_pre.xml)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six months ended June 30, 2013 and 2012, (ii) Condensed Consolidated Balance Sheet as of June 30, 2013 and December 31, 2012, (iii) Condensed Consolidated Statement of Cash Flows for the six months ended June 30, 2013 and 2012, and (iv) Notes to Condensed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6" w:name="page67"/>
    <w:bookmarkEnd w:id="66"/>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One-third of rents</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7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360" w:hanging="332"/>
        <w:spacing w:after="0" w:line="262"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Pursuant to the guidance in the Income Taxes Topic of the FASB ASC, interest related to unrecognized tax benefits recorded was approximately $15 million and $17 million for the each of the six months ended June 30, 2013 and 2012, respectively. The ratio of earnings to fixed charges would have been 7.82 and 9.55 for the six months ended June 30, 2013 and 2012, respectively, if such interest were excluded from the calculation.</w:t>
      </w:r>
    </w:p>
    <w:p>
      <w:pPr>
        <w:ind w:left="340" w:hanging="332"/>
        <w:spacing w:after="0" w:line="212"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July 26,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are aware that our report dated July 26, 2013 on our review of interim financial information of United Technologies Corporation (the "Corporation") for the three-month and six-month periods ending June 30, 2013 and 2012 and included in the Corporation's quarterly report on Form 10-Q for the quarter ended June 30, 2013 is incorporated by reference in its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333-188957) and in the Registration Statements on Form S-8 (Nos. 333-183123, 333-177520, 333-177517, 333-175781, 333-150643, 333-125293, 333-110020, 333-100724, 333-100723, 333-100718, 333-77817 and 033-51385).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40"/>
        <w:spacing w:after="0"/>
        <w:tabs>
          <w:tab w:leader="none" w:pos="70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2013</w:t>
      </w:r>
      <w:r>
        <w:rPr>
          <w:sz w:val="20"/>
          <w:szCs w:val="20"/>
          <w:color w:val="auto"/>
        </w:rPr>
        <w:tab/>
      </w:r>
      <w:r>
        <w:rPr>
          <w:rFonts w:ascii="Arial" w:cs="Arial" w:eastAsia="Arial" w:hAnsi="Arial"/>
          <w:sz w:val="16"/>
          <w:szCs w:val="16"/>
          <w:color w:val="auto"/>
        </w:rPr>
        <w:t>Chairman &amp; Chief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July 26, 2013</w:t>
      </w:r>
      <w:r>
        <w:rPr>
          <w:sz w:val="20"/>
          <w:szCs w:val="20"/>
          <w:color w:val="auto"/>
        </w:rPr>
        <w:tab/>
      </w:r>
      <w:r>
        <w:rPr>
          <w:rFonts w:ascii="Arial" w:cs="Arial" w:eastAsia="Arial" w:hAnsi="Arial"/>
          <w:sz w:val="16"/>
          <w:szCs w:val="16"/>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E. Stantial,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E. S</w:t>
      </w:r>
      <w:r>
        <w:rPr>
          <w:rFonts w:ascii="Arial" w:cs="Arial" w:eastAsia="Arial" w:hAnsi="Arial"/>
          <w:sz w:val="14"/>
          <w:szCs w:val="14"/>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40"/>
        <w:spacing w:after="0"/>
        <w:tabs>
          <w:tab w:leader="none" w:pos="600" w:val="left"/>
          <w:tab w:leader="none" w:pos="5500" w:val="left"/>
        </w:tabs>
        <w:rPr>
          <w:sz w:val="20"/>
          <w:szCs w:val="20"/>
          <w:color w:val="auto"/>
        </w:rPr>
      </w:pPr>
      <w:r>
        <w:rPr>
          <w:rFonts w:ascii="Arial" w:cs="Arial" w:eastAsia="Arial" w:hAnsi="Arial"/>
          <w:sz w:val="18"/>
          <w:szCs w:val="18"/>
          <w:color w:val="auto"/>
        </w:rPr>
        <w:t>Date:</w:t>
        <w:tab/>
        <w:t>July 26, 2013</w:t>
      </w:r>
      <w:r>
        <w:rPr>
          <w:sz w:val="20"/>
          <w:szCs w:val="20"/>
          <w:color w:val="auto"/>
        </w:rPr>
        <w:tab/>
      </w:r>
      <w:r>
        <w:rPr>
          <w:rFonts w:ascii="Arial" w:cs="Arial" w:eastAsia="Arial" w:hAnsi="Arial"/>
          <w:sz w:val="16"/>
          <w:szCs w:val="16"/>
          <w:color w:val="auto"/>
        </w:rPr>
        <w:t>Acting Controller and Assistant Controller, Financial Reporting</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Quarterly Report on Form 10-Q for the quarter ended June 30, 2013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ectPr>
          <w:pgSz w:w="11900" w:h="16838" w:orient="portrait"/>
          <w:cols w:equalWidth="0" w:num="1">
            <w:col w:w="11420"/>
          </w:cols>
          <w:pgMar w:left="240" w:top="580" w:right="239" w:bottom="1440" w:gutter="0" w:footer="0" w:header="0"/>
        </w:sectPr>
      </w:pPr>
    </w:p>
    <w:p>
      <w:pPr>
        <w:spacing w:after="0" w:line="31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July 26,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July 26,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July 26, 2013</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JOHN E. 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Acting Controller and Assistant Controller, Financial Reporting</w:t>
      </w:r>
    </w:p>
    <w:p>
      <w:pPr>
        <w:sectPr>
          <w:pgSz w:w="11900" w:h="16838" w:orient="portrait"/>
          <w:cols w:equalWidth="0" w:num="2">
            <w:col w:w="4560" w:space="720"/>
            <w:col w:w="6140"/>
          </w:cols>
          <w:pgMar w:left="240" w:top="580" w:right="239" w:bottom="1440" w:gutter="0" w:footer="0" w:header="0"/>
          <w:type w:val="continuous"/>
        </w:sectPr>
      </w:pPr>
    </w:p>
    <w:bookmarkStart w:id="72" w:name="page73"/>
    <w:bookmarkEnd w:id="72"/>
    <w:p>
      <w:pPr>
        <w:ind w:left="10620"/>
        <w:spacing w:after="0"/>
        <w:rPr>
          <w:sz w:val="20"/>
          <w:szCs w:val="20"/>
          <w:color w:val="auto"/>
        </w:rPr>
      </w:pPr>
      <w:r>
        <w:rPr>
          <w:rFonts w:ascii="Arial" w:cs="Arial" w:eastAsia="Arial" w:hAnsi="Arial"/>
          <w:sz w:val="16"/>
          <w:szCs w:val="16"/>
          <w:b w:val="1"/>
          <w:bCs w:val="1"/>
          <w:color w:val="auto"/>
        </w:rPr>
        <w:t>Exhibit 99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CALLS FOR REDEMPTION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GOODRICH 6.125 PERCENT NOTES DUE MARCH 1, 2019</w:t>
      </w:r>
    </w:p>
    <w:p>
      <w:pPr>
        <w:spacing w:after="0" w:line="265" w:lineRule="exact"/>
        <w:rPr>
          <w:sz w:val="20"/>
          <w:szCs w:val="20"/>
          <w:color w:val="auto"/>
        </w:rPr>
      </w:pPr>
    </w:p>
    <w:p>
      <w:pPr>
        <w:ind w:right="160" w:firstLine="648"/>
        <w:spacing w:after="0" w:line="373" w:lineRule="auto"/>
        <w:rPr>
          <w:sz w:val="20"/>
          <w:szCs w:val="20"/>
          <w:color w:val="auto"/>
        </w:rPr>
      </w:pPr>
      <w:r>
        <w:rPr>
          <w:rFonts w:ascii="Arial" w:cs="Arial" w:eastAsia="Arial" w:hAnsi="Arial"/>
          <w:sz w:val="18"/>
          <w:szCs w:val="18"/>
          <w:color w:val="auto"/>
        </w:rPr>
        <w:t xml:space="preserve">HARTFORD, Conn., July 24, 2013 - </w:t>
      </w:r>
      <w:r>
        <w:rPr>
          <w:rFonts w:ascii="Arial" w:cs="Arial" w:eastAsia="Arial" w:hAnsi="Arial"/>
          <w:sz w:val="18"/>
          <w:szCs w:val="18"/>
          <w:color w:val="464646"/>
        </w:rPr>
        <w:t>United Technologies Corp. (NYSE:</w:t>
      </w:r>
      <w:r>
        <w:rPr>
          <w:rFonts w:ascii="Arial" w:cs="Arial" w:eastAsia="Arial" w:hAnsi="Arial"/>
          <w:sz w:val="18"/>
          <w:szCs w:val="18"/>
          <w:color w:val="auto"/>
        </w:rPr>
        <w:t xml:space="preserve"> UTX</w:t>
      </w:r>
      <w:r>
        <w:rPr>
          <w:rFonts w:ascii="Arial" w:cs="Arial" w:eastAsia="Arial" w:hAnsi="Arial"/>
          <w:sz w:val="18"/>
          <w:szCs w:val="18"/>
          <w:color w:val="464646"/>
        </w:rPr>
        <w:t>) today called for redemption of all outstanding Goodrich 6.125</w:t>
      </w:r>
      <w:r>
        <w:rPr>
          <w:rFonts w:ascii="Arial" w:cs="Arial" w:eastAsia="Arial" w:hAnsi="Arial"/>
          <w:sz w:val="18"/>
          <w:szCs w:val="18"/>
          <w:color w:val="auto"/>
        </w:rPr>
        <w:t xml:space="preserve"> </w:t>
      </w:r>
      <w:r>
        <w:rPr>
          <w:rFonts w:ascii="Arial" w:cs="Arial" w:eastAsia="Arial" w:hAnsi="Arial"/>
          <w:sz w:val="18"/>
          <w:szCs w:val="18"/>
          <w:color w:val="464646"/>
        </w:rPr>
        <w:t>Percent Notes due March 1, 2019 (the "2019 Notes"). The outstanding aggregate principal amount of the 2019 Notes is $202.2 million. The redemption date for the 2019 Notes will be Aug. 23, 2013.</w:t>
      </w:r>
    </w:p>
    <w:p>
      <w:pPr>
        <w:spacing w:after="0" w:line="264" w:lineRule="exact"/>
        <w:rPr>
          <w:sz w:val="20"/>
          <w:szCs w:val="20"/>
          <w:color w:val="auto"/>
        </w:rPr>
      </w:pPr>
    </w:p>
    <w:p>
      <w:pPr>
        <w:ind w:right="180" w:firstLine="648"/>
        <w:spacing w:after="0" w:line="395" w:lineRule="auto"/>
        <w:rPr>
          <w:sz w:val="20"/>
          <w:szCs w:val="20"/>
          <w:color w:val="auto"/>
        </w:rPr>
      </w:pPr>
      <w:r>
        <w:rPr>
          <w:rFonts w:ascii="Arial" w:cs="Arial" w:eastAsia="Arial" w:hAnsi="Arial"/>
          <w:sz w:val="17"/>
          <w:szCs w:val="17"/>
          <w:color w:val="464646"/>
        </w:rPr>
        <w:t>The redemption price for the 2019 Notes will be the greater of: (i) 100 percent of the principal amount of the 2019 Notes; and (ii) the sum of the present values of the remaining scheduled payments of principal and interest thereon (not including any portion of any payment of interest accrued on the redemption date) discounted to the redemption date on a semi-annual basis (assuming a 360-day year consisting of twelve 30-day months) using a reference treasury rate plus 50 basis points, plus, in each case, accrued and unpaid interest thereon on the redemption date.</w:t>
      </w:r>
    </w:p>
    <w:p>
      <w:pPr>
        <w:spacing w:after="0" w:line="118" w:lineRule="exact"/>
        <w:rPr>
          <w:sz w:val="20"/>
          <w:szCs w:val="20"/>
          <w:color w:val="auto"/>
        </w:rPr>
      </w:pPr>
    </w:p>
    <w:p>
      <w:pPr>
        <w:ind w:right="20" w:firstLine="648"/>
        <w:spacing w:after="0" w:line="387" w:lineRule="auto"/>
        <w:rPr>
          <w:sz w:val="20"/>
          <w:szCs w:val="20"/>
          <w:color w:val="auto"/>
        </w:rPr>
      </w:pPr>
      <w:r>
        <w:rPr>
          <w:rFonts w:ascii="Arial" w:cs="Arial" w:eastAsia="Arial" w:hAnsi="Arial"/>
          <w:sz w:val="18"/>
          <w:szCs w:val="18"/>
          <w:color w:val="464646"/>
        </w:rPr>
        <w:t xml:space="preserve">United Technologies Corp., based in Hartford, Connecticut, is a diversified company providing high technology products and services to the building and aerospace industries. For more information, visit our website at </w:t>
      </w:r>
      <w:r>
        <w:rPr>
          <w:rFonts w:ascii="Arial" w:cs="Arial" w:eastAsia="Arial" w:hAnsi="Arial"/>
          <w:sz w:val="18"/>
          <w:szCs w:val="18"/>
          <w:u w:val="single" w:color="auto"/>
          <w:color w:val="0000FF"/>
        </w:rPr>
        <w:t>www.utc.com</w:t>
      </w:r>
      <w:r>
        <w:rPr>
          <w:rFonts w:ascii="Arial" w:cs="Arial" w:eastAsia="Arial" w:hAnsi="Arial"/>
          <w:sz w:val="18"/>
          <w:szCs w:val="18"/>
          <w:color w:val="464646"/>
        </w:rPr>
        <w:t xml:space="preserve"> or follow us on Twitter: </w:t>
      </w:r>
      <w:r>
        <w:rPr>
          <w:rFonts w:ascii="Arial" w:cs="Arial" w:eastAsia="Arial" w:hAnsi="Arial"/>
          <w:sz w:val="18"/>
          <w:szCs w:val="18"/>
          <w:u w:val="single" w:color="auto"/>
          <w:color w:val="0000FF"/>
        </w:rPr>
        <w:t>@UTC</w:t>
      </w:r>
      <w:r>
        <w:rPr>
          <w:rFonts w:ascii="Arial" w:cs="Arial" w:eastAsia="Arial" w:hAnsi="Arial"/>
          <w:sz w:val="18"/>
          <w:szCs w:val="18"/>
          <w:color w:val="464646"/>
        </w:rPr>
        <w:t>.</w:t>
      </w:r>
    </w:p>
    <w:p>
      <w:pPr>
        <w:spacing w:after="0" w:line="116" w:lineRule="exact"/>
        <w:rPr>
          <w:sz w:val="20"/>
          <w:szCs w:val="20"/>
          <w:color w:val="auto"/>
        </w:rPr>
      </w:pPr>
    </w:p>
    <w:p>
      <w:pPr>
        <w:ind w:firstLine="648"/>
        <w:spacing w:after="0" w:line="389" w:lineRule="auto"/>
        <w:rPr>
          <w:sz w:val="20"/>
          <w:szCs w:val="20"/>
          <w:color w:val="auto"/>
        </w:rPr>
      </w:pPr>
      <w:r>
        <w:rPr>
          <w:rFonts w:ascii="Arial" w:cs="Arial" w:eastAsia="Arial" w:hAnsi="Arial"/>
          <w:sz w:val="17"/>
          <w:szCs w:val="17"/>
          <w:color w:val="464646"/>
        </w:rPr>
        <w:t>From time to time, UTC may make statements that predict or forecast future events or results, depend on future events for their accuracy or otherwise contain "forward-looking information." These statements are made based on management's expectations and beliefs concerning future events and are not guarantees of future performance. Actual results may differ materially due to various risks and uncertainties. Important factors that could cause actual results to differ materially from those anticipated or implied in forward looking statements are described in UTC's Form 10-K and 10-Q Reports under the headings "Business", "Risk Factors", "Management's Discussion and Analysis of Financial Condition and Results of Operations" and "Cautionary Note Concerning Factors that May Affect Future Results", as well as the information included in UTC's Current Reports on Form 8-K.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464646"/>
        </w:rPr>
        <w:t>UTC-IR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3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3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2"/>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2019-12-05T17:07:16Z</dcterms:created>
  <dcterms:modified xsi:type="dcterms:W3CDTF">2019-12-05T17:07:16Z</dcterms:modified>
</cp:coreProperties>
</file>